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4EB852" w14:textId="77777777" w:rsidR="00664802" w:rsidRPr="00591E11" w:rsidRDefault="00664802" w:rsidP="00F0414E">
      <w:pPr>
        <w:spacing w:line="480" w:lineRule="auto"/>
        <w:jc w:val="center"/>
        <w:rPr>
          <w:rFonts w:asciiTheme="minorHAnsi" w:hAnsiTheme="minorHAnsi" w:cstheme="minorHAnsi"/>
          <w:b/>
          <w:bCs/>
          <w:color w:val="000000" w:themeColor="text1"/>
          <w:sz w:val="22"/>
          <w:szCs w:val="22"/>
        </w:rPr>
      </w:pPr>
    </w:p>
    <w:p w14:paraId="2701F7F5" w14:textId="77777777" w:rsidR="00664802" w:rsidRPr="00591E11" w:rsidRDefault="00664802" w:rsidP="00F0414E">
      <w:pPr>
        <w:spacing w:line="480" w:lineRule="auto"/>
        <w:jc w:val="center"/>
        <w:rPr>
          <w:rFonts w:asciiTheme="minorHAnsi" w:hAnsiTheme="minorHAnsi" w:cstheme="minorHAnsi"/>
          <w:b/>
          <w:bCs/>
          <w:color w:val="000000" w:themeColor="text1"/>
          <w:sz w:val="22"/>
          <w:szCs w:val="22"/>
        </w:rPr>
      </w:pPr>
    </w:p>
    <w:p w14:paraId="11924780" w14:textId="77777777" w:rsidR="00664802" w:rsidRPr="00591E11" w:rsidRDefault="00664802" w:rsidP="00F0414E">
      <w:pPr>
        <w:spacing w:line="480" w:lineRule="auto"/>
        <w:jc w:val="center"/>
        <w:rPr>
          <w:rFonts w:asciiTheme="minorHAnsi" w:hAnsiTheme="minorHAnsi" w:cstheme="minorHAnsi"/>
          <w:b/>
          <w:bCs/>
          <w:color w:val="000000" w:themeColor="text1"/>
          <w:sz w:val="22"/>
          <w:szCs w:val="22"/>
        </w:rPr>
      </w:pPr>
    </w:p>
    <w:p w14:paraId="33CDB6A4" w14:textId="77777777" w:rsidR="00664802" w:rsidRPr="00591E11" w:rsidRDefault="00664802" w:rsidP="00F0414E">
      <w:pPr>
        <w:spacing w:line="480" w:lineRule="auto"/>
        <w:jc w:val="center"/>
        <w:rPr>
          <w:rFonts w:asciiTheme="minorHAnsi" w:hAnsiTheme="minorHAnsi" w:cstheme="minorHAnsi"/>
          <w:b/>
          <w:bCs/>
          <w:color w:val="000000" w:themeColor="text1"/>
          <w:sz w:val="22"/>
          <w:szCs w:val="22"/>
        </w:rPr>
      </w:pPr>
    </w:p>
    <w:p w14:paraId="796940BA" w14:textId="77777777" w:rsidR="00664802" w:rsidRPr="00591E11" w:rsidRDefault="00664802" w:rsidP="00F0414E">
      <w:pPr>
        <w:spacing w:line="480" w:lineRule="auto"/>
        <w:jc w:val="center"/>
        <w:rPr>
          <w:rFonts w:asciiTheme="minorHAnsi" w:hAnsiTheme="minorHAnsi" w:cstheme="minorHAnsi"/>
          <w:b/>
          <w:bCs/>
          <w:color w:val="000000" w:themeColor="text1"/>
          <w:sz w:val="22"/>
          <w:szCs w:val="22"/>
        </w:rPr>
      </w:pPr>
    </w:p>
    <w:p w14:paraId="55E52983" w14:textId="77777777" w:rsidR="00664802" w:rsidRPr="00591E11" w:rsidRDefault="00664802" w:rsidP="00F0414E">
      <w:pPr>
        <w:spacing w:line="480" w:lineRule="auto"/>
        <w:jc w:val="center"/>
        <w:rPr>
          <w:rFonts w:asciiTheme="minorHAnsi" w:hAnsiTheme="minorHAnsi" w:cstheme="minorHAnsi"/>
          <w:b/>
          <w:bCs/>
          <w:color w:val="000000" w:themeColor="text1"/>
          <w:sz w:val="22"/>
          <w:szCs w:val="22"/>
        </w:rPr>
      </w:pPr>
    </w:p>
    <w:p w14:paraId="53766FDD" w14:textId="77777777" w:rsidR="00664802" w:rsidRPr="00591E11" w:rsidRDefault="00664802" w:rsidP="00F0414E">
      <w:pPr>
        <w:spacing w:line="480" w:lineRule="auto"/>
        <w:jc w:val="center"/>
        <w:rPr>
          <w:rFonts w:asciiTheme="minorHAnsi" w:hAnsiTheme="minorHAnsi" w:cstheme="minorHAnsi"/>
          <w:b/>
          <w:bCs/>
          <w:color w:val="000000" w:themeColor="text1"/>
          <w:sz w:val="22"/>
          <w:szCs w:val="22"/>
        </w:rPr>
      </w:pPr>
    </w:p>
    <w:p w14:paraId="01AE52FF" w14:textId="77777777" w:rsidR="00664802" w:rsidRPr="00591E11" w:rsidRDefault="00664802" w:rsidP="00F0414E">
      <w:pPr>
        <w:spacing w:line="480" w:lineRule="auto"/>
        <w:jc w:val="center"/>
        <w:rPr>
          <w:rFonts w:asciiTheme="minorHAnsi" w:hAnsiTheme="minorHAnsi" w:cstheme="minorHAnsi"/>
          <w:b/>
          <w:bCs/>
          <w:color w:val="000000" w:themeColor="text1"/>
          <w:sz w:val="22"/>
          <w:szCs w:val="22"/>
        </w:rPr>
      </w:pPr>
    </w:p>
    <w:p w14:paraId="17B2AEB8" w14:textId="77777777" w:rsidR="00664802" w:rsidRPr="00591E11" w:rsidRDefault="00664802" w:rsidP="00F0414E">
      <w:pPr>
        <w:spacing w:line="480" w:lineRule="auto"/>
        <w:jc w:val="center"/>
        <w:rPr>
          <w:rFonts w:asciiTheme="minorHAnsi" w:hAnsiTheme="minorHAnsi" w:cstheme="minorHAnsi"/>
          <w:b/>
          <w:bCs/>
          <w:color w:val="000000" w:themeColor="text1"/>
          <w:sz w:val="22"/>
          <w:szCs w:val="22"/>
        </w:rPr>
      </w:pPr>
    </w:p>
    <w:p w14:paraId="3CE59785" w14:textId="77777777" w:rsidR="00664802" w:rsidRPr="00591E11" w:rsidRDefault="00664802" w:rsidP="00F0414E">
      <w:pPr>
        <w:spacing w:line="480" w:lineRule="auto"/>
        <w:jc w:val="center"/>
        <w:rPr>
          <w:rFonts w:asciiTheme="minorHAnsi" w:hAnsiTheme="minorHAnsi" w:cstheme="minorHAnsi"/>
          <w:b/>
          <w:bCs/>
          <w:color w:val="000000" w:themeColor="text1"/>
          <w:sz w:val="22"/>
          <w:szCs w:val="22"/>
        </w:rPr>
      </w:pPr>
    </w:p>
    <w:p w14:paraId="4EF2AF85" w14:textId="77777777" w:rsidR="00664802" w:rsidRPr="00332C8B" w:rsidRDefault="00664802" w:rsidP="00F0414E">
      <w:pPr>
        <w:spacing w:line="480" w:lineRule="auto"/>
        <w:jc w:val="center"/>
        <w:rPr>
          <w:rFonts w:asciiTheme="minorHAnsi" w:hAnsiTheme="minorHAnsi" w:cstheme="minorHAnsi"/>
          <w:b/>
          <w:bCs/>
          <w:color w:val="000000" w:themeColor="text1"/>
          <w:sz w:val="22"/>
          <w:szCs w:val="22"/>
        </w:rPr>
      </w:pPr>
      <w:r w:rsidRPr="00332C8B">
        <w:rPr>
          <w:rFonts w:asciiTheme="minorHAnsi" w:hAnsiTheme="minorHAnsi" w:cstheme="minorHAnsi"/>
          <w:b/>
          <w:bCs/>
          <w:color w:val="000000" w:themeColor="text1"/>
          <w:sz w:val="22"/>
          <w:szCs w:val="22"/>
        </w:rPr>
        <w:t xml:space="preserve">The use of </w:t>
      </w:r>
      <w:r w:rsidR="007C754E" w:rsidRPr="00332C8B">
        <w:rPr>
          <w:rFonts w:asciiTheme="minorHAnsi" w:hAnsiTheme="minorHAnsi" w:cstheme="minorHAnsi"/>
          <w:b/>
          <w:bCs/>
          <w:color w:val="000000" w:themeColor="text1"/>
          <w:sz w:val="22"/>
          <w:szCs w:val="22"/>
        </w:rPr>
        <w:t>bioelectrical impedance analysis</w:t>
      </w:r>
      <w:r w:rsidRPr="00332C8B">
        <w:rPr>
          <w:rFonts w:asciiTheme="minorHAnsi" w:hAnsiTheme="minorHAnsi" w:cstheme="minorHAnsi"/>
          <w:b/>
          <w:bCs/>
          <w:color w:val="000000" w:themeColor="text1"/>
          <w:sz w:val="22"/>
          <w:szCs w:val="22"/>
        </w:rPr>
        <w:t xml:space="preserve"> to predict post-operative complications in adult patients having surgery for cancer: A systematic review</w:t>
      </w:r>
    </w:p>
    <w:p w14:paraId="4F4451DD" w14:textId="77777777" w:rsidR="00664802" w:rsidRPr="00332C8B" w:rsidRDefault="00664802" w:rsidP="00F0414E">
      <w:pPr>
        <w:spacing w:line="480" w:lineRule="auto"/>
        <w:jc w:val="center"/>
        <w:rPr>
          <w:rFonts w:asciiTheme="minorHAnsi" w:hAnsiTheme="minorHAnsi" w:cstheme="minorHAnsi"/>
          <w:b/>
          <w:bCs/>
          <w:color w:val="000000" w:themeColor="text1"/>
          <w:sz w:val="22"/>
          <w:szCs w:val="22"/>
        </w:rPr>
      </w:pPr>
    </w:p>
    <w:p w14:paraId="0B056F3E" w14:textId="6E775E2F" w:rsidR="00664802" w:rsidRPr="00332C8B" w:rsidRDefault="00664802" w:rsidP="00F0414E">
      <w:pPr>
        <w:spacing w:line="480" w:lineRule="auto"/>
        <w:jc w:val="center"/>
        <w:rPr>
          <w:rFonts w:asciiTheme="minorHAnsi" w:hAnsiTheme="minorHAnsi" w:cstheme="minorHAnsi"/>
          <w:color w:val="000000" w:themeColor="text1"/>
          <w:sz w:val="22"/>
          <w:szCs w:val="22"/>
          <w:vertAlign w:val="superscript"/>
        </w:rPr>
      </w:pPr>
      <w:r w:rsidRPr="00332C8B">
        <w:rPr>
          <w:rFonts w:asciiTheme="minorHAnsi" w:hAnsiTheme="minorHAnsi" w:cstheme="minorHAnsi"/>
          <w:color w:val="000000" w:themeColor="text1"/>
          <w:sz w:val="22"/>
          <w:szCs w:val="22"/>
        </w:rPr>
        <w:t xml:space="preserve">Matthews L </w:t>
      </w:r>
      <w:r w:rsidRPr="00332C8B">
        <w:rPr>
          <w:rFonts w:asciiTheme="minorHAnsi" w:hAnsiTheme="minorHAnsi" w:cstheme="minorHAnsi"/>
          <w:color w:val="000000" w:themeColor="text1"/>
          <w:sz w:val="22"/>
          <w:szCs w:val="22"/>
          <w:vertAlign w:val="superscript"/>
        </w:rPr>
        <w:t>1</w:t>
      </w:r>
      <w:r w:rsidRPr="00332C8B">
        <w:rPr>
          <w:rFonts w:asciiTheme="minorHAnsi" w:hAnsiTheme="minorHAnsi" w:cstheme="minorHAnsi"/>
          <w:color w:val="000000" w:themeColor="text1"/>
          <w:sz w:val="22"/>
          <w:szCs w:val="22"/>
        </w:rPr>
        <w:t xml:space="preserve">, Bates A </w:t>
      </w:r>
      <w:r w:rsidRPr="00332C8B">
        <w:rPr>
          <w:rFonts w:asciiTheme="minorHAnsi" w:hAnsiTheme="minorHAnsi" w:cstheme="minorHAnsi"/>
          <w:color w:val="000000" w:themeColor="text1"/>
          <w:sz w:val="22"/>
          <w:szCs w:val="22"/>
          <w:vertAlign w:val="superscript"/>
        </w:rPr>
        <w:t>2</w:t>
      </w:r>
      <w:r w:rsidRPr="00332C8B">
        <w:rPr>
          <w:rFonts w:asciiTheme="minorHAnsi" w:hAnsiTheme="minorHAnsi" w:cstheme="minorHAnsi"/>
          <w:color w:val="000000" w:themeColor="text1"/>
          <w:sz w:val="22"/>
          <w:szCs w:val="22"/>
        </w:rPr>
        <w:t>, Wootton S</w:t>
      </w:r>
      <w:r w:rsidR="009E123B" w:rsidRPr="00332C8B">
        <w:rPr>
          <w:rFonts w:asciiTheme="minorHAnsi" w:hAnsiTheme="minorHAnsi" w:cstheme="minorHAnsi"/>
          <w:color w:val="000000" w:themeColor="text1"/>
          <w:sz w:val="22"/>
          <w:szCs w:val="22"/>
        </w:rPr>
        <w:t>A</w:t>
      </w:r>
      <w:r w:rsidRPr="00332C8B">
        <w:rPr>
          <w:rFonts w:asciiTheme="minorHAnsi" w:hAnsiTheme="minorHAnsi" w:cstheme="minorHAnsi"/>
          <w:color w:val="000000" w:themeColor="text1"/>
          <w:sz w:val="22"/>
          <w:szCs w:val="22"/>
        </w:rPr>
        <w:t xml:space="preserve"> </w:t>
      </w:r>
      <w:r w:rsidR="00583D60" w:rsidRPr="00332C8B">
        <w:rPr>
          <w:rFonts w:asciiTheme="minorHAnsi" w:hAnsiTheme="minorHAnsi" w:cstheme="minorHAnsi"/>
          <w:color w:val="000000" w:themeColor="text1"/>
          <w:sz w:val="22"/>
          <w:szCs w:val="22"/>
          <w:vertAlign w:val="superscript"/>
        </w:rPr>
        <w:t>3,4</w:t>
      </w:r>
      <w:r w:rsidRPr="00332C8B">
        <w:rPr>
          <w:rFonts w:asciiTheme="minorHAnsi" w:hAnsiTheme="minorHAnsi" w:cstheme="minorHAnsi"/>
          <w:color w:val="000000" w:themeColor="text1"/>
          <w:sz w:val="22"/>
          <w:szCs w:val="22"/>
        </w:rPr>
        <w:t xml:space="preserve">, Levett D </w:t>
      </w:r>
      <w:r w:rsidRPr="00332C8B">
        <w:rPr>
          <w:rFonts w:asciiTheme="minorHAnsi" w:hAnsiTheme="minorHAnsi" w:cstheme="minorHAnsi"/>
          <w:color w:val="000000" w:themeColor="text1"/>
          <w:sz w:val="22"/>
          <w:szCs w:val="22"/>
          <w:vertAlign w:val="superscript"/>
        </w:rPr>
        <w:t>1</w:t>
      </w:r>
      <w:r w:rsidR="0099716D" w:rsidRPr="00332C8B">
        <w:rPr>
          <w:rFonts w:asciiTheme="minorHAnsi" w:hAnsiTheme="minorHAnsi" w:cstheme="minorHAnsi"/>
          <w:color w:val="000000" w:themeColor="text1"/>
          <w:sz w:val="22"/>
          <w:szCs w:val="22"/>
          <w:vertAlign w:val="superscript"/>
        </w:rPr>
        <w:t>,3</w:t>
      </w:r>
    </w:p>
    <w:p w14:paraId="6A895CD6" w14:textId="77777777" w:rsidR="00664802" w:rsidRPr="00332C8B" w:rsidRDefault="00664802" w:rsidP="00F0414E">
      <w:pPr>
        <w:spacing w:line="480" w:lineRule="auto"/>
        <w:rPr>
          <w:rFonts w:asciiTheme="minorHAnsi" w:hAnsiTheme="minorHAnsi" w:cstheme="minorHAnsi"/>
          <w:color w:val="000000" w:themeColor="text1"/>
          <w:sz w:val="22"/>
          <w:szCs w:val="22"/>
        </w:rPr>
      </w:pPr>
    </w:p>
    <w:p w14:paraId="32BB6A3D" w14:textId="437C95A3" w:rsidR="00664802" w:rsidRPr="00332C8B" w:rsidRDefault="00664802" w:rsidP="00F0414E">
      <w:pPr>
        <w:spacing w:line="480" w:lineRule="auto"/>
        <w:jc w:val="center"/>
        <w:rPr>
          <w:rFonts w:asciiTheme="minorHAnsi" w:hAnsiTheme="minorHAnsi" w:cstheme="minorHAnsi"/>
          <w:color w:val="000000" w:themeColor="text1"/>
          <w:sz w:val="22"/>
          <w:szCs w:val="22"/>
        </w:rPr>
      </w:pPr>
      <w:r w:rsidRPr="00332C8B">
        <w:rPr>
          <w:rFonts w:asciiTheme="minorHAnsi" w:hAnsiTheme="minorHAnsi" w:cstheme="minorHAnsi"/>
          <w:color w:val="000000" w:themeColor="text1"/>
          <w:sz w:val="22"/>
          <w:szCs w:val="22"/>
          <w:vertAlign w:val="superscript"/>
        </w:rPr>
        <w:t>1</w:t>
      </w:r>
      <w:r w:rsidRPr="00332C8B">
        <w:rPr>
          <w:rFonts w:asciiTheme="minorHAnsi" w:hAnsiTheme="minorHAnsi" w:cstheme="minorHAnsi"/>
          <w:color w:val="000000" w:themeColor="text1"/>
          <w:sz w:val="22"/>
          <w:szCs w:val="22"/>
        </w:rPr>
        <w:t xml:space="preserve"> University of Southampton Perioperative Medicine Research Unit</w:t>
      </w:r>
      <w:r w:rsidR="007C7C4C" w:rsidRPr="00332C8B">
        <w:rPr>
          <w:rFonts w:asciiTheme="minorHAnsi" w:hAnsiTheme="minorHAnsi" w:cstheme="minorHAnsi"/>
          <w:color w:val="000000" w:themeColor="text1"/>
          <w:sz w:val="22"/>
          <w:szCs w:val="22"/>
        </w:rPr>
        <w:t xml:space="preserve">, </w:t>
      </w:r>
      <w:r w:rsidR="00A31EAE" w:rsidRPr="00332C8B">
        <w:rPr>
          <w:rFonts w:asciiTheme="minorHAnsi" w:hAnsiTheme="minorHAnsi" w:cstheme="minorHAnsi"/>
          <w:color w:val="000000" w:themeColor="text1"/>
          <w:sz w:val="22"/>
          <w:szCs w:val="22"/>
        </w:rPr>
        <w:t xml:space="preserve">University Hospital NHS Foundation Trust, </w:t>
      </w:r>
      <w:r w:rsidR="007C7C4C" w:rsidRPr="00332C8B">
        <w:rPr>
          <w:rFonts w:asciiTheme="minorHAnsi" w:hAnsiTheme="minorHAnsi" w:cstheme="minorHAnsi"/>
          <w:color w:val="000000" w:themeColor="text1"/>
          <w:sz w:val="22"/>
          <w:szCs w:val="22"/>
        </w:rPr>
        <w:t>Southampton, UK</w:t>
      </w:r>
      <w:r w:rsidRPr="00332C8B">
        <w:rPr>
          <w:rFonts w:asciiTheme="minorHAnsi" w:hAnsiTheme="minorHAnsi" w:cstheme="minorHAnsi"/>
          <w:color w:val="000000" w:themeColor="text1"/>
          <w:sz w:val="22"/>
          <w:szCs w:val="22"/>
        </w:rPr>
        <w:t xml:space="preserve">  </w:t>
      </w:r>
    </w:p>
    <w:p w14:paraId="5AE78099" w14:textId="5A8B66A8" w:rsidR="0099716D" w:rsidRPr="00332C8B" w:rsidRDefault="00664802" w:rsidP="00F0414E">
      <w:pPr>
        <w:spacing w:line="480" w:lineRule="auto"/>
        <w:jc w:val="center"/>
        <w:rPr>
          <w:rFonts w:asciiTheme="minorHAnsi" w:hAnsiTheme="minorHAnsi" w:cstheme="minorHAnsi"/>
          <w:color w:val="000000" w:themeColor="text1"/>
          <w:sz w:val="22"/>
          <w:szCs w:val="22"/>
        </w:rPr>
      </w:pPr>
      <w:r w:rsidRPr="00332C8B">
        <w:rPr>
          <w:rFonts w:asciiTheme="minorHAnsi" w:hAnsiTheme="minorHAnsi" w:cstheme="minorHAnsi"/>
          <w:color w:val="000000" w:themeColor="text1"/>
          <w:sz w:val="22"/>
          <w:szCs w:val="22"/>
          <w:vertAlign w:val="superscript"/>
        </w:rPr>
        <w:t>2</w:t>
      </w:r>
      <w:r w:rsidRPr="00332C8B">
        <w:rPr>
          <w:rFonts w:asciiTheme="minorHAnsi" w:hAnsiTheme="minorHAnsi" w:cstheme="minorHAnsi"/>
          <w:color w:val="000000" w:themeColor="text1"/>
          <w:sz w:val="22"/>
          <w:szCs w:val="22"/>
        </w:rPr>
        <w:t xml:space="preserve"> </w:t>
      </w:r>
      <w:r w:rsidR="00583D60" w:rsidRPr="00332C8B">
        <w:rPr>
          <w:rFonts w:asciiTheme="minorHAnsi" w:hAnsiTheme="minorHAnsi" w:cstheme="minorHAnsi"/>
          <w:color w:val="000000" w:themeColor="text1"/>
          <w:sz w:val="22"/>
          <w:szCs w:val="22"/>
        </w:rPr>
        <w:t xml:space="preserve">NIHR Biomedical Research Centre, </w:t>
      </w:r>
      <w:r w:rsidR="007C7C4C" w:rsidRPr="00332C8B">
        <w:rPr>
          <w:rFonts w:asciiTheme="minorHAnsi" w:hAnsiTheme="minorHAnsi" w:cstheme="minorHAnsi"/>
          <w:color w:val="000000" w:themeColor="text1"/>
          <w:sz w:val="22"/>
          <w:szCs w:val="22"/>
        </w:rPr>
        <w:t>University Hospital NHS Foundation Trust, Southampton, UK</w:t>
      </w:r>
    </w:p>
    <w:p w14:paraId="7E3D50A2" w14:textId="56DD3916" w:rsidR="0099716D" w:rsidRPr="00332C8B" w:rsidRDefault="00583D60" w:rsidP="00F0414E">
      <w:pPr>
        <w:spacing w:line="480" w:lineRule="auto"/>
        <w:jc w:val="center"/>
        <w:rPr>
          <w:rFonts w:asciiTheme="minorHAnsi" w:hAnsiTheme="minorHAnsi" w:cstheme="minorHAnsi"/>
          <w:color w:val="000000" w:themeColor="text1"/>
          <w:sz w:val="22"/>
          <w:szCs w:val="22"/>
        </w:rPr>
      </w:pPr>
      <w:r w:rsidRPr="00332C8B">
        <w:rPr>
          <w:rFonts w:asciiTheme="minorHAnsi" w:hAnsiTheme="minorHAnsi" w:cstheme="minorHAnsi"/>
          <w:color w:val="000000" w:themeColor="text1"/>
          <w:sz w:val="22"/>
          <w:szCs w:val="22"/>
          <w:vertAlign w:val="superscript"/>
        </w:rPr>
        <w:t>3</w:t>
      </w:r>
      <w:r w:rsidRPr="00332C8B">
        <w:rPr>
          <w:rFonts w:asciiTheme="minorHAnsi" w:hAnsiTheme="minorHAnsi" w:cstheme="minorHAnsi"/>
          <w:color w:val="000000" w:themeColor="text1"/>
          <w:sz w:val="22"/>
          <w:szCs w:val="22"/>
        </w:rPr>
        <w:t xml:space="preserve"> University of Southampton, </w:t>
      </w:r>
      <w:r w:rsidR="007C7C4C" w:rsidRPr="00332C8B">
        <w:rPr>
          <w:rFonts w:asciiTheme="minorHAnsi" w:hAnsiTheme="minorHAnsi" w:cstheme="minorHAnsi"/>
          <w:color w:val="000000" w:themeColor="text1"/>
          <w:sz w:val="22"/>
          <w:szCs w:val="22"/>
        </w:rPr>
        <w:t>Southampton, UK</w:t>
      </w:r>
    </w:p>
    <w:p w14:paraId="2BBC430F" w14:textId="2B33B4E3" w:rsidR="007C7C4C" w:rsidRPr="00332C8B" w:rsidRDefault="00583D60" w:rsidP="00F0414E">
      <w:pPr>
        <w:spacing w:line="480" w:lineRule="auto"/>
        <w:jc w:val="center"/>
        <w:rPr>
          <w:rFonts w:asciiTheme="minorHAnsi" w:hAnsiTheme="minorHAnsi" w:cstheme="minorHAnsi"/>
          <w:color w:val="000000" w:themeColor="text1"/>
          <w:sz w:val="22"/>
          <w:szCs w:val="22"/>
        </w:rPr>
      </w:pPr>
      <w:r w:rsidRPr="00332C8B">
        <w:rPr>
          <w:rFonts w:asciiTheme="minorHAnsi" w:hAnsiTheme="minorHAnsi" w:cstheme="minorHAnsi"/>
          <w:color w:val="000000" w:themeColor="text1"/>
          <w:sz w:val="22"/>
          <w:szCs w:val="22"/>
          <w:vertAlign w:val="superscript"/>
        </w:rPr>
        <w:t>4</w:t>
      </w:r>
      <w:r w:rsidR="003662F1" w:rsidRPr="00332C8B">
        <w:rPr>
          <w:rFonts w:asciiTheme="minorHAnsi" w:hAnsiTheme="minorHAnsi" w:cstheme="minorHAnsi"/>
          <w:color w:val="000000" w:themeColor="text1"/>
          <w:sz w:val="22"/>
          <w:szCs w:val="22"/>
          <w:vertAlign w:val="superscript"/>
        </w:rPr>
        <w:t xml:space="preserve"> </w:t>
      </w:r>
      <w:r w:rsidRPr="00332C8B">
        <w:rPr>
          <w:rFonts w:asciiTheme="minorHAnsi" w:hAnsiTheme="minorHAnsi" w:cstheme="minorHAnsi"/>
          <w:color w:val="000000" w:themeColor="text1"/>
          <w:sz w:val="22"/>
          <w:szCs w:val="22"/>
        </w:rPr>
        <w:t>NIHR Cancer and Nutrition Collaboration</w:t>
      </w:r>
      <w:r w:rsidR="007C7C4C" w:rsidRPr="00332C8B">
        <w:rPr>
          <w:rFonts w:asciiTheme="minorHAnsi" w:hAnsiTheme="minorHAnsi" w:cstheme="minorHAnsi"/>
          <w:color w:val="000000" w:themeColor="text1"/>
          <w:sz w:val="22"/>
          <w:szCs w:val="22"/>
        </w:rPr>
        <w:t>, National Institute for Health Research, UK</w:t>
      </w:r>
    </w:p>
    <w:p w14:paraId="76ED2993" w14:textId="25D3180A" w:rsidR="007C7C4C" w:rsidRPr="00332C8B" w:rsidRDefault="007C7C4C" w:rsidP="00F0414E">
      <w:pPr>
        <w:spacing w:line="480" w:lineRule="auto"/>
        <w:rPr>
          <w:rFonts w:asciiTheme="minorHAnsi" w:hAnsiTheme="minorHAnsi" w:cstheme="minorHAnsi"/>
          <w:color w:val="000000" w:themeColor="text1"/>
          <w:sz w:val="22"/>
          <w:szCs w:val="22"/>
        </w:rPr>
      </w:pPr>
    </w:p>
    <w:p w14:paraId="13153D4D" w14:textId="77777777" w:rsidR="00575D26" w:rsidRPr="00332C8B" w:rsidRDefault="00575D26" w:rsidP="00F0414E">
      <w:pPr>
        <w:spacing w:line="480" w:lineRule="auto"/>
        <w:jc w:val="center"/>
        <w:rPr>
          <w:rFonts w:asciiTheme="minorHAnsi" w:hAnsiTheme="minorHAnsi" w:cstheme="minorHAnsi"/>
          <w:color w:val="000000" w:themeColor="text1"/>
          <w:sz w:val="22"/>
          <w:szCs w:val="22"/>
        </w:rPr>
      </w:pPr>
    </w:p>
    <w:p w14:paraId="1E8BEC29" w14:textId="483BCEAD" w:rsidR="00837BF2" w:rsidRPr="00332C8B" w:rsidRDefault="00837BF2" w:rsidP="00F0414E">
      <w:pPr>
        <w:spacing w:line="480" w:lineRule="auto"/>
        <w:rPr>
          <w:rFonts w:asciiTheme="minorHAnsi" w:hAnsiTheme="minorHAnsi" w:cstheme="minorHAnsi"/>
          <w:color w:val="000000" w:themeColor="text1"/>
          <w:sz w:val="22"/>
          <w:szCs w:val="22"/>
        </w:rPr>
      </w:pPr>
      <w:r w:rsidRPr="00332C8B">
        <w:rPr>
          <w:rFonts w:asciiTheme="minorHAnsi" w:hAnsiTheme="minorHAnsi" w:cstheme="minorHAnsi"/>
          <w:color w:val="000000" w:themeColor="text1"/>
          <w:sz w:val="22"/>
          <w:szCs w:val="22"/>
        </w:rPr>
        <w:br w:type="page"/>
      </w:r>
    </w:p>
    <w:p w14:paraId="70377077" w14:textId="5FF8C18A" w:rsidR="00837BF2" w:rsidRPr="00332C8B" w:rsidRDefault="00837BF2" w:rsidP="00F0414E">
      <w:pPr>
        <w:spacing w:before="240" w:line="480" w:lineRule="auto"/>
        <w:jc w:val="both"/>
        <w:rPr>
          <w:rFonts w:asciiTheme="minorHAnsi" w:hAnsiTheme="minorHAnsi" w:cstheme="minorHAnsi"/>
          <w:bCs/>
          <w:color w:val="000000" w:themeColor="text1"/>
          <w:sz w:val="22"/>
          <w:szCs w:val="22"/>
        </w:rPr>
      </w:pPr>
      <w:r w:rsidRPr="00332C8B">
        <w:rPr>
          <w:rFonts w:asciiTheme="minorHAnsi" w:hAnsiTheme="minorHAnsi" w:cstheme="minorHAnsi"/>
          <w:b/>
          <w:bCs/>
          <w:color w:val="000000" w:themeColor="text1"/>
          <w:sz w:val="22"/>
          <w:szCs w:val="22"/>
        </w:rPr>
        <w:lastRenderedPageBreak/>
        <w:t xml:space="preserve">Corresponding author: </w:t>
      </w:r>
    </w:p>
    <w:p w14:paraId="32649B79" w14:textId="77777777" w:rsidR="00837BF2" w:rsidRPr="00332C8B" w:rsidRDefault="00837BF2" w:rsidP="00F0414E">
      <w:pPr>
        <w:spacing w:before="240" w:line="480" w:lineRule="auto"/>
        <w:jc w:val="both"/>
        <w:rPr>
          <w:rFonts w:asciiTheme="minorHAnsi" w:hAnsiTheme="minorHAnsi" w:cstheme="minorHAnsi"/>
          <w:bCs/>
          <w:color w:val="000000" w:themeColor="text1"/>
          <w:sz w:val="22"/>
          <w:szCs w:val="22"/>
        </w:rPr>
      </w:pPr>
      <w:r w:rsidRPr="00332C8B">
        <w:rPr>
          <w:rFonts w:asciiTheme="minorHAnsi" w:hAnsiTheme="minorHAnsi" w:cstheme="minorHAnsi"/>
          <w:bCs/>
          <w:color w:val="000000" w:themeColor="text1"/>
          <w:sz w:val="22"/>
          <w:szCs w:val="22"/>
        </w:rPr>
        <w:t>Dr Lewis Matthews</w:t>
      </w:r>
    </w:p>
    <w:p w14:paraId="5585A447" w14:textId="579ACC68" w:rsidR="00837BF2" w:rsidRPr="00332C8B" w:rsidRDefault="00837BF2" w:rsidP="00F0414E">
      <w:pPr>
        <w:spacing w:before="240" w:line="480" w:lineRule="auto"/>
        <w:jc w:val="both"/>
        <w:rPr>
          <w:rFonts w:asciiTheme="minorHAnsi" w:hAnsiTheme="minorHAnsi" w:cstheme="minorHAnsi"/>
          <w:b/>
          <w:bCs/>
          <w:color w:val="000000" w:themeColor="text1"/>
          <w:sz w:val="22"/>
          <w:szCs w:val="22"/>
        </w:rPr>
      </w:pPr>
      <w:r w:rsidRPr="00332C8B">
        <w:rPr>
          <w:rFonts w:asciiTheme="minorHAnsi" w:hAnsiTheme="minorHAnsi" w:cstheme="minorHAnsi"/>
          <w:b/>
          <w:bCs/>
          <w:color w:val="000000" w:themeColor="text1"/>
          <w:sz w:val="22"/>
          <w:szCs w:val="22"/>
        </w:rPr>
        <w:t>Corresponding author E-mail:</w:t>
      </w:r>
    </w:p>
    <w:p w14:paraId="0E12C66D" w14:textId="55D08913" w:rsidR="00837BF2" w:rsidRPr="00332C8B" w:rsidRDefault="00837BF2" w:rsidP="00F0414E">
      <w:pPr>
        <w:spacing w:before="240" w:line="480" w:lineRule="auto"/>
        <w:jc w:val="both"/>
        <w:rPr>
          <w:rFonts w:asciiTheme="minorHAnsi" w:hAnsiTheme="minorHAnsi" w:cstheme="minorHAnsi"/>
          <w:bCs/>
          <w:color w:val="000000" w:themeColor="text1"/>
          <w:sz w:val="22"/>
          <w:szCs w:val="22"/>
        </w:rPr>
      </w:pPr>
      <w:r w:rsidRPr="00332C8B">
        <w:rPr>
          <w:rFonts w:asciiTheme="minorHAnsi" w:hAnsiTheme="minorHAnsi" w:cstheme="minorHAnsi"/>
          <w:bCs/>
          <w:color w:val="000000" w:themeColor="text1"/>
          <w:sz w:val="22"/>
          <w:szCs w:val="22"/>
        </w:rPr>
        <w:t>Lewis.Matthews@uhs.nhs.uk</w:t>
      </w:r>
    </w:p>
    <w:p w14:paraId="2658DE52" w14:textId="77777777" w:rsidR="00837BF2" w:rsidRPr="00332C8B" w:rsidRDefault="00837BF2" w:rsidP="00F0414E">
      <w:pPr>
        <w:spacing w:before="240" w:line="480" w:lineRule="auto"/>
        <w:jc w:val="both"/>
        <w:rPr>
          <w:rFonts w:asciiTheme="minorHAnsi" w:hAnsiTheme="minorHAnsi" w:cstheme="minorHAnsi"/>
          <w:b/>
          <w:bCs/>
          <w:color w:val="000000" w:themeColor="text1"/>
          <w:sz w:val="22"/>
          <w:szCs w:val="22"/>
        </w:rPr>
      </w:pPr>
      <w:r w:rsidRPr="00332C8B">
        <w:rPr>
          <w:rFonts w:asciiTheme="minorHAnsi" w:hAnsiTheme="minorHAnsi" w:cstheme="minorHAnsi"/>
          <w:b/>
          <w:bCs/>
          <w:color w:val="000000" w:themeColor="text1"/>
          <w:sz w:val="22"/>
          <w:szCs w:val="22"/>
        </w:rPr>
        <w:t>Corresponding author postal address:</w:t>
      </w:r>
    </w:p>
    <w:p w14:paraId="727F8F75" w14:textId="77777777" w:rsidR="00837BF2" w:rsidRPr="00332C8B" w:rsidRDefault="00837BF2" w:rsidP="00F0414E">
      <w:pPr>
        <w:spacing w:line="480" w:lineRule="auto"/>
        <w:jc w:val="both"/>
        <w:rPr>
          <w:rFonts w:asciiTheme="minorHAnsi" w:hAnsiTheme="minorHAnsi" w:cstheme="minorHAnsi"/>
          <w:bCs/>
          <w:color w:val="000000" w:themeColor="text1"/>
          <w:sz w:val="22"/>
          <w:szCs w:val="22"/>
        </w:rPr>
      </w:pPr>
    </w:p>
    <w:p w14:paraId="44C37051" w14:textId="41BB5B82" w:rsidR="00837BF2" w:rsidRPr="00332C8B" w:rsidRDefault="00837BF2" w:rsidP="00F0414E">
      <w:pPr>
        <w:spacing w:line="480" w:lineRule="auto"/>
        <w:jc w:val="both"/>
        <w:rPr>
          <w:rFonts w:asciiTheme="minorHAnsi" w:hAnsiTheme="minorHAnsi" w:cstheme="minorHAnsi"/>
          <w:bCs/>
          <w:color w:val="000000" w:themeColor="text1"/>
          <w:sz w:val="22"/>
          <w:szCs w:val="22"/>
        </w:rPr>
      </w:pPr>
      <w:r w:rsidRPr="00332C8B">
        <w:rPr>
          <w:rFonts w:asciiTheme="minorHAnsi" w:hAnsiTheme="minorHAnsi" w:cstheme="minorHAnsi"/>
          <w:bCs/>
          <w:color w:val="000000" w:themeColor="text1"/>
          <w:sz w:val="22"/>
          <w:szCs w:val="22"/>
        </w:rPr>
        <w:t>Dr Lewis Matthews</w:t>
      </w:r>
      <w:r w:rsidR="007C7C4C" w:rsidRPr="00332C8B">
        <w:rPr>
          <w:rFonts w:asciiTheme="minorHAnsi" w:hAnsiTheme="minorHAnsi" w:cstheme="minorHAnsi"/>
          <w:bCs/>
          <w:color w:val="000000" w:themeColor="text1"/>
          <w:sz w:val="22"/>
          <w:szCs w:val="22"/>
        </w:rPr>
        <w:t>,</w:t>
      </w:r>
    </w:p>
    <w:p w14:paraId="44F235B9" w14:textId="2CC4497C" w:rsidR="00837BF2" w:rsidRPr="00332C8B" w:rsidRDefault="00837BF2" w:rsidP="00F0414E">
      <w:pPr>
        <w:spacing w:line="480" w:lineRule="auto"/>
        <w:jc w:val="both"/>
        <w:rPr>
          <w:rFonts w:asciiTheme="minorHAnsi" w:hAnsiTheme="minorHAnsi" w:cstheme="minorHAnsi"/>
          <w:bCs/>
          <w:color w:val="000000" w:themeColor="text1"/>
          <w:sz w:val="22"/>
          <w:szCs w:val="22"/>
        </w:rPr>
      </w:pPr>
      <w:r w:rsidRPr="00332C8B">
        <w:rPr>
          <w:rFonts w:asciiTheme="minorHAnsi" w:hAnsiTheme="minorHAnsi" w:cstheme="minorHAnsi"/>
          <w:bCs/>
          <w:color w:val="000000" w:themeColor="text1"/>
          <w:sz w:val="22"/>
          <w:szCs w:val="22"/>
        </w:rPr>
        <w:t>Perioperative Medicine Department</w:t>
      </w:r>
      <w:r w:rsidR="007C7C4C" w:rsidRPr="00332C8B">
        <w:rPr>
          <w:rFonts w:asciiTheme="minorHAnsi" w:hAnsiTheme="minorHAnsi" w:cstheme="minorHAnsi"/>
          <w:bCs/>
          <w:color w:val="000000" w:themeColor="text1"/>
          <w:sz w:val="22"/>
          <w:szCs w:val="22"/>
        </w:rPr>
        <w:t>,</w:t>
      </w:r>
    </w:p>
    <w:p w14:paraId="2F4D05F5" w14:textId="45BD31C6" w:rsidR="00837BF2" w:rsidRPr="00332C8B" w:rsidRDefault="00837BF2" w:rsidP="00F0414E">
      <w:pPr>
        <w:spacing w:line="480" w:lineRule="auto"/>
        <w:jc w:val="both"/>
        <w:rPr>
          <w:rFonts w:asciiTheme="minorHAnsi" w:hAnsiTheme="minorHAnsi" w:cstheme="minorHAnsi"/>
          <w:bCs/>
          <w:color w:val="000000" w:themeColor="text1"/>
          <w:sz w:val="22"/>
          <w:szCs w:val="22"/>
        </w:rPr>
      </w:pPr>
      <w:r w:rsidRPr="00332C8B">
        <w:rPr>
          <w:rFonts w:asciiTheme="minorHAnsi" w:hAnsiTheme="minorHAnsi" w:cstheme="minorHAnsi"/>
          <w:bCs/>
          <w:color w:val="000000" w:themeColor="text1"/>
          <w:sz w:val="22"/>
          <w:szCs w:val="22"/>
        </w:rPr>
        <w:t>Shackleton Department of Anaesthesia</w:t>
      </w:r>
      <w:r w:rsidR="007C7C4C" w:rsidRPr="00332C8B">
        <w:rPr>
          <w:rFonts w:asciiTheme="minorHAnsi" w:hAnsiTheme="minorHAnsi" w:cstheme="minorHAnsi"/>
          <w:bCs/>
          <w:color w:val="000000" w:themeColor="text1"/>
          <w:sz w:val="22"/>
          <w:szCs w:val="22"/>
        </w:rPr>
        <w:t>,</w:t>
      </w:r>
    </w:p>
    <w:p w14:paraId="3298D2FA" w14:textId="48995995" w:rsidR="00837BF2" w:rsidRPr="00332C8B" w:rsidRDefault="00837BF2" w:rsidP="00F0414E">
      <w:pPr>
        <w:spacing w:line="480" w:lineRule="auto"/>
        <w:jc w:val="both"/>
        <w:rPr>
          <w:rFonts w:asciiTheme="minorHAnsi" w:hAnsiTheme="minorHAnsi" w:cstheme="minorHAnsi"/>
          <w:bCs/>
          <w:color w:val="000000" w:themeColor="text1"/>
          <w:sz w:val="22"/>
          <w:szCs w:val="22"/>
        </w:rPr>
      </w:pPr>
      <w:r w:rsidRPr="00332C8B">
        <w:rPr>
          <w:rFonts w:asciiTheme="minorHAnsi" w:hAnsiTheme="minorHAnsi" w:cstheme="minorHAnsi"/>
          <w:bCs/>
          <w:color w:val="000000" w:themeColor="text1"/>
          <w:sz w:val="22"/>
          <w:szCs w:val="22"/>
        </w:rPr>
        <w:t>University Hospital Southampton</w:t>
      </w:r>
      <w:r w:rsidR="007C7C4C" w:rsidRPr="00332C8B">
        <w:rPr>
          <w:rFonts w:asciiTheme="minorHAnsi" w:hAnsiTheme="minorHAnsi" w:cstheme="minorHAnsi"/>
          <w:bCs/>
          <w:color w:val="000000" w:themeColor="text1"/>
          <w:sz w:val="22"/>
          <w:szCs w:val="22"/>
        </w:rPr>
        <w:t>,</w:t>
      </w:r>
    </w:p>
    <w:p w14:paraId="4A3D7D57" w14:textId="471748FA" w:rsidR="00837BF2" w:rsidRPr="00332C8B" w:rsidRDefault="00837BF2" w:rsidP="00F0414E">
      <w:pPr>
        <w:spacing w:line="480" w:lineRule="auto"/>
        <w:jc w:val="both"/>
        <w:rPr>
          <w:rFonts w:asciiTheme="minorHAnsi" w:hAnsiTheme="minorHAnsi" w:cstheme="minorHAnsi"/>
          <w:bCs/>
          <w:color w:val="000000" w:themeColor="text1"/>
          <w:sz w:val="22"/>
          <w:szCs w:val="22"/>
        </w:rPr>
      </w:pPr>
      <w:r w:rsidRPr="00332C8B">
        <w:rPr>
          <w:rFonts w:asciiTheme="minorHAnsi" w:hAnsiTheme="minorHAnsi" w:cstheme="minorHAnsi"/>
          <w:bCs/>
          <w:color w:val="000000" w:themeColor="text1"/>
          <w:sz w:val="22"/>
          <w:szCs w:val="22"/>
        </w:rPr>
        <w:t>Tremona Road</w:t>
      </w:r>
      <w:r w:rsidR="007C7C4C" w:rsidRPr="00332C8B">
        <w:rPr>
          <w:rFonts w:asciiTheme="minorHAnsi" w:hAnsiTheme="minorHAnsi" w:cstheme="minorHAnsi"/>
          <w:bCs/>
          <w:color w:val="000000" w:themeColor="text1"/>
          <w:sz w:val="22"/>
          <w:szCs w:val="22"/>
        </w:rPr>
        <w:t>,</w:t>
      </w:r>
    </w:p>
    <w:p w14:paraId="1163AE95" w14:textId="06CF96D8" w:rsidR="00837BF2" w:rsidRPr="00332C8B" w:rsidRDefault="00837BF2" w:rsidP="00F0414E">
      <w:pPr>
        <w:spacing w:line="480" w:lineRule="auto"/>
        <w:jc w:val="both"/>
        <w:rPr>
          <w:rFonts w:asciiTheme="minorHAnsi" w:hAnsiTheme="minorHAnsi" w:cstheme="minorHAnsi"/>
          <w:bCs/>
          <w:color w:val="000000" w:themeColor="text1"/>
          <w:sz w:val="22"/>
          <w:szCs w:val="22"/>
        </w:rPr>
      </w:pPr>
      <w:r w:rsidRPr="00332C8B">
        <w:rPr>
          <w:rFonts w:asciiTheme="minorHAnsi" w:hAnsiTheme="minorHAnsi" w:cstheme="minorHAnsi"/>
          <w:bCs/>
          <w:color w:val="000000" w:themeColor="text1"/>
          <w:sz w:val="22"/>
          <w:szCs w:val="22"/>
        </w:rPr>
        <w:t>Southampton</w:t>
      </w:r>
      <w:r w:rsidR="007C7C4C" w:rsidRPr="00332C8B">
        <w:rPr>
          <w:rFonts w:asciiTheme="minorHAnsi" w:hAnsiTheme="minorHAnsi" w:cstheme="minorHAnsi"/>
          <w:bCs/>
          <w:color w:val="000000" w:themeColor="text1"/>
          <w:sz w:val="22"/>
          <w:szCs w:val="22"/>
        </w:rPr>
        <w:t>,</w:t>
      </w:r>
    </w:p>
    <w:p w14:paraId="1E9D6C40" w14:textId="77777777" w:rsidR="006A240A" w:rsidRPr="00332C8B" w:rsidRDefault="00837BF2" w:rsidP="00F0414E">
      <w:pPr>
        <w:spacing w:line="480" w:lineRule="auto"/>
        <w:jc w:val="both"/>
        <w:rPr>
          <w:rFonts w:asciiTheme="minorHAnsi" w:hAnsiTheme="minorHAnsi" w:cstheme="minorHAnsi"/>
          <w:bCs/>
          <w:color w:val="000000" w:themeColor="text1"/>
          <w:sz w:val="22"/>
          <w:szCs w:val="22"/>
        </w:rPr>
      </w:pPr>
      <w:r w:rsidRPr="00332C8B">
        <w:rPr>
          <w:rFonts w:asciiTheme="minorHAnsi" w:hAnsiTheme="minorHAnsi" w:cstheme="minorHAnsi"/>
          <w:bCs/>
          <w:color w:val="000000" w:themeColor="text1"/>
          <w:sz w:val="22"/>
          <w:szCs w:val="22"/>
        </w:rPr>
        <w:t>SO16 6YD</w:t>
      </w:r>
    </w:p>
    <w:p w14:paraId="53BEFBB6" w14:textId="77777777" w:rsidR="006A240A" w:rsidRPr="00332C8B" w:rsidRDefault="006A240A" w:rsidP="00F0414E">
      <w:pPr>
        <w:spacing w:line="480" w:lineRule="auto"/>
        <w:jc w:val="both"/>
        <w:rPr>
          <w:rFonts w:asciiTheme="minorHAnsi" w:hAnsiTheme="minorHAnsi" w:cstheme="minorHAnsi"/>
          <w:bCs/>
          <w:color w:val="000000" w:themeColor="text1"/>
          <w:sz w:val="22"/>
          <w:szCs w:val="22"/>
        </w:rPr>
      </w:pPr>
    </w:p>
    <w:p w14:paraId="6EA6A019" w14:textId="77777777" w:rsidR="006A240A" w:rsidRPr="00332C8B" w:rsidRDefault="006A240A" w:rsidP="00F0414E">
      <w:pPr>
        <w:spacing w:line="480" w:lineRule="auto"/>
        <w:rPr>
          <w:rFonts w:asciiTheme="minorHAnsi" w:hAnsiTheme="minorHAnsi" w:cstheme="minorHAnsi"/>
          <w:bCs/>
          <w:color w:val="000000" w:themeColor="text1"/>
          <w:sz w:val="22"/>
          <w:szCs w:val="22"/>
        </w:rPr>
      </w:pPr>
      <w:r w:rsidRPr="00332C8B">
        <w:rPr>
          <w:rFonts w:asciiTheme="minorHAnsi" w:hAnsiTheme="minorHAnsi" w:cstheme="minorHAnsi"/>
          <w:bCs/>
          <w:color w:val="000000" w:themeColor="text1"/>
          <w:sz w:val="22"/>
          <w:szCs w:val="22"/>
        </w:rPr>
        <w:br w:type="page"/>
      </w:r>
    </w:p>
    <w:p w14:paraId="2FEE2ECF" w14:textId="77777777" w:rsidR="00C93968" w:rsidRPr="00332C8B" w:rsidRDefault="006A240A" w:rsidP="00F0414E">
      <w:pPr>
        <w:spacing w:line="480" w:lineRule="auto"/>
        <w:jc w:val="both"/>
        <w:rPr>
          <w:rFonts w:asciiTheme="minorHAnsi" w:hAnsiTheme="minorHAnsi" w:cstheme="minorHAnsi"/>
          <w:b/>
          <w:bCs/>
          <w:color w:val="000000" w:themeColor="text1"/>
          <w:sz w:val="22"/>
          <w:szCs w:val="22"/>
        </w:rPr>
      </w:pPr>
      <w:r w:rsidRPr="00332C8B">
        <w:rPr>
          <w:rFonts w:asciiTheme="minorHAnsi" w:hAnsiTheme="minorHAnsi" w:cstheme="minorHAnsi"/>
          <w:b/>
          <w:bCs/>
          <w:color w:val="000000" w:themeColor="text1"/>
          <w:sz w:val="22"/>
          <w:szCs w:val="22"/>
        </w:rPr>
        <w:lastRenderedPageBreak/>
        <w:t>Abstract</w:t>
      </w:r>
    </w:p>
    <w:p w14:paraId="6C9E7432" w14:textId="77777777" w:rsidR="00C93968" w:rsidRPr="00332C8B" w:rsidRDefault="00C93968" w:rsidP="00F0414E">
      <w:pPr>
        <w:spacing w:line="480" w:lineRule="auto"/>
        <w:jc w:val="both"/>
        <w:rPr>
          <w:rFonts w:asciiTheme="minorHAnsi" w:hAnsiTheme="minorHAnsi" w:cstheme="minorHAnsi"/>
          <w:b/>
          <w:bCs/>
          <w:color w:val="000000" w:themeColor="text1"/>
          <w:sz w:val="22"/>
          <w:szCs w:val="22"/>
        </w:rPr>
      </w:pPr>
    </w:p>
    <w:p w14:paraId="4003AD06" w14:textId="7B881CF4" w:rsidR="00C93968" w:rsidRPr="00332C8B" w:rsidRDefault="00C93968" w:rsidP="00F0414E">
      <w:pPr>
        <w:spacing w:line="480" w:lineRule="auto"/>
        <w:jc w:val="both"/>
        <w:rPr>
          <w:rFonts w:asciiTheme="minorHAnsi" w:hAnsiTheme="minorHAnsi" w:cstheme="minorHAnsi"/>
          <w:b/>
          <w:bCs/>
          <w:color w:val="000000" w:themeColor="text1"/>
          <w:sz w:val="22"/>
          <w:szCs w:val="22"/>
        </w:rPr>
      </w:pPr>
      <w:r w:rsidRPr="00332C8B">
        <w:rPr>
          <w:rFonts w:asciiTheme="minorHAnsi" w:hAnsiTheme="minorHAnsi" w:cstheme="minorHAnsi"/>
          <w:b/>
          <w:bCs/>
          <w:color w:val="000000" w:themeColor="text1"/>
          <w:sz w:val="22"/>
          <w:szCs w:val="22"/>
        </w:rPr>
        <w:t>Background</w:t>
      </w:r>
    </w:p>
    <w:p w14:paraId="2FCBC875" w14:textId="7A4797A9" w:rsidR="0096296A" w:rsidRPr="00332C8B" w:rsidRDefault="0096296A" w:rsidP="00F0414E">
      <w:pPr>
        <w:spacing w:line="480" w:lineRule="auto"/>
        <w:jc w:val="both"/>
        <w:rPr>
          <w:rFonts w:asciiTheme="minorHAnsi" w:hAnsiTheme="minorHAnsi" w:cstheme="minorHAnsi"/>
          <w:b/>
          <w:bCs/>
          <w:color w:val="000000" w:themeColor="text1"/>
          <w:sz w:val="22"/>
          <w:szCs w:val="22"/>
        </w:rPr>
      </w:pPr>
    </w:p>
    <w:p w14:paraId="2792357E" w14:textId="78B9F705" w:rsidR="0096296A" w:rsidRPr="00332C8B" w:rsidRDefault="00114596" w:rsidP="00F0414E">
      <w:pPr>
        <w:spacing w:line="480" w:lineRule="auto"/>
        <w:rPr>
          <w:rFonts w:asciiTheme="minorHAnsi" w:hAnsiTheme="minorHAnsi" w:cstheme="minorHAnsi"/>
          <w:color w:val="000000" w:themeColor="text1"/>
          <w:sz w:val="22"/>
          <w:szCs w:val="22"/>
        </w:rPr>
      </w:pPr>
      <w:r w:rsidRPr="00332C8B">
        <w:rPr>
          <w:rFonts w:asciiTheme="minorHAnsi" w:hAnsiTheme="minorHAnsi" w:cstheme="minorHAnsi"/>
          <w:color w:val="000000" w:themeColor="text1"/>
          <w:sz w:val="22"/>
          <w:szCs w:val="22"/>
        </w:rPr>
        <w:t xml:space="preserve">Patients undergoing surgery for cancer are at particular risk of post-operative complications. The </w:t>
      </w:r>
      <w:r w:rsidR="008D6B3D">
        <w:rPr>
          <w:rFonts w:asciiTheme="minorHAnsi" w:hAnsiTheme="minorHAnsi" w:cstheme="minorHAnsi"/>
          <w:color w:val="000000" w:themeColor="text1"/>
          <w:sz w:val="22"/>
          <w:szCs w:val="22"/>
        </w:rPr>
        <w:t>pre-operative period</w:t>
      </w:r>
      <w:r w:rsidRPr="00332C8B">
        <w:rPr>
          <w:rFonts w:asciiTheme="minorHAnsi" w:hAnsiTheme="minorHAnsi" w:cstheme="minorHAnsi"/>
          <w:color w:val="000000" w:themeColor="text1"/>
          <w:sz w:val="22"/>
          <w:szCs w:val="22"/>
        </w:rPr>
        <w:t xml:space="preserve"> is an opportunity to ident</w:t>
      </w:r>
      <w:r w:rsidR="008D6B3D">
        <w:rPr>
          <w:rFonts w:asciiTheme="minorHAnsi" w:hAnsiTheme="minorHAnsi" w:cstheme="minorHAnsi"/>
          <w:color w:val="000000" w:themeColor="text1"/>
          <w:sz w:val="22"/>
          <w:szCs w:val="22"/>
        </w:rPr>
        <w:t>ify and mitigate risk factors and</w:t>
      </w:r>
      <w:r w:rsidRPr="00332C8B">
        <w:rPr>
          <w:rFonts w:asciiTheme="minorHAnsi" w:hAnsiTheme="minorHAnsi" w:cstheme="minorHAnsi"/>
          <w:color w:val="000000" w:themeColor="text1"/>
          <w:sz w:val="22"/>
          <w:szCs w:val="22"/>
        </w:rPr>
        <w:t xml:space="preserve"> improve outcome. </w:t>
      </w:r>
      <w:r w:rsidR="008D6B3D">
        <w:rPr>
          <w:rFonts w:asciiTheme="minorHAnsi" w:hAnsiTheme="minorHAnsi" w:cstheme="minorHAnsi"/>
          <w:color w:val="000000" w:themeColor="text1"/>
          <w:sz w:val="22"/>
          <w:szCs w:val="22"/>
        </w:rPr>
        <w:t>Bioelectrical impedance analysis</w:t>
      </w:r>
      <w:r w:rsidR="0096296A" w:rsidRPr="00332C8B">
        <w:rPr>
          <w:rFonts w:asciiTheme="minorHAnsi" w:hAnsiTheme="minorHAnsi" w:cstheme="minorHAnsi"/>
          <w:color w:val="000000" w:themeColor="text1"/>
          <w:sz w:val="22"/>
          <w:szCs w:val="22"/>
        </w:rPr>
        <w:t xml:space="preserve"> </w:t>
      </w:r>
      <w:r w:rsidR="00EE40FB">
        <w:rPr>
          <w:rFonts w:asciiTheme="minorHAnsi" w:hAnsiTheme="minorHAnsi" w:cstheme="minorHAnsi"/>
          <w:color w:val="000000" w:themeColor="text1"/>
          <w:sz w:val="22"/>
          <w:szCs w:val="22"/>
        </w:rPr>
        <w:t xml:space="preserve">(BIA) </w:t>
      </w:r>
      <w:r w:rsidR="0096296A" w:rsidRPr="00332C8B">
        <w:rPr>
          <w:rFonts w:asciiTheme="minorHAnsi" w:hAnsiTheme="minorHAnsi" w:cstheme="minorHAnsi"/>
          <w:color w:val="000000" w:themeColor="text1"/>
          <w:sz w:val="22"/>
          <w:szCs w:val="22"/>
        </w:rPr>
        <w:t>may offer a</w:t>
      </w:r>
      <w:r w:rsidR="00887C81" w:rsidRPr="00332C8B">
        <w:rPr>
          <w:rFonts w:asciiTheme="minorHAnsi" w:hAnsiTheme="minorHAnsi" w:cstheme="minorHAnsi"/>
          <w:color w:val="000000" w:themeColor="text1"/>
          <w:sz w:val="22"/>
          <w:szCs w:val="22"/>
        </w:rPr>
        <w:t>n additional</w:t>
      </w:r>
      <w:r w:rsidR="0096296A" w:rsidRPr="00332C8B">
        <w:rPr>
          <w:rFonts w:asciiTheme="minorHAnsi" w:hAnsiTheme="minorHAnsi" w:cstheme="minorHAnsi"/>
          <w:color w:val="000000" w:themeColor="text1"/>
          <w:sz w:val="22"/>
          <w:szCs w:val="22"/>
        </w:rPr>
        <w:t xml:space="preserve"> m</w:t>
      </w:r>
      <w:r w:rsidR="00887C81" w:rsidRPr="00332C8B">
        <w:rPr>
          <w:rFonts w:asciiTheme="minorHAnsi" w:hAnsiTheme="minorHAnsi" w:cstheme="minorHAnsi"/>
          <w:color w:val="000000" w:themeColor="text1"/>
          <w:sz w:val="22"/>
          <w:szCs w:val="22"/>
        </w:rPr>
        <w:t>eans of identifying patients at risk of post-operative morbidity</w:t>
      </w:r>
      <w:r w:rsidR="0096296A" w:rsidRPr="00332C8B">
        <w:rPr>
          <w:rFonts w:asciiTheme="minorHAnsi" w:hAnsiTheme="minorHAnsi" w:cstheme="minorHAnsi"/>
          <w:color w:val="000000" w:themeColor="text1"/>
          <w:sz w:val="22"/>
          <w:szCs w:val="22"/>
        </w:rPr>
        <w:t>.</w:t>
      </w:r>
    </w:p>
    <w:p w14:paraId="312493A7" w14:textId="77777777" w:rsidR="00C93968" w:rsidRPr="00332C8B" w:rsidRDefault="00C93968" w:rsidP="00F0414E">
      <w:pPr>
        <w:spacing w:line="480" w:lineRule="auto"/>
        <w:jc w:val="both"/>
        <w:rPr>
          <w:rFonts w:asciiTheme="minorHAnsi" w:hAnsiTheme="minorHAnsi" w:cstheme="minorHAnsi"/>
          <w:b/>
          <w:bCs/>
          <w:color w:val="000000" w:themeColor="text1"/>
          <w:sz w:val="22"/>
          <w:szCs w:val="22"/>
        </w:rPr>
      </w:pPr>
    </w:p>
    <w:p w14:paraId="4CEE467C" w14:textId="053DC25C" w:rsidR="00C93968" w:rsidRPr="00332C8B" w:rsidRDefault="00C93968" w:rsidP="00F0414E">
      <w:pPr>
        <w:spacing w:line="480" w:lineRule="auto"/>
        <w:jc w:val="both"/>
        <w:rPr>
          <w:rFonts w:asciiTheme="minorHAnsi" w:hAnsiTheme="minorHAnsi" w:cstheme="minorHAnsi"/>
          <w:b/>
          <w:bCs/>
          <w:color w:val="000000" w:themeColor="text1"/>
          <w:sz w:val="22"/>
          <w:szCs w:val="22"/>
        </w:rPr>
      </w:pPr>
      <w:r w:rsidRPr="00332C8B">
        <w:rPr>
          <w:rFonts w:asciiTheme="minorHAnsi" w:hAnsiTheme="minorHAnsi" w:cstheme="minorHAnsi"/>
          <w:b/>
          <w:bCs/>
          <w:color w:val="000000" w:themeColor="text1"/>
          <w:sz w:val="22"/>
          <w:szCs w:val="22"/>
        </w:rPr>
        <w:t>Aims</w:t>
      </w:r>
    </w:p>
    <w:p w14:paraId="2D560044" w14:textId="6990E6F2" w:rsidR="0096296A" w:rsidRPr="00332C8B" w:rsidRDefault="0096296A" w:rsidP="00F0414E">
      <w:pPr>
        <w:spacing w:line="480" w:lineRule="auto"/>
        <w:jc w:val="both"/>
        <w:rPr>
          <w:rFonts w:asciiTheme="minorHAnsi" w:hAnsiTheme="minorHAnsi" w:cstheme="minorHAnsi"/>
          <w:b/>
          <w:bCs/>
          <w:color w:val="000000" w:themeColor="text1"/>
          <w:sz w:val="22"/>
          <w:szCs w:val="22"/>
        </w:rPr>
      </w:pPr>
    </w:p>
    <w:p w14:paraId="76F8D376" w14:textId="683C147C" w:rsidR="0096296A" w:rsidRPr="00332C8B" w:rsidRDefault="0096296A" w:rsidP="00F0414E">
      <w:pPr>
        <w:spacing w:line="480" w:lineRule="auto"/>
        <w:rPr>
          <w:rFonts w:asciiTheme="minorHAnsi" w:hAnsiTheme="minorHAnsi" w:cstheme="minorHAnsi"/>
          <w:color w:val="000000" w:themeColor="text1"/>
          <w:sz w:val="22"/>
          <w:szCs w:val="22"/>
          <w:shd w:val="clear" w:color="auto" w:fill="FFFFFF"/>
        </w:rPr>
      </w:pPr>
      <w:r w:rsidRPr="00332C8B">
        <w:rPr>
          <w:rFonts w:asciiTheme="minorHAnsi" w:hAnsiTheme="minorHAnsi" w:cstheme="minorHAnsi"/>
          <w:color w:val="000000" w:themeColor="text1"/>
          <w:sz w:val="22"/>
          <w:szCs w:val="22"/>
        </w:rPr>
        <w:t>The aim of this systematic review</w:t>
      </w:r>
      <w:r w:rsidR="008D6B3D">
        <w:rPr>
          <w:rFonts w:asciiTheme="minorHAnsi" w:hAnsiTheme="minorHAnsi" w:cstheme="minorHAnsi"/>
          <w:color w:val="000000" w:themeColor="text1"/>
          <w:sz w:val="22"/>
          <w:szCs w:val="22"/>
        </w:rPr>
        <w:t xml:space="preserve"> was to assess </w:t>
      </w:r>
      <w:r w:rsidRPr="00332C8B">
        <w:rPr>
          <w:rFonts w:asciiTheme="minorHAnsi" w:hAnsiTheme="minorHAnsi" w:cstheme="minorHAnsi"/>
          <w:color w:val="000000" w:themeColor="text1"/>
          <w:sz w:val="22"/>
          <w:szCs w:val="22"/>
        </w:rPr>
        <w:t>the</w:t>
      </w:r>
      <w:r w:rsidRPr="00332C8B">
        <w:rPr>
          <w:rFonts w:asciiTheme="minorHAnsi" w:hAnsiTheme="minorHAnsi" w:cstheme="minorHAnsi"/>
          <w:color w:val="000000"/>
          <w:sz w:val="22"/>
          <w:szCs w:val="22"/>
          <w:lang w:eastAsia="en-GB"/>
        </w:rPr>
        <w:t xml:space="preserve"> use of measures and estimates of body composition determined by </w:t>
      </w:r>
      <w:r w:rsidR="00EE40FB">
        <w:rPr>
          <w:rFonts w:asciiTheme="minorHAnsi" w:hAnsiTheme="minorHAnsi" w:cstheme="minorHAnsi"/>
          <w:color w:val="000000"/>
          <w:sz w:val="22"/>
          <w:szCs w:val="22"/>
          <w:lang w:eastAsia="en-GB"/>
        </w:rPr>
        <w:t>BIA</w:t>
      </w:r>
      <w:r w:rsidRPr="00332C8B">
        <w:rPr>
          <w:rFonts w:asciiTheme="minorHAnsi" w:hAnsiTheme="minorHAnsi" w:cstheme="minorHAnsi"/>
          <w:color w:val="000000" w:themeColor="text1"/>
          <w:sz w:val="22"/>
          <w:szCs w:val="22"/>
          <w:shd w:val="clear" w:color="auto" w:fill="FFFFFF"/>
        </w:rPr>
        <w:t xml:space="preserve"> as markers of peri-operative risk in adult patients undergoing elective surgery for cancer.</w:t>
      </w:r>
    </w:p>
    <w:p w14:paraId="18858008" w14:textId="77777777" w:rsidR="00C93968" w:rsidRPr="00332C8B" w:rsidRDefault="00C93968" w:rsidP="00F0414E">
      <w:pPr>
        <w:spacing w:line="480" w:lineRule="auto"/>
        <w:jc w:val="both"/>
        <w:rPr>
          <w:rFonts w:asciiTheme="minorHAnsi" w:hAnsiTheme="minorHAnsi" w:cstheme="minorHAnsi"/>
          <w:b/>
          <w:bCs/>
          <w:color w:val="000000" w:themeColor="text1"/>
          <w:sz w:val="22"/>
          <w:szCs w:val="22"/>
        </w:rPr>
      </w:pPr>
    </w:p>
    <w:p w14:paraId="280B7703" w14:textId="563512EC" w:rsidR="00C93968" w:rsidRPr="00332C8B" w:rsidRDefault="00C93968" w:rsidP="00F0414E">
      <w:pPr>
        <w:spacing w:line="480" w:lineRule="auto"/>
        <w:jc w:val="both"/>
        <w:rPr>
          <w:rFonts w:asciiTheme="minorHAnsi" w:hAnsiTheme="minorHAnsi" w:cstheme="minorHAnsi"/>
          <w:b/>
          <w:bCs/>
          <w:color w:val="000000" w:themeColor="text1"/>
          <w:sz w:val="22"/>
          <w:szCs w:val="22"/>
        </w:rPr>
      </w:pPr>
      <w:r w:rsidRPr="00332C8B">
        <w:rPr>
          <w:rFonts w:asciiTheme="minorHAnsi" w:hAnsiTheme="minorHAnsi" w:cstheme="minorHAnsi"/>
          <w:b/>
          <w:bCs/>
          <w:color w:val="000000" w:themeColor="text1"/>
          <w:sz w:val="22"/>
          <w:szCs w:val="22"/>
        </w:rPr>
        <w:t>Methods</w:t>
      </w:r>
    </w:p>
    <w:p w14:paraId="4D23B8BB" w14:textId="73853E81" w:rsidR="00887C81" w:rsidRPr="00332C8B" w:rsidRDefault="00887C81" w:rsidP="00F0414E">
      <w:pPr>
        <w:spacing w:line="480" w:lineRule="auto"/>
        <w:jc w:val="both"/>
        <w:rPr>
          <w:rFonts w:asciiTheme="minorHAnsi" w:hAnsiTheme="minorHAnsi" w:cstheme="minorHAnsi"/>
          <w:b/>
          <w:bCs/>
          <w:color w:val="000000" w:themeColor="text1"/>
          <w:sz w:val="22"/>
          <w:szCs w:val="22"/>
        </w:rPr>
      </w:pPr>
    </w:p>
    <w:p w14:paraId="78F2BBA5" w14:textId="63EABA9A" w:rsidR="00887C81" w:rsidRPr="00332C8B" w:rsidRDefault="00887C81" w:rsidP="00F0414E">
      <w:pPr>
        <w:spacing w:line="480" w:lineRule="auto"/>
        <w:rPr>
          <w:rFonts w:asciiTheme="minorHAnsi" w:hAnsiTheme="minorHAnsi" w:cstheme="minorHAnsi"/>
          <w:color w:val="000000" w:themeColor="text1"/>
          <w:sz w:val="22"/>
          <w:szCs w:val="22"/>
        </w:rPr>
      </w:pPr>
      <w:r w:rsidRPr="00332C8B">
        <w:rPr>
          <w:rFonts w:asciiTheme="minorHAnsi" w:hAnsiTheme="minorHAnsi" w:cstheme="minorHAnsi"/>
          <w:color w:val="000000" w:themeColor="text1"/>
          <w:sz w:val="22"/>
          <w:szCs w:val="22"/>
        </w:rPr>
        <w:t>This review was p</w:t>
      </w:r>
      <w:r w:rsidR="00C72909">
        <w:rPr>
          <w:rFonts w:asciiTheme="minorHAnsi" w:hAnsiTheme="minorHAnsi" w:cstheme="minorHAnsi"/>
          <w:color w:val="000000" w:themeColor="text1"/>
          <w:sz w:val="22"/>
          <w:szCs w:val="22"/>
        </w:rPr>
        <w:t xml:space="preserve">erformed in accordance with </w:t>
      </w:r>
      <w:r w:rsidR="008D6B3D">
        <w:rPr>
          <w:rFonts w:asciiTheme="minorHAnsi" w:hAnsiTheme="minorHAnsi" w:cstheme="minorHAnsi"/>
          <w:color w:val="000000" w:themeColor="text1"/>
          <w:sz w:val="22"/>
          <w:szCs w:val="22"/>
        </w:rPr>
        <w:t xml:space="preserve">the </w:t>
      </w:r>
      <w:r w:rsidRPr="00332C8B">
        <w:rPr>
          <w:rFonts w:asciiTheme="minorHAnsi" w:hAnsiTheme="minorHAnsi" w:cstheme="minorHAnsi"/>
          <w:color w:val="000000" w:themeColor="text1"/>
          <w:sz w:val="22"/>
          <w:szCs w:val="22"/>
        </w:rPr>
        <w:t xml:space="preserve">PRISMA </w:t>
      </w:r>
      <w:r w:rsidR="008D6B3D">
        <w:rPr>
          <w:rFonts w:asciiTheme="minorHAnsi" w:hAnsiTheme="minorHAnsi" w:cstheme="minorHAnsi"/>
          <w:color w:val="000000" w:themeColor="text1"/>
          <w:sz w:val="22"/>
          <w:szCs w:val="22"/>
        </w:rPr>
        <w:t>guidelines</w:t>
      </w:r>
      <w:r w:rsidRPr="00332C8B">
        <w:rPr>
          <w:rFonts w:asciiTheme="minorHAnsi" w:hAnsiTheme="minorHAnsi" w:cstheme="minorHAnsi"/>
          <w:color w:val="000000" w:themeColor="text1"/>
          <w:sz w:val="22"/>
          <w:szCs w:val="22"/>
        </w:rPr>
        <w:t>. The electr</w:t>
      </w:r>
      <w:r w:rsidR="00BF2549" w:rsidRPr="00332C8B">
        <w:rPr>
          <w:rFonts w:asciiTheme="minorHAnsi" w:hAnsiTheme="minorHAnsi" w:cstheme="minorHAnsi"/>
          <w:color w:val="000000" w:themeColor="text1"/>
          <w:sz w:val="22"/>
          <w:szCs w:val="22"/>
        </w:rPr>
        <w:t>onic databases of MEDLINE, EMBASE, CINAHL, CENTRAL</w:t>
      </w:r>
      <w:r w:rsidRPr="00332C8B">
        <w:rPr>
          <w:rFonts w:asciiTheme="minorHAnsi" w:hAnsiTheme="minorHAnsi" w:cstheme="minorHAnsi"/>
          <w:color w:val="000000" w:themeColor="text1"/>
          <w:sz w:val="22"/>
          <w:szCs w:val="22"/>
        </w:rPr>
        <w:t xml:space="preserve"> and the Web of Science we</w:t>
      </w:r>
      <w:r w:rsidR="00C72909">
        <w:rPr>
          <w:rFonts w:asciiTheme="minorHAnsi" w:hAnsiTheme="minorHAnsi" w:cstheme="minorHAnsi"/>
          <w:color w:val="000000" w:themeColor="text1"/>
          <w:sz w:val="22"/>
          <w:szCs w:val="22"/>
        </w:rPr>
        <w:t>re searched from inception</w:t>
      </w:r>
      <w:r w:rsidRPr="00332C8B">
        <w:rPr>
          <w:rFonts w:asciiTheme="minorHAnsi" w:hAnsiTheme="minorHAnsi" w:cstheme="minorHAnsi"/>
          <w:color w:val="000000" w:themeColor="text1"/>
          <w:sz w:val="22"/>
          <w:szCs w:val="22"/>
        </w:rPr>
        <w:t>.  Studies of adult</w:t>
      </w:r>
      <w:r w:rsidR="00BF2549" w:rsidRPr="00332C8B">
        <w:rPr>
          <w:rFonts w:asciiTheme="minorHAnsi" w:hAnsiTheme="minorHAnsi" w:cstheme="minorHAnsi"/>
          <w:color w:val="000000" w:themeColor="text1"/>
          <w:sz w:val="22"/>
          <w:szCs w:val="22"/>
        </w:rPr>
        <w:t xml:space="preserve"> participants</w:t>
      </w:r>
      <w:r w:rsidRPr="00332C8B">
        <w:rPr>
          <w:rFonts w:asciiTheme="minorHAnsi" w:hAnsiTheme="minorHAnsi" w:cstheme="minorHAnsi"/>
          <w:color w:val="000000" w:themeColor="text1"/>
          <w:sz w:val="22"/>
          <w:szCs w:val="22"/>
        </w:rPr>
        <w:t xml:space="preserve"> having elective surgery for cancer </w:t>
      </w:r>
      <w:r w:rsidR="00BF2549" w:rsidRPr="00332C8B">
        <w:rPr>
          <w:rFonts w:asciiTheme="minorHAnsi" w:hAnsiTheme="minorHAnsi" w:cstheme="minorHAnsi"/>
          <w:color w:val="000000" w:themeColor="text1"/>
          <w:sz w:val="22"/>
          <w:szCs w:val="22"/>
        </w:rPr>
        <w:t xml:space="preserve">were included if participants </w:t>
      </w:r>
      <w:r w:rsidRPr="00332C8B">
        <w:rPr>
          <w:rFonts w:asciiTheme="minorHAnsi" w:hAnsiTheme="minorHAnsi" w:cstheme="minorHAnsi"/>
          <w:color w:val="000000" w:themeColor="text1"/>
          <w:sz w:val="22"/>
          <w:szCs w:val="22"/>
        </w:rPr>
        <w:t xml:space="preserve">underwent </w:t>
      </w:r>
      <w:r w:rsidR="00EE40FB">
        <w:rPr>
          <w:rFonts w:asciiTheme="minorHAnsi" w:hAnsiTheme="minorHAnsi" w:cstheme="minorHAnsi"/>
          <w:color w:val="000000" w:themeColor="text1"/>
          <w:sz w:val="22"/>
          <w:szCs w:val="22"/>
        </w:rPr>
        <w:t>BIA</w:t>
      </w:r>
      <w:r w:rsidRPr="00332C8B">
        <w:rPr>
          <w:rFonts w:asciiTheme="minorHAnsi" w:hAnsiTheme="minorHAnsi" w:cstheme="minorHAnsi"/>
          <w:color w:val="000000" w:themeColor="text1"/>
          <w:sz w:val="22"/>
          <w:szCs w:val="22"/>
        </w:rPr>
        <w:t xml:space="preserve"> in the peri-operative period </w:t>
      </w:r>
      <w:r w:rsidR="00BF2549" w:rsidRPr="00332C8B">
        <w:rPr>
          <w:rFonts w:asciiTheme="minorHAnsi" w:hAnsiTheme="minorHAnsi" w:cstheme="minorHAnsi"/>
          <w:color w:val="000000" w:themeColor="text1"/>
          <w:sz w:val="22"/>
          <w:szCs w:val="22"/>
        </w:rPr>
        <w:t>and were assessed for post-operative complications.</w:t>
      </w:r>
    </w:p>
    <w:p w14:paraId="4C2AB8E6" w14:textId="4538E8AE" w:rsidR="00C93968" w:rsidRPr="00332C8B" w:rsidRDefault="00C93968" w:rsidP="00F0414E">
      <w:pPr>
        <w:spacing w:line="480" w:lineRule="auto"/>
        <w:jc w:val="both"/>
        <w:rPr>
          <w:rFonts w:asciiTheme="minorHAnsi" w:hAnsiTheme="minorHAnsi" w:cstheme="minorHAnsi"/>
          <w:b/>
          <w:bCs/>
          <w:color w:val="000000" w:themeColor="text1"/>
          <w:sz w:val="22"/>
          <w:szCs w:val="22"/>
        </w:rPr>
      </w:pPr>
    </w:p>
    <w:p w14:paraId="6AFB6FAE" w14:textId="40CF7951" w:rsidR="00C93968" w:rsidRPr="00332C8B" w:rsidRDefault="00C93968" w:rsidP="00F0414E">
      <w:pPr>
        <w:spacing w:line="480" w:lineRule="auto"/>
        <w:jc w:val="both"/>
        <w:rPr>
          <w:rFonts w:asciiTheme="minorHAnsi" w:hAnsiTheme="minorHAnsi" w:cstheme="minorHAnsi"/>
          <w:b/>
          <w:bCs/>
          <w:color w:val="000000" w:themeColor="text1"/>
          <w:sz w:val="22"/>
          <w:szCs w:val="22"/>
        </w:rPr>
      </w:pPr>
      <w:r w:rsidRPr="00332C8B">
        <w:rPr>
          <w:rFonts w:asciiTheme="minorHAnsi" w:hAnsiTheme="minorHAnsi" w:cstheme="minorHAnsi"/>
          <w:b/>
          <w:bCs/>
          <w:color w:val="000000" w:themeColor="text1"/>
          <w:sz w:val="22"/>
          <w:szCs w:val="22"/>
        </w:rPr>
        <w:t>Results</w:t>
      </w:r>
    </w:p>
    <w:p w14:paraId="726DFDBA" w14:textId="4E1B7405" w:rsidR="00B40012" w:rsidRPr="00332C8B" w:rsidRDefault="00B40012" w:rsidP="00F0414E">
      <w:pPr>
        <w:spacing w:line="480" w:lineRule="auto"/>
        <w:jc w:val="both"/>
        <w:rPr>
          <w:rFonts w:asciiTheme="minorHAnsi" w:hAnsiTheme="minorHAnsi" w:cstheme="minorHAnsi"/>
          <w:b/>
          <w:bCs/>
          <w:color w:val="000000" w:themeColor="text1"/>
          <w:sz w:val="22"/>
          <w:szCs w:val="22"/>
        </w:rPr>
      </w:pPr>
    </w:p>
    <w:p w14:paraId="3D74EF43" w14:textId="3F0592D1" w:rsidR="00C93968" w:rsidRPr="00C71543" w:rsidRDefault="00B40012" w:rsidP="00F0414E">
      <w:pPr>
        <w:spacing w:after="160" w:line="480" w:lineRule="auto"/>
        <w:rPr>
          <w:rFonts w:asciiTheme="minorHAnsi" w:eastAsia="Calibri" w:hAnsiTheme="minorHAnsi" w:cstheme="minorHAnsi"/>
          <w:color w:val="000000" w:themeColor="text1"/>
          <w:sz w:val="22"/>
          <w:szCs w:val="22"/>
        </w:rPr>
      </w:pPr>
      <w:r w:rsidRPr="00332C8B">
        <w:rPr>
          <w:rFonts w:asciiTheme="minorHAnsi" w:eastAsia="Calibri" w:hAnsiTheme="minorHAnsi" w:cstheme="minorHAnsi"/>
          <w:color w:val="000000" w:themeColor="text1"/>
          <w:sz w:val="22"/>
          <w:szCs w:val="22"/>
        </w:rPr>
        <w:t>2578 studies were ident</w:t>
      </w:r>
      <w:r w:rsidR="00C71543">
        <w:rPr>
          <w:rFonts w:asciiTheme="minorHAnsi" w:eastAsia="Calibri" w:hAnsiTheme="minorHAnsi" w:cstheme="minorHAnsi"/>
          <w:color w:val="000000" w:themeColor="text1"/>
          <w:sz w:val="22"/>
          <w:szCs w:val="22"/>
        </w:rPr>
        <w:t xml:space="preserve">ified, of which 12 </w:t>
      </w:r>
      <w:r w:rsidRPr="00332C8B">
        <w:rPr>
          <w:rFonts w:asciiTheme="minorHAnsi" w:eastAsia="Calibri" w:hAnsiTheme="minorHAnsi" w:cstheme="minorHAnsi"/>
          <w:color w:val="000000" w:themeColor="text1"/>
          <w:sz w:val="22"/>
          <w:szCs w:val="22"/>
        </w:rPr>
        <w:t>were eligible for inclusion. In total the studies report data from 1508 subjects. Five studies examined phase angle or standardi</w:t>
      </w:r>
      <w:r w:rsidR="004150ED">
        <w:rPr>
          <w:rFonts w:asciiTheme="minorHAnsi" w:eastAsia="Calibri" w:hAnsiTheme="minorHAnsi" w:cstheme="minorHAnsi"/>
          <w:color w:val="000000" w:themeColor="text1"/>
          <w:sz w:val="22"/>
          <w:szCs w:val="22"/>
        </w:rPr>
        <w:t>z</w:t>
      </w:r>
      <w:r w:rsidRPr="00332C8B">
        <w:rPr>
          <w:rFonts w:asciiTheme="minorHAnsi" w:eastAsia="Calibri" w:hAnsiTheme="minorHAnsi" w:cstheme="minorHAnsi"/>
          <w:color w:val="000000" w:themeColor="text1"/>
          <w:sz w:val="22"/>
          <w:szCs w:val="22"/>
        </w:rPr>
        <w:t>ed phase angle, six examined derived measures and one examined both. Eight of the 12 demonstrated an association between phase angle and/or body composition and an increased risk o</w:t>
      </w:r>
      <w:r w:rsidR="00C72909">
        <w:rPr>
          <w:rFonts w:asciiTheme="minorHAnsi" w:eastAsia="Calibri" w:hAnsiTheme="minorHAnsi" w:cstheme="minorHAnsi"/>
          <w:color w:val="000000" w:themeColor="text1"/>
          <w:sz w:val="22"/>
          <w:szCs w:val="22"/>
        </w:rPr>
        <w:t>f post-operative complications.</w:t>
      </w:r>
    </w:p>
    <w:p w14:paraId="74BA08C5" w14:textId="7A07D771" w:rsidR="00C93968" w:rsidRPr="00332C8B" w:rsidRDefault="00C93968" w:rsidP="00F0414E">
      <w:pPr>
        <w:spacing w:line="480" w:lineRule="auto"/>
        <w:jc w:val="both"/>
        <w:rPr>
          <w:rFonts w:asciiTheme="minorHAnsi" w:hAnsiTheme="minorHAnsi" w:cstheme="minorHAnsi"/>
          <w:b/>
          <w:bCs/>
          <w:color w:val="000000" w:themeColor="text1"/>
          <w:sz w:val="22"/>
          <w:szCs w:val="22"/>
        </w:rPr>
      </w:pPr>
      <w:r w:rsidRPr="00332C8B">
        <w:rPr>
          <w:rFonts w:asciiTheme="minorHAnsi" w:hAnsiTheme="minorHAnsi" w:cstheme="minorHAnsi"/>
          <w:b/>
          <w:bCs/>
          <w:color w:val="000000" w:themeColor="text1"/>
          <w:sz w:val="22"/>
          <w:szCs w:val="22"/>
        </w:rPr>
        <w:t>Conclusions</w:t>
      </w:r>
    </w:p>
    <w:p w14:paraId="19E107C8" w14:textId="797FCF46" w:rsidR="00C93968" w:rsidRPr="00332C8B" w:rsidRDefault="00C93968" w:rsidP="00F0414E">
      <w:pPr>
        <w:spacing w:line="480" w:lineRule="auto"/>
        <w:jc w:val="both"/>
        <w:rPr>
          <w:rFonts w:asciiTheme="minorHAnsi" w:hAnsiTheme="minorHAnsi" w:cstheme="minorHAnsi"/>
          <w:b/>
          <w:bCs/>
          <w:color w:val="000000" w:themeColor="text1"/>
          <w:sz w:val="22"/>
          <w:szCs w:val="22"/>
        </w:rPr>
      </w:pPr>
    </w:p>
    <w:p w14:paraId="373FB4D4" w14:textId="53DE32D7" w:rsidR="00C93968" w:rsidRPr="00332C8B" w:rsidRDefault="00C72909" w:rsidP="00F0414E">
      <w:pPr>
        <w:spacing w:line="480" w:lineRule="auto"/>
        <w:rPr>
          <w:rFonts w:ascii="Calibri" w:hAnsi="Calibri" w:cs="Calibri"/>
          <w:color w:val="000000"/>
          <w:sz w:val="22"/>
          <w:szCs w:val="22"/>
        </w:rPr>
      </w:pPr>
      <w:r>
        <w:rPr>
          <w:rFonts w:asciiTheme="minorHAnsi" w:hAnsiTheme="minorHAnsi" w:cstheme="minorHAnsi"/>
          <w:color w:val="000000"/>
          <w:sz w:val="22"/>
          <w:szCs w:val="22"/>
          <w:lang w:eastAsia="en-GB"/>
        </w:rPr>
        <w:t>B</w:t>
      </w:r>
      <w:r w:rsidR="005F1B62" w:rsidRPr="00332C8B">
        <w:rPr>
          <w:rFonts w:asciiTheme="minorHAnsi" w:hAnsiTheme="minorHAnsi" w:cstheme="minorHAnsi"/>
          <w:color w:val="000000"/>
          <w:sz w:val="22"/>
          <w:szCs w:val="22"/>
          <w:lang w:eastAsia="en-GB"/>
        </w:rPr>
        <w:t>ioelectrical impedance analysis in the peri-operative period may be useful in predicting the risk of complications following e</w:t>
      </w:r>
      <w:r w:rsidR="008D6B3D">
        <w:rPr>
          <w:rFonts w:asciiTheme="minorHAnsi" w:hAnsiTheme="minorHAnsi" w:cstheme="minorHAnsi"/>
          <w:color w:val="000000"/>
          <w:sz w:val="22"/>
          <w:szCs w:val="22"/>
          <w:lang w:eastAsia="en-GB"/>
        </w:rPr>
        <w:t>lective cancer surgery</w:t>
      </w:r>
      <w:r w:rsidR="005F1B62" w:rsidRPr="00332C8B">
        <w:rPr>
          <w:rFonts w:asciiTheme="minorHAnsi" w:hAnsiTheme="minorHAnsi" w:cstheme="minorHAnsi"/>
          <w:color w:val="000000"/>
          <w:sz w:val="22"/>
          <w:szCs w:val="22"/>
          <w:lang w:eastAsia="en-GB"/>
        </w:rPr>
        <w:t>. P</w:t>
      </w:r>
      <w:r w:rsidR="00B40012" w:rsidRPr="00332C8B">
        <w:rPr>
          <w:rFonts w:ascii="Calibri" w:hAnsi="Calibri" w:cs="Calibri"/>
          <w:color w:val="000000"/>
          <w:sz w:val="22"/>
          <w:szCs w:val="22"/>
        </w:rPr>
        <w:t>hase angl</w:t>
      </w:r>
      <w:r w:rsidR="005F1B62" w:rsidRPr="00332C8B">
        <w:rPr>
          <w:rFonts w:ascii="Calibri" w:hAnsi="Calibri" w:cs="Calibri"/>
          <w:color w:val="000000"/>
          <w:sz w:val="22"/>
          <w:szCs w:val="22"/>
        </w:rPr>
        <w:t>e more consistently demonstrates</w:t>
      </w:r>
      <w:r w:rsidR="00B40012" w:rsidRPr="00332C8B">
        <w:rPr>
          <w:rFonts w:ascii="Calibri" w:hAnsi="Calibri" w:cs="Calibri"/>
          <w:color w:val="000000"/>
          <w:sz w:val="22"/>
          <w:szCs w:val="22"/>
        </w:rPr>
        <w:t xml:space="preserve"> an associatio</w:t>
      </w:r>
      <w:r w:rsidR="005F1B62" w:rsidRPr="00332C8B">
        <w:rPr>
          <w:rFonts w:ascii="Calibri" w:hAnsi="Calibri" w:cs="Calibri"/>
          <w:color w:val="000000"/>
          <w:sz w:val="22"/>
          <w:szCs w:val="22"/>
        </w:rPr>
        <w:t xml:space="preserve">n </w:t>
      </w:r>
      <w:r w:rsidR="00B40012" w:rsidRPr="00332C8B">
        <w:rPr>
          <w:rFonts w:ascii="Calibri" w:hAnsi="Calibri" w:cs="Calibri"/>
          <w:color w:val="000000"/>
          <w:sz w:val="22"/>
          <w:szCs w:val="22"/>
        </w:rPr>
        <w:t xml:space="preserve">than derived </w:t>
      </w:r>
      <w:r w:rsidR="00F256A4" w:rsidRPr="00332C8B">
        <w:rPr>
          <w:rFonts w:ascii="Calibri" w:hAnsi="Calibri" w:cs="Calibri"/>
          <w:color w:val="000000"/>
          <w:sz w:val="22"/>
          <w:szCs w:val="22"/>
        </w:rPr>
        <w:t>estimates</w:t>
      </w:r>
      <w:r w:rsidR="005F1B62" w:rsidRPr="00332C8B">
        <w:rPr>
          <w:rFonts w:ascii="Calibri" w:hAnsi="Calibri" w:cs="Calibri"/>
          <w:color w:val="000000"/>
          <w:sz w:val="22"/>
          <w:szCs w:val="22"/>
        </w:rPr>
        <w:t xml:space="preserve">. Further high quality studies are needed and should report </w:t>
      </w:r>
      <w:r w:rsidR="00B40012" w:rsidRPr="00332C8B">
        <w:rPr>
          <w:rFonts w:ascii="Calibri" w:hAnsi="Calibri" w:cs="Calibri"/>
          <w:color w:val="000000"/>
          <w:sz w:val="22"/>
          <w:szCs w:val="22"/>
        </w:rPr>
        <w:t>the raw impedance values, standardi</w:t>
      </w:r>
      <w:r w:rsidR="004150ED">
        <w:rPr>
          <w:rFonts w:ascii="Calibri" w:hAnsi="Calibri" w:cs="Calibri"/>
          <w:color w:val="000000"/>
          <w:sz w:val="22"/>
          <w:szCs w:val="22"/>
        </w:rPr>
        <w:t>z</w:t>
      </w:r>
      <w:r w:rsidR="00B40012" w:rsidRPr="00332C8B">
        <w:rPr>
          <w:rFonts w:ascii="Calibri" w:hAnsi="Calibri" w:cs="Calibri"/>
          <w:color w:val="000000"/>
          <w:sz w:val="22"/>
          <w:szCs w:val="22"/>
        </w:rPr>
        <w:t>ed phase angle and the equations used to de</w:t>
      </w:r>
      <w:r w:rsidR="005F1B62" w:rsidRPr="00332C8B">
        <w:rPr>
          <w:rFonts w:ascii="Calibri" w:hAnsi="Calibri" w:cs="Calibri"/>
          <w:color w:val="000000"/>
          <w:sz w:val="22"/>
          <w:szCs w:val="22"/>
        </w:rPr>
        <w:t>rive body composition.</w:t>
      </w:r>
      <w:r w:rsidR="00C93968" w:rsidRPr="00332C8B">
        <w:rPr>
          <w:rFonts w:asciiTheme="minorHAnsi" w:hAnsiTheme="minorHAnsi" w:cstheme="minorHAnsi"/>
          <w:b/>
          <w:bCs/>
          <w:color w:val="000000" w:themeColor="text1"/>
          <w:sz w:val="22"/>
          <w:szCs w:val="22"/>
        </w:rPr>
        <w:br w:type="page"/>
      </w:r>
    </w:p>
    <w:p w14:paraId="544FA646" w14:textId="01C4869F" w:rsidR="00C93968" w:rsidRPr="00332C8B" w:rsidRDefault="009C799F" w:rsidP="00F0414E">
      <w:pPr>
        <w:spacing w:line="480" w:lineRule="auto"/>
        <w:jc w:val="both"/>
        <w:rPr>
          <w:rFonts w:asciiTheme="minorHAnsi" w:hAnsiTheme="minorHAnsi" w:cstheme="minorHAnsi"/>
          <w:b/>
          <w:bCs/>
          <w:color w:val="000000" w:themeColor="text1"/>
          <w:sz w:val="22"/>
          <w:szCs w:val="22"/>
        </w:rPr>
      </w:pPr>
      <w:r w:rsidRPr="00332C8B">
        <w:rPr>
          <w:rFonts w:asciiTheme="minorHAnsi" w:hAnsiTheme="minorHAnsi" w:cstheme="minorHAnsi"/>
          <w:b/>
          <w:bCs/>
          <w:color w:val="000000" w:themeColor="text1"/>
          <w:sz w:val="22"/>
          <w:szCs w:val="22"/>
        </w:rPr>
        <w:t>Keywords</w:t>
      </w:r>
    </w:p>
    <w:p w14:paraId="7FA7F4E9" w14:textId="6E5535A5" w:rsidR="006937F2" w:rsidRPr="00332C8B" w:rsidRDefault="006937F2" w:rsidP="00F0414E">
      <w:pPr>
        <w:spacing w:line="480" w:lineRule="auto"/>
        <w:jc w:val="both"/>
        <w:rPr>
          <w:rFonts w:asciiTheme="minorHAnsi" w:hAnsiTheme="minorHAnsi" w:cstheme="minorHAnsi"/>
          <w:bCs/>
          <w:color w:val="000000" w:themeColor="text1"/>
          <w:sz w:val="22"/>
          <w:szCs w:val="22"/>
        </w:rPr>
      </w:pPr>
    </w:p>
    <w:p w14:paraId="55F7ECC2" w14:textId="3D20FFE8" w:rsidR="006937F2" w:rsidRPr="00332C8B" w:rsidRDefault="006937F2" w:rsidP="00F0414E">
      <w:pPr>
        <w:pStyle w:val="ListParagraph"/>
        <w:numPr>
          <w:ilvl w:val="0"/>
          <w:numId w:val="20"/>
        </w:numPr>
        <w:spacing w:line="480" w:lineRule="auto"/>
        <w:jc w:val="both"/>
        <w:rPr>
          <w:rFonts w:asciiTheme="minorHAnsi" w:hAnsiTheme="minorHAnsi" w:cstheme="minorHAnsi"/>
          <w:bCs/>
          <w:color w:val="000000" w:themeColor="text1"/>
          <w:sz w:val="22"/>
          <w:szCs w:val="22"/>
        </w:rPr>
      </w:pPr>
      <w:r w:rsidRPr="00332C8B">
        <w:rPr>
          <w:rFonts w:asciiTheme="minorHAnsi" w:hAnsiTheme="minorHAnsi" w:cstheme="minorHAnsi"/>
          <w:bCs/>
          <w:color w:val="000000" w:themeColor="text1"/>
          <w:sz w:val="22"/>
          <w:szCs w:val="22"/>
        </w:rPr>
        <w:t>Bioelectrical impedance analysis</w:t>
      </w:r>
    </w:p>
    <w:p w14:paraId="36062D57" w14:textId="6E2A8D22" w:rsidR="006937F2" w:rsidRPr="00332C8B" w:rsidRDefault="006937F2" w:rsidP="00F0414E">
      <w:pPr>
        <w:pStyle w:val="ListParagraph"/>
        <w:numPr>
          <w:ilvl w:val="0"/>
          <w:numId w:val="20"/>
        </w:numPr>
        <w:spacing w:line="480" w:lineRule="auto"/>
        <w:jc w:val="both"/>
        <w:rPr>
          <w:rFonts w:asciiTheme="minorHAnsi" w:hAnsiTheme="minorHAnsi" w:cstheme="minorHAnsi"/>
          <w:bCs/>
          <w:color w:val="000000" w:themeColor="text1"/>
          <w:sz w:val="22"/>
          <w:szCs w:val="22"/>
        </w:rPr>
      </w:pPr>
      <w:r w:rsidRPr="00332C8B">
        <w:rPr>
          <w:rFonts w:asciiTheme="minorHAnsi" w:hAnsiTheme="minorHAnsi" w:cstheme="minorHAnsi"/>
          <w:bCs/>
          <w:color w:val="000000" w:themeColor="text1"/>
          <w:sz w:val="22"/>
          <w:szCs w:val="22"/>
        </w:rPr>
        <w:t>Phase angle</w:t>
      </w:r>
    </w:p>
    <w:p w14:paraId="717548A2" w14:textId="3558965B" w:rsidR="006937F2" w:rsidRPr="00332C8B" w:rsidRDefault="006937F2" w:rsidP="00F0414E">
      <w:pPr>
        <w:pStyle w:val="ListParagraph"/>
        <w:numPr>
          <w:ilvl w:val="0"/>
          <w:numId w:val="20"/>
        </w:numPr>
        <w:spacing w:line="480" w:lineRule="auto"/>
        <w:jc w:val="both"/>
        <w:rPr>
          <w:rFonts w:asciiTheme="minorHAnsi" w:hAnsiTheme="minorHAnsi" w:cstheme="minorHAnsi"/>
          <w:bCs/>
          <w:color w:val="000000" w:themeColor="text1"/>
          <w:sz w:val="22"/>
          <w:szCs w:val="22"/>
        </w:rPr>
      </w:pPr>
      <w:r w:rsidRPr="00332C8B">
        <w:rPr>
          <w:rFonts w:asciiTheme="minorHAnsi" w:hAnsiTheme="minorHAnsi" w:cstheme="minorHAnsi"/>
          <w:bCs/>
          <w:color w:val="000000" w:themeColor="text1"/>
          <w:sz w:val="22"/>
          <w:szCs w:val="22"/>
        </w:rPr>
        <w:t>Body composition</w:t>
      </w:r>
    </w:p>
    <w:p w14:paraId="228CF834" w14:textId="7AEA9326" w:rsidR="006937F2" w:rsidRPr="00332C8B" w:rsidRDefault="006937F2" w:rsidP="00F0414E">
      <w:pPr>
        <w:pStyle w:val="ListParagraph"/>
        <w:numPr>
          <w:ilvl w:val="0"/>
          <w:numId w:val="20"/>
        </w:numPr>
        <w:spacing w:line="480" w:lineRule="auto"/>
        <w:jc w:val="both"/>
        <w:rPr>
          <w:rFonts w:asciiTheme="minorHAnsi" w:hAnsiTheme="minorHAnsi" w:cstheme="minorHAnsi"/>
          <w:bCs/>
          <w:color w:val="000000" w:themeColor="text1"/>
          <w:sz w:val="22"/>
          <w:szCs w:val="22"/>
        </w:rPr>
      </w:pPr>
      <w:r w:rsidRPr="00332C8B">
        <w:rPr>
          <w:rFonts w:asciiTheme="minorHAnsi" w:hAnsiTheme="minorHAnsi" w:cstheme="minorHAnsi"/>
          <w:bCs/>
          <w:color w:val="000000" w:themeColor="text1"/>
          <w:sz w:val="22"/>
          <w:szCs w:val="22"/>
        </w:rPr>
        <w:t>Cancer surgery</w:t>
      </w:r>
    </w:p>
    <w:p w14:paraId="34E0A211" w14:textId="69145EDA" w:rsidR="006937F2" w:rsidRPr="00332C8B" w:rsidRDefault="006937F2" w:rsidP="00F0414E">
      <w:pPr>
        <w:pStyle w:val="ListParagraph"/>
        <w:numPr>
          <w:ilvl w:val="0"/>
          <w:numId w:val="20"/>
        </w:numPr>
        <w:spacing w:line="480" w:lineRule="auto"/>
        <w:jc w:val="both"/>
        <w:rPr>
          <w:rFonts w:asciiTheme="minorHAnsi" w:hAnsiTheme="minorHAnsi" w:cstheme="minorHAnsi"/>
          <w:bCs/>
          <w:color w:val="000000" w:themeColor="text1"/>
          <w:sz w:val="22"/>
          <w:szCs w:val="22"/>
        </w:rPr>
      </w:pPr>
      <w:r w:rsidRPr="00332C8B">
        <w:rPr>
          <w:rFonts w:asciiTheme="minorHAnsi" w:hAnsiTheme="minorHAnsi" w:cstheme="minorHAnsi"/>
          <w:bCs/>
          <w:color w:val="000000" w:themeColor="text1"/>
          <w:sz w:val="22"/>
          <w:szCs w:val="22"/>
        </w:rPr>
        <w:t>Post-operative complications</w:t>
      </w:r>
    </w:p>
    <w:p w14:paraId="219B002C" w14:textId="77777777" w:rsidR="00591A6C" w:rsidRPr="00332C8B" w:rsidRDefault="00591A6C" w:rsidP="00F0414E">
      <w:pPr>
        <w:spacing w:line="480" w:lineRule="auto"/>
        <w:rPr>
          <w:rFonts w:asciiTheme="minorHAnsi" w:hAnsiTheme="minorHAnsi" w:cstheme="minorHAnsi"/>
          <w:b/>
          <w:bCs/>
          <w:color w:val="000000" w:themeColor="text1"/>
          <w:sz w:val="22"/>
          <w:szCs w:val="22"/>
        </w:rPr>
      </w:pPr>
      <w:r w:rsidRPr="00332C8B">
        <w:rPr>
          <w:rFonts w:asciiTheme="minorHAnsi" w:hAnsiTheme="minorHAnsi" w:cstheme="minorHAnsi"/>
          <w:b/>
          <w:bCs/>
          <w:color w:val="000000" w:themeColor="text1"/>
          <w:sz w:val="22"/>
          <w:szCs w:val="22"/>
        </w:rPr>
        <w:br w:type="page"/>
      </w:r>
    </w:p>
    <w:p w14:paraId="20173F33" w14:textId="77777777" w:rsidR="004E31C3" w:rsidRPr="00332C8B" w:rsidRDefault="00591A6C" w:rsidP="00F0414E">
      <w:pPr>
        <w:spacing w:line="480" w:lineRule="auto"/>
        <w:rPr>
          <w:rFonts w:asciiTheme="minorHAnsi" w:hAnsiTheme="minorHAnsi" w:cstheme="minorHAnsi"/>
          <w:b/>
          <w:bCs/>
          <w:color w:val="000000" w:themeColor="text1"/>
          <w:sz w:val="22"/>
          <w:szCs w:val="22"/>
        </w:rPr>
      </w:pPr>
      <w:r w:rsidRPr="00332C8B">
        <w:rPr>
          <w:rFonts w:asciiTheme="minorHAnsi" w:hAnsiTheme="minorHAnsi" w:cstheme="minorHAnsi"/>
          <w:b/>
          <w:bCs/>
          <w:color w:val="000000" w:themeColor="text1"/>
          <w:sz w:val="22"/>
          <w:szCs w:val="22"/>
        </w:rPr>
        <w:t>Abbreviations</w:t>
      </w:r>
    </w:p>
    <w:p w14:paraId="7C89B4A1" w14:textId="77777777" w:rsidR="004E31C3" w:rsidRPr="00332C8B" w:rsidRDefault="004E31C3" w:rsidP="00F0414E">
      <w:pPr>
        <w:spacing w:line="480" w:lineRule="auto"/>
        <w:rPr>
          <w:rFonts w:asciiTheme="minorHAnsi" w:hAnsiTheme="minorHAnsi" w:cstheme="minorHAnsi"/>
          <w:b/>
          <w:bCs/>
          <w:color w:val="000000" w:themeColor="text1"/>
          <w:sz w:val="22"/>
          <w:szCs w:val="22"/>
        </w:rPr>
      </w:pPr>
    </w:p>
    <w:p w14:paraId="59D1D0E0" w14:textId="77777777" w:rsidR="009C799F" w:rsidRPr="00332C8B" w:rsidRDefault="004E31C3" w:rsidP="00F0414E">
      <w:pPr>
        <w:spacing w:line="480" w:lineRule="auto"/>
        <w:rPr>
          <w:rFonts w:asciiTheme="minorHAnsi" w:hAnsiTheme="minorHAnsi" w:cstheme="minorHAnsi"/>
          <w:bCs/>
          <w:color w:val="000000" w:themeColor="text1"/>
          <w:sz w:val="22"/>
          <w:szCs w:val="22"/>
        </w:rPr>
      </w:pPr>
      <w:r w:rsidRPr="00332C8B">
        <w:rPr>
          <w:rFonts w:asciiTheme="minorHAnsi" w:hAnsiTheme="minorHAnsi" w:cstheme="minorHAnsi"/>
          <w:bCs/>
          <w:color w:val="000000" w:themeColor="text1"/>
          <w:sz w:val="22"/>
          <w:szCs w:val="22"/>
        </w:rPr>
        <w:t>BIA – Bioelectrical impedance analysis</w:t>
      </w:r>
    </w:p>
    <w:p w14:paraId="408231BE" w14:textId="4C1D8D48" w:rsidR="0075032B" w:rsidRDefault="009C799F" w:rsidP="00F0414E">
      <w:pPr>
        <w:spacing w:line="480" w:lineRule="auto"/>
        <w:rPr>
          <w:rFonts w:asciiTheme="minorHAnsi" w:hAnsiTheme="minorHAnsi" w:cstheme="minorHAnsi"/>
          <w:bCs/>
          <w:color w:val="000000" w:themeColor="text1"/>
          <w:sz w:val="22"/>
          <w:szCs w:val="22"/>
        </w:rPr>
      </w:pPr>
      <w:r w:rsidRPr="00332C8B">
        <w:rPr>
          <w:rFonts w:asciiTheme="minorHAnsi" w:hAnsiTheme="minorHAnsi" w:cstheme="minorHAnsi"/>
          <w:bCs/>
          <w:color w:val="000000" w:themeColor="text1"/>
          <w:sz w:val="22"/>
          <w:szCs w:val="22"/>
        </w:rPr>
        <w:t>BMI – Body mass index</w:t>
      </w:r>
    </w:p>
    <w:p w14:paraId="24C1D26F" w14:textId="573D5D7F" w:rsidR="004D6929" w:rsidRPr="00332C8B" w:rsidRDefault="004D6929" w:rsidP="00F0414E">
      <w:pPr>
        <w:spacing w:line="480" w:lineRule="auto"/>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PA – Phase angle</w:t>
      </w:r>
    </w:p>
    <w:p w14:paraId="59FE92EB" w14:textId="0E5156EC" w:rsidR="00C93968" w:rsidRPr="00332C8B" w:rsidRDefault="0075032B" w:rsidP="00F0414E">
      <w:pPr>
        <w:spacing w:line="480" w:lineRule="auto"/>
        <w:rPr>
          <w:rFonts w:asciiTheme="minorHAnsi" w:hAnsiTheme="minorHAnsi" w:cstheme="minorHAnsi"/>
          <w:bCs/>
          <w:color w:val="000000" w:themeColor="text1"/>
          <w:sz w:val="22"/>
          <w:szCs w:val="22"/>
        </w:rPr>
      </w:pPr>
      <w:r w:rsidRPr="00332C8B">
        <w:rPr>
          <w:rFonts w:asciiTheme="minorHAnsi" w:hAnsiTheme="minorHAnsi" w:cstheme="minorHAnsi"/>
          <w:bCs/>
          <w:color w:val="000000" w:themeColor="text1"/>
          <w:sz w:val="22"/>
          <w:szCs w:val="22"/>
        </w:rPr>
        <w:t>SPA – Standardi</w:t>
      </w:r>
      <w:r w:rsidR="004150ED">
        <w:rPr>
          <w:rFonts w:asciiTheme="minorHAnsi" w:hAnsiTheme="minorHAnsi" w:cstheme="minorHAnsi"/>
          <w:bCs/>
          <w:color w:val="000000" w:themeColor="text1"/>
          <w:sz w:val="22"/>
          <w:szCs w:val="22"/>
        </w:rPr>
        <w:t>z</w:t>
      </w:r>
      <w:r w:rsidRPr="00332C8B">
        <w:rPr>
          <w:rFonts w:asciiTheme="minorHAnsi" w:hAnsiTheme="minorHAnsi" w:cstheme="minorHAnsi"/>
          <w:bCs/>
          <w:color w:val="000000" w:themeColor="text1"/>
          <w:sz w:val="22"/>
          <w:szCs w:val="22"/>
        </w:rPr>
        <w:t>ed Phase Angle</w:t>
      </w:r>
      <w:r w:rsidR="00C93968" w:rsidRPr="00332C8B">
        <w:rPr>
          <w:rFonts w:asciiTheme="minorHAnsi" w:hAnsiTheme="minorHAnsi" w:cstheme="minorHAnsi"/>
          <w:bCs/>
          <w:color w:val="000000" w:themeColor="text1"/>
          <w:sz w:val="22"/>
          <w:szCs w:val="22"/>
        </w:rPr>
        <w:br w:type="page"/>
      </w:r>
    </w:p>
    <w:p w14:paraId="1F1B0706" w14:textId="77777777" w:rsidR="00E24D4B" w:rsidRPr="00332C8B" w:rsidRDefault="00E24D4B" w:rsidP="00F0414E">
      <w:pPr>
        <w:pStyle w:val="ListParagraph"/>
        <w:numPr>
          <w:ilvl w:val="0"/>
          <w:numId w:val="9"/>
        </w:numPr>
        <w:spacing w:line="480" w:lineRule="auto"/>
        <w:jc w:val="both"/>
        <w:rPr>
          <w:rFonts w:asciiTheme="minorHAnsi" w:hAnsiTheme="minorHAnsi" w:cstheme="minorHAnsi"/>
          <w:b/>
          <w:bCs/>
          <w:color w:val="000000" w:themeColor="text1"/>
          <w:sz w:val="22"/>
          <w:szCs w:val="22"/>
        </w:rPr>
      </w:pPr>
      <w:r w:rsidRPr="00332C8B">
        <w:rPr>
          <w:rFonts w:asciiTheme="minorHAnsi" w:hAnsiTheme="minorHAnsi" w:cstheme="minorHAnsi"/>
          <w:b/>
          <w:bCs/>
          <w:color w:val="000000" w:themeColor="text1"/>
          <w:sz w:val="22"/>
          <w:szCs w:val="22"/>
        </w:rPr>
        <w:t>Introduction</w:t>
      </w:r>
    </w:p>
    <w:p w14:paraId="6AE9270D" w14:textId="77777777" w:rsidR="00E24D4B" w:rsidRPr="00332C8B" w:rsidRDefault="00E24D4B" w:rsidP="00F0414E">
      <w:pPr>
        <w:pStyle w:val="ListParagraph"/>
        <w:spacing w:line="480" w:lineRule="auto"/>
        <w:ind w:left="360"/>
        <w:jc w:val="both"/>
        <w:rPr>
          <w:rFonts w:asciiTheme="minorHAnsi" w:hAnsiTheme="minorHAnsi" w:cstheme="minorHAnsi"/>
          <w:color w:val="000000" w:themeColor="text1"/>
          <w:sz w:val="22"/>
          <w:szCs w:val="22"/>
        </w:rPr>
      </w:pPr>
    </w:p>
    <w:p w14:paraId="0D8C0E91" w14:textId="4F97B296" w:rsidR="000F187A" w:rsidRPr="00332C8B" w:rsidRDefault="00E06EEE" w:rsidP="00F0414E">
      <w:pPr>
        <w:spacing w:line="480" w:lineRule="auto"/>
        <w:rPr>
          <w:rFonts w:asciiTheme="minorHAnsi" w:hAnsiTheme="minorHAnsi" w:cstheme="minorHAnsi"/>
          <w:color w:val="000000" w:themeColor="text1"/>
          <w:sz w:val="22"/>
          <w:szCs w:val="22"/>
        </w:rPr>
      </w:pPr>
      <w:r w:rsidRPr="00332C8B">
        <w:rPr>
          <w:rFonts w:asciiTheme="minorHAnsi" w:hAnsiTheme="minorHAnsi" w:cstheme="minorHAnsi"/>
          <w:color w:val="000000" w:themeColor="text1"/>
          <w:sz w:val="22"/>
          <w:szCs w:val="22"/>
          <w:shd w:val="clear" w:color="auto" w:fill="FFFFFF"/>
        </w:rPr>
        <w:t>B</w:t>
      </w:r>
      <w:r w:rsidR="0047571B" w:rsidRPr="00332C8B">
        <w:rPr>
          <w:rFonts w:asciiTheme="minorHAnsi" w:hAnsiTheme="minorHAnsi" w:cstheme="minorHAnsi"/>
          <w:color w:val="000000" w:themeColor="text1"/>
          <w:sz w:val="22"/>
          <w:szCs w:val="22"/>
          <w:shd w:val="clear" w:color="auto" w:fill="FFFFFF"/>
        </w:rPr>
        <w:t>y 2030,</w:t>
      </w:r>
      <w:r w:rsidRPr="00332C8B">
        <w:rPr>
          <w:rFonts w:asciiTheme="minorHAnsi" w:hAnsiTheme="minorHAnsi" w:cstheme="minorHAnsi"/>
          <w:color w:val="000000" w:themeColor="text1"/>
          <w:sz w:val="22"/>
          <w:szCs w:val="22"/>
          <w:shd w:val="clear" w:color="auto" w:fill="FFFFFF"/>
        </w:rPr>
        <w:t xml:space="preserve"> 45 million surgical procedures</w:t>
      </w:r>
      <w:r w:rsidR="0047571B" w:rsidRPr="00332C8B">
        <w:rPr>
          <w:rFonts w:asciiTheme="minorHAnsi" w:hAnsiTheme="minorHAnsi" w:cstheme="minorHAnsi"/>
          <w:color w:val="000000" w:themeColor="text1"/>
          <w:sz w:val="22"/>
          <w:szCs w:val="22"/>
          <w:shd w:val="clear" w:color="auto" w:fill="FFFFFF"/>
        </w:rPr>
        <w:t xml:space="preserve"> w</w:t>
      </w:r>
      <w:r w:rsidR="00913EC3" w:rsidRPr="00332C8B">
        <w:rPr>
          <w:rFonts w:asciiTheme="minorHAnsi" w:hAnsiTheme="minorHAnsi" w:cstheme="minorHAnsi"/>
          <w:color w:val="000000" w:themeColor="text1"/>
          <w:sz w:val="22"/>
          <w:szCs w:val="22"/>
          <w:shd w:val="clear" w:color="auto" w:fill="FFFFFF"/>
        </w:rPr>
        <w:t>ill be needed globally each year</w:t>
      </w:r>
      <w:r w:rsidR="0047571B" w:rsidRPr="00332C8B">
        <w:rPr>
          <w:rFonts w:asciiTheme="minorHAnsi" w:hAnsiTheme="minorHAnsi" w:cstheme="minorHAnsi"/>
          <w:color w:val="000000" w:themeColor="text1"/>
          <w:sz w:val="22"/>
          <w:szCs w:val="22"/>
          <w:shd w:val="clear" w:color="auto" w:fill="FFFFFF"/>
        </w:rPr>
        <w:t xml:space="preserve"> for patients living with cancer, many of whom will require major surgery</w:t>
      </w:r>
      <w:r w:rsidR="003662F1" w:rsidRPr="00332C8B">
        <w:rPr>
          <w:rFonts w:asciiTheme="minorHAnsi" w:hAnsiTheme="minorHAnsi" w:cstheme="minorHAnsi"/>
          <w:color w:val="000000" w:themeColor="text1"/>
          <w:sz w:val="22"/>
          <w:szCs w:val="22"/>
          <w:shd w:val="clear" w:color="auto" w:fill="FFFFFF"/>
        </w:rPr>
        <w:fldChar w:fldCharType="begin" w:fldLock="1"/>
      </w:r>
      <w:r w:rsidR="00F66CFF" w:rsidRPr="00332C8B">
        <w:rPr>
          <w:rFonts w:asciiTheme="minorHAnsi" w:hAnsiTheme="minorHAnsi" w:cstheme="minorHAnsi"/>
          <w:color w:val="000000" w:themeColor="text1"/>
          <w:sz w:val="22"/>
          <w:szCs w:val="22"/>
          <w:shd w:val="clear" w:color="auto" w:fill="FFFFFF"/>
        </w:rPr>
        <w:instrText>ADDIN CSL_CITATION {"citationItems":[{"id":"ITEM-1","itemData":{"DOI":"10.1016/S1470-2045(15)00223-5","ISSN":"14745488","abstract":"Surgery is essential for global cancer care in all resource settings. Of the 15·2 million new cases of cancer in 2015, over 80% of cases will need surgery, some several times. By 2030, we estimate that annually 45 million surgical procedures will be needed worldwide. Yet, less than 25% of patients with cancer worldwide actually get safe, affordable, or timely surgery. This Commission on global cancer surgery, building on Global Surgery 2030, has examined the state of global cancer surgery through an analysis of the burden of surgical disease and breadth of cancer surgery, economics and financing, factors for strengthening surgical systems for cancer with multiple-country studies, the research agenda, and the political factors that frame policy making in this area. We found wide equity and economic gaps in global cancer surgery. Many patients throughout the world do not have access to cancer surgery, and the failure to train more cancer surgeons and strengthen systems could result in as much as US$6·2 trillion in lost cumulative gross domestic product by 2030. Many of the key adjunct treatment modalities for cancer surgery-eg, pathology and imaging-are also inadequate. Our analysis identified substantial issues, but also highlights solutions and innovations. Issues of access, a paucity of investment in public surgical systems, low investment in research, and training and education gaps are remarkably widespread. Solutions include better regulated public systems, international partnerships, super-centralisation of surgical services, novel surgical clinical trials, and new approaches to improve quality and scale up cancer surgical systems through education and training. Our key messages are directed at many global stakeholders, but the central message is that to deliver safe, affordable, and timely cancer surgery to all, surgery must be at the heart of global and national cancer control planning.","author":[{"dropping-particle":"","family":"Sullivan","given":"Richard","non-dropping-particle":"","parse-names":false,"suffix":""},{"dropping-particle":"","family":"Alatise","given":"Olusegun Isaac","non-dropping-particle":"","parse-names":false,"suffix":""},{"dropping-particle":"","family":"Anderson","given":"Benjamin O.","non-dropping-particle":"","parse-names":false,"suffix":""},{"dropping-particle":"","family":"Audisio","given":"Riccardo","non-dropping-particle":"","parse-names":false,"suffix":""},{"dropping-particle":"","family":"Autier","given":"Philippe","non-dropping-particle":"","parse-names":false,"suffix":""},{"dropping-particle":"","family":"Aggarwal","given":"Ajay","non-dropping-particle":"","parse-names":false,"suffix":""},{"dropping-particle":"","family":"Balch","given":"Charles","non-dropping-particle":"","parse-names":false,"suffix":""},{"dropping-particle":"","family":"Brennan","given":"Murray F.","non-dropping-particle":"","parse-names":false,"suffix":""},{"dropping-particle":"","family":"Dare","given":"Anna","non-dropping-particle":"","parse-names":false,"suffix":""},{"dropping-particle":"","family":"D'Cruz","given":"Anil","non-dropping-particle":"","parse-names":false,"suffix":""},{"dropping-particle":"","family":"Eggermont","given":"Alexander M.M.","non-dropping-particle":"","parse-names":false,"suffix":""},{"dropping-particle":"","family":"Fleming","given":"Kenneth","non-dropping-particle":"","parse-names":false,"suffix":""},{"dropping-particle":"","family":"Gueye","given":"Serigne Magueye","non-dropping-particle":"","parse-names":false,"suffix":""},{"dropping-particle":"","family":"Hagander","given":"Lars","non-dropping-particle":"","parse-names":false,"suffix":""},{"dropping-particle":"","family":"Herrera","given":"Cristian A.","non-dropping-particle":"","parse-names":false,"suffix":""},{"dropping-particle":"","family":"Holmer","given":"Hampus","non-dropping-particle":"","parse-names":false,"suffix":""},{"dropping-particle":"","family":"Ilbawi","given":"André M.","non-dropping-particle":"","parse-names":false,"suffix":""},{"dropping-particle":"","family":"Jarnheimer","given":"Anton","non-dropping-particle":"","parse-names":false,"suffix":""},{"dropping-particle":"","family":"Ji","given":"Jia fu","non-dropping-particle":"","parse-names":false,"suffix":""},{"dropping-particle":"","family":"Kingham","given":"T. Peter","non-dropping-particle":"","parse-names":false,"suffix":""},{"dropping-particle":"","family":"Liberman","given":"Jonathan","non-dropping-particle":"","parse-names":false,"suffix":""},{"dropping-particle":"","family":"Leather","given":"Andrew J.M.","non-dropping-particle":"","parse-names":false,"suffix":""},{"dropping-particle":"","family":"Meara","given":"John G.","non-dropping-particle":"","parse-names":false,"suffix":""},{"dropping-particle":"","family":"Mukhopadhyay","given":"Swagoto","non-dropping-particle":"","parse-names":false,"suffix":""},{"dropping-particle":"","family":"Murthy","given":"Shilpa S.","non-dropping-particle":"","parse-names":false,"suffix":""},{"dropping-particle":"","family":"Omar","given":"Sherif","non-dropping-particle":"","parse-names":false,"suffix":""},{"dropping-particle":"","family":"Parham","given":"Groesbeck P.","non-dropping-particle":"","parse-names":false,"suffix":""},{"dropping-particle":"","family":"Pramesh","given":"C. S.","non-dropping-particle":"","parse-names":false,"suffix":""},{"dropping-particle":"","family":"Riviello","given":"Robert","non-dropping-particle":"","parse-names":false,"suffix":""},{"dropping-particle":"","family":"Rodin","given":"Danielle","non-dropping-particle":"","parse-names":false,"suffix":""},{"dropping-particle":"","family":"Santini","given":"Luiz","non-dropping-particle":"","parse-names":false,"suffix":""},{"dropping-particle":"V.","family":"Shrikhande","given":"Shailesh","non-dropping-particle":"","parse-names":false,"suffix":""},{"dropping-particle":"","family":"Shrime","given":"Mark","non-dropping-particle":"","parse-names":false,"suffix":""},{"dropping-particle":"","family":"Thomas","given":"Robert","non-dropping-particle":"","parse-names":false,"suffix":""},{"dropping-particle":"","family":"Tsunoda","given":"Audrey T.","non-dropping-particle":"","parse-names":false,"suffix":""},{"dropping-particle":"","family":"Velde","given":"Cornelis","non-dropping-particle":"van de","parse-names":false,"suffix":""},{"dropping-particle":"","family":"Veronesi","given":"Umberto","non-dropping-particle":"","parse-names":false,"suffix":""},{"dropping-particle":"","family":"Vijaykumar","given":"Dehannathparambil Kottarathil","non-dropping-particle":"","parse-names":false,"suffix":""},{"dropping-particle":"","family":"Watters","given":"David","non-dropping-particle":"","parse-names":false,"suffix":""},{"dropping-particle":"","family":"Wang","given":"Shan","non-dropping-particle":"","parse-names":false,"suffix":""},{"dropping-particle":"","family":"Wu","given":"Yi Long","non-dropping-particle":"","parse-names":false,"suffix":""},{"dropping-particle":"","family":"Zeiton","given":"Moez","non-dropping-particle":"","parse-names":false,"suffix":""},{"dropping-particle":"","family":"Purushotham","given":"Arnie","non-dropping-particle":"","parse-names":false,"suffix":""}],"container-title":"The Lancet Oncology","id":"ITEM-1","issued":{"date-parts":[["2015"]]},"title":"Global cancer surgery: Delivering safe, affordable, and timely cancer surgery","type":"article"},"uris":["http://www.mendeley.com/documents/?uuid=fface1ed-537a-4aa6-8a87-11938b858a8e"]}],"mendeley":{"formattedCitation":"[1]","plainTextFormattedCitation":"[1]","previouslyFormattedCitation":"[1]"},"properties":{"noteIndex":0},"schema":"https://github.com/citation-style-language/schema/raw/master/csl-citation.json"}</w:instrText>
      </w:r>
      <w:r w:rsidR="003662F1" w:rsidRPr="00332C8B">
        <w:rPr>
          <w:rFonts w:asciiTheme="minorHAnsi" w:hAnsiTheme="minorHAnsi" w:cstheme="minorHAnsi"/>
          <w:color w:val="000000" w:themeColor="text1"/>
          <w:sz w:val="22"/>
          <w:szCs w:val="22"/>
          <w:shd w:val="clear" w:color="auto" w:fill="FFFFFF"/>
        </w:rPr>
        <w:fldChar w:fldCharType="separate"/>
      </w:r>
      <w:r w:rsidR="00187EFE" w:rsidRPr="00332C8B">
        <w:rPr>
          <w:rFonts w:asciiTheme="minorHAnsi" w:hAnsiTheme="minorHAnsi" w:cstheme="minorHAnsi"/>
          <w:noProof/>
          <w:color w:val="000000" w:themeColor="text1"/>
          <w:sz w:val="22"/>
          <w:szCs w:val="22"/>
          <w:shd w:val="clear" w:color="auto" w:fill="FFFFFF"/>
        </w:rPr>
        <w:t>[1]</w:t>
      </w:r>
      <w:r w:rsidR="003662F1" w:rsidRPr="00332C8B">
        <w:rPr>
          <w:rFonts w:asciiTheme="minorHAnsi" w:hAnsiTheme="minorHAnsi" w:cstheme="minorHAnsi"/>
          <w:color w:val="000000" w:themeColor="text1"/>
          <w:sz w:val="22"/>
          <w:szCs w:val="22"/>
          <w:shd w:val="clear" w:color="auto" w:fill="FFFFFF"/>
        </w:rPr>
        <w:fldChar w:fldCharType="end"/>
      </w:r>
      <w:r w:rsidR="00C92DDD" w:rsidRPr="00332C8B">
        <w:rPr>
          <w:rFonts w:asciiTheme="minorHAnsi" w:hAnsiTheme="minorHAnsi" w:cstheme="minorHAnsi"/>
          <w:color w:val="000000" w:themeColor="text1"/>
          <w:sz w:val="22"/>
          <w:szCs w:val="22"/>
        </w:rPr>
        <w:t xml:space="preserve">. </w:t>
      </w:r>
      <w:r w:rsidR="00C84CE5" w:rsidRPr="00332C8B">
        <w:rPr>
          <w:rFonts w:asciiTheme="minorHAnsi" w:hAnsiTheme="minorHAnsi" w:cstheme="minorHAnsi"/>
          <w:color w:val="000000" w:themeColor="text1"/>
          <w:sz w:val="22"/>
          <w:szCs w:val="22"/>
        </w:rPr>
        <w:t>P</w:t>
      </w:r>
      <w:r w:rsidR="00BE136A" w:rsidRPr="00332C8B">
        <w:rPr>
          <w:rFonts w:asciiTheme="minorHAnsi" w:hAnsiTheme="minorHAnsi" w:cstheme="minorHAnsi"/>
          <w:color w:val="000000" w:themeColor="text1"/>
          <w:sz w:val="22"/>
          <w:szCs w:val="22"/>
        </w:rPr>
        <w:t xml:space="preserve">atients undergoing major </w:t>
      </w:r>
      <w:r w:rsidR="00C92DDD" w:rsidRPr="00332C8B">
        <w:rPr>
          <w:rFonts w:asciiTheme="minorHAnsi" w:hAnsiTheme="minorHAnsi" w:cstheme="minorHAnsi"/>
          <w:color w:val="000000" w:themeColor="text1"/>
          <w:sz w:val="22"/>
          <w:szCs w:val="22"/>
        </w:rPr>
        <w:t>surgery</w:t>
      </w:r>
      <w:r w:rsidR="00BE136A" w:rsidRPr="00332C8B">
        <w:rPr>
          <w:rFonts w:asciiTheme="minorHAnsi" w:hAnsiTheme="minorHAnsi" w:cstheme="minorHAnsi"/>
          <w:color w:val="000000" w:themeColor="text1"/>
          <w:sz w:val="22"/>
          <w:szCs w:val="22"/>
        </w:rPr>
        <w:t xml:space="preserve"> have significant increases in stress catabolism and malnutrition</w:t>
      </w:r>
      <w:r w:rsidR="003662F1" w:rsidRPr="00332C8B">
        <w:rPr>
          <w:rFonts w:asciiTheme="minorHAnsi" w:hAnsiTheme="minorHAnsi" w:cstheme="minorHAnsi"/>
          <w:color w:val="000000" w:themeColor="text1"/>
          <w:sz w:val="22"/>
          <w:szCs w:val="22"/>
        </w:rPr>
        <w:fldChar w:fldCharType="begin" w:fldLock="1"/>
      </w:r>
      <w:r w:rsidR="00F66CFF" w:rsidRPr="00332C8B">
        <w:rPr>
          <w:rFonts w:asciiTheme="minorHAnsi" w:hAnsiTheme="minorHAnsi" w:cstheme="minorHAnsi"/>
          <w:color w:val="000000" w:themeColor="text1"/>
          <w:sz w:val="22"/>
          <w:szCs w:val="22"/>
        </w:rPr>
        <w:instrText>ADDIN CSL_CITATION {"citationItems":[{"id":"ITEM-1","itemData":{"DOI":"10.1097/ALN.0000000000000795","ISSN":"15281175","abstract":"© 2015, the American Society of Anesthesiologists, Inc. Wolters Kluwer Health, Inc. Surgery represents a major stressor that disrupts homeostasis and can lead to loss of body cell mass. Integrated, multidisciplinary medical strategies, including enhanced recovery programs and perioperative nutrition support, can mitigate the surgically induced metabolic response, promoting optimal patient recovery following major surgery. Clinical therapies should identify those who are poorly nourished before surgery and aim to attenuate catabolism while preserving the processes that promote recovery and immunoprotection after surgery. This review will address the impact of surgery on intermediary metabolism and describe the clinical consequences that ensue. It will also focus on the role of perioperative nutrition, including preoperative nutrition risk, carbohydrate loading, and early initiation of oral feeding (centered on macronutrients) in modulating surgical stress, as well as highlight the contribution of the anesthesiologist to nutritional care. Emerging therapeutic concepts such as preoperative glycemic control and prehabilitation will be discussed.","author":[{"dropping-particle":"","family":"Gillis","given":"Chelsia","non-dropping-particle":"","parse-names":false,"suffix":""},{"dropping-particle":"","family":"Carli","given":"Francesco","non-dropping-particle":"","parse-names":false,"suffix":""}],"container-title":"Anesthesiology","id":"ITEM-1","issued":{"date-parts":[["2015"]]},"title":"Promoting perioperative metabolic and nutritional care","type":"article"},"uris":["http://www.mendeley.com/documents/?uuid=08476a67-46ed-40a1-ba02-74e34159d3e7"]}],"mendeley":{"formattedCitation":"[2]","plainTextFormattedCitation":"[2]","previouslyFormattedCitation":"[2]"},"properties":{"noteIndex":0},"schema":"https://github.com/citation-style-language/schema/raw/master/csl-citation.json"}</w:instrText>
      </w:r>
      <w:r w:rsidR="003662F1" w:rsidRPr="00332C8B">
        <w:rPr>
          <w:rFonts w:asciiTheme="minorHAnsi" w:hAnsiTheme="minorHAnsi" w:cstheme="minorHAnsi"/>
          <w:color w:val="000000" w:themeColor="text1"/>
          <w:sz w:val="22"/>
          <w:szCs w:val="22"/>
        </w:rPr>
        <w:fldChar w:fldCharType="separate"/>
      </w:r>
      <w:r w:rsidR="00187EFE" w:rsidRPr="00332C8B">
        <w:rPr>
          <w:rFonts w:asciiTheme="minorHAnsi" w:hAnsiTheme="minorHAnsi" w:cstheme="minorHAnsi"/>
          <w:noProof/>
          <w:color w:val="000000" w:themeColor="text1"/>
          <w:sz w:val="22"/>
          <w:szCs w:val="22"/>
        </w:rPr>
        <w:t>[2]</w:t>
      </w:r>
      <w:r w:rsidR="003662F1" w:rsidRPr="00332C8B">
        <w:rPr>
          <w:rFonts w:asciiTheme="minorHAnsi" w:hAnsiTheme="minorHAnsi" w:cstheme="minorHAnsi"/>
          <w:color w:val="000000" w:themeColor="text1"/>
          <w:sz w:val="22"/>
          <w:szCs w:val="22"/>
        </w:rPr>
        <w:fldChar w:fldCharType="end"/>
      </w:r>
      <w:r w:rsidR="00C84CE5" w:rsidRPr="00332C8B">
        <w:rPr>
          <w:rFonts w:asciiTheme="minorHAnsi" w:hAnsiTheme="minorHAnsi" w:cstheme="minorHAnsi"/>
          <w:color w:val="000000" w:themeColor="text1"/>
          <w:sz w:val="22"/>
          <w:szCs w:val="22"/>
        </w:rPr>
        <w:t xml:space="preserve">, with cancer patients </w:t>
      </w:r>
      <w:r w:rsidR="007145E7" w:rsidRPr="00332C8B">
        <w:rPr>
          <w:rFonts w:asciiTheme="minorHAnsi" w:hAnsiTheme="minorHAnsi" w:cstheme="minorHAnsi"/>
          <w:color w:val="000000" w:themeColor="text1"/>
          <w:sz w:val="22"/>
          <w:szCs w:val="22"/>
        </w:rPr>
        <w:t>facing additional</w:t>
      </w:r>
      <w:r w:rsidR="00BE136A" w:rsidRPr="00332C8B">
        <w:rPr>
          <w:rFonts w:asciiTheme="minorHAnsi" w:hAnsiTheme="minorHAnsi" w:cstheme="minorHAnsi"/>
          <w:color w:val="000000" w:themeColor="text1"/>
          <w:sz w:val="22"/>
          <w:szCs w:val="22"/>
        </w:rPr>
        <w:t xml:space="preserve"> risk due to inadequate </w:t>
      </w:r>
      <w:r w:rsidR="00341AAC" w:rsidRPr="00332C8B">
        <w:rPr>
          <w:rFonts w:asciiTheme="minorHAnsi" w:hAnsiTheme="minorHAnsi" w:cstheme="minorHAnsi"/>
          <w:color w:val="000000" w:themeColor="text1"/>
          <w:sz w:val="22"/>
          <w:szCs w:val="22"/>
        </w:rPr>
        <w:t xml:space="preserve">nutritional </w:t>
      </w:r>
      <w:r w:rsidR="00BE136A" w:rsidRPr="00332C8B">
        <w:rPr>
          <w:rFonts w:asciiTheme="minorHAnsi" w:hAnsiTheme="minorHAnsi" w:cstheme="minorHAnsi"/>
          <w:color w:val="000000" w:themeColor="text1"/>
          <w:sz w:val="22"/>
          <w:szCs w:val="22"/>
        </w:rPr>
        <w:t>intake, skeletal muscle depletion and systemic inflammation</w:t>
      </w:r>
      <w:r w:rsidR="003662F1" w:rsidRPr="00332C8B">
        <w:rPr>
          <w:rFonts w:asciiTheme="minorHAnsi" w:hAnsiTheme="minorHAnsi" w:cstheme="minorHAnsi"/>
          <w:color w:val="000000" w:themeColor="text1"/>
          <w:sz w:val="22"/>
          <w:szCs w:val="22"/>
        </w:rPr>
        <w:fldChar w:fldCharType="begin" w:fldLock="1"/>
      </w:r>
      <w:r w:rsidR="00F66CFF" w:rsidRPr="00332C8B">
        <w:rPr>
          <w:rFonts w:asciiTheme="minorHAnsi" w:hAnsiTheme="minorHAnsi" w:cstheme="minorHAnsi"/>
          <w:color w:val="000000" w:themeColor="text1"/>
          <w:sz w:val="22"/>
          <w:szCs w:val="22"/>
        </w:rPr>
        <w:instrText>ADDIN CSL_CITATION {"citationItems":[{"id":"ITEM-1","itemData":{"DOI":"10.1016/j.clnu.2016.07.015","ISSN":"15321983","abstract":"Cancers are among the leading causes of morbidity and mortality worldwide, and the number of new cases is expected to rise significantly over the next decades. At the same time, all types of cancer treatment, such as surgery, radiation therapy, and pharmacological therapies are improving in sophistication, precision and in the power to target specific characteristics of individual cancers. Thus, while many cancers may still not be cured they may be converted to chronic diseases. All of these treatments, however, are impeded or precluded by the frequent development of malnutrition and metabolic derangements in cancer patients, induced by the tumor or by its treatment. These evidence-based guidelines were developed to translate current best evidence and expert opinion into recommendations for multi-disciplinary teams responsible for identification, prevention, and treatment of reversible elements of malnutrition in adult cancer patients. The guidelines were commissioned and financially supported by ESPEN and by the European Partnership for Action Against Cancer (EPAAC), an EU level initiative. Members of the guideline group were selected by ESPEN to include a range of professions and fields of expertise. We searched for meta-analyses, systematic reviews and comparative studies based on clinical questions according to the PICO format. The evidence was evaluated and merged to develop clinical recommendations using the GRADE method. Due to the deficits in the available evidence, relevant still open questions were listed and should be addressed by future studies. Malnutrition and a loss of muscle mass are frequent in cancer patients and have a negative effect on clinical outcome. They may be driven by inadequate food intake, decreased physical activity and catabolic metabolic derangements. To screen for, prevent, assess in detail, monitor and treat malnutrition standard operating procedures, responsibilities and a quality control process should be established at each institution involved in treating cancer patients. All cancer patients should be screened regularly for the risk or the presence of malnutrition. In all patients – with the exception of end of life care – energy and substrate requirements should be met by offering in a step-wise manner nutritional interventions from counseling to parenteral nutrition. However, benefits and risks of nutritional interventions have to be balanced with special consideration in patients with advanced disease. Nutrition…","author":[{"dropping-particle":"","family":"Arends","given":"Jann","non-dropping-particle":"","parse-names":false,"suffix":""},{"dropping-particle":"","family":"Bachmann","given":"Patrick","non-dropping-particle":"","parse-names":false,"suffix":""},{"dropping-particle":"","family":"Baracos","given":"Vickie","non-dropping-particle":"","parse-names":false,"suffix":""},{"dropping-particle":"","family":"Barthelemy","given":"Nicole","non-dropping-particle":"","parse-names":false,"suffix":""},{"dropping-particle":"","family":"Bertz","given":"Hartmut","non-dropping-particle":"","parse-names":false,"suffix":""},{"dropping-particle":"","family":"Bozzetti","given":"Federico","non-dropping-particle":"","parse-names":false,"suffix":""},{"dropping-particle":"","family":"Fearon","given":"Ken","non-dropping-particle":"","parse-names":false,"suffix":""},{"dropping-particle":"","family":"Hütterer","given":"Elisabeth","non-dropping-particle":"","parse-names":false,"suffix":""},{"dropping-particle":"","family":"Isenring","given":"Elizabeth","non-dropping-particle":"","parse-names":false,"suffix":""},{"dropping-particle":"","family":"Kaasa","given":"Stein","non-dropping-particle":"","parse-names":false,"suffix":""},{"dropping-particle":"","family":"Krznaric","given":"Zeljko","non-dropping-particle":"","parse-names":false,"suffix":""},{"dropping-particle":"","family":"Laird","given":"Barry","non-dropping-particle":"","parse-names":false,"suffix":""},{"dropping-particle":"","family":"Larsson","given":"Maria","non-dropping-particle":"","parse-names":false,"suffix":""},{"dropping-particle":"","family":"Laviano","given":"Alessandro","non-dropping-particle":"","parse-names":false,"suffix":""},{"dropping-particle":"","family":"Mühlebach","given":"Stefan","non-dropping-particle":"","parse-names":false,"suffix":""},{"dropping-particle":"","family":"Muscaritoli","given":"Maurizio","non-dropping-particle":"","parse-names":false,"suffix":""},{"dropping-particle":"","family":"Oldervoll","given":"Line","non-dropping-particle":"","parse-names":false,"suffix":""},{"dropping-particle":"","family":"Ravasco","given":"Paula","non-dropping-particle":"","parse-names":false,"suffix":""},{"dropping-particle":"","family":"Solheim","given":"Tora","non-dropping-particle":"","parse-names":false,"suffix":""},{"dropping-particle":"","family":"Strasser","given":"Florian","non-dropping-particle":"","parse-names":false,"suffix":""},{"dropping-particle":"","family":"van der Schueren","given":"Marian","non-dropping-particle":"de","parse-names":false,"suffix":""},{"dropping-particle":"","family":"Preiser","given":"Jean Charles","non-dropping-particle":"","parse-names":false,"suffix":""}],"container-title":"Clinical Nutrition","id":"ITEM-1","issued":{"date-parts":[["2017"]]},"title":"ESPEN guidelines on nutrition in cancer patients","type":"article-journal"},"uris":["http://www.mendeley.com/documents/?uuid=67a1ff3b-8eb7-456b-9c99-52cadb9e9ba7"]}],"mendeley":{"formattedCitation":"[3]","plainTextFormattedCitation":"[3]","previouslyFormattedCitation":"[3]"},"properties":{"noteIndex":0},"schema":"https://github.com/citation-style-language/schema/raw/master/csl-citation.json"}</w:instrText>
      </w:r>
      <w:r w:rsidR="003662F1" w:rsidRPr="00332C8B">
        <w:rPr>
          <w:rFonts w:asciiTheme="minorHAnsi" w:hAnsiTheme="minorHAnsi" w:cstheme="minorHAnsi"/>
          <w:color w:val="000000" w:themeColor="text1"/>
          <w:sz w:val="22"/>
          <w:szCs w:val="22"/>
        </w:rPr>
        <w:fldChar w:fldCharType="separate"/>
      </w:r>
      <w:r w:rsidR="00187EFE" w:rsidRPr="00332C8B">
        <w:rPr>
          <w:rFonts w:asciiTheme="minorHAnsi" w:hAnsiTheme="minorHAnsi" w:cstheme="minorHAnsi"/>
          <w:noProof/>
          <w:color w:val="000000" w:themeColor="text1"/>
          <w:sz w:val="22"/>
          <w:szCs w:val="22"/>
        </w:rPr>
        <w:t>[3]</w:t>
      </w:r>
      <w:r w:rsidR="003662F1" w:rsidRPr="00332C8B">
        <w:rPr>
          <w:rFonts w:asciiTheme="minorHAnsi" w:hAnsiTheme="minorHAnsi" w:cstheme="minorHAnsi"/>
          <w:color w:val="000000" w:themeColor="text1"/>
          <w:sz w:val="22"/>
          <w:szCs w:val="22"/>
        </w:rPr>
        <w:fldChar w:fldCharType="end"/>
      </w:r>
      <w:r w:rsidR="00BE136A" w:rsidRPr="00332C8B">
        <w:rPr>
          <w:rFonts w:asciiTheme="minorHAnsi" w:hAnsiTheme="minorHAnsi" w:cstheme="minorHAnsi"/>
          <w:color w:val="000000" w:themeColor="text1"/>
          <w:sz w:val="22"/>
          <w:szCs w:val="22"/>
        </w:rPr>
        <w:t>. Reduced lean mass and metabolic derangement</w:t>
      </w:r>
      <w:r w:rsidR="000F187A" w:rsidRPr="00332C8B">
        <w:rPr>
          <w:rFonts w:asciiTheme="minorHAnsi" w:hAnsiTheme="minorHAnsi" w:cstheme="minorHAnsi"/>
          <w:color w:val="000000" w:themeColor="text1"/>
          <w:sz w:val="22"/>
          <w:szCs w:val="22"/>
        </w:rPr>
        <w:t>s</w:t>
      </w:r>
      <w:r w:rsidR="00BE136A" w:rsidRPr="00332C8B">
        <w:rPr>
          <w:rFonts w:asciiTheme="minorHAnsi" w:hAnsiTheme="minorHAnsi" w:cstheme="minorHAnsi"/>
          <w:color w:val="000000" w:themeColor="text1"/>
          <w:sz w:val="22"/>
          <w:szCs w:val="22"/>
        </w:rPr>
        <w:t xml:space="preserve"> are common</w:t>
      </w:r>
      <w:r w:rsidR="00DD2FD9" w:rsidRPr="00332C8B">
        <w:rPr>
          <w:rFonts w:asciiTheme="minorHAnsi" w:hAnsiTheme="minorHAnsi" w:cstheme="minorHAnsi"/>
          <w:color w:val="000000" w:themeColor="text1"/>
          <w:sz w:val="22"/>
          <w:szCs w:val="22"/>
        </w:rPr>
        <w:t xml:space="preserve"> in this group</w:t>
      </w:r>
      <w:r w:rsidR="003662F1" w:rsidRPr="00332C8B">
        <w:rPr>
          <w:rFonts w:asciiTheme="minorHAnsi" w:hAnsiTheme="minorHAnsi" w:cstheme="minorHAnsi"/>
          <w:color w:val="000000" w:themeColor="text1"/>
          <w:sz w:val="22"/>
          <w:szCs w:val="22"/>
        </w:rPr>
        <w:fldChar w:fldCharType="begin" w:fldLock="1"/>
      </w:r>
      <w:r w:rsidR="00F66CFF" w:rsidRPr="00332C8B">
        <w:rPr>
          <w:rFonts w:asciiTheme="minorHAnsi" w:hAnsiTheme="minorHAnsi" w:cstheme="minorHAnsi"/>
          <w:color w:val="000000" w:themeColor="text1"/>
          <w:sz w:val="22"/>
          <w:szCs w:val="22"/>
        </w:rPr>
        <w:instrText>ADDIN CSL_CITATION {"citationItems":[{"id":"ITEM-1","itemData":{"DOI":"10.1111/1747-0080.12306","ISBN":"1747-0080","ISSN":"14466368","PMID":"10758536","abstract":"Background: Malnutrition is common in patients with esophageal and esophagogastric cancer. Compared to patients with other digestive and extradigestive neoplasia, the highest incidence (78.9%) was found in those with esophageal cancer. Malnutrition is associated with postoperative complications, increased morbidity, and prolonged hospital stays. Methods. The authors review the impact and causes of malnutrition in esophageal cancer patients and present strategies that can be used to preserve or restore the nutritional status in this patient population throughout treatment. Results. Patients usually are unable to sustain weight on oral intake alone and require additional means of nutritional support. Several methods can be used to provide nutritional care to the esophageal cancer patient, such as diet modification, oral supplementation, and enteral or parenteral nutrition. The enteral route is preferred due to preservation of gut integrity, reduced risk of complications, and less expense. In terminally ill patients, minimal nutritional intervention may be all that is needed to achieve patient comfort. Conclusions: In order to improve clinical outcomes and the quality of life for patients with esophageal and esophagogastric cancers, the extent of malnutrition must be identified and treated.","author":[{"dropping-particle":"","family":"Mak","given":"May","non-dropping-particle":"","parse-names":false,"suffix":""},{"dropping-particle":"","family":"Bell","given":"Katherine","non-dropping-particle":"","parse-names":false,"suffix":""},{"dropping-particle":"","family":"Ng","given":"Weng","non-dropping-particle":"","parse-names":false,"suffix":""},{"dropping-particle":"","family":"Lee","given":"Mark","non-dropping-particle":"","parse-names":false,"suffix":""}],"container-title":"Nutrition &amp; Dietetics","id":"ITEM-1","issued":{"date-parts":[["2017"]]},"title":"Nutritional status, management and clinical outcomes in patients with esophageal and gastro-oesophageal cancers: A descriptive study","type":"article-journal"},"uris":["http://www.mendeley.com/documents/?uuid=1fb51388-43ef-4f57-be1d-b0c7ebcc06b5"]}],"mendeley":{"formattedCitation":"[4]","plainTextFormattedCitation":"[4]","previouslyFormattedCitation":"[4]"},"properties":{"noteIndex":0},"schema":"https://github.com/citation-style-language/schema/raw/master/csl-citation.json"}</w:instrText>
      </w:r>
      <w:r w:rsidR="003662F1" w:rsidRPr="00332C8B">
        <w:rPr>
          <w:rFonts w:asciiTheme="minorHAnsi" w:hAnsiTheme="minorHAnsi" w:cstheme="minorHAnsi"/>
          <w:color w:val="000000" w:themeColor="text1"/>
          <w:sz w:val="22"/>
          <w:szCs w:val="22"/>
        </w:rPr>
        <w:fldChar w:fldCharType="separate"/>
      </w:r>
      <w:r w:rsidR="00187EFE" w:rsidRPr="00332C8B">
        <w:rPr>
          <w:rFonts w:asciiTheme="minorHAnsi" w:hAnsiTheme="minorHAnsi" w:cstheme="minorHAnsi"/>
          <w:noProof/>
          <w:color w:val="000000" w:themeColor="text1"/>
          <w:sz w:val="22"/>
          <w:szCs w:val="22"/>
        </w:rPr>
        <w:t>[4]</w:t>
      </w:r>
      <w:r w:rsidR="003662F1" w:rsidRPr="00332C8B">
        <w:rPr>
          <w:rFonts w:asciiTheme="minorHAnsi" w:hAnsiTheme="minorHAnsi" w:cstheme="minorHAnsi"/>
          <w:color w:val="000000" w:themeColor="text1"/>
          <w:sz w:val="22"/>
          <w:szCs w:val="22"/>
        </w:rPr>
        <w:fldChar w:fldCharType="end"/>
      </w:r>
      <w:r w:rsidR="00BE136A" w:rsidRPr="00332C8B">
        <w:rPr>
          <w:rFonts w:asciiTheme="minorHAnsi" w:hAnsiTheme="minorHAnsi" w:cstheme="minorHAnsi"/>
          <w:color w:val="000000" w:themeColor="text1"/>
          <w:sz w:val="22"/>
          <w:szCs w:val="22"/>
        </w:rPr>
        <w:t>, prognostic of poor outcome</w:t>
      </w:r>
      <w:r w:rsidR="003662F1" w:rsidRPr="00332C8B">
        <w:rPr>
          <w:rFonts w:asciiTheme="minorHAnsi" w:hAnsiTheme="minorHAnsi" w:cstheme="minorHAnsi"/>
          <w:color w:val="000000" w:themeColor="text1"/>
          <w:sz w:val="22"/>
          <w:szCs w:val="22"/>
        </w:rPr>
        <w:fldChar w:fldCharType="begin" w:fldLock="1"/>
      </w:r>
      <w:r w:rsidR="00F66CFF" w:rsidRPr="00332C8B">
        <w:rPr>
          <w:rFonts w:asciiTheme="minorHAnsi" w:hAnsiTheme="minorHAnsi" w:cstheme="minorHAnsi"/>
          <w:color w:val="000000" w:themeColor="text1"/>
          <w:sz w:val="22"/>
          <w:szCs w:val="22"/>
        </w:rPr>
        <w:instrText>ADDIN CSL_CITATION {"citationItems":[{"id":"ITEM-1","itemData":{"DOI":"10.1200/jco.2014.56.1894","ISBN":"0732-183x","PMID":"25422490","abstract":"PURPOSE: Existing definitions of clinically important weight loss (WL) in patients with cancer are unclear and heterogeneous and do not consider current trends toward obesity. METHODS: Canadian and European patients with cancer (n = 8,160) formed a population-based data set. Body mass index (BMI) and percent WL (%WL) were recorded, and patients were observed prospectively until death. Data were entered into a multivariable analysis controlling for age, sex, cancer site, stage, and performance status. Relationships for BMI and %WL to overall survival were examined to develop a grading system. RESULTS: Mean overall %WL was -9.7% +/- 8.4% and BMI was 24.4 +/- 5.1 kg/m(2), and both %WL and BMI independently predicted survival (P &lt; .01). Differences in survival were observed across five categories of BMI (&lt; 20.0, 20.0 to 21.9, 22.0 to 24.9, 25.0 to 27.9, and &gt;/= 28.0 kg/m(2); P &lt; .001) and five categories of %WL (-2.5% to -5.9%, -6.0% to -10.9%, -11.0% to -14.9%, &gt;/= -15.0%, and weight stable (+/- 2.4%); P &lt; .001). A 5 x 5 matrix representing the five %WL categories within each of the five BMI categories was graded based on median survival and prognostic significance. Weight-stable patients with BMI &gt;/= 25.0 kg/m(2) (grade 0) had the longest survival (20.9 months; 95% CI, 17.9 to 23.9 months), and %WL values associated with lowered categories of BMI were related to shorter survival (P &lt; .001), as follows: grade 1, 14.6 months (95% CI, 12.9 to 16.2 months); grade 2, 10.8 months (95% CI, 9.7 to 11.9 months); grade 3, 7.6 months (95% CI, 7.0 to 8.2 months); and grade 4, 4.3 months (95% CI, 4.1 to 4.6 months). Survival discrimination by grade was observed within specific cancers, stages, ages, and performance status and in an independent validation sample (n = 2,963). CONCLUSION: A robust grading system incorporating the independent prognostic significance of both BMI and %WL was developed.","author":[{"dropping-particle":"","family":"Martin","given":"L","non-dropping-particle":"","parse-names":false,"suffix":""},{"dropping-particle":"","family":"Senesse","given":"P","non-dropping-particle":"","parse-names":false,"suffix":""},{"dropping-particle":"","family":"Gioulbasanis","given":"I","non-dropping-particle":"","parse-names":false,"suffix":""},{"dropping-particle":"","family":"Antoun","given":"S","non-dropping-particle":"","parse-names":false,"suffix":""},{"dropping-particle":"","family":"Bozzetti","given":"F","non-dropping-particle":"","parse-names":false,"suffix":""},{"dropping-particle":"","family":"Deans","given":"C","non-dropping-particle":"","parse-names":false,"suffix":""},{"dropping-particle":"","family":"Strasser","given":"F","non-dropping-particle":"","parse-names":false,"suffix":""},{"dropping-particle":"","family":"Thoresen","given":"L","non-dropping-particle":"","parse-names":false,"suffix":""},{"dropping-particle":"","family":"Jagoe","given":"R T","non-dropping-particle":"","parse-names":false,"suffix":""},{"dropping-particle":"","family":"Chasen","given":"M","non-dropping-particle":"","parse-names":false,"suffix":""},{"dropping-particle":"","family":"Lundholm","given":"K","non-dropping-particle":"","parse-names":false,"suffix":""},{"dropping-particle":"","family":"Bosaeus","given":"I","non-dropping-particle":"","parse-names":false,"suffix":""},{"dropping-particle":"","family":"Fearon","given":"K H","non-dropping-particle":"","parse-names":false,"suffix":""},{"dropping-particle":"","family":"Baracos","given":"V E","non-dropping-particle":"","parse-names":false,"suffix":""}],"container-title":"J Clin Oncol","id":"ITEM-1","issue":"1","issued":{"date-parts":[["2015"]]},"page":"90-99","title":"Diagnostic criteria for the classification of cancer-associated weight loss","type":"article-journal","volume":"33"},"uris":["http://www.mendeley.com/documents/?uuid=7a9521f9-6162-4259-91eb-f119226287f5"]}],"mendeley":{"formattedCitation":"[5]","plainTextFormattedCitation":"[5]","previouslyFormattedCitation":"[5]"},"properties":{"noteIndex":0},"schema":"https://github.com/citation-style-language/schema/raw/master/csl-citation.json"}</w:instrText>
      </w:r>
      <w:r w:rsidR="003662F1" w:rsidRPr="00332C8B">
        <w:rPr>
          <w:rFonts w:asciiTheme="minorHAnsi" w:hAnsiTheme="minorHAnsi" w:cstheme="minorHAnsi"/>
          <w:color w:val="000000" w:themeColor="text1"/>
          <w:sz w:val="22"/>
          <w:szCs w:val="22"/>
        </w:rPr>
        <w:fldChar w:fldCharType="separate"/>
      </w:r>
      <w:r w:rsidR="00187EFE" w:rsidRPr="00332C8B">
        <w:rPr>
          <w:rFonts w:asciiTheme="minorHAnsi" w:hAnsiTheme="minorHAnsi" w:cstheme="minorHAnsi"/>
          <w:noProof/>
          <w:color w:val="000000" w:themeColor="text1"/>
          <w:sz w:val="22"/>
          <w:szCs w:val="22"/>
        </w:rPr>
        <w:t>[5]</w:t>
      </w:r>
      <w:r w:rsidR="003662F1" w:rsidRPr="00332C8B">
        <w:rPr>
          <w:rFonts w:asciiTheme="minorHAnsi" w:hAnsiTheme="minorHAnsi" w:cstheme="minorHAnsi"/>
          <w:color w:val="000000" w:themeColor="text1"/>
          <w:sz w:val="22"/>
          <w:szCs w:val="22"/>
        </w:rPr>
        <w:fldChar w:fldCharType="end"/>
      </w:r>
      <w:r w:rsidR="00BE136A" w:rsidRPr="00332C8B">
        <w:rPr>
          <w:rFonts w:asciiTheme="minorHAnsi" w:hAnsiTheme="minorHAnsi" w:cstheme="minorHAnsi"/>
          <w:color w:val="000000" w:themeColor="text1"/>
          <w:sz w:val="22"/>
          <w:szCs w:val="22"/>
        </w:rPr>
        <w:t xml:space="preserve"> and</w:t>
      </w:r>
      <w:r w:rsidR="00341AAC" w:rsidRPr="00332C8B">
        <w:rPr>
          <w:rFonts w:asciiTheme="minorHAnsi" w:hAnsiTheme="minorHAnsi" w:cstheme="minorHAnsi"/>
          <w:color w:val="000000" w:themeColor="text1"/>
          <w:sz w:val="22"/>
          <w:szCs w:val="22"/>
        </w:rPr>
        <w:t>, importantly,</w:t>
      </w:r>
      <w:r w:rsidR="00BE136A" w:rsidRPr="00332C8B">
        <w:rPr>
          <w:rFonts w:asciiTheme="minorHAnsi" w:hAnsiTheme="minorHAnsi" w:cstheme="minorHAnsi"/>
          <w:color w:val="000000" w:themeColor="text1"/>
          <w:sz w:val="22"/>
          <w:szCs w:val="22"/>
        </w:rPr>
        <w:t xml:space="preserve"> amenable to treatment</w:t>
      </w:r>
      <w:r w:rsidR="003662F1" w:rsidRPr="00332C8B">
        <w:rPr>
          <w:rFonts w:asciiTheme="minorHAnsi" w:hAnsiTheme="minorHAnsi" w:cstheme="minorHAnsi"/>
          <w:color w:val="000000" w:themeColor="text1"/>
          <w:sz w:val="22"/>
          <w:szCs w:val="22"/>
        </w:rPr>
        <w:fldChar w:fldCharType="begin" w:fldLock="1"/>
      </w:r>
      <w:r w:rsidR="00F66CFF" w:rsidRPr="00332C8B">
        <w:rPr>
          <w:rFonts w:asciiTheme="minorHAnsi" w:hAnsiTheme="minorHAnsi" w:cstheme="minorHAnsi"/>
          <w:color w:val="000000" w:themeColor="text1"/>
          <w:sz w:val="22"/>
          <w:szCs w:val="22"/>
        </w:rPr>
        <w:instrText>ADDIN CSL_CITATION {"citationItems":[{"id":"ITEM-1","itemData":{"DOI":"10.1080/01635581.2013.741752","ISBN":"0163-5581","ISSN":"0163-5581","abstract":"To better understand the impact of undernutrition, nutritional risk, and nutritional treatment on the clinical outcomes of hospitalized cancer patients in China, the authors conducted a multicenter, cross-sectional study with 2248 cancer patients from 20 hospitals from January to June 2010. The authors defined 19.7% and 26.8% patients as undernourished at baseline and reassessment, respectively. Patients with gastrointestinal malignancies had a higher rate of undernutrition than other patients. The nutritional risk rate was 24.6% and 40.2% at baseline and reassessment, respectively. For patients with nutritional risk, the relative risk (RR) of adverse events (AEs) significantly increased with and without nutritional treatment. In comparison with the nonnutritional treatment subgroup, patients who received enteral nutrition (EN) or total parenteral nutrition (TPN) significantly reduced the RR of AE development. The RR of AEs for EN and TPN were 0.08 (95% CI: 0.01-0.62) and 0.56 (95% CI: 0.33-0.96), respectively. Separated nutrient infusion increased the risk of AEs. The authors concluded that undernutrition and nutritional risk are general problems that impact the outcomes of hospitalized cancer patients in China. Higher NRS2002 scores are related to AE risk but not weight loss. In nutritional treatment, EN and TPN can significantly reduce the risk of AEs.","author":[{"dropping-particle":"","family":"Pan","given":"H","non-dropping-particle":"","parse-names":false,"suffix":""},{"dropping-particle":"","family":"Cai","given":"S","non-dropping-particle":"","parse-names":false,"suffix":""},{"dropping-particle":"","family":"Ji","given":"J","non-dropping-particle":"","parse-names":false,"suffix":""},{"dropping-particle":"","family":"Jiang","given":"Z","non-dropping-particle":"","parse-names":false,"suffix":""},{"dropping-particle":"","family":"Liang","given":"H","non-dropping-particle":"","parse-names":false,"suffix":""},{"dropping-particle":"","family":"Lin","given":"F","non-dropping-particle":"","parse-names":false,"suffix":""},{"dropping-particle":"","family":"Liu","given":"X","non-dropping-particle":"","parse-names":false,"suffix":""}],"container-title":"Nutr Cancer","id":"ITEM-1","issue":"1","issued":{"date-parts":[["2013"]]},"page":"62-70","title":"The impact of nutritional status, nutritional risk, and nutritional treatment on clinical outcome of 2248 hospitalized cancer patients: a multi-center, prospective cohort study in Chinese teaching hospitals","type":"article-journal","volume":"65"},"uris":["http://www.mendeley.com/documents/?uuid=eb8c4eca-b398-4d06-a4b0-cd43e99d8708"]}],"mendeley":{"formattedCitation":"[6]","plainTextFormattedCitation":"[6]","previouslyFormattedCitation":"[6]"},"properties":{"noteIndex":0},"schema":"https://github.com/citation-style-language/schema/raw/master/csl-citation.json"}</w:instrText>
      </w:r>
      <w:r w:rsidR="003662F1" w:rsidRPr="00332C8B">
        <w:rPr>
          <w:rFonts w:asciiTheme="minorHAnsi" w:hAnsiTheme="minorHAnsi" w:cstheme="minorHAnsi"/>
          <w:color w:val="000000" w:themeColor="text1"/>
          <w:sz w:val="22"/>
          <w:szCs w:val="22"/>
        </w:rPr>
        <w:fldChar w:fldCharType="separate"/>
      </w:r>
      <w:r w:rsidR="00187EFE" w:rsidRPr="00332C8B">
        <w:rPr>
          <w:rFonts w:asciiTheme="minorHAnsi" w:hAnsiTheme="minorHAnsi" w:cstheme="minorHAnsi"/>
          <w:noProof/>
          <w:color w:val="000000" w:themeColor="text1"/>
          <w:sz w:val="22"/>
          <w:szCs w:val="22"/>
        </w:rPr>
        <w:t>[6]</w:t>
      </w:r>
      <w:r w:rsidR="003662F1" w:rsidRPr="00332C8B">
        <w:rPr>
          <w:rFonts w:asciiTheme="minorHAnsi" w:hAnsiTheme="minorHAnsi" w:cstheme="minorHAnsi"/>
          <w:color w:val="000000" w:themeColor="text1"/>
          <w:sz w:val="22"/>
          <w:szCs w:val="22"/>
        </w:rPr>
        <w:fldChar w:fldCharType="end"/>
      </w:r>
      <w:r w:rsidR="00BE136A" w:rsidRPr="00332C8B">
        <w:rPr>
          <w:rFonts w:asciiTheme="minorHAnsi" w:hAnsiTheme="minorHAnsi" w:cstheme="minorHAnsi"/>
          <w:color w:val="000000" w:themeColor="text1"/>
          <w:sz w:val="22"/>
          <w:szCs w:val="22"/>
        </w:rPr>
        <w:t xml:space="preserve">. </w:t>
      </w:r>
    </w:p>
    <w:p w14:paraId="5117996E" w14:textId="77777777" w:rsidR="000F187A" w:rsidRPr="00332C8B" w:rsidRDefault="000F187A" w:rsidP="00F0414E">
      <w:pPr>
        <w:spacing w:line="480" w:lineRule="auto"/>
        <w:rPr>
          <w:rFonts w:asciiTheme="minorHAnsi" w:hAnsiTheme="minorHAnsi" w:cstheme="minorHAnsi"/>
          <w:color w:val="000000" w:themeColor="text1"/>
          <w:sz w:val="22"/>
          <w:szCs w:val="22"/>
        </w:rPr>
      </w:pPr>
    </w:p>
    <w:p w14:paraId="1165F91D" w14:textId="4A1A546B" w:rsidR="00341AAC" w:rsidRPr="00332C8B" w:rsidRDefault="00DD2FD9" w:rsidP="00F0414E">
      <w:pPr>
        <w:spacing w:line="480" w:lineRule="auto"/>
        <w:rPr>
          <w:rFonts w:asciiTheme="minorHAnsi" w:hAnsiTheme="minorHAnsi" w:cstheme="minorHAnsi"/>
          <w:sz w:val="22"/>
          <w:szCs w:val="22"/>
        </w:rPr>
      </w:pPr>
      <w:r w:rsidRPr="00332C8B">
        <w:rPr>
          <w:rFonts w:asciiTheme="minorHAnsi" w:hAnsiTheme="minorHAnsi" w:cstheme="minorHAnsi"/>
          <w:color w:val="000000" w:themeColor="text1"/>
          <w:sz w:val="22"/>
          <w:szCs w:val="22"/>
        </w:rPr>
        <w:t xml:space="preserve">With an incidence of major complications in high income countries as </w:t>
      </w:r>
      <w:r w:rsidR="007E397D" w:rsidRPr="00332C8B">
        <w:rPr>
          <w:rFonts w:asciiTheme="minorHAnsi" w:hAnsiTheme="minorHAnsi" w:cstheme="minorHAnsi"/>
          <w:color w:val="000000" w:themeColor="text1"/>
          <w:sz w:val="22"/>
          <w:szCs w:val="22"/>
        </w:rPr>
        <w:t>much</w:t>
      </w:r>
      <w:r w:rsidRPr="00332C8B">
        <w:rPr>
          <w:rFonts w:asciiTheme="minorHAnsi" w:hAnsiTheme="minorHAnsi" w:cstheme="minorHAnsi"/>
          <w:color w:val="000000" w:themeColor="text1"/>
          <w:sz w:val="22"/>
          <w:szCs w:val="22"/>
        </w:rPr>
        <w:t xml:space="preserve"> as 18%</w:t>
      </w:r>
      <w:r w:rsidR="003662F1" w:rsidRPr="00332C8B">
        <w:rPr>
          <w:rFonts w:asciiTheme="minorHAnsi" w:hAnsiTheme="minorHAnsi" w:cstheme="minorHAnsi"/>
          <w:color w:val="000000" w:themeColor="text1"/>
          <w:sz w:val="22"/>
          <w:szCs w:val="22"/>
        </w:rPr>
        <w:fldChar w:fldCharType="begin" w:fldLock="1"/>
      </w:r>
      <w:r w:rsidR="00F66CFF" w:rsidRPr="00332C8B">
        <w:rPr>
          <w:rFonts w:asciiTheme="minorHAnsi" w:hAnsiTheme="minorHAnsi" w:cstheme="minorHAnsi"/>
          <w:color w:val="000000" w:themeColor="text1"/>
          <w:sz w:val="22"/>
          <w:szCs w:val="22"/>
        </w:rPr>
        <w:instrText>ADDIN CSL_CITATION {"citationItems":[{"id":"ITEM-1","itemData":{"DOI":"10.1056/NEJMsa0903048","ISSN":"1533-4406","PMID":"19797283","abstract":"BACKGROUND Hospital mortality that is associated with inpatient surgery varies widely. Reducing rates of postoperative complications, the current focus of payers and regulators, may be one approach to reducing mortality. However, effective management of complications once they have occurred may be equally important. METHODS We studied 84,730 patients who had undergone inpatient general and vascular surgery from 2005 through 2007, using data from the American College of Surgeons National Surgical Quality Improvement Program. We first ranked hospitals according to their risk-adjusted overall rate of death and divided them into five groups. For hospitals in each overall mortality quintile, we then assessed the incidence of overall and major complications and the rate of death among patients with major complications. RESULTS Rates of death varied widely across hospital quintiles, from 3.5% in very-low-mortality hospitals to 6.9% in very-high-mortality hospitals. Hospitals with either very high mortality or very low mortality had similar rates of overall complications (24.6% and 26.9%, respectively) and of major complications (18.2% and 16.2%, respectively). Rates of individual complications did not vary significantly across hospital mortality quintiles. In contrast, mortality in patients with major complications was almost twice as high in hospitals with very high overall mortality as in those with very low overall mortality (21.4% vs. 12.5%, P&lt;0.001). Differences in rates of death among patients with major complications were also the primary determinant of variation in overall mortality with individual operations. CONCLUSIONS In addition to efforts aimed at avoiding complications in the first place, reducing mortality associated with inpatient surgery will require greater attention to the timely recognition and management of complications once they occur.","author":[{"dropping-particle":"","family":"Ghaferi","given":"Amir A","non-dropping-particle":"","parse-names":false,"suffix":""},{"dropping-particle":"","family":"Birkmeyer","given":"John D","non-dropping-particle":"","parse-names":false,"suffix":""},{"dropping-particle":"","family":"Dimick","given":"Justin B","non-dropping-particle":"","parse-names":false,"suffix":""}],"container-title":"The New England journal of medicine","id":"ITEM-1","issue":"14","issued":{"date-parts":[["2009","10","1"]]},"page":"1368-75","title":"Variation in hospital mortality associated with inpatient surgery.","type":"article-journal","volume":"361"},"uris":["http://www.mendeley.com/documents/?uuid=367b6e1f-dac9-41c3-98af-d049f580b9e5"]}],"mendeley":{"formattedCitation":"[7]","plainTextFormattedCitation":"[7]","previouslyFormattedCitation":"[7]"},"properties":{"noteIndex":0},"schema":"https://github.com/citation-style-language/schema/raw/master/csl-citation.json"}</w:instrText>
      </w:r>
      <w:r w:rsidR="003662F1" w:rsidRPr="00332C8B">
        <w:rPr>
          <w:rFonts w:asciiTheme="minorHAnsi" w:hAnsiTheme="minorHAnsi" w:cstheme="minorHAnsi"/>
          <w:color w:val="000000" w:themeColor="text1"/>
          <w:sz w:val="22"/>
          <w:szCs w:val="22"/>
        </w:rPr>
        <w:fldChar w:fldCharType="separate"/>
      </w:r>
      <w:r w:rsidR="00187EFE" w:rsidRPr="00332C8B">
        <w:rPr>
          <w:rFonts w:asciiTheme="minorHAnsi" w:hAnsiTheme="minorHAnsi" w:cstheme="minorHAnsi"/>
          <w:noProof/>
          <w:color w:val="000000" w:themeColor="text1"/>
          <w:sz w:val="22"/>
          <w:szCs w:val="22"/>
        </w:rPr>
        <w:t>[7]</w:t>
      </w:r>
      <w:r w:rsidR="003662F1" w:rsidRPr="00332C8B">
        <w:rPr>
          <w:rFonts w:asciiTheme="minorHAnsi" w:hAnsiTheme="minorHAnsi" w:cstheme="minorHAnsi"/>
          <w:color w:val="000000" w:themeColor="text1"/>
          <w:sz w:val="22"/>
          <w:szCs w:val="22"/>
        </w:rPr>
        <w:fldChar w:fldCharType="end"/>
      </w:r>
      <w:r w:rsidRPr="00332C8B">
        <w:rPr>
          <w:rFonts w:asciiTheme="minorHAnsi" w:hAnsiTheme="minorHAnsi" w:cstheme="minorHAnsi"/>
          <w:color w:val="000000" w:themeColor="text1"/>
          <w:sz w:val="22"/>
          <w:szCs w:val="22"/>
        </w:rPr>
        <w:t xml:space="preserve"> o</w:t>
      </w:r>
      <w:r w:rsidR="00C92DDD" w:rsidRPr="00332C8B">
        <w:rPr>
          <w:rFonts w:asciiTheme="minorHAnsi" w:hAnsiTheme="minorHAnsi" w:cstheme="minorHAnsi"/>
          <w:color w:val="000000" w:themeColor="text1"/>
          <w:sz w:val="22"/>
          <w:szCs w:val="22"/>
        </w:rPr>
        <w:t xml:space="preserve">ne of the key </w:t>
      </w:r>
      <w:r w:rsidR="000F187A" w:rsidRPr="00332C8B">
        <w:rPr>
          <w:rFonts w:asciiTheme="minorHAnsi" w:hAnsiTheme="minorHAnsi" w:cstheme="minorHAnsi"/>
          <w:color w:val="000000" w:themeColor="text1"/>
          <w:sz w:val="22"/>
          <w:szCs w:val="22"/>
        </w:rPr>
        <w:t xml:space="preserve">purposes </w:t>
      </w:r>
      <w:r w:rsidR="00C92DDD" w:rsidRPr="00332C8B">
        <w:rPr>
          <w:rFonts w:asciiTheme="minorHAnsi" w:hAnsiTheme="minorHAnsi" w:cstheme="minorHAnsi"/>
          <w:color w:val="000000" w:themeColor="text1"/>
          <w:sz w:val="22"/>
          <w:szCs w:val="22"/>
        </w:rPr>
        <w:t>of p</w:t>
      </w:r>
      <w:r w:rsidR="00161EF6" w:rsidRPr="00332C8B">
        <w:rPr>
          <w:rFonts w:asciiTheme="minorHAnsi" w:hAnsiTheme="minorHAnsi" w:cstheme="minorHAnsi"/>
          <w:color w:val="000000" w:themeColor="text1"/>
          <w:sz w:val="22"/>
          <w:szCs w:val="22"/>
        </w:rPr>
        <w:t xml:space="preserve">re-operative assessment </w:t>
      </w:r>
      <w:r w:rsidR="00C92DDD" w:rsidRPr="00332C8B">
        <w:rPr>
          <w:rFonts w:asciiTheme="minorHAnsi" w:hAnsiTheme="minorHAnsi" w:cstheme="minorHAnsi"/>
          <w:color w:val="000000" w:themeColor="text1"/>
          <w:sz w:val="22"/>
          <w:szCs w:val="22"/>
        </w:rPr>
        <w:t>is to</w:t>
      </w:r>
      <w:r w:rsidR="00161EF6" w:rsidRPr="00332C8B">
        <w:rPr>
          <w:rFonts w:asciiTheme="minorHAnsi" w:hAnsiTheme="minorHAnsi" w:cstheme="minorHAnsi"/>
          <w:color w:val="000000" w:themeColor="text1"/>
          <w:sz w:val="22"/>
          <w:szCs w:val="22"/>
        </w:rPr>
        <w:t xml:space="preserve"> identify those at increased risk of post-operative morbidity and mortality</w:t>
      </w:r>
      <w:r w:rsidR="00C92DDD" w:rsidRPr="00332C8B">
        <w:rPr>
          <w:rFonts w:asciiTheme="minorHAnsi" w:hAnsiTheme="minorHAnsi" w:cstheme="minorHAnsi"/>
          <w:color w:val="000000" w:themeColor="text1"/>
          <w:sz w:val="22"/>
          <w:szCs w:val="22"/>
        </w:rPr>
        <w:t>.</w:t>
      </w:r>
      <w:r w:rsidRPr="00332C8B">
        <w:rPr>
          <w:rFonts w:asciiTheme="minorHAnsi" w:hAnsiTheme="minorHAnsi" w:cstheme="minorHAnsi"/>
          <w:color w:val="000000" w:themeColor="text1"/>
          <w:sz w:val="22"/>
          <w:szCs w:val="22"/>
        </w:rPr>
        <w:t xml:space="preserve"> </w:t>
      </w:r>
      <w:r w:rsidR="00261F9D" w:rsidRPr="00332C8B">
        <w:rPr>
          <w:rFonts w:asciiTheme="minorHAnsi" w:hAnsiTheme="minorHAnsi" w:cstheme="minorHAnsi"/>
          <w:color w:val="000000" w:themeColor="text1"/>
          <w:sz w:val="22"/>
          <w:szCs w:val="22"/>
        </w:rPr>
        <w:t>Comprehensive, objective</w:t>
      </w:r>
      <w:r w:rsidR="00650119" w:rsidRPr="00332C8B">
        <w:rPr>
          <w:rFonts w:asciiTheme="minorHAnsi" w:hAnsiTheme="minorHAnsi" w:cstheme="minorHAnsi"/>
          <w:color w:val="000000" w:themeColor="text1"/>
          <w:sz w:val="22"/>
          <w:szCs w:val="22"/>
        </w:rPr>
        <w:t xml:space="preserve">, </w:t>
      </w:r>
      <w:r w:rsidR="00261F9D" w:rsidRPr="00332C8B">
        <w:rPr>
          <w:rFonts w:asciiTheme="minorHAnsi" w:hAnsiTheme="minorHAnsi" w:cstheme="minorHAnsi"/>
          <w:color w:val="000000" w:themeColor="text1"/>
          <w:sz w:val="22"/>
          <w:szCs w:val="22"/>
        </w:rPr>
        <w:t>r</w:t>
      </w:r>
      <w:r w:rsidR="00CF1961" w:rsidRPr="00332C8B">
        <w:rPr>
          <w:rFonts w:asciiTheme="minorHAnsi" w:hAnsiTheme="minorHAnsi" w:cstheme="minorHAnsi"/>
          <w:color w:val="000000" w:themeColor="text1"/>
          <w:sz w:val="22"/>
          <w:szCs w:val="22"/>
        </w:rPr>
        <w:t>isk assessment</w:t>
      </w:r>
      <w:r w:rsidR="00161EF6" w:rsidRPr="00332C8B">
        <w:rPr>
          <w:rFonts w:asciiTheme="minorHAnsi" w:hAnsiTheme="minorHAnsi" w:cstheme="minorHAnsi"/>
          <w:color w:val="000000" w:themeColor="text1"/>
          <w:sz w:val="22"/>
          <w:szCs w:val="22"/>
        </w:rPr>
        <w:t xml:space="preserve"> is </w:t>
      </w:r>
      <w:r w:rsidR="00261F9D" w:rsidRPr="00332C8B">
        <w:rPr>
          <w:rFonts w:asciiTheme="minorHAnsi" w:hAnsiTheme="minorHAnsi" w:cstheme="minorHAnsi"/>
          <w:color w:val="000000" w:themeColor="text1"/>
          <w:sz w:val="22"/>
          <w:szCs w:val="22"/>
        </w:rPr>
        <w:t xml:space="preserve">a </w:t>
      </w:r>
      <w:r w:rsidRPr="00332C8B">
        <w:rPr>
          <w:rFonts w:asciiTheme="minorHAnsi" w:hAnsiTheme="minorHAnsi" w:cstheme="minorHAnsi"/>
          <w:color w:val="000000" w:themeColor="text1"/>
          <w:sz w:val="22"/>
          <w:szCs w:val="22"/>
        </w:rPr>
        <w:t>vital</w:t>
      </w:r>
      <w:r w:rsidR="00161EF6" w:rsidRPr="00332C8B">
        <w:rPr>
          <w:rFonts w:asciiTheme="minorHAnsi" w:hAnsiTheme="minorHAnsi" w:cstheme="minorHAnsi"/>
          <w:color w:val="000000" w:themeColor="text1"/>
          <w:sz w:val="22"/>
          <w:szCs w:val="22"/>
        </w:rPr>
        <w:t xml:space="preserve"> </w:t>
      </w:r>
      <w:r w:rsidR="00261F9D" w:rsidRPr="00332C8B">
        <w:rPr>
          <w:rFonts w:asciiTheme="minorHAnsi" w:hAnsiTheme="minorHAnsi" w:cstheme="minorHAnsi"/>
          <w:color w:val="000000" w:themeColor="text1"/>
          <w:sz w:val="22"/>
          <w:szCs w:val="22"/>
        </w:rPr>
        <w:t>tool in guiding</w:t>
      </w:r>
      <w:r w:rsidR="00161EF6" w:rsidRPr="00332C8B">
        <w:rPr>
          <w:rFonts w:asciiTheme="minorHAnsi" w:hAnsiTheme="minorHAnsi" w:cstheme="minorHAnsi"/>
          <w:color w:val="000000" w:themeColor="text1"/>
          <w:sz w:val="22"/>
          <w:szCs w:val="22"/>
        </w:rPr>
        <w:t xml:space="preserve"> shared decision making</w:t>
      </w:r>
      <w:r w:rsidR="00CF1961" w:rsidRPr="00332C8B">
        <w:rPr>
          <w:rFonts w:asciiTheme="minorHAnsi" w:hAnsiTheme="minorHAnsi" w:cstheme="minorHAnsi"/>
          <w:color w:val="000000" w:themeColor="text1"/>
          <w:sz w:val="22"/>
          <w:szCs w:val="22"/>
        </w:rPr>
        <w:t>,</w:t>
      </w:r>
      <w:r w:rsidR="002646C0" w:rsidRPr="00332C8B">
        <w:rPr>
          <w:rFonts w:asciiTheme="minorHAnsi" w:hAnsiTheme="minorHAnsi" w:cstheme="minorHAnsi"/>
          <w:color w:val="000000" w:themeColor="text1"/>
          <w:sz w:val="22"/>
          <w:szCs w:val="22"/>
        </w:rPr>
        <w:t xml:space="preserve"> </w:t>
      </w:r>
      <w:r w:rsidR="00161EF6" w:rsidRPr="00332C8B">
        <w:rPr>
          <w:rFonts w:asciiTheme="minorHAnsi" w:hAnsiTheme="minorHAnsi" w:cstheme="minorHAnsi"/>
          <w:color w:val="000000" w:themeColor="text1"/>
          <w:sz w:val="22"/>
          <w:szCs w:val="22"/>
        </w:rPr>
        <w:t xml:space="preserve">planning perioperative management and </w:t>
      </w:r>
      <w:r w:rsidR="00261F9D" w:rsidRPr="00332C8B">
        <w:rPr>
          <w:rFonts w:asciiTheme="minorHAnsi" w:hAnsiTheme="minorHAnsi" w:cstheme="minorHAnsi"/>
          <w:color w:val="000000" w:themeColor="text1"/>
          <w:sz w:val="22"/>
          <w:szCs w:val="22"/>
        </w:rPr>
        <w:t>referral to</w:t>
      </w:r>
      <w:r w:rsidR="00161EF6" w:rsidRPr="00332C8B">
        <w:rPr>
          <w:rFonts w:asciiTheme="minorHAnsi" w:hAnsiTheme="minorHAnsi" w:cstheme="minorHAnsi"/>
          <w:color w:val="000000" w:themeColor="text1"/>
          <w:sz w:val="22"/>
          <w:szCs w:val="22"/>
        </w:rPr>
        <w:t xml:space="preserve"> post-operative critical care facilities</w:t>
      </w:r>
      <w:r w:rsidR="00C07CE1" w:rsidRPr="00332C8B">
        <w:rPr>
          <w:rFonts w:asciiTheme="minorHAnsi" w:hAnsiTheme="minorHAnsi" w:cstheme="minorHAnsi"/>
          <w:color w:val="000000" w:themeColor="text1"/>
          <w:sz w:val="22"/>
          <w:szCs w:val="22"/>
        </w:rPr>
        <w:t xml:space="preserve"> where indicated</w:t>
      </w:r>
      <w:r w:rsidR="003662F1" w:rsidRPr="00332C8B">
        <w:rPr>
          <w:rFonts w:asciiTheme="minorHAnsi" w:hAnsiTheme="minorHAnsi" w:cstheme="minorHAnsi"/>
          <w:color w:val="000000" w:themeColor="text1"/>
          <w:sz w:val="22"/>
          <w:szCs w:val="22"/>
        </w:rPr>
        <w:fldChar w:fldCharType="begin" w:fldLock="1"/>
      </w:r>
      <w:r w:rsidR="00F66CFF" w:rsidRPr="00332C8B">
        <w:rPr>
          <w:rFonts w:asciiTheme="minorHAnsi" w:hAnsiTheme="minorHAnsi" w:cstheme="minorHAnsi"/>
          <w:color w:val="000000" w:themeColor="text1"/>
          <w:sz w:val="22"/>
          <w:szCs w:val="22"/>
        </w:rPr>
        <w:instrText>ADDIN CSL_CITATION {"citationItems":[{"id":"ITEM-1","itemData":{"DOI":"10.1097/ALN.0b013e3182a4e94d","ISSN":"1528-1175","PMID":"24195875","abstract":"Risk stratification is essential for both clinical risk prediction and comparative audit. There are a variety of risk stratification tools available for use in major noncardiac surgery, but their discrimination and calibration have not previously been systematically reviewed in heterogeneous patient cohorts.Embase, MEDLINE, and Web of Science were searched for studies published between January 1, 1980 and August 6, 2011 in adult patients undergoing major noncardiac, nonneurological surgery. Twenty-seven studies evaluating 34 risk stratification tools were identified which met inclusion criteria. The Portsmouth-Physiology and Operative Severity Score for the enUmeration of Mortality and the Surgical Risk Scale were demonstrated to be the most consistently accurate tools that have been validated in multiple studies; however, both have limitations. Future work should focus on further evaluation of these and other parsimonious risk predictors, including validation in international cohorts. There is also a need for studies examining the impact that the use of these tools has on clinical decision making and patient outcome.","author":[{"dropping-particle":"","family":"Moonesinghe","given":"Suneetha Ramani","non-dropping-particle":"","parse-names":false,"suffix":""},{"dropping-particle":"","family":"Mythen","given":"Michael G","non-dropping-particle":"","parse-names":false,"suffix":""},{"dropping-particle":"","family":"Das","given":"Priya","non-dropping-particle":"","parse-names":false,"suffix":""},{"dropping-particle":"","family":"Rowan","given":"Kathryn M","non-dropping-particle":"","parse-names":false,"suffix":""},{"dropping-particle":"","family":"Grocott","given":"Michael P W","non-dropping-particle":"","parse-names":false,"suffix":""}],"container-title":"Anesthesiology","id":"ITEM-1","issue":"4","issued":{"date-parts":[["2013","10"]]},"page":"959-81","title":"Risk stratification tools for predicting morbidity and mortality in adult patients undergoing major surgery: qualitative systematic review.","type":"article-journal","volume":"119"},"uris":["http://www.mendeley.com/documents/?uuid=5fc76b69-f424-413c-bd55-07f3d58b19da"]}],"mendeley":{"formattedCitation":"[8]","plainTextFormattedCitation":"[8]","previouslyFormattedCitation":"[8]"},"properties":{"noteIndex":0},"schema":"https://github.com/citation-style-language/schema/raw/master/csl-citation.json"}</w:instrText>
      </w:r>
      <w:r w:rsidR="003662F1" w:rsidRPr="00332C8B">
        <w:rPr>
          <w:rFonts w:asciiTheme="minorHAnsi" w:hAnsiTheme="minorHAnsi" w:cstheme="minorHAnsi"/>
          <w:color w:val="000000" w:themeColor="text1"/>
          <w:sz w:val="22"/>
          <w:szCs w:val="22"/>
        </w:rPr>
        <w:fldChar w:fldCharType="separate"/>
      </w:r>
      <w:r w:rsidR="00187EFE" w:rsidRPr="00332C8B">
        <w:rPr>
          <w:rFonts w:asciiTheme="minorHAnsi" w:hAnsiTheme="minorHAnsi" w:cstheme="minorHAnsi"/>
          <w:noProof/>
          <w:color w:val="000000" w:themeColor="text1"/>
          <w:sz w:val="22"/>
          <w:szCs w:val="22"/>
        </w:rPr>
        <w:t>[8]</w:t>
      </w:r>
      <w:r w:rsidR="003662F1" w:rsidRPr="00332C8B">
        <w:rPr>
          <w:rFonts w:asciiTheme="minorHAnsi" w:hAnsiTheme="minorHAnsi" w:cstheme="minorHAnsi"/>
          <w:color w:val="000000" w:themeColor="text1"/>
          <w:sz w:val="22"/>
          <w:szCs w:val="22"/>
        </w:rPr>
        <w:fldChar w:fldCharType="end"/>
      </w:r>
      <w:r w:rsidR="00161EF6" w:rsidRPr="00332C8B">
        <w:rPr>
          <w:rFonts w:asciiTheme="minorHAnsi" w:hAnsiTheme="minorHAnsi" w:cstheme="minorHAnsi"/>
          <w:color w:val="000000" w:themeColor="text1"/>
          <w:sz w:val="22"/>
          <w:szCs w:val="22"/>
        </w:rPr>
        <w:t>.</w:t>
      </w:r>
      <w:r w:rsidR="00341AAC" w:rsidRPr="00332C8B">
        <w:rPr>
          <w:rFonts w:asciiTheme="minorHAnsi" w:hAnsiTheme="minorHAnsi" w:cstheme="minorHAnsi"/>
          <w:color w:val="000000" w:themeColor="text1"/>
          <w:sz w:val="22"/>
          <w:szCs w:val="22"/>
        </w:rPr>
        <w:t xml:space="preserve"> </w:t>
      </w:r>
      <w:r w:rsidR="00583D60" w:rsidRPr="00332C8B">
        <w:rPr>
          <w:rFonts w:asciiTheme="minorHAnsi" w:hAnsiTheme="minorHAnsi" w:cstheme="minorHAnsi"/>
          <w:color w:val="000000" w:themeColor="text1"/>
          <w:sz w:val="22"/>
          <w:szCs w:val="22"/>
        </w:rPr>
        <w:t>I</w:t>
      </w:r>
      <w:r w:rsidR="00261F9D" w:rsidRPr="00332C8B">
        <w:rPr>
          <w:rFonts w:asciiTheme="minorHAnsi" w:hAnsiTheme="minorHAnsi" w:cstheme="minorHAnsi"/>
          <w:color w:val="000000" w:themeColor="text1"/>
          <w:sz w:val="22"/>
          <w:szCs w:val="22"/>
        </w:rPr>
        <w:t>t may</w:t>
      </w:r>
      <w:r w:rsidR="00583D60" w:rsidRPr="00332C8B">
        <w:rPr>
          <w:rFonts w:asciiTheme="minorHAnsi" w:hAnsiTheme="minorHAnsi" w:cstheme="minorHAnsi"/>
          <w:color w:val="000000" w:themeColor="text1"/>
          <w:sz w:val="22"/>
          <w:szCs w:val="22"/>
        </w:rPr>
        <w:t xml:space="preserve"> also</w:t>
      </w:r>
      <w:r w:rsidR="00261F9D" w:rsidRPr="00332C8B">
        <w:rPr>
          <w:rFonts w:asciiTheme="minorHAnsi" w:hAnsiTheme="minorHAnsi" w:cstheme="minorHAnsi"/>
          <w:color w:val="000000" w:themeColor="text1"/>
          <w:sz w:val="22"/>
          <w:szCs w:val="22"/>
        </w:rPr>
        <w:t xml:space="preserve"> be used to direct personalised care </w:t>
      </w:r>
      <w:r w:rsidR="009023E1" w:rsidRPr="00332C8B">
        <w:rPr>
          <w:rFonts w:asciiTheme="minorHAnsi" w:hAnsiTheme="minorHAnsi" w:cstheme="minorHAnsi"/>
          <w:color w:val="000000" w:themeColor="text1"/>
          <w:sz w:val="22"/>
          <w:szCs w:val="22"/>
        </w:rPr>
        <w:t xml:space="preserve">through </w:t>
      </w:r>
      <w:r w:rsidR="008F2694" w:rsidRPr="00332C8B">
        <w:rPr>
          <w:rFonts w:asciiTheme="minorHAnsi" w:hAnsiTheme="minorHAnsi" w:cstheme="minorHAnsi"/>
          <w:color w:val="000000" w:themeColor="text1"/>
          <w:sz w:val="22"/>
          <w:szCs w:val="22"/>
        </w:rPr>
        <w:t>interventions such as</w:t>
      </w:r>
      <w:r w:rsidR="00261F9D" w:rsidRPr="00332C8B">
        <w:rPr>
          <w:rFonts w:asciiTheme="minorHAnsi" w:hAnsiTheme="minorHAnsi" w:cstheme="minorHAnsi"/>
          <w:color w:val="000000" w:themeColor="text1"/>
          <w:sz w:val="22"/>
          <w:szCs w:val="22"/>
        </w:rPr>
        <w:t xml:space="preserve"> mul</w:t>
      </w:r>
      <w:r w:rsidR="00EE4D25" w:rsidRPr="00332C8B">
        <w:rPr>
          <w:rFonts w:asciiTheme="minorHAnsi" w:hAnsiTheme="minorHAnsi" w:cstheme="minorHAnsi"/>
          <w:color w:val="000000" w:themeColor="text1"/>
          <w:sz w:val="22"/>
          <w:szCs w:val="22"/>
        </w:rPr>
        <w:t>ti</w:t>
      </w:r>
      <w:r w:rsidR="00261F9D" w:rsidRPr="00332C8B">
        <w:rPr>
          <w:rFonts w:asciiTheme="minorHAnsi" w:hAnsiTheme="minorHAnsi" w:cstheme="minorHAnsi"/>
          <w:color w:val="000000" w:themeColor="text1"/>
          <w:sz w:val="22"/>
          <w:szCs w:val="22"/>
        </w:rPr>
        <w:t>-modal prehabilitation</w:t>
      </w:r>
      <w:r w:rsidR="003662F1" w:rsidRPr="00332C8B">
        <w:rPr>
          <w:rFonts w:asciiTheme="minorHAnsi" w:hAnsiTheme="minorHAnsi" w:cstheme="minorHAnsi"/>
          <w:color w:val="000000" w:themeColor="text1"/>
          <w:sz w:val="22"/>
          <w:szCs w:val="22"/>
        </w:rPr>
        <w:fldChar w:fldCharType="begin" w:fldLock="1"/>
      </w:r>
      <w:r w:rsidR="00F66CFF" w:rsidRPr="00332C8B">
        <w:rPr>
          <w:rFonts w:asciiTheme="minorHAnsi" w:hAnsiTheme="minorHAnsi" w:cstheme="minorHAnsi"/>
          <w:color w:val="000000" w:themeColor="text1"/>
          <w:sz w:val="22"/>
          <w:szCs w:val="22"/>
        </w:rPr>
        <w:instrText>ADDIN CSL_CITATION {"citationItems":[{"id":"ITEM-1","itemData":{"DOI":"10.1111/anae.14505","ISSN":"13652044","abstract":"Just as there is growing interest in enhancing recovery after surgery, prehabilitation is becoming a recognised means of preparing the patient physically for their operation and/or subsequent treatment. Exercise training is an important stimulus for improving low cardiovascular fitness and preserving lean muscle mass, which are critical factors in how well the patient recovers from surgery. Despite the usual focus on exercise, it is important to recognise the contribution of nutritional optimisation and psychological wellbeing for both the adherence and the response to the physical training stimulus. This article reviews the importance of a multi-modal approach to prehabilitation in order to maximise its impact in the pre-surgical period, as well as critical future steps in its development and integration in the healthcare system.","author":[{"dropping-particle":"","family":"Scheede-Bergdahl","given":"C.","non-dropping-particle":"","parse-names":false,"suffix":""},{"dropping-particle":"","family":"Minnella","given":"E. M.","non-dropping-particle":"","parse-names":false,"suffix":""},{"dropping-particle":"","family":"Carli","given":"F.","non-dropping-particle":"","parse-names":false,"suffix":""}],"container-title":"Anaesthesia","id":"ITEM-1","issued":{"date-parts":[["2019"]]},"title":"Multi-modal prehabilitation: addressing the why, when, what, how, who and where next?","type":"article"},"uris":["http://www.mendeley.com/documents/?uuid=821416c1-29dc-488c-ac68-b98b83fbbc62"]}],"mendeley":{"formattedCitation":"[9]","plainTextFormattedCitation":"[9]","previouslyFormattedCitation":"[9]"},"properties":{"noteIndex":0},"schema":"https://github.com/citation-style-language/schema/raw/master/csl-citation.json"}</w:instrText>
      </w:r>
      <w:r w:rsidR="003662F1" w:rsidRPr="00332C8B">
        <w:rPr>
          <w:rFonts w:asciiTheme="minorHAnsi" w:hAnsiTheme="minorHAnsi" w:cstheme="minorHAnsi"/>
          <w:color w:val="000000" w:themeColor="text1"/>
          <w:sz w:val="22"/>
          <w:szCs w:val="22"/>
        </w:rPr>
        <w:fldChar w:fldCharType="separate"/>
      </w:r>
      <w:r w:rsidR="00187EFE" w:rsidRPr="00332C8B">
        <w:rPr>
          <w:rFonts w:asciiTheme="minorHAnsi" w:hAnsiTheme="minorHAnsi" w:cstheme="minorHAnsi"/>
          <w:noProof/>
          <w:color w:val="000000" w:themeColor="text1"/>
          <w:sz w:val="22"/>
          <w:szCs w:val="22"/>
        </w:rPr>
        <w:t>[9]</w:t>
      </w:r>
      <w:r w:rsidR="003662F1" w:rsidRPr="00332C8B">
        <w:rPr>
          <w:rFonts w:asciiTheme="minorHAnsi" w:hAnsiTheme="minorHAnsi" w:cstheme="minorHAnsi"/>
          <w:color w:val="000000" w:themeColor="text1"/>
          <w:sz w:val="22"/>
          <w:szCs w:val="22"/>
        </w:rPr>
        <w:fldChar w:fldCharType="end"/>
      </w:r>
      <w:r w:rsidR="009023E1" w:rsidRPr="00332C8B">
        <w:rPr>
          <w:rFonts w:asciiTheme="minorHAnsi" w:hAnsiTheme="minorHAnsi" w:cstheme="minorHAnsi"/>
          <w:color w:val="000000" w:themeColor="text1"/>
          <w:sz w:val="22"/>
          <w:szCs w:val="22"/>
        </w:rPr>
        <w:t xml:space="preserve"> and </w:t>
      </w:r>
      <w:r w:rsidR="00161EF6" w:rsidRPr="00332C8B">
        <w:rPr>
          <w:rFonts w:asciiTheme="minorHAnsi" w:hAnsiTheme="minorHAnsi" w:cstheme="minorHAnsi"/>
          <w:color w:val="000000" w:themeColor="text1"/>
          <w:sz w:val="22"/>
          <w:szCs w:val="22"/>
        </w:rPr>
        <w:t>may reduce the healthcare costs associated with excess morbidity</w:t>
      </w:r>
      <w:r w:rsidR="003662F1" w:rsidRPr="00332C8B">
        <w:rPr>
          <w:rFonts w:asciiTheme="minorHAnsi" w:hAnsiTheme="minorHAnsi" w:cstheme="minorHAnsi"/>
          <w:color w:val="000000" w:themeColor="text1"/>
          <w:sz w:val="22"/>
          <w:szCs w:val="22"/>
        </w:rPr>
        <w:fldChar w:fldCharType="begin" w:fldLock="1"/>
      </w:r>
      <w:r w:rsidR="00F66CFF" w:rsidRPr="00332C8B">
        <w:rPr>
          <w:rFonts w:asciiTheme="minorHAnsi" w:hAnsiTheme="minorHAnsi" w:cstheme="minorHAnsi"/>
          <w:color w:val="000000" w:themeColor="text1"/>
          <w:sz w:val="22"/>
          <w:szCs w:val="22"/>
        </w:rPr>
        <w:instrText>ADDIN CSL_CITATION {"citationItems":[{"id":"ITEM-1","itemData":{"DOI":"10.1097/SLA.0000000000001069","ISSN":"1528-1140","PMID":"25493360","abstract":"OBJECTIVE To examine the financial impact of quality improvement using Medicare payment data. BACKGROUND Demonstrating a business case for quality improvement--that is, that fewer complications translates into lower costs--is essential to justify investment in quality improvement. Prior research is limited to cross-sectional studies showing that patients with complications have higher costs. We designed a study to better evaluate the relationship between payments and complications by using quality improvement itself as a measured outcome. METHODS We used national Medicare data for patients undergoing general (n = 1,485,667) and vascular (n = 531,951) procedures. We calculated hospitals' rates of serious complications in 2 time periods: 2003-2004 and 2009-2010. We sorted hospitals into quintiles by the change in complication rates across these time periods. Costs were assessed using price-standardized Medicare payments, and regression analyses used to determine the average change in payments over time. RESULTS There was significant change in serious complication rates across the 2 time periods. The top 20% of hospitals demonstrated a 38% decrease (14.3% vs 11.6%, P &lt; 0.001) in complications; in contrast the bottom 20% demonstrated a 25% increase (11.1% vs 16.5%, P &lt; 0.001). There was a strong relationship between quality improvement and payments. The top hospitals reduced their payments by $1544 per patient (95% confidence interval: $1334-1755), whereas the bottom of hospitals had no significant change (average $67 increase, 95% confidence interval: -$123 to $258). CONCLUSIONS Hospitals that reduced their complications over time had significant reductions in Medicare payments. This demonstrates that payers are clearly incentivized to invest in quality improvement.","author":[{"dropping-particle":"","family":"Scally","given":"Christopher P","non-dropping-particle":"","parse-names":false,"suffix":""},{"dropping-particle":"","family":"Thumma","given":"Jyothi R","non-dropping-particle":"","parse-names":false,"suffix":""},{"dropping-particle":"","family":"Birkmeyer","given":"John D","non-dropping-particle":"","parse-names":false,"suffix":""},{"dropping-particle":"","family":"Dimick","given":"Justin B","non-dropping-particle":"","parse-names":false,"suffix":""}],"container-title":"Annals of surgery","id":"ITEM-1","issue":"2","issued":{"date-parts":[["2015","8"]]},"page":"249-52","title":"Impact of Surgical Quality Improvement on Payments in Medicare Patients.","type":"article-journal","volume":"262"},"uris":["http://www.mendeley.com/documents/?uuid=8124e3ee-d790-4e3c-82e6-c8336bfe3a64"]}],"mendeley":{"formattedCitation":"[10]","plainTextFormattedCitation":"[10]","previouslyFormattedCitation":"[10]"},"properties":{"noteIndex":0},"schema":"https://github.com/citation-style-language/schema/raw/master/csl-citation.json"}</w:instrText>
      </w:r>
      <w:r w:rsidR="003662F1" w:rsidRPr="00332C8B">
        <w:rPr>
          <w:rFonts w:asciiTheme="minorHAnsi" w:hAnsiTheme="minorHAnsi" w:cstheme="minorHAnsi"/>
          <w:color w:val="000000" w:themeColor="text1"/>
          <w:sz w:val="22"/>
          <w:szCs w:val="22"/>
        </w:rPr>
        <w:fldChar w:fldCharType="separate"/>
      </w:r>
      <w:r w:rsidR="00187EFE" w:rsidRPr="00332C8B">
        <w:rPr>
          <w:rFonts w:asciiTheme="minorHAnsi" w:hAnsiTheme="minorHAnsi" w:cstheme="minorHAnsi"/>
          <w:noProof/>
          <w:color w:val="000000" w:themeColor="text1"/>
          <w:sz w:val="22"/>
          <w:szCs w:val="22"/>
        </w:rPr>
        <w:t>[10]</w:t>
      </w:r>
      <w:r w:rsidR="003662F1" w:rsidRPr="00332C8B">
        <w:rPr>
          <w:rFonts w:asciiTheme="minorHAnsi" w:hAnsiTheme="minorHAnsi" w:cstheme="minorHAnsi"/>
          <w:color w:val="000000" w:themeColor="text1"/>
          <w:sz w:val="22"/>
          <w:szCs w:val="22"/>
        </w:rPr>
        <w:fldChar w:fldCharType="end"/>
      </w:r>
      <w:r w:rsidR="00091FBF" w:rsidRPr="00332C8B">
        <w:rPr>
          <w:rFonts w:asciiTheme="minorHAnsi" w:hAnsiTheme="minorHAnsi" w:cstheme="minorHAnsi"/>
          <w:color w:val="000000" w:themeColor="text1"/>
          <w:sz w:val="22"/>
          <w:szCs w:val="22"/>
        </w:rPr>
        <w:t>.</w:t>
      </w:r>
    </w:p>
    <w:p w14:paraId="10129372" w14:textId="77777777" w:rsidR="00341AAC" w:rsidRPr="00332C8B" w:rsidRDefault="00341AAC" w:rsidP="00F0414E">
      <w:pPr>
        <w:spacing w:line="480" w:lineRule="auto"/>
        <w:rPr>
          <w:rFonts w:asciiTheme="minorHAnsi" w:hAnsiTheme="minorHAnsi" w:cstheme="minorHAnsi"/>
          <w:color w:val="000000" w:themeColor="text1"/>
          <w:sz w:val="22"/>
          <w:szCs w:val="22"/>
        </w:rPr>
      </w:pPr>
    </w:p>
    <w:p w14:paraId="33AF41F3" w14:textId="443C7E3D" w:rsidR="007E397D" w:rsidRPr="00332C8B" w:rsidRDefault="007E397D" w:rsidP="00F0414E">
      <w:pPr>
        <w:spacing w:line="480" w:lineRule="auto"/>
        <w:rPr>
          <w:rFonts w:asciiTheme="minorHAnsi" w:hAnsiTheme="minorHAnsi" w:cstheme="minorHAnsi"/>
          <w:color w:val="000000" w:themeColor="text1"/>
          <w:sz w:val="22"/>
          <w:szCs w:val="22"/>
        </w:rPr>
      </w:pPr>
      <w:r w:rsidRPr="00332C8B">
        <w:rPr>
          <w:rFonts w:asciiTheme="minorHAnsi" w:hAnsiTheme="minorHAnsi" w:cstheme="minorHAnsi"/>
          <w:color w:val="000000" w:themeColor="text1"/>
          <w:sz w:val="22"/>
          <w:szCs w:val="22"/>
        </w:rPr>
        <w:t>T</w:t>
      </w:r>
      <w:r w:rsidR="00DD2FD9" w:rsidRPr="00332C8B">
        <w:rPr>
          <w:rFonts w:asciiTheme="minorHAnsi" w:hAnsiTheme="minorHAnsi" w:cstheme="minorHAnsi"/>
          <w:color w:val="000000" w:themeColor="text1"/>
          <w:sz w:val="22"/>
          <w:szCs w:val="22"/>
        </w:rPr>
        <w:t xml:space="preserve">he perioperative period offers a window to </w:t>
      </w:r>
      <w:r w:rsidRPr="00332C8B">
        <w:rPr>
          <w:rFonts w:asciiTheme="minorHAnsi" w:hAnsiTheme="minorHAnsi" w:cstheme="minorHAnsi"/>
          <w:color w:val="000000" w:themeColor="text1"/>
          <w:sz w:val="22"/>
          <w:szCs w:val="22"/>
        </w:rPr>
        <w:t>intervene</w:t>
      </w:r>
      <w:r w:rsidR="00ED6867" w:rsidRPr="00332C8B">
        <w:rPr>
          <w:rFonts w:asciiTheme="minorHAnsi" w:hAnsiTheme="minorHAnsi" w:cstheme="minorHAnsi"/>
          <w:color w:val="000000" w:themeColor="text1"/>
          <w:sz w:val="22"/>
          <w:szCs w:val="22"/>
        </w:rPr>
        <w:t xml:space="preserve"> to improve outcome for patients undergoing surgery for cancer</w:t>
      </w:r>
      <w:r w:rsidR="003662F1" w:rsidRPr="00332C8B">
        <w:rPr>
          <w:rFonts w:asciiTheme="minorHAnsi" w:hAnsiTheme="minorHAnsi" w:cstheme="minorHAnsi"/>
          <w:color w:val="000000" w:themeColor="text1"/>
          <w:sz w:val="22"/>
          <w:szCs w:val="22"/>
        </w:rPr>
        <w:fldChar w:fldCharType="begin" w:fldLock="1"/>
      </w:r>
      <w:r w:rsidR="00F66CFF" w:rsidRPr="00332C8B">
        <w:rPr>
          <w:rFonts w:asciiTheme="minorHAnsi" w:hAnsiTheme="minorHAnsi" w:cstheme="minorHAnsi"/>
          <w:color w:val="000000" w:themeColor="text1"/>
          <w:sz w:val="22"/>
          <w:szCs w:val="22"/>
        </w:rPr>
        <w:instrText>ADDIN CSL_CITATION {"citationItems":[{"id":"ITEM-1","itemData":{"DOI":"10.1038/nrclinonc.2014.224","ISBN":"1759-4774","ISSN":"17594782","PMID":"25601442","abstract":"Evidence suggests that the perioperative period and the excision of the primary tumour can promote the development of metastases—the main cause of cancer-related mortality. This Review first presents the assertion that the perioperative timeframe is pivotal in determining long-term cancer outcomes, disproportionally to its short duration (days to weeks). We then analyse the various aspects of surgery, and their consequent paracrine and neuroendocrine responses, which could facilitate the metastatic process by directly affecting malignant tissues, and/or through indirect pathways, such as immunological perturbations. We address the influences of surgery-related anxiety and stress, nutritional status, anaesthetics and analgesics, hypothermia, blood transfusion, tissue damage, and levels of sex hormones, and point at some as probable deleterious factors. Through understanding these processes and reviewing empirical evidence, we provide suggestions for potential new perioperative approaches and interventions aimed at attenuating deleterious processes and ultimately improving treatment outcomes. Specifically, we highlight excess perioperative release of catecholamines and prostaglandins as key deleterious mediators of surgery, and we recommend blockade of these responses during the perioperative period, as well as other low-risk, low-cost interventions. The measures described in this Review could transform the perioperative timeframe from a prominent facilitator of metastatic progression, to a window of opportunity for arresting and/or eliminating residual disease, potentially improving long-term survival rates in patients with cancer.","author":[{"dropping-particle":"","family":"Horowitz","given":"Maya","non-dropping-particle":"","parse-names":false,"suffix":""},{"dropping-particle":"","family":"Neeman","given":"Elad","non-dropping-particle":"","parse-names":false,"suffix":""},{"dropping-particle":"","family":"Sharon","given":"Eran","non-dropping-particle":"","parse-names":false,"suffix":""},{"dropping-particle":"","family":"Ben-Eliyahu","given":"Shamgar","non-dropping-particle":"","parse-names":false,"suffix":""}],"container-title":"Nature Reviews Clinical Oncology","id":"ITEM-1","issue":"4","issued":{"date-parts":[["2015"]]},"page":"213-226","title":"Exploiting the critical perioperative period to improve long-term cancer outcomes","type":"article","volume":"12"},"uris":["http://www.mendeley.com/documents/?uuid=d641a811-6c14-4f34-9f3e-ea1719370dd9"]}],"mendeley":{"formattedCitation":"[11]","plainTextFormattedCitation":"[11]","previouslyFormattedCitation":"[11]"},"properties":{"noteIndex":0},"schema":"https://github.com/citation-style-language/schema/raw/master/csl-citation.json"}</w:instrText>
      </w:r>
      <w:r w:rsidR="003662F1" w:rsidRPr="00332C8B">
        <w:rPr>
          <w:rFonts w:asciiTheme="minorHAnsi" w:hAnsiTheme="minorHAnsi" w:cstheme="minorHAnsi"/>
          <w:color w:val="000000" w:themeColor="text1"/>
          <w:sz w:val="22"/>
          <w:szCs w:val="22"/>
        </w:rPr>
        <w:fldChar w:fldCharType="separate"/>
      </w:r>
      <w:r w:rsidR="00187EFE" w:rsidRPr="00332C8B">
        <w:rPr>
          <w:rFonts w:asciiTheme="minorHAnsi" w:hAnsiTheme="minorHAnsi" w:cstheme="minorHAnsi"/>
          <w:noProof/>
          <w:color w:val="000000" w:themeColor="text1"/>
          <w:sz w:val="22"/>
          <w:szCs w:val="22"/>
        </w:rPr>
        <w:t>[11]</w:t>
      </w:r>
      <w:r w:rsidR="003662F1" w:rsidRPr="00332C8B">
        <w:rPr>
          <w:rFonts w:asciiTheme="minorHAnsi" w:hAnsiTheme="minorHAnsi" w:cstheme="minorHAnsi"/>
          <w:color w:val="000000" w:themeColor="text1"/>
          <w:sz w:val="22"/>
          <w:szCs w:val="22"/>
        </w:rPr>
        <w:fldChar w:fldCharType="end"/>
      </w:r>
      <w:r w:rsidR="00DD2FD9" w:rsidRPr="00332C8B">
        <w:rPr>
          <w:rFonts w:asciiTheme="minorHAnsi" w:hAnsiTheme="minorHAnsi" w:cstheme="minorHAnsi"/>
          <w:color w:val="000000" w:themeColor="text1"/>
          <w:sz w:val="22"/>
          <w:szCs w:val="22"/>
        </w:rPr>
        <w:t xml:space="preserve">. </w:t>
      </w:r>
      <w:r w:rsidR="005A77F1" w:rsidRPr="00332C8B">
        <w:rPr>
          <w:rFonts w:asciiTheme="minorHAnsi" w:hAnsiTheme="minorHAnsi" w:cstheme="minorHAnsi"/>
          <w:color w:val="000000" w:themeColor="text1"/>
          <w:sz w:val="22"/>
          <w:szCs w:val="22"/>
        </w:rPr>
        <w:t>Functional</w:t>
      </w:r>
      <w:r w:rsidR="009023E1" w:rsidRPr="00332C8B">
        <w:rPr>
          <w:rFonts w:asciiTheme="minorHAnsi" w:hAnsiTheme="minorHAnsi" w:cstheme="minorHAnsi"/>
          <w:color w:val="000000" w:themeColor="text1"/>
          <w:sz w:val="22"/>
          <w:szCs w:val="22"/>
        </w:rPr>
        <w:t xml:space="preserve"> </w:t>
      </w:r>
      <w:r w:rsidR="005A77F1" w:rsidRPr="00332C8B">
        <w:rPr>
          <w:rFonts w:asciiTheme="minorHAnsi" w:hAnsiTheme="minorHAnsi" w:cstheme="minorHAnsi"/>
          <w:color w:val="000000" w:themeColor="text1"/>
          <w:sz w:val="22"/>
          <w:szCs w:val="22"/>
        </w:rPr>
        <w:t>investigations</w:t>
      </w:r>
      <w:r w:rsidR="009023E1" w:rsidRPr="00332C8B">
        <w:rPr>
          <w:rFonts w:asciiTheme="minorHAnsi" w:hAnsiTheme="minorHAnsi" w:cstheme="minorHAnsi"/>
          <w:color w:val="000000" w:themeColor="text1"/>
          <w:sz w:val="22"/>
          <w:szCs w:val="22"/>
        </w:rPr>
        <w:t>,</w:t>
      </w:r>
      <w:r w:rsidR="005A77F1" w:rsidRPr="00332C8B">
        <w:rPr>
          <w:rFonts w:asciiTheme="minorHAnsi" w:hAnsiTheme="minorHAnsi" w:cstheme="minorHAnsi"/>
          <w:color w:val="000000" w:themeColor="text1"/>
          <w:sz w:val="22"/>
          <w:szCs w:val="22"/>
        </w:rPr>
        <w:t xml:space="preserve"> such as c</w:t>
      </w:r>
      <w:r w:rsidR="00C92DDD" w:rsidRPr="00332C8B">
        <w:rPr>
          <w:rFonts w:asciiTheme="minorHAnsi" w:hAnsiTheme="minorHAnsi" w:cstheme="minorHAnsi"/>
          <w:color w:val="000000" w:themeColor="text1"/>
          <w:sz w:val="22"/>
          <w:szCs w:val="22"/>
        </w:rPr>
        <w:t xml:space="preserve">ardio-pulmonary exercise testing, </w:t>
      </w:r>
      <w:r w:rsidR="005A77F1" w:rsidRPr="00332C8B">
        <w:rPr>
          <w:rFonts w:asciiTheme="minorHAnsi" w:hAnsiTheme="minorHAnsi" w:cstheme="minorHAnsi"/>
          <w:color w:val="000000" w:themeColor="text1"/>
          <w:sz w:val="22"/>
          <w:szCs w:val="22"/>
        </w:rPr>
        <w:t xml:space="preserve">can </w:t>
      </w:r>
      <w:r w:rsidR="00DF6102" w:rsidRPr="00332C8B">
        <w:rPr>
          <w:rFonts w:asciiTheme="minorHAnsi" w:hAnsiTheme="minorHAnsi" w:cstheme="minorHAnsi"/>
          <w:color w:val="000000" w:themeColor="text1"/>
          <w:sz w:val="22"/>
          <w:szCs w:val="22"/>
        </w:rPr>
        <w:t>help</w:t>
      </w:r>
      <w:r w:rsidR="005A77F1" w:rsidRPr="00332C8B">
        <w:rPr>
          <w:rFonts w:asciiTheme="minorHAnsi" w:hAnsiTheme="minorHAnsi" w:cstheme="minorHAnsi"/>
          <w:color w:val="000000" w:themeColor="text1"/>
          <w:sz w:val="22"/>
          <w:szCs w:val="22"/>
        </w:rPr>
        <w:t xml:space="preserve"> the peri-operative clinician </w:t>
      </w:r>
      <w:r w:rsidR="007145E7" w:rsidRPr="00332C8B">
        <w:rPr>
          <w:rFonts w:asciiTheme="minorHAnsi" w:hAnsiTheme="minorHAnsi" w:cstheme="minorHAnsi"/>
          <w:color w:val="000000" w:themeColor="text1"/>
          <w:sz w:val="22"/>
          <w:szCs w:val="22"/>
        </w:rPr>
        <w:t>to assess</w:t>
      </w:r>
      <w:r w:rsidR="005A77F1" w:rsidRPr="00332C8B">
        <w:rPr>
          <w:rFonts w:asciiTheme="minorHAnsi" w:hAnsiTheme="minorHAnsi" w:cstheme="minorHAnsi"/>
          <w:color w:val="000000" w:themeColor="text1"/>
          <w:sz w:val="22"/>
          <w:szCs w:val="22"/>
        </w:rPr>
        <w:t xml:space="preserve"> the likelihood of morbidity due to cardiovascular or pulmonary limitation</w:t>
      </w:r>
      <w:r w:rsidR="003662F1" w:rsidRPr="00332C8B">
        <w:rPr>
          <w:rFonts w:asciiTheme="minorHAnsi" w:hAnsiTheme="minorHAnsi" w:cstheme="minorHAnsi"/>
          <w:color w:val="000000" w:themeColor="text1"/>
          <w:sz w:val="22"/>
          <w:szCs w:val="22"/>
        </w:rPr>
        <w:fldChar w:fldCharType="begin" w:fldLock="1"/>
      </w:r>
      <w:r w:rsidR="00F66CFF" w:rsidRPr="00332C8B">
        <w:rPr>
          <w:rFonts w:asciiTheme="minorHAnsi" w:hAnsiTheme="minorHAnsi" w:cstheme="minorHAnsi"/>
          <w:color w:val="000000" w:themeColor="text1"/>
          <w:sz w:val="22"/>
          <w:szCs w:val="22"/>
        </w:rPr>
        <w:instrText>ADDIN CSL_CITATION {"citationItems":[{"id":"ITEM-1","itemData":{"DOI":"10.1016/j.bja.2017.10.020","ISSN":"14716771","abstract":"The use of perioperative cardiopulmonary exercise testing (CPET) to evaluate the risk of adverse perioperative events and inform the perioperative management of patients undergoing surgery has increased over the last decade. CPET provides an objective assessment of exercise capacity preoperatively and identifies the causes of exercise limitation. This information may be used to assist clinicians and patients in decisions about the most appropriate surgical and non-surgical management during the perioperative period. Information gained from CPET can be used to estimate the likelihood of perioperative morbidity and mortality, to inform the processes of multidisciplinary collaborative decision making and consent, to triage patients for perioperative care (ward vs critical care), to direct preoperative interventions and optimization, to identify new comorbidities, to evaluate the effects of neoadjuvant cancer therapies, to guide prehabilitation and rehabilitation, and to guide intraoperative anaesthetic practice. With the rapid uptake of CPET, standardization is key to ensure valid, reproducible results that can inform clinical decision making. Recently, an international Perioperative Exercise Testing and Training Society has been established (POETTS www.poetts.co.uk) promoting the highest standards of care for patients undergoing exercise testing, training, or both in the perioperative setting. These clinical cardiopulmonary exercise testing guidelines have been developed by consensus by the Perioperative Exercise Testing and Training Society after systematic literature review. The guidelines have been endorsed by the Association of Respiratory Technology and Physiology (ARTP).","author":[{"dropping-particle":"","family":"Levett","given":"D. Z.H.","non-dropping-particle":"","parse-names":false,"suffix":""},{"dropping-particle":"","family":"Jack","given":"S.","non-dropping-particle":"","parse-names":false,"suffix":""},{"dropping-particle":"","family":"Swart","given":"M.","non-dropping-particle":"","parse-names":false,"suffix":""},{"dropping-particle":"","family":"Carlisle","given":"J.","non-dropping-particle":"","parse-names":false,"suffix":""},{"dropping-particle":"","family":"Wilson","given":"J.","non-dropping-particle":"","parse-names":false,"suffix":""},{"dropping-particle":"","family":"Snowden","given":"C.","non-dropping-particle":"","parse-names":false,"suffix":""},{"dropping-particle":"","family":"Riley","given":"M.","non-dropping-particle":"","parse-names":false,"suffix":""},{"dropping-particle":"","family":"Danjoux","given":"G.","non-dropping-particle":"","parse-names":false,"suffix":""},{"dropping-particle":"","family":"Ward","given":"S. A.","non-dropping-particle":"","parse-names":false,"suffix":""},{"dropping-particle":"","family":"Older","given":"P.","non-dropping-particle":"","parse-names":false,"suffix":""},{"dropping-particle":"","family":"Grocott","given":"M. P.W.","non-dropping-particle":"","parse-names":false,"suffix":""}],"container-title":"British Journal of Anaesthesia","id":"ITEM-1","issued":{"date-parts":[["2018"]]},"title":"Perioperative cardiopulmonary exercise testing (CPET): consensus clinical guidelines on indications, organization, conduct, and physiological interpretation","type":"article-journal"},"uris":["http://www.mendeley.com/documents/?uuid=3e9d8140-f309-4d07-ab04-5d9928e00141"]}],"mendeley":{"formattedCitation":"[12]","plainTextFormattedCitation":"[12]","previouslyFormattedCitation":"[12]"},"properties":{"noteIndex":0},"schema":"https://github.com/citation-style-language/schema/raw/master/csl-citation.json"}</w:instrText>
      </w:r>
      <w:r w:rsidR="003662F1" w:rsidRPr="00332C8B">
        <w:rPr>
          <w:rFonts w:asciiTheme="minorHAnsi" w:hAnsiTheme="minorHAnsi" w:cstheme="minorHAnsi"/>
          <w:color w:val="000000" w:themeColor="text1"/>
          <w:sz w:val="22"/>
          <w:szCs w:val="22"/>
        </w:rPr>
        <w:fldChar w:fldCharType="separate"/>
      </w:r>
      <w:r w:rsidR="00187EFE" w:rsidRPr="00332C8B">
        <w:rPr>
          <w:rFonts w:asciiTheme="minorHAnsi" w:hAnsiTheme="minorHAnsi" w:cstheme="minorHAnsi"/>
          <w:noProof/>
          <w:color w:val="000000" w:themeColor="text1"/>
          <w:sz w:val="22"/>
          <w:szCs w:val="22"/>
        </w:rPr>
        <w:t>[12]</w:t>
      </w:r>
      <w:r w:rsidR="003662F1" w:rsidRPr="00332C8B">
        <w:rPr>
          <w:rFonts w:asciiTheme="minorHAnsi" w:hAnsiTheme="minorHAnsi" w:cstheme="minorHAnsi"/>
          <w:color w:val="000000" w:themeColor="text1"/>
          <w:sz w:val="22"/>
          <w:szCs w:val="22"/>
        </w:rPr>
        <w:fldChar w:fldCharType="end"/>
      </w:r>
      <w:r w:rsidR="003466CD" w:rsidRPr="00332C8B">
        <w:rPr>
          <w:rFonts w:asciiTheme="minorHAnsi" w:hAnsiTheme="minorHAnsi" w:cstheme="minorHAnsi"/>
          <w:color w:val="000000" w:themeColor="text1"/>
          <w:sz w:val="22"/>
          <w:szCs w:val="22"/>
        </w:rPr>
        <w:t>. However,</w:t>
      </w:r>
      <w:r w:rsidR="00226ED8" w:rsidRPr="00332C8B">
        <w:rPr>
          <w:rFonts w:asciiTheme="minorHAnsi" w:hAnsiTheme="minorHAnsi" w:cstheme="minorHAnsi"/>
          <w:color w:val="000000" w:themeColor="text1"/>
          <w:sz w:val="22"/>
          <w:szCs w:val="22"/>
        </w:rPr>
        <w:t xml:space="preserve"> </w:t>
      </w:r>
      <w:r w:rsidR="005A77F1" w:rsidRPr="00332C8B">
        <w:rPr>
          <w:rFonts w:asciiTheme="minorHAnsi" w:hAnsiTheme="minorHAnsi" w:cstheme="minorHAnsi"/>
          <w:color w:val="000000" w:themeColor="text1"/>
          <w:sz w:val="22"/>
          <w:szCs w:val="22"/>
        </w:rPr>
        <w:t xml:space="preserve">there are few </w:t>
      </w:r>
      <w:r w:rsidR="000F187A" w:rsidRPr="00332C8B">
        <w:rPr>
          <w:rFonts w:asciiTheme="minorHAnsi" w:hAnsiTheme="minorHAnsi" w:cstheme="minorHAnsi"/>
          <w:color w:val="000000" w:themeColor="text1"/>
          <w:sz w:val="22"/>
          <w:szCs w:val="22"/>
        </w:rPr>
        <w:t>t</w:t>
      </w:r>
      <w:r w:rsidR="003466CD" w:rsidRPr="00332C8B">
        <w:rPr>
          <w:rFonts w:asciiTheme="minorHAnsi" w:hAnsiTheme="minorHAnsi" w:cstheme="minorHAnsi"/>
          <w:color w:val="000000" w:themeColor="text1"/>
          <w:sz w:val="22"/>
          <w:szCs w:val="22"/>
        </w:rPr>
        <w:t>ools</w:t>
      </w:r>
      <w:r w:rsidR="005A77F1" w:rsidRPr="00332C8B">
        <w:rPr>
          <w:rFonts w:asciiTheme="minorHAnsi" w:hAnsiTheme="minorHAnsi" w:cstheme="minorHAnsi"/>
          <w:color w:val="000000" w:themeColor="text1"/>
          <w:sz w:val="22"/>
          <w:szCs w:val="22"/>
        </w:rPr>
        <w:t xml:space="preserve"> </w:t>
      </w:r>
      <w:r w:rsidR="00DF6102" w:rsidRPr="00332C8B">
        <w:rPr>
          <w:rFonts w:asciiTheme="minorHAnsi" w:hAnsiTheme="minorHAnsi" w:cstheme="minorHAnsi"/>
          <w:color w:val="000000" w:themeColor="text1"/>
          <w:sz w:val="22"/>
          <w:szCs w:val="22"/>
        </w:rPr>
        <w:t>at their disposal</w:t>
      </w:r>
      <w:r w:rsidR="003466CD" w:rsidRPr="00332C8B">
        <w:rPr>
          <w:rFonts w:asciiTheme="minorHAnsi" w:hAnsiTheme="minorHAnsi" w:cstheme="minorHAnsi"/>
          <w:color w:val="000000" w:themeColor="text1"/>
          <w:sz w:val="22"/>
          <w:szCs w:val="22"/>
        </w:rPr>
        <w:t xml:space="preserve"> with which</w:t>
      </w:r>
      <w:r w:rsidR="00DF6102" w:rsidRPr="00332C8B">
        <w:rPr>
          <w:rFonts w:asciiTheme="minorHAnsi" w:hAnsiTheme="minorHAnsi" w:cstheme="minorHAnsi"/>
          <w:color w:val="000000" w:themeColor="text1"/>
          <w:sz w:val="22"/>
          <w:szCs w:val="22"/>
        </w:rPr>
        <w:t xml:space="preserve"> </w:t>
      </w:r>
      <w:r w:rsidR="00341AAC" w:rsidRPr="00332C8B">
        <w:rPr>
          <w:rFonts w:asciiTheme="minorHAnsi" w:hAnsiTheme="minorHAnsi" w:cstheme="minorHAnsi"/>
          <w:color w:val="000000" w:themeColor="text1"/>
          <w:sz w:val="22"/>
          <w:szCs w:val="22"/>
        </w:rPr>
        <w:t>to assess</w:t>
      </w:r>
      <w:r w:rsidR="004D47EF" w:rsidRPr="00332C8B">
        <w:rPr>
          <w:rFonts w:asciiTheme="minorHAnsi" w:hAnsiTheme="minorHAnsi" w:cstheme="minorHAnsi"/>
          <w:color w:val="000000" w:themeColor="text1"/>
          <w:sz w:val="22"/>
          <w:szCs w:val="22"/>
        </w:rPr>
        <w:t xml:space="preserve"> a patients’</w:t>
      </w:r>
      <w:r w:rsidR="005A77F1" w:rsidRPr="00332C8B">
        <w:rPr>
          <w:rFonts w:asciiTheme="minorHAnsi" w:hAnsiTheme="minorHAnsi" w:cstheme="minorHAnsi"/>
          <w:color w:val="000000" w:themeColor="text1"/>
          <w:sz w:val="22"/>
          <w:szCs w:val="22"/>
        </w:rPr>
        <w:t xml:space="preserve"> metabolic and nutritional </w:t>
      </w:r>
      <w:r w:rsidR="00341AAC" w:rsidRPr="00332C8B">
        <w:rPr>
          <w:rFonts w:asciiTheme="minorHAnsi" w:hAnsiTheme="minorHAnsi" w:cstheme="minorHAnsi"/>
          <w:color w:val="000000" w:themeColor="text1"/>
          <w:sz w:val="22"/>
          <w:szCs w:val="22"/>
        </w:rPr>
        <w:t>state</w:t>
      </w:r>
      <w:r w:rsidR="003466CD" w:rsidRPr="00332C8B">
        <w:rPr>
          <w:rFonts w:asciiTheme="minorHAnsi" w:hAnsiTheme="minorHAnsi" w:cstheme="minorHAnsi"/>
          <w:color w:val="000000" w:themeColor="text1"/>
          <w:sz w:val="22"/>
          <w:szCs w:val="22"/>
        </w:rPr>
        <w:t xml:space="preserve"> and subsequently guide supportive interventions</w:t>
      </w:r>
      <w:r w:rsidR="005A77F1" w:rsidRPr="00332C8B">
        <w:rPr>
          <w:rFonts w:asciiTheme="minorHAnsi" w:hAnsiTheme="minorHAnsi" w:cstheme="minorHAnsi"/>
          <w:color w:val="000000" w:themeColor="text1"/>
          <w:sz w:val="22"/>
          <w:szCs w:val="22"/>
        </w:rPr>
        <w:t>.</w:t>
      </w:r>
      <w:r w:rsidRPr="00332C8B">
        <w:rPr>
          <w:rFonts w:asciiTheme="minorHAnsi" w:hAnsiTheme="minorHAnsi" w:cstheme="minorHAnsi"/>
          <w:color w:val="000000" w:themeColor="text1"/>
          <w:sz w:val="22"/>
          <w:szCs w:val="22"/>
        </w:rPr>
        <w:t xml:space="preserve"> </w:t>
      </w:r>
    </w:p>
    <w:p w14:paraId="6581D055" w14:textId="77777777" w:rsidR="007E397D" w:rsidRPr="00332C8B" w:rsidRDefault="007E397D" w:rsidP="00F0414E">
      <w:pPr>
        <w:spacing w:line="480" w:lineRule="auto"/>
        <w:rPr>
          <w:rFonts w:asciiTheme="minorHAnsi" w:hAnsiTheme="minorHAnsi" w:cstheme="minorHAnsi"/>
          <w:color w:val="000000" w:themeColor="text1"/>
          <w:sz w:val="22"/>
          <w:szCs w:val="22"/>
        </w:rPr>
      </w:pPr>
    </w:p>
    <w:p w14:paraId="40222A8A" w14:textId="4F6E3C56" w:rsidR="00472923" w:rsidRPr="00332C8B" w:rsidRDefault="003466CD" w:rsidP="00F0414E">
      <w:pPr>
        <w:spacing w:line="480" w:lineRule="auto"/>
        <w:rPr>
          <w:rFonts w:asciiTheme="minorHAnsi" w:hAnsiTheme="minorHAnsi" w:cstheme="minorHAnsi"/>
          <w:color w:val="000000" w:themeColor="text1"/>
          <w:sz w:val="22"/>
          <w:szCs w:val="22"/>
        </w:rPr>
      </w:pPr>
      <w:r w:rsidRPr="00332C8B">
        <w:rPr>
          <w:rFonts w:asciiTheme="minorHAnsi" w:hAnsiTheme="minorHAnsi" w:cstheme="minorHAnsi"/>
          <w:color w:val="000000" w:themeColor="text1"/>
          <w:sz w:val="22"/>
          <w:szCs w:val="22"/>
        </w:rPr>
        <w:t>O</w:t>
      </w:r>
      <w:r w:rsidR="007145E7" w:rsidRPr="00332C8B">
        <w:rPr>
          <w:rFonts w:asciiTheme="minorHAnsi" w:hAnsiTheme="minorHAnsi" w:cstheme="minorHAnsi"/>
          <w:color w:val="000000" w:themeColor="text1"/>
          <w:sz w:val="22"/>
          <w:szCs w:val="22"/>
        </w:rPr>
        <w:t xml:space="preserve">bjective </w:t>
      </w:r>
      <w:r w:rsidR="00575D26" w:rsidRPr="00332C8B">
        <w:rPr>
          <w:rFonts w:asciiTheme="minorHAnsi" w:hAnsiTheme="minorHAnsi" w:cstheme="minorHAnsi"/>
          <w:color w:val="000000" w:themeColor="text1"/>
          <w:sz w:val="22"/>
          <w:szCs w:val="22"/>
        </w:rPr>
        <w:t>measures of bioelectrical impedance or their derived esti</w:t>
      </w:r>
      <w:r w:rsidR="009C799F" w:rsidRPr="00332C8B">
        <w:rPr>
          <w:rFonts w:asciiTheme="minorHAnsi" w:hAnsiTheme="minorHAnsi" w:cstheme="minorHAnsi"/>
          <w:color w:val="000000" w:themeColor="text1"/>
          <w:sz w:val="22"/>
          <w:szCs w:val="22"/>
        </w:rPr>
        <w:t xml:space="preserve">mates of body composition from </w:t>
      </w:r>
      <w:r w:rsidR="008F2694" w:rsidRPr="00332C8B">
        <w:rPr>
          <w:rFonts w:asciiTheme="minorHAnsi" w:hAnsiTheme="minorHAnsi" w:cstheme="minorHAnsi"/>
          <w:color w:val="000000" w:themeColor="text1"/>
          <w:sz w:val="22"/>
          <w:szCs w:val="22"/>
        </w:rPr>
        <w:t>BIA</w:t>
      </w:r>
      <w:r w:rsidR="0057215E" w:rsidRPr="00332C8B">
        <w:rPr>
          <w:rFonts w:asciiTheme="minorHAnsi" w:hAnsiTheme="minorHAnsi" w:cstheme="minorHAnsi"/>
          <w:color w:val="000000" w:themeColor="text1"/>
          <w:sz w:val="22"/>
          <w:szCs w:val="22"/>
        </w:rPr>
        <w:t xml:space="preserve"> may </w:t>
      </w:r>
      <w:r w:rsidR="00575D26" w:rsidRPr="00332C8B">
        <w:rPr>
          <w:rFonts w:asciiTheme="minorHAnsi" w:hAnsiTheme="minorHAnsi" w:cstheme="minorHAnsi"/>
          <w:color w:val="000000" w:themeColor="text1"/>
          <w:sz w:val="22"/>
          <w:szCs w:val="22"/>
        </w:rPr>
        <w:t xml:space="preserve">offer a means of identifying peri-operative risk. </w:t>
      </w:r>
      <w:r w:rsidR="003B39C2">
        <w:rPr>
          <w:rFonts w:asciiTheme="minorHAnsi" w:hAnsiTheme="minorHAnsi" w:cstheme="minorHAnsi"/>
          <w:color w:val="000000" w:themeColor="text1"/>
          <w:sz w:val="22"/>
          <w:szCs w:val="22"/>
        </w:rPr>
        <w:t>I</w:t>
      </w:r>
      <w:r w:rsidR="009D4192" w:rsidRPr="00332C8B">
        <w:rPr>
          <w:rFonts w:asciiTheme="minorHAnsi" w:hAnsiTheme="minorHAnsi" w:cstheme="minorHAnsi"/>
          <w:color w:val="000000" w:themeColor="text1"/>
          <w:sz w:val="22"/>
          <w:szCs w:val="22"/>
        </w:rPr>
        <w:t xml:space="preserve">mpedance is the measure of the resistance and reactance of the body. Resistance is the opposition caused by the body to the flow of </w:t>
      </w:r>
      <w:r w:rsidR="00B61D1E" w:rsidRPr="00332C8B">
        <w:rPr>
          <w:rFonts w:asciiTheme="minorHAnsi" w:hAnsiTheme="minorHAnsi" w:cstheme="minorHAnsi"/>
          <w:color w:val="000000" w:themeColor="text1"/>
          <w:sz w:val="22"/>
          <w:szCs w:val="22"/>
        </w:rPr>
        <w:t xml:space="preserve">an alternating current </w:t>
      </w:r>
      <w:r w:rsidR="009D4192" w:rsidRPr="00332C8B">
        <w:rPr>
          <w:rFonts w:asciiTheme="minorHAnsi" w:hAnsiTheme="minorHAnsi" w:cstheme="minorHAnsi"/>
          <w:color w:val="000000" w:themeColor="text1"/>
          <w:sz w:val="22"/>
          <w:szCs w:val="22"/>
        </w:rPr>
        <w:t xml:space="preserve">whilst reactance is a measure of the capacitive effect produced by the tissue interfaces and cell membranes. </w:t>
      </w:r>
      <w:r w:rsidR="00B61D1E" w:rsidRPr="00332C8B">
        <w:rPr>
          <w:rFonts w:asciiTheme="minorHAnsi" w:hAnsiTheme="minorHAnsi" w:cstheme="minorHAnsi"/>
          <w:color w:val="000000" w:themeColor="text1"/>
          <w:sz w:val="22"/>
          <w:szCs w:val="22"/>
        </w:rPr>
        <w:t xml:space="preserve">Impedance measures can be made at single or multiple current frequencies using different lead configurations and then </w:t>
      </w:r>
      <w:r w:rsidR="00472923" w:rsidRPr="00332C8B">
        <w:rPr>
          <w:rFonts w:asciiTheme="minorHAnsi" w:hAnsiTheme="minorHAnsi" w:cstheme="minorHAnsi"/>
          <w:color w:val="000000" w:themeColor="text1"/>
          <w:sz w:val="22"/>
          <w:szCs w:val="22"/>
        </w:rPr>
        <w:t xml:space="preserve">by applying assumed values for the resistivity of body water and population means, predict </w:t>
      </w:r>
      <w:r w:rsidR="009C799F" w:rsidRPr="00332C8B">
        <w:rPr>
          <w:rFonts w:asciiTheme="minorHAnsi" w:hAnsiTheme="minorHAnsi" w:cstheme="minorHAnsi"/>
          <w:color w:val="000000" w:themeColor="text1"/>
          <w:sz w:val="22"/>
          <w:szCs w:val="22"/>
        </w:rPr>
        <w:t>total body w</w:t>
      </w:r>
      <w:r w:rsidR="00B61D1E" w:rsidRPr="00332C8B">
        <w:rPr>
          <w:rFonts w:asciiTheme="minorHAnsi" w:hAnsiTheme="minorHAnsi" w:cstheme="minorHAnsi"/>
          <w:color w:val="000000" w:themeColor="text1"/>
          <w:sz w:val="22"/>
          <w:szCs w:val="22"/>
        </w:rPr>
        <w:t>ate</w:t>
      </w:r>
      <w:r w:rsidR="009C799F" w:rsidRPr="00332C8B">
        <w:rPr>
          <w:rFonts w:asciiTheme="minorHAnsi" w:hAnsiTheme="minorHAnsi" w:cstheme="minorHAnsi"/>
          <w:color w:val="000000" w:themeColor="text1"/>
          <w:sz w:val="22"/>
          <w:szCs w:val="22"/>
        </w:rPr>
        <w:t xml:space="preserve">r, and in turn fat free </w:t>
      </w:r>
      <w:r w:rsidR="00BC45E7">
        <w:rPr>
          <w:rFonts w:asciiTheme="minorHAnsi" w:hAnsiTheme="minorHAnsi" w:cstheme="minorHAnsi"/>
          <w:color w:val="000000" w:themeColor="text1"/>
          <w:sz w:val="22"/>
          <w:szCs w:val="22"/>
        </w:rPr>
        <w:t>m</w:t>
      </w:r>
      <w:r w:rsidR="009C799F" w:rsidRPr="00332C8B">
        <w:rPr>
          <w:rFonts w:asciiTheme="minorHAnsi" w:hAnsiTheme="minorHAnsi" w:cstheme="minorHAnsi"/>
          <w:color w:val="000000" w:themeColor="text1"/>
          <w:sz w:val="22"/>
          <w:szCs w:val="22"/>
        </w:rPr>
        <w:t>ass and f</w:t>
      </w:r>
      <w:r w:rsidR="00B61D1E" w:rsidRPr="00332C8B">
        <w:rPr>
          <w:rFonts w:asciiTheme="minorHAnsi" w:hAnsiTheme="minorHAnsi" w:cstheme="minorHAnsi"/>
          <w:color w:val="000000" w:themeColor="text1"/>
          <w:sz w:val="22"/>
          <w:szCs w:val="22"/>
        </w:rPr>
        <w:t xml:space="preserve">at </w:t>
      </w:r>
      <w:r w:rsidR="00BC45E7">
        <w:rPr>
          <w:rFonts w:asciiTheme="minorHAnsi" w:hAnsiTheme="minorHAnsi" w:cstheme="minorHAnsi"/>
          <w:color w:val="000000" w:themeColor="text1"/>
          <w:sz w:val="22"/>
          <w:szCs w:val="22"/>
        </w:rPr>
        <w:t>m</w:t>
      </w:r>
      <w:r w:rsidR="00B61D1E" w:rsidRPr="00332C8B">
        <w:rPr>
          <w:rFonts w:asciiTheme="minorHAnsi" w:hAnsiTheme="minorHAnsi" w:cstheme="minorHAnsi"/>
          <w:color w:val="000000" w:themeColor="text1"/>
          <w:sz w:val="22"/>
          <w:szCs w:val="22"/>
        </w:rPr>
        <w:t xml:space="preserve">ass. </w:t>
      </w:r>
      <w:r w:rsidR="00472923" w:rsidRPr="00332C8B">
        <w:rPr>
          <w:rFonts w:asciiTheme="minorHAnsi" w:hAnsiTheme="minorHAnsi" w:cstheme="minorHAnsi"/>
          <w:color w:val="000000" w:themeColor="text1"/>
          <w:sz w:val="22"/>
          <w:szCs w:val="22"/>
        </w:rPr>
        <w:t>F</w:t>
      </w:r>
      <w:r w:rsidR="007C66EA" w:rsidRPr="00332C8B">
        <w:rPr>
          <w:rFonts w:asciiTheme="minorHAnsi" w:hAnsiTheme="minorHAnsi" w:cstheme="minorHAnsi"/>
          <w:color w:val="000000" w:themeColor="text1"/>
          <w:sz w:val="22"/>
          <w:szCs w:val="22"/>
        </w:rPr>
        <w:t>at</w:t>
      </w:r>
      <w:r w:rsidR="009C799F" w:rsidRPr="00332C8B">
        <w:rPr>
          <w:rFonts w:asciiTheme="minorHAnsi" w:hAnsiTheme="minorHAnsi" w:cstheme="minorHAnsi"/>
          <w:color w:val="000000" w:themeColor="text1"/>
          <w:sz w:val="22"/>
          <w:szCs w:val="22"/>
        </w:rPr>
        <w:t xml:space="preserve"> f</w:t>
      </w:r>
      <w:r w:rsidR="007C66EA" w:rsidRPr="00332C8B">
        <w:rPr>
          <w:rFonts w:asciiTheme="minorHAnsi" w:hAnsiTheme="minorHAnsi" w:cstheme="minorHAnsi"/>
          <w:color w:val="000000" w:themeColor="text1"/>
          <w:sz w:val="22"/>
          <w:szCs w:val="22"/>
        </w:rPr>
        <w:t xml:space="preserve">ree </w:t>
      </w:r>
      <w:r w:rsidR="009C799F" w:rsidRPr="00332C8B">
        <w:rPr>
          <w:rFonts w:asciiTheme="minorHAnsi" w:hAnsiTheme="minorHAnsi" w:cstheme="minorHAnsi"/>
          <w:color w:val="000000" w:themeColor="text1"/>
          <w:sz w:val="22"/>
          <w:szCs w:val="22"/>
        </w:rPr>
        <w:t>m</w:t>
      </w:r>
      <w:r w:rsidR="007C66EA" w:rsidRPr="00332C8B">
        <w:rPr>
          <w:rFonts w:asciiTheme="minorHAnsi" w:hAnsiTheme="minorHAnsi" w:cstheme="minorHAnsi"/>
          <w:color w:val="000000" w:themeColor="text1"/>
          <w:sz w:val="22"/>
          <w:szCs w:val="22"/>
        </w:rPr>
        <w:t>ass derived from BIA ha</w:t>
      </w:r>
      <w:r w:rsidR="00472923" w:rsidRPr="00332C8B">
        <w:rPr>
          <w:rFonts w:asciiTheme="minorHAnsi" w:hAnsiTheme="minorHAnsi" w:cstheme="minorHAnsi"/>
          <w:color w:val="000000" w:themeColor="text1"/>
          <w:sz w:val="22"/>
          <w:szCs w:val="22"/>
        </w:rPr>
        <w:t>s</w:t>
      </w:r>
      <w:r w:rsidR="007C66EA" w:rsidRPr="00332C8B">
        <w:rPr>
          <w:rFonts w:asciiTheme="minorHAnsi" w:hAnsiTheme="minorHAnsi" w:cstheme="minorHAnsi"/>
          <w:color w:val="000000" w:themeColor="text1"/>
          <w:sz w:val="22"/>
          <w:szCs w:val="22"/>
        </w:rPr>
        <w:t xml:space="preserve"> been </w:t>
      </w:r>
      <w:r w:rsidR="008C614F" w:rsidRPr="00332C8B">
        <w:rPr>
          <w:rFonts w:asciiTheme="minorHAnsi" w:hAnsiTheme="minorHAnsi" w:cstheme="minorHAnsi"/>
          <w:color w:val="000000" w:themeColor="text1"/>
          <w:sz w:val="22"/>
          <w:szCs w:val="22"/>
        </w:rPr>
        <w:t>shown to be significantly lower in malnourished hospitalised patients</w:t>
      </w:r>
      <w:r w:rsidR="00472923" w:rsidRPr="00332C8B">
        <w:rPr>
          <w:rFonts w:asciiTheme="minorHAnsi" w:hAnsiTheme="minorHAnsi" w:cstheme="minorHAnsi"/>
          <w:color w:val="000000" w:themeColor="text1"/>
          <w:sz w:val="22"/>
          <w:szCs w:val="22"/>
        </w:rPr>
        <w:t>, even in those who maintained their body weight</w:t>
      </w:r>
      <w:r w:rsidR="007830EF" w:rsidRPr="00332C8B">
        <w:rPr>
          <w:rFonts w:asciiTheme="minorHAnsi" w:hAnsiTheme="minorHAnsi" w:cstheme="minorHAnsi"/>
          <w:color w:val="000000" w:themeColor="text1"/>
          <w:sz w:val="22"/>
          <w:szCs w:val="22"/>
        </w:rPr>
        <w:fldChar w:fldCharType="begin" w:fldLock="1"/>
      </w:r>
      <w:r w:rsidR="00F66CFF" w:rsidRPr="00332C8B">
        <w:rPr>
          <w:rFonts w:asciiTheme="minorHAnsi" w:hAnsiTheme="minorHAnsi" w:cstheme="minorHAnsi"/>
          <w:color w:val="000000" w:themeColor="text1"/>
          <w:sz w:val="22"/>
          <w:szCs w:val="22"/>
        </w:rPr>
        <w:instrText>ADDIN CSL_CITATION {"citationItems":[{"id":"ITEM-1","itemData":{"DOI":"10.1079/bjn2001470","ISSN":"0007-1145","PMID":"11749682","abstract":" Body weight, weight changes and BMI are easily obtainable indicators of nutritional status, but they do not provide information on the amount of fat-free and fat masses. The purpose of the present study was to determine if fat-free mass (FFM) and fat mass were depleted in patients with normal BMI or serum albumin at hospital admission. A group of 995 consecutive patients were evaluated for malnutrition by BMI, serum albumin, and 50 kHz bioelectrical impedance analysis and compared with 995 healthy adults, matched for age and height, and then compared with FFM and fat mass percentiles previously determined in 5225 healthy adults. A BMI of ≤20 kg/m 2 was noted in 17·3 % of patients and serum albumin of ≤35 g/l was found in 14·9 % of patients. In contrast, 31 % of all patients were below the tenth percentile for FFM, compared with 10·1 % of controls (χ 2 , P=0·0001), while 73 % of patients with BMI ≤20 kg/m 2 and 31 % of patients with BMI 20–24·9 kg/m 2 fell below the tenth percentile for FFM. Furthermore, the FFM was lower in patients than controls and the differences with age in FFM (lower) and fat mass (higher) were greater in patients than in controls. BMI and albumin significantly underestimated the prevalence of malnutrition in patients at hospital admission compared with body composition measurements. Optimal nutritional assessment should therefore include objective measurement of FFM and fat mass. ","author":[{"dropping-particle":"","family":"Kyle","given":"Ursula G.","non-dropping-particle":"","parse-names":false,"suffix":""},{"dropping-particle":"","family":"Morabia","given":"Alfredo","non-dropping-particle":"","parse-names":false,"suffix":""},{"dropping-particle":"","family":"Slosman","given":"Daniel O.","non-dropping-particle":"","parse-names":false,"suffix":""},{"dropping-particle":"","family":"Mensi","given":"Nouri","non-dropping-particle":"","parse-names":false,"suffix":""},{"dropping-particle":"","family":"Unger","given":"Pierre","non-dropping-particle":"","parse-names":false,"suffix":""},{"dropping-particle":"","family":"Pichard","given":"Claude","non-dropping-particle":"","parse-names":false,"suffix":""}],"container-title":"British Journal of Nutrition","id":"ITEM-1","issued":{"date-parts":[["2001"]]},"title":"Contribution of body composition to nutritional assessment at hospital admission in 995 patients: a controlled population study","type":"article-journal"},"uris":["http://www.mendeley.com/documents/?uuid=327e9ae4-87c4-4599-bec7-32320c1c32b3"]}],"mendeley":{"formattedCitation":"[13]","plainTextFormattedCitation":"[13]","previouslyFormattedCitation":"[13]"},"properties":{"noteIndex":0},"schema":"https://github.com/citation-style-language/schema/raw/master/csl-citation.json"}</w:instrText>
      </w:r>
      <w:r w:rsidR="007830EF" w:rsidRPr="00332C8B">
        <w:rPr>
          <w:rFonts w:asciiTheme="minorHAnsi" w:hAnsiTheme="minorHAnsi" w:cstheme="minorHAnsi"/>
          <w:color w:val="000000" w:themeColor="text1"/>
          <w:sz w:val="22"/>
          <w:szCs w:val="22"/>
        </w:rPr>
        <w:fldChar w:fldCharType="separate"/>
      </w:r>
      <w:r w:rsidR="00187EFE" w:rsidRPr="00332C8B">
        <w:rPr>
          <w:rFonts w:asciiTheme="minorHAnsi" w:hAnsiTheme="minorHAnsi" w:cstheme="minorHAnsi"/>
          <w:noProof/>
          <w:color w:val="000000" w:themeColor="text1"/>
          <w:sz w:val="22"/>
          <w:szCs w:val="22"/>
        </w:rPr>
        <w:t>[13]</w:t>
      </w:r>
      <w:r w:rsidR="007830EF" w:rsidRPr="00332C8B">
        <w:rPr>
          <w:rFonts w:asciiTheme="minorHAnsi" w:hAnsiTheme="minorHAnsi" w:cstheme="minorHAnsi"/>
          <w:color w:val="000000" w:themeColor="text1"/>
          <w:sz w:val="22"/>
          <w:szCs w:val="22"/>
        </w:rPr>
        <w:fldChar w:fldCharType="end"/>
      </w:r>
      <w:r w:rsidR="00472923" w:rsidRPr="00332C8B">
        <w:rPr>
          <w:rFonts w:asciiTheme="minorHAnsi" w:hAnsiTheme="minorHAnsi" w:cstheme="minorHAnsi"/>
          <w:color w:val="000000" w:themeColor="text1"/>
          <w:sz w:val="22"/>
          <w:szCs w:val="22"/>
        </w:rPr>
        <w:t xml:space="preserve"> </w:t>
      </w:r>
      <w:r w:rsidR="008C614F" w:rsidRPr="00332C8B">
        <w:rPr>
          <w:rFonts w:asciiTheme="minorHAnsi" w:hAnsiTheme="minorHAnsi" w:cstheme="minorHAnsi"/>
          <w:color w:val="000000" w:themeColor="text1"/>
          <w:sz w:val="22"/>
          <w:szCs w:val="22"/>
        </w:rPr>
        <w:t xml:space="preserve">and </w:t>
      </w:r>
      <w:r w:rsidR="009C799F" w:rsidRPr="00332C8B">
        <w:rPr>
          <w:rFonts w:asciiTheme="minorHAnsi" w:hAnsiTheme="minorHAnsi" w:cstheme="minorHAnsi"/>
          <w:color w:val="000000" w:themeColor="text1"/>
          <w:sz w:val="22"/>
          <w:szCs w:val="22"/>
        </w:rPr>
        <w:t>fat free m</w:t>
      </w:r>
      <w:r w:rsidR="00472923" w:rsidRPr="00332C8B">
        <w:rPr>
          <w:rFonts w:asciiTheme="minorHAnsi" w:hAnsiTheme="minorHAnsi" w:cstheme="minorHAnsi"/>
          <w:color w:val="000000" w:themeColor="text1"/>
          <w:sz w:val="22"/>
          <w:szCs w:val="22"/>
        </w:rPr>
        <w:t xml:space="preserve">ass at admission has been shown to be </w:t>
      </w:r>
      <w:r w:rsidR="007C66EA" w:rsidRPr="00332C8B">
        <w:rPr>
          <w:rFonts w:asciiTheme="minorHAnsi" w:hAnsiTheme="minorHAnsi" w:cstheme="minorHAnsi"/>
          <w:color w:val="000000" w:themeColor="text1"/>
          <w:sz w:val="22"/>
          <w:szCs w:val="22"/>
        </w:rPr>
        <w:t>associated with worse clinical outcomes</w:t>
      </w:r>
      <w:r w:rsidR="008C614F" w:rsidRPr="00332C8B">
        <w:rPr>
          <w:rFonts w:asciiTheme="minorHAnsi" w:hAnsiTheme="minorHAnsi" w:cstheme="minorHAnsi"/>
          <w:color w:val="000000" w:themeColor="text1"/>
          <w:sz w:val="22"/>
          <w:szCs w:val="22"/>
        </w:rPr>
        <w:t xml:space="preserve"> such as increased length of stay</w:t>
      </w:r>
      <w:r w:rsidR="00C95793" w:rsidRPr="00332C8B">
        <w:rPr>
          <w:rFonts w:asciiTheme="minorHAnsi" w:hAnsiTheme="minorHAnsi" w:cstheme="minorHAnsi"/>
          <w:color w:val="000000" w:themeColor="text1"/>
          <w:sz w:val="22"/>
          <w:szCs w:val="22"/>
        </w:rPr>
        <w:fldChar w:fldCharType="begin" w:fldLock="1"/>
      </w:r>
      <w:r w:rsidR="00F66CFF" w:rsidRPr="00332C8B">
        <w:rPr>
          <w:rFonts w:asciiTheme="minorHAnsi" w:hAnsiTheme="minorHAnsi" w:cstheme="minorHAnsi"/>
          <w:color w:val="000000" w:themeColor="text1"/>
          <w:sz w:val="22"/>
          <w:szCs w:val="22"/>
        </w:rPr>
        <w:instrText>ADDIN CSL_CITATION {"citationItems":[{"id":"ITEM-1","itemData":{"ISSN":"00029165","abstract":"BACKGROUND Low fat-free mass may be an independent risk factor for malnutrition that results in an increased length of hospital stay (LOS). OBJECTIVES The objectives were to compare differences in fat-free mass and fat mass at hospital admission between patients and healthy control subjects and to determine the association between these differences and the LOS. DESIGN Patients (525 men, 470 women) were prospectively recruited at hospital admission. Height-corrected fat-free mass and fat mass (fat-free-mass index or fat-mass index; in kg/m2) were determined in patients at admission by bioelectrical impedance analysis and were compared with values for sex-, age-, and height-matched control subjects. Patients were classified as well-nourished, moderately depleted, or severely depleted on the basis of a Subjective Global Assessment questionnaire and a body mass index (in kg/m2) &lt; or &gt; 20. RESULTS Low fat-free mass was noted in 37% and 55.6% of patients hospitalized 1-2 d and &gt; 12 d, respectively. The odds ratios were significant for fat-free-mass index and were higher in patients with a LOS of &gt; 12 d [men (odds ratio: 5.6; 95% CI: 3.1, 10.4), women (4.4; 2.3, 8.7)] than in those with a LOS of 1-2 d [men (3.3; 2.2, 5.0), women (2.2; 1.6, 3.1)]. Severe nutritional depletion was significantly associated only with a LOS &gt; 12 d. CONCLUSION Fat-free mass and fat-free-mass index were significantly lower in patients than in control subjects. Because the fat-free-mass index is significantly associated with an increased LOS, provides nutritional assessment information that complements that from a Subjective Global Assessment questionnaire, and is a more sensitive determinant of the association of fat-free mass with LOS than is a weight loss &gt; 10% or a body mass index &lt; 20, it should be used to evaluate nutritional status.","author":[{"dropping-particle":"","family":"Pichard","given":"Claude","non-dropping-particle":"","parse-names":false,"suffix":""},{"dropping-particle":"","family":"Kyle","given":"Ursula G.","non-dropping-particle":"","parse-names":false,"suffix":""},{"dropping-particle":"","family":"Morabia","given":"Alfredo","non-dropping-particle":"","parse-names":false,"suffix":""},{"dropping-particle":"","family":"Perrier","given":"Arnaud","non-dropping-particle":"","parse-names":false,"suffix":""},{"dropping-particle":"","family":"Vermeulen","given":"Bernard","non-dropping-particle":"","parse-names":false,"suffix":""},{"dropping-particle":"","family":"Unger","given":"Pierre","non-dropping-particle":"","parse-names":false,"suffix":""}],"container-title":"American Journal of Clinical Nutrition","id":"ITEM-1","issued":{"date-parts":[["2004"]]},"title":"Nutritional assessment: Lean body mass depletion at hospital admission is associated with an increased length of stay","type":"article-journal"},"uris":["http://www.mendeley.com/documents/?uuid=249237fa-0778-439b-9f0b-0cfac08d8aea"]}],"mendeley":{"formattedCitation":"[14]","plainTextFormattedCitation":"[14]","previouslyFormattedCitation":"[14]"},"properties":{"noteIndex":0},"schema":"https://github.com/citation-style-language/schema/raw/master/csl-citation.json"}</w:instrText>
      </w:r>
      <w:r w:rsidR="00C95793" w:rsidRPr="00332C8B">
        <w:rPr>
          <w:rFonts w:asciiTheme="minorHAnsi" w:hAnsiTheme="minorHAnsi" w:cstheme="minorHAnsi"/>
          <w:color w:val="000000" w:themeColor="text1"/>
          <w:sz w:val="22"/>
          <w:szCs w:val="22"/>
        </w:rPr>
        <w:fldChar w:fldCharType="separate"/>
      </w:r>
      <w:r w:rsidR="00187EFE" w:rsidRPr="00332C8B">
        <w:rPr>
          <w:rFonts w:asciiTheme="minorHAnsi" w:hAnsiTheme="minorHAnsi" w:cstheme="minorHAnsi"/>
          <w:noProof/>
          <w:color w:val="000000" w:themeColor="text1"/>
          <w:sz w:val="22"/>
          <w:szCs w:val="22"/>
        </w:rPr>
        <w:t>[14]</w:t>
      </w:r>
      <w:r w:rsidR="00C95793" w:rsidRPr="00332C8B">
        <w:rPr>
          <w:rFonts w:asciiTheme="minorHAnsi" w:hAnsiTheme="minorHAnsi" w:cstheme="minorHAnsi"/>
          <w:color w:val="000000" w:themeColor="text1"/>
          <w:sz w:val="22"/>
          <w:szCs w:val="22"/>
        </w:rPr>
        <w:fldChar w:fldCharType="end"/>
      </w:r>
      <w:r w:rsidR="008C614F" w:rsidRPr="00332C8B">
        <w:rPr>
          <w:rFonts w:asciiTheme="minorHAnsi" w:hAnsiTheme="minorHAnsi" w:cstheme="minorHAnsi"/>
          <w:color w:val="000000" w:themeColor="text1"/>
          <w:sz w:val="22"/>
          <w:szCs w:val="22"/>
        </w:rPr>
        <w:t xml:space="preserve"> </w:t>
      </w:r>
      <w:r w:rsidR="00472923" w:rsidRPr="00332C8B">
        <w:rPr>
          <w:rFonts w:asciiTheme="minorHAnsi" w:hAnsiTheme="minorHAnsi" w:cstheme="minorHAnsi"/>
          <w:color w:val="000000" w:themeColor="text1"/>
          <w:sz w:val="22"/>
          <w:szCs w:val="22"/>
        </w:rPr>
        <w:t>and 28-day mortality in intensive care</w:t>
      </w:r>
      <w:r w:rsidR="00C95793" w:rsidRPr="00332C8B">
        <w:rPr>
          <w:rFonts w:asciiTheme="minorHAnsi" w:hAnsiTheme="minorHAnsi" w:cstheme="minorHAnsi"/>
          <w:color w:val="000000" w:themeColor="text1"/>
          <w:sz w:val="22"/>
          <w:szCs w:val="22"/>
        </w:rPr>
        <w:fldChar w:fldCharType="begin" w:fldLock="1"/>
      </w:r>
      <w:r w:rsidR="00F66CFF" w:rsidRPr="00332C8B">
        <w:rPr>
          <w:rFonts w:asciiTheme="minorHAnsi" w:hAnsiTheme="minorHAnsi" w:cstheme="minorHAnsi"/>
          <w:color w:val="000000" w:themeColor="text1"/>
          <w:sz w:val="22"/>
          <w:szCs w:val="22"/>
        </w:rPr>
        <w:instrText>ADDIN CSL_CITATION {"citationItems":[{"id":"ITEM-1","itemData":{"DOI":"10.1007/s00134-016-4468-3","ISSN":"14321238","abstract":"© 2016, Springer-Verlag Berlin Heidelberg and ESICM. Purpose: Phase angle as measured by bioelectrical impedance analysis reflects fat-free mass. Fat-free mass loss relates to worse prognosis in chronic diseases. Primary aim of this study was: to determine the association between fat-free mass at intensive care unit admission and 28-day mortality. Methods: Ten centres in nine countries participated in this multicentre prospective observational study. The inclusion criteria were age  &gt; 18 years; expected length of stay  &gt; 48 h; absence of pacemaker, heart defibrillator implant, pregnancy and lactation. Fat-free mass was assessed by measurement of the 50-kHz phase angle at admission. The primary endpoint was 28-day mortality. The area under the receiver operating characteristic curve (AUC) was used to assess prediction of 28-day mortality by fat-free mass at ICU admission. The variables associated with 28-day mortality were analysed by means of multivariable logistic regression. Results: Of the 3605 patients screened, 931 were analysed: age 61 ± 16 years, male 60 %, APACHE II 19 ± 9, body mass index 26 ± 6, day 1 phase angle 4.5° ± 1.9°. Day 1 phase angle was lower in patients who eventually died than in survivors (4.1° ± 2.0° vs. 4.6° ± 1.8°, P = 0.001). The day 1 phase angle AUC for 28-day mortality was 0.63 [0.58–0.67]. In multivariable analysis, the following were independently associated with 28-day mortality: age (adjusted odds ratio (aOR) 1.014 [95 % confidence interval 1.002–1.027] , P = 0.03), day 1 phase angle (aOR 0.86 [0.78–0.96], P = 0.008), APACHE II (aOR 1.08 [1.06–1.11] , P  &lt;  0.001), surgical patient (aOR 0.51 [0.33–0.79] , P = 0.002), and admission for other diagnosis (aOR 0.39 [0.21–0.72], P = 0.003). A multivariable combined score improved the predictability of 28-day mortality: AUC = 0.79 [0.75–0.82] . Conclusion: Low fat-free mass at ICU admission is associated with 28-day mortality. A combined score improves mortality predictability. Trial registration: NCT01907347 (http://www.clinicaltrials.gov).","author":[{"dropping-particle":"","family":"Thibault","given":"Ronan","non-dropping-particle":"","parse-names":false,"suffix":""},{"dropping-particle":"","family":"Makhlouf","given":"Anne Marie","non-dropping-particle":"","parse-names":false,"suffix":""},{"dropping-particle":"","family":"Mulliez","given":"Aurélien","non-dropping-particle":"","parse-names":false,"suffix":""},{"dropping-particle":"","family":"Cristina Gonzalez","given":"M.","non-dropping-particle":"","parse-names":false,"suffix":""},{"dropping-particle":"","family":"Kekstas","given":"Gintautas","non-dropping-particle":"","parse-names":false,"suffix":""},{"dropping-particle":"","family":"Kozjek","given":"Nada Rotovnik","non-dropping-particle":"","parse-names":false,"suffix":""},{"dropping-particle":"","family":"Preiser","given":"Jean Charles","non-dropping-particle":"","parse-names":false,"suffix":""},{"dropping-particle":"","family":"Rozalen","given":"Isabel Ceniceros","non-dropping-particle":"","parse-names":false,"suffix":""},{"dropping-particle":"","family":"Dadet","given":"Sylvain","non-dropping-particle":"","parse-names":false,"suffix":""},{"dropping-particle":"","family":"Krznaric","given":"Zeljko","non-dropping-particle":"","parse-names":false,"suffix":""},{"dropping-particle":"","family":"Kupczyk","given":"Kinga","non-dropping-particle":"","parse-names":false,"suffix":""},{"dropping-particle":"","family":"Tamion","given":"Fabienne","non-dropping-particle":"","parse-names":false,"suffix":""},{"dropping-particle":"","family":"Cano","given":"Noël","non-dropping-particle":"","parse-names":false,"suffix":""},{"dropping-particle":"","family":"Pichard","given":"Claude","non-dropping-particle":"","parse-names":false,"suffix":""}],"container-title":"Intensive Care Medicine","id":"ITEM-1","issued":{"date-parts":[["2016"]]},"title":"Fat-free mass at admission predicts 28-day mortality in intensive care unit patients: the international prospective observational study Phase Angle Project","type":"article-journal"},"uris":["http://www.mendeley.com/documents/?uuid=71092298-ecfe-4c88-98b2-3c8b76032b4e"]}],"mendeley":{"formattedCitation":"[15]","plainTextFormattedCitation":"[15]","previouslyFormattedCitation":"[15]"},"properties":{"noteIndex":0},"schema":"https://github.com/citation-style-language/schema/raw/master/csl-citation.json"}</w:instrText>
      </w:r>
      <w:r w:rsidR="00C95793" w:rsidRPr="00332C8B">
        <w:rPr>
          <w:rFonts w:asciiTheme="minorHAnsi" w:hAnsiTheme="minorHAnsi" w:cstheme="minorHAnsi"/>
          <w:color w:val="000000" w:themeColor="text1"/>
          <w:sz w:val="22"/>
          <w:szCs w:val="22"/>
        </w:rPr>
        <w:fldChar w:fldCharType="separate"/>
      </w:r>
      <w:r w:rsidR="00187EFE" w:rsidRPr="00332C8B">
        <w:rPr>
          <w:rFonts w:asciiTheme="minorHAnsi" w:hAnsiTheme="minorHAnsi" w:cstheme="minorHAnsi"/>
          <w:noProof/>
          <w:color w:val="000000" w:themeColor="text1"/>
          <w:sz w:val="22"/>
          <w:szCs w:val="22"/>
        </w:rPr>
        <w:t>[15]</w:t>
      </w:r>
      <w:r w:rsidR="00C95793" w:rsidRPr="00332C8B">
        <w:rPr>
          <w:rFonts w:asciiTheme="minorHAnsi" w:hAnsiTheme="minorHAnsi" w:cstheme="minorHAnsi"/>
          <w:color w:val="000000" w:themeColor="text1"/>
          <w:sz w:val="22"/>
          <w:szCs w:val="22"/>
        </w:rPr>
        <w:fldChar w:fldCharType="end"/>
      </w:r>
      <w:r w:rsidR="00C95793" w:rsidRPr="00332C8B">
        <w:rPr>
          <w:rFonts w:asciiTheme="minorHAnsi" w:hAnsiTheme="minorHAnsi" w:cstheme="minorHAnsi"/>
          <w:color w:val="000000" w:themeColor="text1"/>
          <w:sz w:val="22"/>
          <w:szCs w:val="22"/>
        </w:rPr>
        <w:t>.</w:t>
      </w:r>
    </w:p>
    <w:p w14:paraId="79C6CBEB" w14:textId="77777777" w:rsidR="00472923" w:rsidRPr="00332C8B" w:rsidRDefault="00472923" w:rsidP="00F0414E">
      <w:pPr>
        <w:spacing w:line="480" w:lineRule="auto"/>
        <w:rPr>
          <w:rFonts w:asciiTheme="minorHAnsi" w:hAnsiTheme="minorHAnsi" w:cstheme="minorHAnsi"/>
          <w:color w:val="000000" w:themeColor="text1"/>
          <w:sz w:val="22"/>
          <w:szCs w:val="22"/>
        </w:rPr>
      </w:pPr>
    </w:p>
    <w:p w14:paraId="5A89E3C4" w14:textId="6FB78B26" w:rsidR="00881E97" w:rsidRPr="00230D42" w:rsidRDefault="009D4192" w:rsidP="00BC45E7">
      <w:pPr>
        <w:spacing w:line="480" w:lineRule="auto"/>
        <w:rPr>
          <w:rFonts w:cstheme="minorHAnsi"/>
          <w:lang w:eastAsia="en-GB"/>
        </w:rPr>
      </w:pPr>
      <w:r w:rsidRPr="00332C8B">
        <w:rPr>
          <w:rFonts w:asciiTheme="minorHAnsi" w:hAnsiTheme="minorHAnsi" w:cstheme="minorHAnsi"/>
          <w:color w:val="000000" w:themeColor="text1"/>
          <w:sz w:val="22"/>
          <w:szCs w:val="22"/>
        </w:rPr>
        <w:t xml:space="preserve">Clinical use of BIA </w:t>
      </w:r>
      <w:r w:rsidR="00636E73" w:rsidRPr="00332C8B">
        <w:rPr>
          <w:rFonts w:asciiTheme="minorHAnsi" w:hAnsiTheme="minorHAnsi" w:cstheme="minorHAnsi"/>
          <w:color w:val="000000" w:themeColor="text1"/>
          <w:sz w:val="22"/>
          <w:szCs w:val="22"/>
        </w:rPr>
        <w:t xml:space="preserve">to </w:t>
      </w:r>
      <w:r w:rsidR="003466CD" w:rsidRPr="00332C8B">
        <w:rPr>
          <w:rFonts w:asciiTheme="minorHAnsi" w:hAnsiTheme="minorHAnsi" w:cstheme="minorHAnsi"/>
          <w:color w:val="000000" w:themeColor="text1"/>
          <w:sz w:val="22"/>
          <w:szCs w:val="22"/>
        </w:rPr>
        <w:t>derive</w:t>
      </w:r>
      <w:r w:rsidR="00636E73" w:rsidRPr="00332C8B">
        <w:rPr>
          <w:rFonts w:asciiTheme="minorHAnsi" w:hAnsiTheme="minorHAnsi" w:cstheme="minorHAnsi"/>
          <w:color w:val="000000" w:themeColor="text1"/>
          <w:sz w:val="22"/>
          <w:szCs w:val="22"/>
        </w:rPr>
        <w:t xml:space="preserve"> body composition </w:t>
      </w:r>
      <w:r w:rsidRPr="00332C8B">
        <w:rPr>
          <w:rFonts w:asciiTheme="minorHAnsi" w:hAnsiTheme="minorHAnsi" w:cstheme="minorHAnsi"/>
          <w:color w:val="000000" w:themeColor="text1"/>
          <w:sz w:val="22"/>
          <w:szCs w:val="22"/>
        </w:rPr>
        <w:t xml:space="preserve">in subjects at extremes of BMI ranges or with abnormal </w:t>
      </w:r>
      <w:r w:rsidR="00B61D1E" w:rsidRPr="00332C8B">
        <w:rPr>
          <w:rFonts w:asciiTheme="minorHAnsi" w:hAnsiTheme="minorHAnsi" w:cstheme="minorHAnsi"/>
          <w:color w:val="000000" w:themeColor="text1"/>
          <w:sz w:val="22"/>
          <w:szCs w:val="22"/>
        </w:rPr>
        <w:t xml:space="preserve">hydration </w:t>
      </w:r>
      <w:r w:rsidR="008C614F" w:rsidRPr="00332C8B">
        <w:rPr>
          <w:rFonts w:asciiTheme="minorHAnsi" w:hAnsiTheme="minorHAnsi" w:cstheme="minorHAnsi"/>
          <w:color w:val="000000" w:themeColor="text1"/>
          <w:sz w:val="22"/>
          <w:szCs w:val="22"/>
        </w:rPr>
        <w:t xml:space="preserve">and fluid shifts </w:t>
      </w:r>
      <w:r w:rsidR="00A7167E" w:rsidRPr="00332C8B">
        <w:rPr>
          <w:rFonts w:asciiTheme="minorHAnsi" w:hAnsiTheme="minorHAnsi" w:cstheme="minorHAnsi"/>
          <w:color w:val="000000" w:themeColor="text1"/>
          <w:sz w:val="22"/>
          <w:szCs w:val="22"/>
        </w:rPr>
        <w:t>is not</w:t>
      </w:r>
      <w:r w:rsidR="00B61D1E" w:rsidRPr="00332C8B">
        <w:rPr>
          <w:rFonts w:asciiTheme="minorHAnsi" w:hAnsiTheme="minorHAnsi" w:cstheme="minorHAnsi"/>
          <w:color w:val="000000" w:themeColor="text1"/>
          <w:sz w:val="22"/>
          <w:szCs w:val="22"/>
        </w:rPr>
        <w:t xml:space="preserve"> recommended for routine assessment</w:t>
      </w:r>
      <w:r w:rsidR="0055256A" w:rsidRPr="00332C8B">
        <w:rPr>
          <w:rFonts w:asciiTheme="minorHAnsi" w:hAnsiTheme="minorHAnsi" w:cstheme="minorHAnsi"/>
          <w:color w:val="000000" w:themeColor="text1"/>
          <w:sz w:val="22"/>
          <w:szCs w:val="22"/>
        </w:rPr>
        <w:fldChar w:fldCharType="begin" w:fldLock="1"/>
      </w:r>
      <w:r w:rsidR="00F66CFF" w:rsidRPr="00332C8B">
        <w:rPr>
          <w:rFonts w:asciiTheme="minorHAnsi" w:hAnsiTheme="minorHAnsi" w:cstheme="minorHAnsi"/>
          <w:color w:val="000000" w:themeColor="text1"/>
          <w:sz w:val="22"/>
          <w:szCs w:val="22"/>
        </w:rPr>
        <w:instrText>ADDIN CSL_CITATION {"citationItems":[{"id":"ITEM-1","itemData":{"DOI":"10.1016/j.clnu.2004.09.012","ISBN":"0261-5614 (Print)\\r0261-5614 (Linking)","ISSN":"02615614","PMID":"15556267","abstract":"BIA is easy, non-invasive, relatively inexpensive and can be performed in almost any subject because it is portable. Part II of these ESPEN guidelines reports results for fat-free mass (FFM), body fat (BF), body cell mass (BCM), total body water (TBW), extracellular water (ECW) and intracellular water (ICW) from various studies in healthy and ill subjects. The data suggests that BIA works well in healthy subjects and in patients with stable water and electrolytes balance with a validated BIA equation that is appropriate with regard to age, sex and race. Clinical use of BIA in subjects at extremes of BMI ranges or with abnormal hydration cannot be recommended for routine assessment of patients until further validation has proven for BIA algorithm to be accurate in such conditions. Multi-frequency- and segmental-BIA may have advantages over single-frequency BIA in these conditions, but further validation is necessary. Longitudinal follow-up of body composition by BIA is possible in subjects with BMI 16-34 kg/m(2) without abnormal hydration, but must be interpreted with caution. Further validation of BIA is necessary to understand the mechanisms for the changes observed in acute illness, altered fat/lean mass ratios, extreme heights and body shape abnormalities.","author":[{"dropping-particle":"","family":"Kyle","given":"Ursula G","non-dropping-particle":"","parse-names":false,"suffix":""},{"dropping-particle":"","family":"Bosaeus","given":"Ingvar","non-dropping-particle":"","parse-names":false,"suffix":""},{"dropping-particle":"","family":"Lorenzo","given":"Antonio D","non-dropping-particle":"De","parse-names":false,"suffix":""},{"dropping-particle":"","family":"Deurenberg","given":"Paul","non-dropping-particle":"","parse-names":false,"suffix":""},{"dropping-particle":"","family":"Elia","given":"Marinos","non-dropping-particle":"","parse-names":false,"suffix":""},{"dropping-particle":"","family":"Manuel Gómez","given":"José","non-dropping-particle":"","parse-names":false,"suffix":""},{"dropping-particle":"","family":"Lilienthal Heitmann","given":"Berit","non-dropping-particle":"","parse-names":false,"suffix":""},{"dropping-particle":"","family":"Kent-Smith","given":"Luisa","non-dropping-particle":"","parse-names":false,"suffix":""},{"dropping-particle":"","family":"Melchior","given":"Jean-Claude","non-dropping-particle":"","parse-names":false,"suffix":""},{"dropping-particle":"","family":"Pirlich","given":"Matthias","non-dropping-particle":"","parse-names":false,"suffix":""},{"dropping-particle":"","family":"Scharfetter","given":"Hermann","non-dropping-particle":"","parse-names":false,"suffix":""},{"dropping-particle":"","family":"M W J Schols","given":"Annemie","non-dropping-particle":"","parse-names":false,"suffix":""},{"dropping-particle":"","family":"Pichard","given":"Claude","non-dropping-particle":"","parse-names":false,"suffix":""}],"container-title":"Clinical nutrition (Edinburgh, Scotland)","id":"ITEM-1","issued":{"date-parts":[["2004"]]},"page":"1430-1453","title":"Bioelectrical impedance analysis-part II: utilization in clinical practice.","type":"article-journal","volume":"23"},"uris":["http://www.mendeley.com/documents/?uuid=e387879b-d3b6-4118-be9c-c63f382a77a9"]}],"mendeley":{"formattedCitation":"[16]","plainTextFormattedCitation":"[16]","previouslyFormattedCitation":"[16]"},"properties":{"noteIndex":0},"schema":"https://github.com/citation-style-language/schema/raw/master/csl-citation.json"}</w:instrText>
      </w:r>
      <w:r w:rsidR="0055256A" w:rsidRPr="00332C8B">
        <w:rPr>
          <w:rFonts w:asciiTheme="minorHAnsi" w:hAnsiTheme="minorHAnsi" w:cstheme="minorHAnsi"/>
          <w:color w:val="000000" w:themeColor="text1"/>
          <w:sz w:val="22"/>
          <w:szCs w:val="22"/>
        </w:rPr>
        <w:fldChar w:fldCharType="separate"/>
      </w:r>
      <w:r w:rsidR="00187EFE" w:rsidRPr="00332C8B">
        <w:rPr>
          <w:rFonts w:asciiTheme="minorHAnsi" w:hAnsiTheme="minorHAnsi" w:cstheme="minorHAnsi"/>
          <w:noProof/>
          <w:color w:val="000000" w:themeColor="text1"/>
          <w:sz w:val="22"/>
          <w:szCs w:val="22"/>
        </w:rPr>
        <w:t>[16]</w:t>
      </w:r>
      <w:r w:rsidR="0055256A" w:rsidRPr="00332C8B">
        <w:rPr>
          <w:rFonts w:asciiTheme="minorHAnsi" w:hAnsiTheme="minorHAnsi" w:cstheme="minorHAnsi"/>
          <w:color w:val="000000" w:themeColor="text1"/>
          <w:sz w:val="22"/>
          <w:szCs w:val="22"/>
        </w:rPr>
        <w:fldChar w:fldCharType="end"/>
      </w:r>
      <w:r w:rsidR="0055256A" w:rsidRPr="00332C8B">
        <w:rPr>
          <w:rFonts w:asciiTheme="minorHAnsi" w:hAnsiTheme="minorHAnsi" w:cstheme="minorHAnsi"/>
          <w:color w:val="000000" w:themeColor="text1"/>
          <w:sz w:val="22"/>
          <w:szCs w:val="22"/>
        </w:rPr>
        <w:t xml:space="preserve"> </w:t>
      </w:r>
      <w:r w:rsidR="00B61D1E" w:rsidRPr="00332C8B">
        <w:rPr>
          <w:rFonts w:asciiTheme="minorHAnsi" w:hAnsiTheme="minorHAnsi" w:cstheme="minorHAnsi"/>
          <w:color w:val="000000" w:themeColor="text1"/>
          <w:sz w:val="22"/>
          <w:szCs w:val="22"/>
        </w:rPr>
        <w:t xml:space="preserve">and </w:t>
      </w:r>
      <w:r w:rsidR="00636E73" w:rsidRPr="00332C8B">
        <w:rPr>
          <w:rFonts w:asciiTheme="minorHAnsi" w:hAnsiTheme="minorHAnsi" w:cstheme="minorHAnsi"/>
          <w:color w:val="000000" w:themeColor="text1"/>
          <w:sz w:val="22"/>
          <w:szCs w:val="22"/>
        </w:rPr>
        <w:t xml:space="preserve">so </w:t>
      </w:r>
      <w:r w:rsidR="00B61D1E" w:rsidRPr="00332C8B">
        <w:rPr>
          <w:rFonts w:asciiTheme="minorHAnsi" w:hAnsiTheme="minorHAnsi" w:cstheme="minorHAnsi"/>
          <w:color w:val="000000" w:themeColor="text1"/>
          <w:sz w:val="22"/>
          <w:szCs w:val="22"/>
        </w:rPr>
        <w:t>attention has been increasing</w:t>
      </w:r>
      <w:r w:rsidR="00A7167E" w:rsidRPr="00332C8B">
        <w:rPr>
          <w:rFonts w:asciiTheme="minorHAnsi" w:hAnsiTheme="minorHAnsi" w:cstheme="minorHAnsi"/>
          <w:color w:val="000000" w:themeColor="text1"/>
          <w:sz w:val="22"/>
          <w:szCs w:val="22"/>
        </w:rPr>
        <w:t>ly</w:t>
      </w:r>
      <w:r w:rsidR="00B61D1E" w:rsidRPr="00332C8B">
        <w:rPr>
          <w:rFonts w:asciiTheme="minorHAnsi" w:hAnsiTheme="minorHAnsi" w:cstheme="minorHAnsi"/>
          <w:color w:val="000000" w:themeColor="text1"/>
          <w:sz w:val="22"/>
          <w:szCs w:val="22"/>
        </w:rPr>
        <w:t xml:space="preserve"> directed </w:t>
      </w:r>
      <w:r w:rsidR="00636E73" w:rsidRPr="00332C8B">
        <w:rPr>
          <w:rFonts w:asciiTheme="minorHAnsi" w:hAnsiTheme="minorHAnsi" w:cstheme="minorHAnsi"/>
          <w:color w:val="000000" w:themeColor="text1"/>
          <w:sz w:val="22"/>
          <w:szCs w:val="22"/>
        </w:rPr>
        <w:t>towards the clinical utility of raw impedance measures w</w:t>
      </w:r>
      <w:r w:rsidR="00636E73" w:rsidRPr="00BC45E7">
        <w:rPr>
          <w:rFonts w:asciiTheme="minorHAnsi" w:hAnsiTheme="minorHAnsi" w:cstheme="minorHAnsi"/>
          <w:color w:val="000000" w:themeColor="text1"/>
          <w:sz w:val="22"/>
          <w:szCs w:val="22"/>
        </w:rPr>
        <w:t xml:space="preserve">here the application of assumptions that underlie the prediction may be uncertain. </w:t>
      </w:r>
      <w:r w:rsidR="00B61D1E" w:rsidRPr="00BC45E7">
        <w:rPr>
          <w:rFonts w:asciiTheme="minorHAnsi" w:hAnsiTheme="minorHAnsi" w:cstheme="minorHAnsi"/>
          <w:color w:val="000000" w:themeColor="text1"/>
          <w:sz w:val="22"/>
          <w:szCs w:val="22"/>
        </w:rPr>
        <w:t xml:space="preserve">Phase </w:t>
      </w:r>
      <w:r w:rsidR="00E2689C" w:rsidRPr="00FB646E">
        <w:rPr>
          <w:rFonts w:asciiTheme="minorHAnsi" w:hAnsiTheme="minorHAnsi" w:cstheme="minorHAnsi"/>
          <w:color w:val="000000" w:themeColor="text1"/>
          <w:sz w:val="22"/>
          <w:szCs w:val="22"/>
        </w:rPr>
        <w:t>a</w:t>
      </w:r>
      <w:r w:rsidR="00B61D1E" w:rsidRPr="00FB646E">
        <w:rPr>
          <w:rFonts w:asciiTheme="minorHAnsi" w:hAnsiTheme="minorHAnsi" w:cstheme="minorHAnsi"/>
          <w:color w:val="000000" w:themeColor="text1"/>
          <w:sz w:val="22"/>
          <w:szCs w:val="22"/>
        </w:rPr>
        <w:t>ngle</w:t>
      </w:r>
      <w:r w:rsidR="00636E73" w:rsidRPr="00FB646E">
        <w:rPr>
          <w:rFonts w:asciiTheme="minorHAnsi" w:hAnsiTheme="minorHAnsi" w:cstheme="minorHAnsi"/>
          <w:color w:val="000000" w:themeColor="text1"/>
          <w:sz w:val="22"/>
          <w:szCs w:val="22"/>
        </w:rPr>
        <w:t xml:space="preserve"> </w:t>
      </w:r>
      <w:r w:rsidR="00B61D1E" w:rsidRPr="00FB646E">
        <w:rPr>
          <w:rFonts w:asciiTheme="minorHAnsi" w:hAnsiTheme="minorHAnsi" w:cstheme="minorHAnsi"/>
          <w:color w:val="000000" w:themeColor="text1"/>
          <w:sz w:val="22"/>
          <w:szCs w:val="22"/>
        </w:rPr>
        <w:t>is the arc tangent value of the ratio of the reactance versus resistance</w:t>
      </w:r>
      <w:r w:rsidR="00636E73" w:rsidRPr="00FB646E">
        <w:rPr>
          <w:rFonts w:asciiTheme="minorHAnsi" w:hAnsiTheme="minorHAnsi" w:cstheme="minorHAnsi"/>
          <w:color w:val="000000" w:themeColor="text1"/>
          <w:sz w:val="22"/>
          <w:szCs w:val="22"/>
        </w:rPr>
        <w:t xml:space="preserve">, </w:t>
      </w:r>
      <w:r w:rsidR="00A7167E" w:rsidRPr="00FB646E">
        <w:rPr>
          <w:rFonts w:asciiTheme="minorHAnsi" w:hAnsiTheme="minorHAnsi" w:cstheme="minorHAnsi"/>
          <w:color w:val="000000" w:themeColor="text1"/>
          <w:sz w:val="22"/>
          <w:szCs w:val="22"/>
        </w:rPr>
        <w:t>reflecting</w:t>
      </w:r>
      <w:r w:rsidR="008C614F" w:rsidRPr="00FB646E">
        <w:rPr>
          <w:rFonts w:asciiTheme="minorHAnsi" w:hAnsiTheme="minorHAnsi" w:cstheme="minorHAnsi"/>
          <w:color w:val="000000" w:themeColor="text1"/>
          <w:sz w:val="22"/>
          <w:szCs w:val="22"/>
        </w:rPr>
        <w:t xml:space="preserve"> both intracellular water and body cell mass</w:t>
      </w:r>
      <w:r w:rsidR="00A7167E" w:rsidRPr="00FB646E">
        <w:rPr>
          <w:rFonts w:asciiTheme="minorHAnsi" w:hAnsiTheme="minorHAnsi" w:cstheme="minorHAnsi"/>
          <w:color w:val="000000" w:themeColor="text1"/>
          <w:sz w:val="22"/>
          <w:szCs w:val="22"/>
        </w:rPr>
        <w:t>,</w:t>
      </w:r>
      <w:r w:rsidR="008C614F" w:rsidRPr="00FB646E">
        <w:rPr>
          <w:rFonts w:asciiTheme="minorHAnsi" w:hAnsiTheme="minorHAnsi" w:cstheme="minorHAnsi"/>
          <w:color w:val="000000" w:themeColor="text1"/>
          <w:sz w:val="22"/>
          <w:szCs w:val="22"/>
        </w:rPr>
        <w:t xml:space="preserve"> and does not require the measurement of height or weight.</w:t>
      </w:r>
      <w:r w:rsidR="00A7167E" w:rsidRPr="00FB646E">
        <w:rPr>
          <w:rFonts w:asciiTheme="minorHAnsi" w:hAnsiTheme="minorHAnsi" w:cstheme="minorHAnsi"/>
          <w:color w:val="000000" w:themeColor="text1"/>
          <w:sz w:val="22"/>
          <w:szCs w:val="22"/>
        </w:rPr>
        <w:t xml:space="preserve"> </w:t>
      </w:r>
      <w:r w:rsidR="008C614F" w:rsidRPr="00FB646E">
        <w:rPr>
          <w:rFonts w:asciiTheme="minorHAnsi" w:hAnsiTheme="minorHAnsi" w:cstheme="minorHAnsi"/>
          <w:color w:val="000000" w:themeColor="text1"/>
          <w:sz w:val="22"/>
          <w:szCs w:val="22"/>
        </w:rPr>
        <w:t xml:space="preserve">Phase </w:t>
      </w:r>
      <w:r w:rsidR="00E2689C" w:rsidRPr="00FB646E">
        <w:rPr>
          <w:rFonts w:asciiTheme="minorHAnsi" w:hAnsiTheme="minorHAnsi" w:cstheme="minorHAnsi"/>
          <w:color w:val="000000" w:themeColor="text1"/>
          <w:sz w:val="22"/>
          <w:szCs w:val="22"/>
        </w:rPr>
        <w:t>a</w:t>
      </w:r>
      <w:r w:rsidR="008C614F" w:rsidRPr="00FB646E">
        <w:rPr>
          <w:rFonts w:asciiTheme="minorHAnsi" w:hAnsiTheme="minorHAnsi" w:cstheme="minorHAnsi"/>
          <w:color w:val="000000" w:themeColor="text1"/>
          <w:sz w:val="22"/>
          <w:szCs w:val="22"/>
        </w:rPr>
        <w:t xml:space="preserve">ngle can </w:t>
      </w:r>
      <w:r w:rsidR="007C66EA" w:rsidRPr="00FB646E">
        <w:rPr>
          <w:rFonts w:asciiTheme="minorHAnsi" w:hAnsiTheme="minorHAnsi" w:cstheme="minorHAnsi"/>
          <w:color w:val="000000" w:themeColor="text1"/>
          <w:sz w:val="22"/>
          <w:szCs w:val="22"/>
        </w:rPr>
        <w:t>be reported as the raw value (degrees)</w:t>
      </w:r>
      <w:r w:rsidR="008C614F" w:rsidRPr="00FB646E">
        <w:rPr>
          <w:rFonts w:asciiTheme="minorHAnsi" w:hAnsiTheme="minorHAnsi" w:cstheme="minorHAnsi"/>
          <w:color w:val="000000" w:themeColor="text1"/>
          <w:sz w:val="22"/>
          <w:szCs w:val="22"/>
        </w:rPr>
        <w:t xml:space="preserve"> but as this is influenced by gender, age and BMI </w:t>
      </w:r>
      <w:r w:rsidR="00A7167E" w:rsidRPr="00FB646E">
        <w:rPr>
          <w:rFonts w:asciiTheme="minorHAnsi" w:hAnsiTheme="minorHAnsi" w:cstheme="minorHAnsi"/>
          <w:color w:val="000000" w:themeColor="text1"/>
          <w:sz w:val="22"/>
          <w:szCs w:val="22"/>
        </w:rPr>
        <w:t xml:space="preserve">it may be more appropriate to report </w:t>
      </w:r>
      <w:r w:rsidR="007C66EA" w:rsidRPr="00FB646E">
        <w:rPr>
          <w:rFonts w:asciiTheme="minorHAnsi" w:hAnsiTheme="minorHAnsi" w:cstheme="minorHAnsi"/>
          <w:color w:val="000000" w:themeColor="text1"/>
          <w:sz w:val="22"/>
          <w:szCs w:val="22"/>
        </w:rPr>
        <w:t xml:space="preserve">the </w:t>
      </w:r>
      <w:r w:rsidR="00E2689C" w:rsidRPr="00FB646E">
        <w:rPr>
          <w:rFonts w:asciiTheme="minorHAnsi" w:hAnsiTheme="minorHAnsi" w:cstheme="minorHAnsi"/>
          <w:color w:val="000000" w:themeColor="text1"/>
          <w:sz w:val="22"/>
          <w:szCs w:val="22"/>
        </w:rPr>
        <w:t>s</w:t>
      </w:r>
      <w:r w:rsidR="007C66EA" w:rsidRPr="00FB646E">
        <w:rPr>
          <w:rFonts w:asciiTheme="minorHAnsi" w:hAnsiTheme="minorHAnsi" w:cstheme="minorHAnsi"/>
          <w:color w:val="000000" w:themeColor="text1"/>
          <w:sz w:val="22"/>
          <w:szCs w:val="22"/>
        </w:rPr>
        <w:t>tandardi</w:t>
      </w:r>
      <w:r w:rsidR="004150ED">
        <w:rPr>
          <w:rFonts w:asciiTheme="minorHAnsi" w:hAnsiTheme="minorHAnsi" w:cstheme="minorHAnsi"/>
          <w:color w:val="000000" w:themeColor="text1"/>
          <w:sz w:val="22"/>
          <w:szCs w:val="22"/>
        </w:rPr>
        <w:t>z</w:t>
      </w:r>
      <w:r w:rsidR="007C66EA" w:rsidRPr="00FB646E">
        <w:rPr>
          <w:rFonts w:asciiTheme="minorHAnsi" w:hAnsiTheme="minorHAnsi" w:cstheme="minorHAnsi"/>
          <w:color w:val="000000" w:themeColor="text1"/>
          <w:sz w:val="22"/>
          <w:szCs w:val="22"/>
        </w:rPr>
        <w:t xml:space="preserve">ed </w:t>
      </w:r>
      <w:r w:rsidR="00E2689C" w:rsidRPr="00FB646E">
        <w:rPr>
          <w:rFonts w:asciiTheme="minorHAnsi" w:hAnsiTheme="minorHAnsi" w:cstheme="minorHAnsi"/>
          <w:color w:val="000000" w:themeColor="text1"/>
          <w:sz w:val="22"/>
          <w:szCs w:val="22"/>
        </w:rPr>
        <w:t>p</w:t>
      </w:r>
      <w:r w:rsidR="007C66EA" w:rsidRPr="00FB646E">
        <w:rPr>
          <w:rFonts w:asciiTheme="minorHAnsi" w:hAnsiTheme="minorHAnsi" w:cstheme="minorHAnsi"/>
          <w:color w:val="000000" w:themeColor="text1"/>
          <w:sz w:val="22"/>
          <w:szCs w:val="22"/>
        </w:rPr>
        <w:t xml:space="preserve">hase </w:t>
      </w:r>
      <w:r w:rsidR="00E2689C" w:rsidRPr="00FB646E">
        <w:rPr>
          <w:rFonts w:asciiTheme="minorHAnsi" w:hAnsiTheme="minorHAnsi" w:cstheme="minorHAnsi"/>
          <w:color w:val="000000" w:themeColor="text1"/>
          <w:sz w:val="22"/>
          <w:szCs w:val="22"/>
        </w:rPr>
        <w:t>a</w:t>
      </w:r>
      <w:r w:rsidR="007C66EA" w:rsidRPr="00FB646E">
        <w:rPr>
          <w:rFonts w:asciiTheme="minorHAnsi" w:hAnsiTheme="minorHAnsi" w:cstheme="minorHAnsi"/>
          <w:color w:val="000000" w:themeColor="text1"/>
          <w:sz w:val="22"/>
          <w:szCs w:val="22"/>
        </w:rPr>
        <w:t>ngle</w:t>
      </w:r>
      <w:r w:rsidR="00C95793" w:rsidRPr="00BC45E7">
        <w:rPr>
          <w:rFonts w:asciiTheme="minorHAnsi" w:hAnsiTheme="minorHAnsi" w:cstheme="minorHAnsi"/>
          <w:color w:val="000000" w:themeColor="text1"/>
          <w:sz w:val="22"/>
          <w:szCs w:val="22"/>
          <w:vertAlign w:val="superscript"/>
        </w:rPr>
        <w:fldChar w:fldCharType="begin" w:fldLock="1"/>
      </w:r>
      <w:r w:rsidR="00F66CFF" w:rsidRPr="00FB646E">
        <w:rPr>
          <w:rFonts w:asciiTheme="minorHAnsi" w:hAnsiTheme="minorHAnsi" w:cstheme="minorHAnsi"/>
          <w:color w:val="000000" w:themeColor="text1"/>
          <w:sz w:val="22"/>
          <w:szCs w:val="22"/>
          <w:vertAlign w:val="superscript"/>
        </w:rPr>
        <w:instrText>ADDIN CSL_CITATION {"citationItems":[{"id":"ITEM-1","itemData":{"DOI":"10.1016/j.yco.2004.09.001","ISBN":"1363-1950","ISSN":"1363-1950","PMID":"15809535","abstract":"Purpose of review: The bioelectrical impedance analysis is not a direct method for estimating body composition. Its accuracy depends on regression equations, and recent papers have suggested that this approach should not be used in several clinical situations. Another option is to obtain information about the electrical properties of tissues by using raw bioelectrical impedance measurements, resistance and reactance. They can be expressed as a ratio (phase angle) or as a plot (bioelectrical impedance vector analysis). This review describes their use in clinical practice. Recent findings: The phase angle changes with sex and age. It is described as a prognostic tool in many clinical situations. There are some controversies about considering it as a nutritional marker. Studies in burn victims and sickle-cell disease corroborate its ability to evaluate cell membrane function. Bioelectrical impedance vector analysis allows a semi-quantitative estimation of body composition from information from tissue hydration and soft-tissue mass in a plot. It can be used in healthy individuals or patients, for a population or individual evaluation of fluid imbalance or an assessment of soft-tissue mass. It has also been used as a prognostic tool in dialysis and cancer patients. Summary: The phase angle can be considered a global marker of health, and future studies are needed to prove its utility in intervention studies. Bioelectrical impedance vector analysis has increased its utility in clinical practice, even when the equations may be inaccurate for body composition analysis.","author":[{"dropping-particle":"","family":"Barbosa-Silva","given":"Maria Cristina G","non-dropping-particle":"","parse-names":false,"suffix":""},{"dropping-particle":"","family":"Barros","given":"Aluísio J D","non-dropping-particle":"","parse-names":false,"suffix":""}],"container-title":"Current Opinion in Clinical Nutrition &amp; Metabolic Care","id":"ITEM-1","issue":"3","issued":{"date-parts":[["2005"]]},"page":"311-317","title":"Bioelectrical impedance analysis in clinical practice: a new perspective on its use beyond body composition equations","type":"article-journal","volume":"8"},"uris":["http://www.mendeley.com/documents/?uuid=be2f037d-f1cc-489f-86b3-912f6905fa50"]}],"mendeley":{"formattedCitation":"[17]","plainTextFormattedCitation":"[17]","previouslyFormattedCitation":"[17]"},"properties":{"noteIndex":0},"schema":"https://github.com/citation-style-language/schema/raw/master/csl-citation.json"}</w:instrText>
      </w:r>
      <w:r w:rsidR="00C95793" w:rsidRPr="00BC45E7">
        <w:rPr>
          <w:rFonts w:asciiTheme="minorHAnsi" w:hAnsiTheme="minorHAnsi" w:cstheme="minorHAnsi"/>
          <w:color w:val="000000" w:themeColor="text1"/>
          <w:sz w:val="22"/>
          <w:szCs w:val="22"/>
          <w:vertAlign w:val="superscript"/>
        </w:rPr>
        <w:fldChar w:fldCharType="separate"/>
      </w:r>
      <w:r w:rsidR="00187EFE" w:rsidRPr="00BC45E7">
        <w:rPr>
          <w:rFonts w:asciiTheme="minorHAnsi" w:hAnsiTheme="minorHAnsi" w:cstheme="minorHAnsi"/>
          <w:noProof/>
          <w:color w:val="000000" w:themeColor="text1"/>
          <w:sz w:val="22"/>
          <w:szCs w:val="22"/>
        </w:rPr>
        <w:t>[17]</w:t>
      </w:r>
      <w:r w:rsidR="00C95793" w:rsidRPr="00BC45E7">
        <w:rPr>
          <w:rFonts w:asciiTheme="minorHAnsi" w:hAnsiTheme="minorHAnsi" w:cstheme="minorHAnsi"/>
          <w:color w:val="000000" w:themeColor="text1"/>
          <w:sz w:val="22"/>
          <w:szCs w:val="22"/>
          <w:vertAlign w:val="superscript"/>
        </w:rPr>
        <w:fldChar w:fldCharType="end"/>
      </w:r>
      <w:r w:rsidR="00C95793" w:rsidRPr="00BC45E7">
        <w:rPr>
          <w:rFonts w:asciiTheme="minorHAnsi" w:hAnsiTheme="minorHAnsi" w:cstheme="minorHAnsi"/>
          <w:color w:val="000000" w:themeColor="text1"/>
          <w:sz w:val="22"/>
          <w:szCs w:val="22"/>
          <w:vertAlign w:val="superscript"/>
        </w:rPr>
        <w:t>,</w:t>
      </w:r>
      <w:r w:rsidR="00C95793" w:rsidRPr="00BC45E7">
        <w:rPr>
          <w:rFonts w:asciiTheme="minorHAnsi" w:hAnsiTheme="minorHAnsi" w:cstheme="minorHAnsi"/>
          <w:color w:val="000000" w:themeColor="text1"/>
          <w:sz w:val="22"/>
          <w:szCs w:val="22"/>
          <w:vertAlign w:val="superscript"/>
        </w:rPr>
        <w:fldChar w:fldCharType="begin" w:fldLock="1"/>
      </w:r>
      <w:r w:rsidR="00F66CFF" w:rsidRPr="00FB646E">
        <w:rPr>
          <w:rFonts w:asciiTheme="minorHAnsi" w:hAnsiTheme="minorHAnsi" w:cstheme="minorHAnsi"/>
          <w:color w:val="000000" w:themeColor="text1"/>
          <w:sz w:val="22"/>
          <w:szCs w:val="22"/>
          <w:vertAlign w:val="superscript"/>
        </w:rPr>
        <w:instrText>ADDIN CSL_CITATION {"citationItems":[{"id":"ITEM-1","itemData":{"DOI":"http://dx.doi.org/10.1097/MCO.0b013e3282fba5d7","ISBN":"1363-1950 (Print)\\r1363-1950 (Linking)","ISSN":"1363-1950","PMID":"18403920","abstract":"PURPOSE OF REVIEW: Objective and subjective methods are used to assess nutritional status. They are used as diagnostic, prognostic and response tools. It is still controversial which of them is more suitable for each situation and what they are really assessing. The most recent findings about these methods will be discussed in this review. RECENT FINDINGS: Malnutrition still has a high prevalence all over the world. Anthropometric measurements are best useful to assess chronic malnutrition, and albumin and other visceral protein should no longer be considered as nutritional markers, but inflammatory response markers. Subjective global assessment enables comparison among different populations, and its scored version may be useful in other clinical situations besides cancer. Functional methods and bioelectrical impedance analysis may become possible to identify malnutrition in an early stage. Nitrogen balance seems to be the only way to assess the response to nutritional interventions. SUMMARY: Malnutrition should be understood as a continuum. Nutritional assessment should not be an expensive and time-consuming process, and simple methods such as subjective global assessment may be enough to identify those patients who need nutritional intervention. Future studies may show which method is more suitable to evaluate the response to this treatment. © 2008 Lippincott Williams &amp; Wilkins, Inc.","author":[{"dropping-particle":"","family":"Barbosa-Silva","given":"M. Cristina G.","non-dropping-particle":"","parse-names":false,"suffix":""}],"container-title":"Current Opinion in Clinical Nutrition and Metabolic Care","id":"ITEM-1","issue":"3","issued":{"date-parts":[["2008"]]},"page":"248-254","publisher":"Lippincott Williams and Wilkins (530 Walnut Street,P O Box 327, Philadelphia PA 19106-3621, United States)","publisher-place":"M. C. G. Barbosa-Silva, R. Ariano de Carvalho, 304, 96055-800 Pelotas, RS, Brazil. E-mail: cristinagbs@hotmail.com","title":"Subjective and objective nutritional assessment methods: What do they really assess?","type":"article-journal","volume":"11"},"uris":["http://www.mendeley.com/documents/?uuid=9c6fe69a-92e4-4132-8163-b6198387a0c3"]}],"mendeley":{"formattedCitation":"[18]","plainTextFormattedCitation":"[18]","previouslyFormattedCitation":"[18]"},"properties":{"noteIndex":0},"schema":"https://github.com/citation-style-language/schema/raw/master/csl-citation.json"}</w:instrText>
      </w:r>
      <w:r w:rsidR="00C95793" w:rsidRPr="00BC45E7">
        <w:rPr>
          <w:rFonts w:asciiTheme="minorHAnsi" w:hAnsiTheme="minorHAnsi" w:cstheme="minorHAnsi"/>
          <w:color w:val="000000" w:themeColor="text1"/>
          <w:sz w:val="22"/>
          <w:szCs w:val="22"/>
          <w:vertAlign w:val="superscript"/>
        </w:rPr>
        <w:fldChar w:fldCharType="separate"/>
      </w:r>
      <w:r w:rsidR="00187EFE" w:rsidRPr="00BC45E7">
        <w:rPr>
          <w:rFonts w:asciiTheme="minorHAnsi" w:hAnsiTheme="minorHAnsi" w:cstheme="minorHAnsi"/>
          <w:noProof/>
          <w:color w:val="000000" w:themeColor="text1"/>
          <w:sz w:val="22"/>
          <w:szCs w:val="22"/>
        </w:rPr>
        <w:t>[18]</w:t>
      </w:r>
      <w:r w:rsidR="00C95793" w:rsidRPr="00BC45E7">
        <w:rPr>
          <w:rFonts w:asciiTheme="minorHAnsi" w:hAnsiTheme="minorHAnsi" w:cstheme="minorHAnsi"/>
          <w:color w:val="000000" w:themeColor="text1"/>
          <w:sz w:val="22"/>
          <w:szCs w:val="22"/>
          <w:vertAlign w:val="superscript"/>
        </w:rPr>
        <w:fldChar w:fldCharType="end"/>
      </w:r>
      <w:r w:rsidR="00564F23" w:rsidRPr="00BC45E7">
        <w:rPr>
          <w:rFonts w:asciiTheme="minorHAnsi" w:hAnsiTheme="minorHAnsi" w:cstheme="minorHAnsi"/>
          <w:color w:val="000000" w:themeColor="text1"/>
          <w:sz w:val="22"/>
          <w:szCs w:val="22"/>
          <w:vertAlign w:val="superscript"/>
        </w:rPr>
        <w:t>,</w:t>
      </w:r>
      <w:r w:rsidR="00564F23" w:rsidRPr="00BC45E7">
        <w:rPr>
          <w:rFonts w:asciiTheme="minorHAnsi" w:hAnsiTheme="minorHAnsi" w:cstheme="minorHAnsi"/>
          <w:color w:val="000000" w:themeColor="text1"/>
          <w:sz w:val="22"/>
          <w:szCs w:val="22"/>
          <w:vertAlign w:val="superscript"/>
        </w:rPr>
        <w:fldChar w:fldCharType="begin" w:fldLock="1"/>
      </w:r>
      <w:r w:rsidR="00F66CFF" w:rsidRPr="00FB646E">
        <w:rPr>
          <w:rFonts w:asciiTheme="minorHAnsi" w:hAnsiTheme="minorHAnsi" w:cstheme="minorHAnsi"/>
          <w:color w:val="000000" w:themeColor="text1"/>
          <w:sz w:val="22"/>
          <w:szCs w:val="22"/>
          <w:vertAlign w:val="superscript"/>
        </w:rPr>
        <w:instrText>ADDIN CSL_CITATION {"citationItems":[{"id":"ITEM-1","itemData":{"DOI":"10.1177/0148607106030004309","ISSN":"01486071","PMID":"16804128","abstract":"Background: The use of bioelectrical impedance increased with increasing BMI, but there was an inverse phase angle has been recommended as a prognostic tool in association at a BMI &gt;40 kg/m2. In cirrhosis, the prevalence the clinical setting, but published reference data bases are of a low phase angle increased with the state of disease, discrepant and incomplete (eg, they do not consider body whereas it was not different between patients with the met-mass index [BMI], and data are lacking for children). Methabolic syndrome and controls. There are considerable differ-ods: Phase angle reference values stratified by age, sex, and ences between phase angle reference values from different BMI were generated in a large German data base of 15,605 populations. These differences are not explained by age or children and adolescents and 214,732 adults, and the deter- BMI and may be due to differences between impedance ana-minants of phase angle values were assessed. The reference lyzers. Conclusion: The determinants of phase angle differ values were applied to 3 groups of patients and compared between adults and children. In adults, the influence of BMI with previously published reference values from the United on phase angle depended on the BMI range. The prognostic States and Switzerland. Results: Gender and age were the value of phase angle may differ in different clinical settings. main determinants of phase angle in adults, with men and The use of population-specific and probably impedance-ana-younger subjects having higher phase angles. In children and lyzer-specific reference values for phase angle is recom-adolescents, age and BMI were the main determinants of mended. (Journal of Parenteral and Enteral Nutrition 30:309-phase angle. In normal and overweight adults, phase angle 316, 2006) © 2006 by the American Society for Parenteral and Enteral Nutrition.","author":[{"dropping-particle":"","family":"Anja","given":"Bosy Westphal","non-dropping-particle":"","parse-names":false,"suffix":""},{"dropping-particle":"","family":"Danielzik","given":"Sandra","non-dropping-particle":"","parse-names":false,"suffix":""},{"dropping-particle":"","family":"Dörhöfer","given":"Ralf Peter","non-dropping-particle":"","parse-names":false,"suffix":""},{"dropping-particle":"","family":"Later","given":"Wiebke","non-dropping-particle":"","parse-names":false,"suffix":""},{"dropping-particle":"","family":"Wiese","given":"Sonja","non-dropping-particle":"","parse-names":false,"suffix":""},{"dropping-particle":"","family":"Müller","given":"Manfred J.","non-dropping-particle":"","parse-names":false,"suffix":""}],"container-title":"Journal of Parenteral and Enteral Nutrition","id":"ITEM-1","issued":{"date-parts":[["2006"]]},"title":"Phase angle from bioelectrical impedance analysis: Population reference values by age, sex, and body mass index","type":"article-journal"},"uris":["http://www.mendeley.com/documents/?uuid=54a9b4c5-565b-44d1-a470-dc2117bd89f4"]}],"mendeley":{"formattedCitation":"[19]","plainTextFormattedCitation":"[19]","previouslyFormattedCitation":"[19]"},"properties":{"noteIndex":0},"schema":"https://github.com/citation-style-language/schema/raw/master/csl-citation.json"}</w:instrText>
      </w:r>
      <w:r w:rsidR="00564F23" w:rsidRPr="00BC45E7">
        <w:rPr>
          <w:rFonts w:asciiTheme="minorHAnsi" w:hAnsiTheme="minorHAnsi" w:cstheme="minorHAnsi"/>
          <w:color w:val="000000" w:themeColor="text1"/>
          <w:sz w:val="22"/>
          <w:szCs w:val="22"/>
          <w:vertAlign w:val="superscript"/>
        </w:rPr>
        <w:fldChar w:fldCharType="separate"/>
      </w:r>
      <w:r w:rsidR="00187EFE" w:rsidRPr="00BC45E7">
        <w:rPr>
          <w:rFonts w:asciiTheme="minorHAnsi" w:hAnsiTheme="minorHAnsi" w:cstheme="minorHAnsi"/>
          <w:noProof/>
          <w:color w:val="000000" w:themeColor="text1"/>
          <w:sz w:val="22"/>
          <w:szCs w:val="22"/>
        </w:rPr>
        <w:t>[19]</w:t>
      </w:r>
      <w:r w:rsidR="00564F23" w:rsidRPr="00BC45E7">
        <w:rPr>
          <w:rFonts w:asciiTheme="minorHAnsi" w:hAnsiTheme="minorHAnsi" w:cstheme="minorHAnsi"/>
          <w:color w:val="000000" w:themeColor="text1"/>
          <w:sz w:val="22"/>
          <w:szCs w:val="22"/>
          <w:vertAlign w:val="superscript"/>
        </w:rPr>
        <w:fldChar w:fldCharType="end"/>
      </w:r>
      <w:r w:rsidR="007C66EA" w:rsidRPr="00BC45E7">
        <w:rPr>
          <w:rFonts w:asciiTheme="minorHAnsi" w:hAnsiTheme="minorHAnsi" w:cstheme="minorHAnsi"/>
          <w:color w:val="000000" w:themeColor="text1"/>
          <w:sz w:val="22"/>
          <w:szCs w:val="22"/>
        </w:rPr>
        <w:t xml:space="preserve">. </w:t>
      </w:r>
      <w:r w:rsidR="00FB646E" w:rsidRPr="00BC45E7">
        <w:rPr>
          <w:rFonts w:asciiTheme="minorHAnsi" w:hAnsiTheme="minorHAnsi" w:cstheme="minorHAnsi"/>
          <w:color w:val="000000" w:themeColor="text1"/>
          <w:sz w:val="22"/>
          <w:szCs w:val="22"/>
        </w:rPr>
        <w:t xml:space="preserve">The </w:t>
      </w:r>
      <w:r w:rsidR="00FB646E" w:rsidRPr="00FB646E">
        <w:rPr>
          <w:rFonts w:asciiTheme="minorHAnsi" w:hAnsiTheme="minorHAnsi" w:cstheme="minorHAnsi"/>
          <w:color w:val="000000" w:themeColor="text1"/>
          <w:sz w:val="22"/>
          <w:szCs w:val="22"/>
        </w:rPr>
        <w:t>s</w:t>
      </w:r>
      <w:r w:rsidR="004150ED" w:rsidRPr="004150ED">
        <w:rPr>
          <w:rFonts w:asciiTheme="minorHAnsi" w:hAnsiTheme="minorHAnsi" w:cstheme="minorHAnsi"/>
          <w:sz w:val="22"/>
          <w:szCs w:val="22"/>
          <w:lang w:eastAsia="en-GB"/>
        </w:rPr>
        <w:t>tandardiz</w:t>
      </w:r>
      <w:r w:rsidR="00E81A63" w:rsidRPr="00230D42">
        <w:rPr>
          <w:rFonts w:asciiTheme="minorHAnsi" w:hAnsiTheme="minorHAnsi" w:cstheme="minorHAnsi"/>
          <w:sz w:val="22"/>
          <w:szCs w:val="22"/>
          <w:lang w:eastAsia="en-GB"/>
        </w:rPr>
        <w:t>ed pha</w:t>
      </w:r>
      <w:r w:rsidR="00FB646E" w:rsidRPr="00230D42">
        <w:rPr>
          <w:rFonts w:asciiTheme="minorHAnsi" w:hAnsiTheme="minorHAnsi" w:cstheme="minorHAnsi"/>
          <w:sz w:val="22"/>
          <w:szCs w:val="22"/>
          <w:lang w:eastAsia="en-GB"/>
        </w:rPr>
        <w:t>se angle</w:t>
      </w:r>
      <w:r w:rsidR="009A5F0C">
        <w:rPr>
          <w:rFonts w:asciiTheme="minorHAnsi" w:hAnsiTheme="minorHAnsi" w:cstheme="minorHAnsi"/>
          <w:sz w:val="22"/>
          <w:szCs w:val="22"/>
          <w:lang w:eastAsia="en-GB"/>
        </w:rPr>
        <w:t xml:space="preserve"> is calculated as</w:t>
      </w:r>
      <w:r w:rsidR="00FB646E" w:rsidRPr="00230D42">
        <w:rPr>
          <w:rFonts w:asciiTheme="minorHAnsi" w:hAnsiTheme="minorHAnsi" w:cstheme="minorHAnsi"/>
          <w:sz w:val="22"/>
          <w:szCs w:val="22"/>
          <w:lang w:eastAsia="en-GB"/>
        </w:rPr>
        <w:t xml:space="preserve"> </w:t>
      </w:r>
      <w:r w:rsidR="009A5F0C">
        <w:rPr>
          <w:rFonts w:asciiTheme="minorHAnsi" w:hAnsiTheme="minorHAnsi" w:cstheme="minorHAnsi"/>
          <w:sz w:val="22"/>
          <w:szCs w:val="22"/>
          <w:lang w:eastAsia="en-GB"/>
        </w:rPr>
        <w:t>[</w:t>
      </w:r>
      <w:r w:rsidR="009A5F0C" w:rsidRPr="007B089E">
        <w:rPr>
          <w:rFonts w:asciiTheme="minorHAnsi" w:hAnsiTheme="minorHAnsi" w:cstheme="minorHAnsi"/>
          <w:sz w:val="22"/>
          <w:szCs w:val="22"/>
          <w:lang w:eastAsia="en-GB"/>
        </w:rPr>
        <w:t>(observed phase angle - mean phase angle)/</w:t>
      </w:r>
      <w:r w:rsidR="0090231A">
        <w:rPr>
          <w:rFonts w:asciiTheme="minorHAnsi" w:hAnsiTheme="minorHAnsi" w:cstheme="minorHAnsi"/>
          <w:sz w:val="22"/>
          <w:szCs w:val="22"/>
          <w:lang w:eastAsia="en-GB"/>
        </w:rPr>
        <w:t>standard deviation</w:t>
      </w:r>
      <w:r w:rsidR="009A5F0C" w:rsidRPr="007B089E">
        <w:rPr>
          <w:rFonts w:asciiTheme="minorHAnsi" w:hAnsiTheme="minorHAnsi" w:cstheme="minorHAnsi"/>
          <w:sz w:val="22"/>
          <w:szCs w:val="22"/>
          <w:lang w:eastAsia="en-GB"/>
        </w:rPr>
        <w:t xml:space="preserve"> of the phase angle</w:t>
      </w:r>
      <w:r w:rsidR="009A5F0C">
        <w:rPr>
          <w:rFonts w:asciiTheme="minorHAnsi" w:hAnsiTheme="minorHAnsi" w:cstheme="minorHAnsi"/>
          <w:sz w:val="22"/>
          <w:szCs w:val="22"/>
          <w:lang w:eastAsia="en-GB"/>
        </w:rPr>
        <w:t xml:space="preserve">] and </w:t>
      </w:r>
      <w:r w:rsidR="00FB646E" w:rsidRPr="00230D42">
        <w:rPr>
          <w:rFonts w:asciiTheme="minorHAnsi" w:hAnsiTheme="minorHAnsi" w:cstheme="minorHAnsi"/>
          <w:sz w:val="22"/>
          <w:szCs w:val="22"/>
          <w:lang w:eastAsia="en-GB"/>
        </w:rPr>
        <w:t>converts the phase angle into a Z</w:t>
      </w:r>
      <w:r w:rsidR="00904039" w:rsidRPr="00BC45E7">
        <w:rPr>
          <w:rFonts w:asciiTheme="minorHAnsi" w:hAnsiTheme="minorHAnsi" w:cstheme="minorHAnsi"/>
          <w:sz w:val="22"/>
          <w:szCs w:val="22"/>
          <w:lang w:eastAsia="en-GB"/>
        </w:rPr>
        <w:t>-score</w:t>
      </w:r>
      <w:r w:rsidR="00E81A63" w:rsidRPr="00230D42">
        <w:rPr>
          <w:rFonts w:asciiTheme="minorHAnsi" w:hAnsiTheme="minorHAnsi" w:cstheme="minorHAnsi"/>
          <w:sz w:val="22"/>
          <w:szCs w:val="22"/>
          <w:lang w:eastAsia="en-GB"/>
        </w:rPr>
        <w:t>.</w:t>
      </w:r>
      <w:r w:rsidR="00CE7B5A" w:rsidRPr="00BC45E7">
        <w:rPr>
          <w:rFonts w:asciiTheme="minorHAnsi" w:hAnsiTheme="minorHAnsi" w:cstheme="minorHAnsi"/>
          <w:sz w:val="22"/>
          <w:szCs w:val="22"/>
          <w:lang w:eastAsia="en-GB"/>
        </w:rPr>
        <w:t xml:space="preserve"> </w:t>
      </w:r>
      <w:r w:rsidR="00CE7B5A" w:rsidRPr="00230D42">
        <w:rPr>
          <w:rFonts w:asciiTheme="minorHAnsi" w:hAnsiTheme="minorHAnsi" w:cstheme="minorHAnsi"/>
          <w:sz w:val="22"/>
          <w:szCs w:val="22"/>
          <w:lang w:eastAsia="en-GB"/>
        </w:rPr>
        <w:t>The mean and standard deviation are obtained from reference values most appropriately generated using the same device, electrode configuration and skin contact.</w:t>
      </w:r>
      <w:r w:rsidR="00E81A63" w:rsidRPr="00230D42">
        <w:rPr>
          <w:rFonts w:asciiTheme="minorHAnsi" w:hAnsiTheme="minorHAnsi" w:cstheme="minorHAnsi"/>
          <w:sz w:val="22"/>
          <w:szCs w:val="22"/>
          <w:lang w:eastAsia="en-GB"/>
        </w:rPr>
        <w:t xml:space="preserve"> </w:t>
      </w:r>
      <w:r w:rsidR="00FB646E" w:rsidRPr="00230D42">
        <w:rPr>
          <w:rFonts w:asciiTheme="minorHAnsi" w:hAnsiTheme="minorHAnsi" w:cstheme="minorHAnsi"/>
          <w:sz w:val="22"/>
          <w:szCs w:val="22"/>
          <w:lang w:eastAsia="en-GB"/>
        </w:rPr>
        <w:t>A Z-</w:t>
      </w:r>
      <w:r w:rsidR="00E81A63" w:rsidRPr="00230D42">
        <w:rPr>
          <w:rFonts w:asciiTheme="minorHAnsi" w:hAnsiTheme="minorHAnsi" w:cstheme="minorHAnsi"/>
          <w:sz w:val="22"/>
          <w:szCs w:val="22"/>
          <w:lang w:eastAsia="en-GB"/>
        </w:rPr>
        <w:t>score of 0 indicates</w:t>
      </w:r>
      <w:r w:rsidR="00E81A63" w:rsidRPr="00230D42">
        <w:rPr>
          <w:rFonts w:ascii="Calibri" w:hAnsi="Calibri" w:cs="Calibri"/>
          <w:sz w:val="22"/>
          <w:szCs w:val="22"/>
          <w:lang w:eastAsia="en-GB"/>
        </w:rPr>
        <w:t xml:space="preserve"> a value at the mean of th</w:t>
      </w:r>
      <w:r w:rsidR="0090231A" w:rsidRPr="00BC45E7">
        <w:rPr>
          <w:rFonts w:ascii="Calibri" w:hAnsi="Calibri" w:cs="Calibri"/>
          <w:sz w:val="22"/>
          <w:szCs w:val="22"/>
          <w:lang w:eastAsia="en-GB"/>
        </w:rPr>
        <w:t>e reference population</w:t>
      </w:r>
      <w:r w:rsidR="003B39C2">
        <w:rPr>
          <w:rFonts w:ascii="Calibri" w:hAnsi="Calibri" w:cs="Calibri"/>
          <w:sz w:val="22"/>
          <w:szCs w:val="22"/>
          <w:lang w:eastAsia="en-GB"/>
        </w:rPr>
        <w:t>, whilst</w:t>
      </w:r>
      <w:r w:rsidR="0090231A" w:rsidRPr="00BC45E7">
        <w:rPr>
          <w:rFonts w:ascii="Calibri" w:hAnsi="Calibri" w:cs="Calibri"/>
          <w:sz w:val="22"/>
          <w:szCs w:val="22"/>
          <w:lang w:eastAsia="en-GB"/>
        </w:rPr>
        <w:t xml:space="preserve"> 68.3</w:t>
      </w:r>
      <w:r w:rsidR="00E81A63" w:rsidRPr="00230D42">
        <w:rPr>
          <w:rFonts w:ascii="Calibri" w:hAnsi="Calibri" w:cs="Calibri"/>
          <w:sz w:val="22"/>
          <w:szCs w:val="22"/>
          <w:lang w:eastAsia="en-GB"/>
        </w:rPr>
        <w:t>% of the population would be expected to</w:t>
      </w:r>
      <w:r w:rsidR="0090231A" w:rsidRPr="00BC45E7">
        <w:rPr>
          <w:rFonts w:ascii="Calibri" w:hAnsi="Calibri" w:cs="Calibri"/>
          <w:sz w:val="22"/>
          <w:szCs w:val="22"/>
          <w:lang w:eastAsia="en-GB"/>
        </w:rPr>
        <w:t xml:space="preserve"> fall within +/- 1 </w:t>
      </w:r>
      <w:r w:rsidR="0090231A">
        <w:rPr>
          <w:rFonts w:ascii="Calibri" w:hAnsi="Calibri" w:cs="Calibri"/>
          <w:sz w:val="22"/>
          <w:szCs w:val="22"/>
          <w:lang w:eastAsia="en-GB"/>
        </w:rPr>
        <w:t>Z-</w:t>
      </w:r>
      <w:r w:rsidR="0090231A" w:rsidRPr="00BC45E7">
        <w:rPr>
          <w:rFonts w:ascii="Calibri" w:hAnsi="Calibri" w:cs="Calibri"/>
          <w:sz w:val="22"/>
          <w:szCs w:val="22"/>
          <w:lang w:eastAsia="en-GB"/>
        </w:rPr>
        <w:t>score</w:t>
      </w:r>
      <w:r w:rsidR="002142C9" w:rsidRPr="00230D42">
        <w:rPr>
          <w:rFonts w:ascii="Calibri" w:hAnsi="Calibri" w:cs="Calibri"/>
          <w:sz w:val="22"/>
          <w:szCs w:val="22"/>
          <w:lang w:eastAsia="en-GB"/>
        </w:rPr>
        <w:t xml:space="preserve"> and 95% between </w:t>
      </w:r>
      <w:r w:rsidR="0090231A">
        <w:rPr>
          <w:rFonts w:ascii="Calibri" w:hAnsi="Calibri" w:cs="Calibri"/>
          <w:sz w:val="22"/>
          <w:szCs w:val="22"/>
          <w:lang w:eastAsia="en-GB"/>
        </w:rPr>
        <w:t>+/- 1</w:t>
      </w:r>
      <w:r w:rsidR="002142C9" w:rsidRPr="00230D42">
        <w:rPr>
          <w:rFonts w:ascii="Calibri" w:hAnsi="Calibri" w:cs="Calibri"/>
          <w:sz w:val="22"/>
          <w:szCs w:val="22"/>
          <w:lang w:eastAsia="en-GB"/>
        </w:rPr>
        <w:t xml:space="preserve">.96 </w:t>
      </w:r>
      <w:r w:rsidR="0090231A">
        <w:rPr>
          <w:rFonts w:ascii="Calibri" w:hAnsi="Calibri" w:cs="Calibri"/>
          <w:sz w:val="22"/>
          <w:szCs w:val="22"/>
          <w:lang w:eastAsia="en-GB"/>
        </w:rPr>
        <w:t>Z-</w:t>
      </w:r>
      <w:r w:rsidR="00E81A63" w:rsidRPr="00230D42">
        <w:rPr>
          <w:rFonts w:ascii="Calibri" w:hAnsi="Calibri" w:cs="Calibri"/>
          <w:sz w:val="22"/>
          <w:szCs w:val="22"/>
          <w:lang w:eastAsia="en-GB"/>
        </w:rPr>
        <w:t>score. This allows comparison of values among patients differing in age, sex and BMI.</w:t>
      </w:r>
      <w:r w:rsidR="009A5F0C" w:rsidRPr="00230D42">
        <w:rPr>
          <w:rFonts w:ascii="Calibri" w:hAnsi="Calibri" w:cs="Calibri"/>
          <w:sz w:val="22"/>
          <w:szCs w:val="22"/>
          <w:lang w:eastAsia="en-GB"/>
        </w:rPr>
        <w:t xml:space="preserve"> </w:t>
      </w:r>
      <w:r w:rsidR="009A5F0C" w:rsidRPr="00BC45E7">
        <w:rPr>
          <w:rFonts w:ascii="Calibri" w:hAnsi="Calibri" w:cs="Calibri"/>
          <w:sz w:val="22"/>
          <w:szCs w:val="22"/>
          <w:lang w:eastAsia="en-GB"/>
        </w:rPr>
        <w:t>Since standardi</w:t>
      </w:r>
      <w:r w:rsidR="004150ED">
        <w:rPr>
          <w:rFonts w:ascii="Calibri" w:hAnsi="Calibri" w:cs="Calibri"/>
          <w:sz w:val="22"/>
          <w:szCs w:val="22"/>
          <w:lang w:eastAsia="en-GB"/>
        </w:rPr>
        <w:t>z</w:t>
      </w:r>
      <w:r w:rsidR="009A5F0C" w:rsidRPr="00230D42">
        <w:rPr>
          <w:rFonts w:ascii="Calibri" w:hAnsi="Calibri" w:cs="Calibri"/>
          <w:sz w:val="22"/>
          <w:szCs w:val="22"/>
          <w:lang w:eastAsia="en-GB"/>
        </w:rPr>
        <w:t>ed phase angle values indicate individual deviations from the populat</w:t>
      </w:r>
      <w:r w:rsidR="009A5F0C" w:rsidRPr="00BC45E7">
        <w:rPr>
          <w:rFonts w:ascii="Calibri" w:hAnsi="Calibri" w:cs="Calibri"/>
          <w:sz w:val="22"/>
          <w:szCs w:val="22"/>
          <w:lang w:eastAsia="en-GB"/>
        </w:rPr>
        <w:t xml:space="preserve">ion, more complex </w:t>
      </w:r>
      <w:r w:rsidR="009A5F0C" w:rsidRPr="00230D42">
        <w:rPr>
          <w:rFonts w:ascii="Calibri" w:hAnsi="Calibri" w:cs="Calibri"/>
          <w:sz w:val="22"/>
          <w:szCs w:val="22"/>
          <w:lang w:eastAsia="en-GB"/>
        </w:rPr>
        <w:t>information is gained than with a dichotomous cut-off (e.g. below or above the 5th reference percentile).</w:t>
      </w:r>
      <w:r w:rsidR="00FB646E" w:rsidRPr="00230D42">
        <w:rPr>
          <w:rFonts w:ascii="Calibri" w:hAnsi="Calibri" w:cs="Calibri"/>
          <w:sz w:val="22"/>
          <w:szCs w:val="22"/>
          <w:lang w:eastAsia="en-GB"/>
        </w:rPr>
        <w:t xml:space="preserve"> </w:t>
      </w:r>
      <w:r w:rsidR="007C66EA" w:rsidRPr="00230D42">
        <w:rPr>
          <w:rFonts w:ascii="Calibri" w:hAnsi="Calibri" w:cs="Calibri"/>
          <w:color w:val="000000" w:themeColor="text1"/>
          <w:sz w:val="22"/>
          <w:szCs w:val="22"/>
        </w:rPr>
        <w:t xml:space="preserve">Phase </w:t>
      </w:r>
      <w:r w:rsidR="00E2689C" w:rsidRPr="00230D42">
        <w:rPr>
          <w:rFonts w:ascii="Calibri" w:hAnsi="Calibri" w:cs="Calibri"/>
          <w:color w:val="000000" w:themeColor="text1"/>
          <w:sz w:val="22"/>
          <w:szCs w:val="22"/>
        </w:rPr>
        <w:t>a</w:t>
      </w:r>
      <w:r w:rsidR="007C66EA" w:rsidRPr="00230D42">
        <w:rPr>
          <w:rFonts w:ascii="Calibri" w:hAnsi="Calibri" w:cs="Calibri"/>
          <w:color w:val="000000" w:themeColor="text1"/>
          <w:sz w:val="22"/>
          <w:szCs w:val="22"/>
        </w:rPr>
        <w:t xml:space="preserve">ngle, as both raw values and </w:t>
      </w:r>
      <w:r w:rsidR="004150ED">
        <w:rPr>
          <w:rFonts w:ascii="Calibri" w:hAnsi="Calibri" w:cs="Calibri"/>
          <w:color w:val="000000" w:themeColor="text1"/>
          <w:sz w:val="22"/>
          <w:szCs w:val="22"/>
        </w:rPr>
        <w:t>standardiz</w:t>
      </w:r>
      <w:r w:rsidR="0090231A">
        <w:rPr>
          <w:rFonts w:ascii="Calibri" w:hAnsi="Calibri" w:cs="Calibri"/>
          <w:color w:val="000000" w:themeColor="text1"/>
          <w:sz w:val="22"/>
          <w:szCs w:val="22"/>
        </w:rPr>
        <w:t>ed phase angle</w:t>
      </w:r>
      <w:r w:rsidR="007C66EA" w:rsidRPr="00230D42">
        <w:rPr>
          <w:rFonts w:ascii="Calibri" w:hAnsi="Calibri" w:cs="Calibri"/>
          <w:color w:val="000000" w:themeColor="text1"/>
          <w:sz w:val="22"/>
          <w:szCs w:val="22"/>
        </w:rPr>
        <w:t xml:space="preserve">, </w:t>
      </w:r>
      <w:r w:rsidR="00636E73" w:rsidRPr="00230D42">
        <w:rPr>
          <w:rFonts w:ascii="Calibri" w:hAnsi="Calibri" w:cs="Calibri"/>
          <w:color w:val="000000" w:themeColor="text1"/>
          <w:sz w:val="22"/>
          <w:szCs w:val="22"/>
        </w:rPr>
        <w:t xml:space="preserve">has been </w:t>
      </w:r>
      <w:r w:rsidR="009C4650" w:rsidRPr="00230D42">
        <w:rPr>
          <w:rFonts w:ascii="Calibri" w:hAnsi="Calibri" w:cs="Calibri"/>
          <w:color w:val="000000" w:themeColor="text1"/>
          <w:sz w:val="22"/>
          <w:szCs w:val="22"/>
        </w:rPr>
        <w:t xml:space="preserve">shown to be </w:t>
      </w:r>
      <w:r w:rsidR="00DF5541" w:rsidRPr="00230D42">
        <w:rPr>
          <w:rFonts w:ascii="Calibri" w:hAnsi="Calibri" w:cs="Calibri"/>
          <w:color w:val="000000" w:themeColor="text1"/>
          <w:sz w:val="22"/>
          <w:szCs w:val="22"/>
        </w:rPr>
        <w:t xml:space="preserve">a predictor of mortality in </w:t>
      </w:r>
      <w:r w:rsidR="00882E9D" w:rsidRPr="00230D42">
        <w:rPr>
          <w:rFonts w:ascii="Calibri" w:hAnsi="Calibri" w:cs="Calibri"/>
          <w:color w:val="000000" w:themeColor="text1"/>
          <w:sz w:val="22"/>
          <w:szCs w:val="22"/>
        </w:rPr>
        <w:t>colorectal</w:t>
      </w:r>
      <w:r w:rsidR="003662F1" w:rsidRPr="00230D42">
        <w:rPr>
          <w:rFonts w:ascii="Calibri" w:hAnsi="Calibri" w:cs="Calibri"/>
          <w:color w:val="000000" w:themeColor="text1"/>
          <w:sz w:val="22"/>
          <w:szCs w:val="22"/>
        </w:rPr>
        <w:fldChar w:fldCharType="begin" w:fldLock="1"/>
      </w:r>
      <w:r w:rsidR="00F66CFF" w:rsidRPr="00230D42">
        <w:rPr>
          <w:rFonts w:ascii="Calibri" w:hAnsi="Calibri" w:cs="Calibri"/>
          <w:color w:val="000000" w:themeColor="text1"/>
          <w:sz w:val="22"/>
          <w:szCs w:val="22"/>
        </w:rPr>
        <w:instrText>ADDIN CSL_CITATION {"citationItems":[{"id":"ITEM-1","itemData":{"ISSN":"0002-9165","abstract":"BACKGROUND: Phase angle, determined by bioelectrical impedance analysis (BIA), detects changes in tissue electrical properties and has been found to be a prognostic indicator in several chronic conditions-such as HIV, liver cirrhosis, chronic obstructive pulmonary disease, and lung cancer-and in patients receiving dialysis., OBJECTIVE: This study was conducted to investigate the prognostic role of phase angle in advanced colorectal cancer., DESIGN: We evaluated a case series of 52 patients with histologically confirmed stage IV colorectal cancer. BIA was conducted on all patients and phase angle was calculated. The Kaplan-Meier method was used to calculate survival. Cox proportional hazard models were constructed to evaluate the prognostic effect of phase angle independent of other clinical and nutritional variables., RESULTS: Patients with a phase angle 5.57 had a median survival of 40.4 mo (95% CI: 21.9, 58.8; n=26; P=0.0001)., CONCLUSION: Phase angle is a prognostic indicator in patients with advanced colorectal cancer. Similar studies of other cancer types with larger sample sizes are needed to further validate the prognostic significance of phase angle in cancer treatment settings.","author":[{"dropping-particle":"","family":"Gupta","given":"Digant","non-dropping-particle":"","parse-names":false,"suffix":""},{"dropping-particle":"","family":"Lammersfeld","given":"Carolyn A","non-dropping-particle":"","parse-names":false,"suffix":""},{"dropping-particle":"","family":"Burrows","given":"Jessica L","non-dropping-particle":"","parse-names":false,"suffix":""},{"dropping-particle":"","family":"Dahlk","given":"Sadie L","non-dropping-particle":"","parse-names":false,"suffix":""},{"dropping-particle":"","family":"Vashi","given":"Pankaj G","non-dropping-particle":"","parse-names":false,"suffix":""},{"dropping-particle":"","family":"Grutsch","given":"James F","non-dropping-particle":"","parse-names":false,"suffix":""},{"dropping-particle":"","family":"Hoffman","given":"Sara","non-dropping-particle":"","parse-names":false,"suffix":""},{"dropping-particle":"","family":"Lis","given":"Christopher G","non-dropping-particle":"","parse-names":false,"suffix":""}],"container-title":"The American journal of clinical nutrition","id":"ITEM-1","issue":"6","issued":{"date-parts":[["2004"]]},"page":"1634-1638","publisher-place":"United States","title":"Bioelectrical impedance phase angle in clinical practice: implications for prognosis in advanced colorectal cancer.","type":"article-journal","volume":"80"},"uris":["http://www.mendeley.com/documents/?uuid=f85a642e-cf36-49ce-ba0f-467089602f7a"]}],"mendeley":{"formattedCitation":"[20]","plainTextFormattedCitation":"[20]","previouslyFormattedCitation":"[20]"},"properties":{"noteIndex":0},"schema":"https://github.com/citation-style-language/schema/raw/master/csl-citation.json"}</w:instrText>
      </w:r>
      <w:r w:rsidR="003662F1" w:rsidRPr="00230D42">
        <w:rPr>
          <w:rFonts w:ascii="Calibri" w:hAnsi="Calibri" w:cs="Calibri"/>
          <w:color w:val="000000" w:themeColor="text1"/>
          <w:sz w:val="22"/>
          <w:szCs w:val="22"/>
        </w:rPr>
        <w:fldChar w:fldCharType="separate"/>
      </w:r>
      <w:r w:rsidR="00187EFE" w:rsidRPr="00230D42">
        <w:rPr>
          <w:rFonts w:ascii="Calibri" w:hAnsi="Calibri" w:cs="Calibri"/>
          <w:noProof/>
          <w:color w:val="000000" w:themeColor="text1"/>
          <w:sz w:val="22"/>
          <w:szCs w:val="22"/>
        </w:rPr>
        <w:t>[20]</w:t>
      </w:r>
      <w:r w:rsidR="003662F1" w:rsidRPr="00230D42">
        <w:rPr>
          <w:rFonts w:ascii="Calibri" w:hAnsi="Calibri" w:cs="Calibri"/>
          <w:color w:val="000000" w:themeColor="text1"/>
          <w:sz w:val="22"/>
          <w:szCs w:val="22"/>
        </w:rPr>
        <w:fldChar w:fldCharType="end"/>
      </w:r>
      <w:r w:rsidR="00882E9D" w:rsidRPr="00230D42">
        <w:rPr>
          <w:rFonts w:ascii="Calibri" w:hAnsi="Calibri" w:cs="Calibri"/>
          <w:color w:val="000000" w:themeColor="text1"/>
          <w:sz w:val="22"/>
          <w:szCs w:val="22"/>
        </w:rPr>
        <w:t>, pancreatic</w:t>
      </w:r>
      <w:r w:rsidR="003662F1" w:rsidRPr="00230D42">
        <w:rPr>
          <w:rFonts w:ascii="Calibri" w:hAnsi="Calibri" w:cs="Calibri"/>
          <w:color w:val="000000" w:themeColor="text1"/>
          <w:sz w:val="22"/>
          <w:szCs w:val="22"/>
        </w:rPr>
        <w:fldChar w:fldCharType="begin" w:fldLock="1"/>
      </w:r>
      <w:r w:rsidR="00F66CFF" w:rsidRPr="00230D42">
        <w:rPr>
          <w:rFonts w:ascii="Calibri" w:hAnsi="Calibri" w:cs="Calibri"/>
          <w:color w:val="000000" w:themeColor="text1"/>
          <w:sz w:val="22"/>
          <w:szCs w:val="22"/>
        </w:rPr>
        <w:instrText>ADDIN CSL_CITATION {"citationItems":[{"id":"ITEM-1","itemData":{"DOI":"10.1079/BJN20041292","ISBN":"0007-1145","ISSN":"0007-1145","PMID":"15613258","abstract":"Bioelectrical impedance analysis (BIA) is an easy-to-use, non-invasive and reproducible technique to evaluate changes in body composition and nutritional status. Phase angle, determined by BIA, has been found to be a prognostic indicator in several chronic conditions, such as HIV, liver cirrhosis, chronic obstructive pulmonary disease and lung cancer, and in patients undergoing dialysis. The present study investigated the prognostic role of phase angle in advanced pancreatic cancer. We evaluated a case series of fifty-eight stage IV pancreatic cancer patients treated at Cancer Treatment Centers of America at Midwestern Regional Medical Center (Zion, IL, USA) between January 2000 and July 2003. BIA was conducted on all patients using a bioelectrical impedance analyser that operated at 50 kHz. The phase angle was calculated as capacitance (Xc)/resistance (R) and expressed in degrees. The Kaplan-Meier method was used to calculate survival. Cox proportional hazard models were constructed to evaluate the prognostic effect of phase angle independent of other clinical and nutritional variables. The correlations between phase angle and traditional nutritional measures were evaluated using Pearson and Spearman coefficients. Patients with phase angle &lt;5.0 degrees had a median survival time of 6.3 (95% CI 3.5, 9.2) months (n 29), while those with phase angle &gt;5.0 degrees had a median survival time of 10.2 (95% CI 9.6, 10.8) months (n 29); this difference was statistically significant (P=0.02). The present study demonstrates that phase angle is a strong prognostic indicator in advanced pancreatic cancer. Similar studies in other cancer settings with larger sample sizes are needed to further validate the prognostic significance of the phase angle.","author":[{"dropping-particle":"","family":"Gupta","given":"Digant","non-dropping-particle":"","parse-names":false,"suffix":""},{"dropping-particle":"","family":"Lis","given":"Christopher G","non-dropping-particle":"","parse-names":false,"suffix":""},{"dropping-particle":"","family":"Dahlk","given":"Sadie L","non-dropping-particle":"","parse-names":false,"suffix":""},{"dropping-particle":"","family":"Vashi","given":"Pankaj G","non-dropping-particle":"","parse-names":false,"suffix":""},{"dropping-particle":"","family":"Grutsch","given":"James F","non-dropping-particle":"","parse-names":false,"suffix":""},{"dropping-particle":"","family":"Lammersfeld","given":"Carolyn a","non-dropping-particle":"","parse-names":false,"suffix":""}],"container-title":"The British journal of nutrition","id":"ITEM-1","issue":"6","issued":{"date-parts":[["2004"]]},"page":"957-962","title":"Bioelectrical impedance phase angle as a prognostic indicator in advanced pancreatic cancer.","type":"article-journal","volume":"92"},"uris":["http://www.mendeley.com/documents/?uuid=29fedb5b-5208-41a6-a5c2-9510488bacbd"]}],"mendeley":{"formattedCitation":"[21]","plainTextFormattedCitation":"[21]","previouslyFormattedCitation":"[21]"},"properties":{"noteIndex":0},"schema":"https://github.com/citation-style-language/schema/raw/master/csl-citation.json"}</w:instrText>
      </w:r>
      <w:r w:rsidR="003662F1" w:rsidRPr="00230D42">
        <w:rPr>
          <w:rFonts w:ascii="Calibri" w:hAnsi="Calibri" w:cs="Calibri"/>
          <w:color w:val="000000" w:themeColor="text1"/>
          <w:sz w:val="22"/>
          <w:szCs w:val="22"/>
        </w:rPr>
        <w:fldChar w:fldCharType="separate"/>
      </w:r>
      <w:r w:rsidR="00187EFE" w:rsidRPr="00230D42">
        <w:rPr>
          <w:rFonts w:ascii="Calibri" w:hAnsi="Calibri" w:cs="Calibri"/>
          <w:noProof/>
          <w:color w:val="000000" w:themeColor="text1"/>
          <w:sz w:val="22"/>
          <w:szCs w:val="22"/>
        </w:rPr>
        <w:t>[21]</w:t>
      </w:r>
      <w:r w:rsidR="003662F1" w:rsidRPr="00230D42">
        <w:rPr>
          <w:rFonts w:ascii="Calibri" w:hAnsi="Calibri" w:cs="Calibri"/>
          <w:color w:val="000000" w:themeColor="text1"/>
          <w:sz w:val="22"/>
          <w:szCs w:val="22"/>
        </w:rPr>
        <w:fldChar w:fldCharType="end"/>
      </w:r>
      <w:r w:rsidR="00882E9D" w:rsidRPr="00230D42">
        <w:rPr>
          <w:rFonts w:ascii="Calibri" w:hAnsi="Calibri" w:cs="Calibri"/>
          <w:color w:val="000000" w:themeColor="text1"/>
          <w:sz w:val="22"/>
          <w:szCs w:val="22"/>
        </w:rPr>
        <w:t>, head and neck</w:t>
      </w:r>
      <w:r w:rsidR="003662F1" w:rsidRPr="00230D42">
        <w:rPr>
          <w:rFonts w:ascii="Calibri" w:hAnsi="Calibri" w:cs="Calibri"/>
          <w:color w:val="000000" w:themeColor="text1"/>
          <w:sz w:val="22"/>
          <w:szCs w:val="22"/>
        </w:rPr>
        <w:fldChar w:fldCharType="begin" w:fldLock="1"/>
      </w:r>
      <w:r w:rsidR="00F66CFF" w:rsidRPr="00230D42">
        <w:rPr>
          <w:rFonts w:ascii="Calibri" w:hAnsi="Calibri" w:cs="Calibri"/>
          <w:color w:val="000000" w:themeColor="text1"/>
          <w:sz w:val="22"/>
          <w:szCs w:val="22"/>
        </w:rPr>
        <w:instrText>ADDIN CSL_CITATION {"citationItems":[{"id":"ITEM-1","itemData":{"ISSN":"1791-7530","abstract":"AIM: Determination of the optimal nutritional parameter to provide useful information for the individual patient and assessing the impact of nutritional status have on the prognosis of head and neck cancer., PATIENTS AND METHODS: Firstly a retrospective study analysed the outcome of 110 patients in relation to initial weight loss and weight loss at the end of radiotherapy. A second study investigated the changing bioimpedance (BIA) data of 27 survivors and 39 patients who died between their first and last measurement during nutritional therapy (at least four weeks)., RESULTS: A critical initial weight loss is 10 kg or more at the point of diagnosis. At the end of radiotherapy the body mass reduction should be less than 15 kg. Raw data of BIA reflect the changing nutritional status at the end of life. We observed a stabilized phase angle in survivors (4.7degree to 5.2degree) whereas patients who died exhibited a significant lower phase angle (4.6degree to 3.7degree, p&lt;0.05)., CONCLUSION: The prognosis of head and neck cancer patients is highly related to their nutritional status. Specific nutritional anamnesis (initial weight loss, total weight loss, body mass index) and additional biophysical measurements such as BIA are recommended to monitor the individual status during the follow-up.","author":[{"dropping-particle":"","family":"Buntzel","given":"Jens","non-dropping-particle":"","parse-names":false,"suffix":""},{"dropping-particle":"","family":"Kraus","given":"Tina","non-dropping-particle":"","parse-names":false,"suffix":""},{"dropping-particle":"","family":"Buntzel","given":"Heike","non-dropping-particle":"","parse-names":false,"suffix":""},{"dropping-particle":"","family":"Kuttner","given":"Klaus","non-dropping-particle":"","parse-names":false,"suffix":""},{"dropping-particle":"","family":"Frohlich","given":"Dietmar","non-dropping-particle":"","parse-names":false,"suffix":""},{"dropping-particle":"","family":"Oehler","given":"Wolfgang","non-dropping-particle":"","parse-names":false,"suffix":""},{"dropping-particle":"","family":"Glatzel","given":"Michael","non-dropping-particle":"","parse-names":false,"suffix":""},{"dropping-particle":"","family":"Wackes","given":"Matthias","non-dropping-particle":"","parse-names":false,"suffix":""},{"dropping-particle":"","family":"Putziger","given":"Jens","non-dropping-particle":"","parse-names":false,"suffix":""},{"dropping-particle":"","family":"Micke","given":"Oliver","non-dropping-particle":"","parse-names":false,"suffix":""},{"dropping-particle":"","family":"Kisters","given":"Klaus","non-dropping-particle":"","parse-names":false,"suffix":""},{"dropping-particle":"","family":"Mucke","given":"Ralph","non-dropping-particle":"","parse-names":false,"suffix":""}],"container-title":"Anticancer research","id":"ITEM-1","issue":"5","issued":{"date-parts":[["2012"]]},"page":"2119-2123","publisher-place":"Greece","title":"Nutritional parameters for patients with head and neck cancer.","type":"article-journal","volume":"32"},"uris":["http://www.mendeley.com/documents/?uuid=45468935-a4c5-45d5-ad05-d9a4f458fabe"]}],"mendeley":{"formattedCitation":"[22]","plainTextFormattedCitation":"[22]","previouslyFormattedCitation":"[22]"},"properties":{"noteIndex":0},"schema":"https://github.com/citation-style-language/schema/raw/master/csl-citation.json"}</w:instrText>
      </w:r>
      <w:r w:rsidR="003662F1" w:rsidRPr="00230D42">
        <w:rPr>
          <w:rFonts w:ascii="Calibri" w:hAnsi="Calibri" w:cs="Calibri"/>
          <w:color w:val="000000" w:themeColor="text1"/>
          <w:sz w:val="22"/>
          <w:szCs w:val="22"/>
        </w:rPr>
        <w:fldChar w:fldCharType="separate"/>
      </w:r>
      <w:r w:rsidR="00187EFE" w:rsidRPr="00230D42">
        <w:rPr>
          <w:rFonts w:ascii="Calibri" w:hAnsi="Calibri" w:cs="Calibri"/>
          <w:noProof/>
          <w:color w:val="000000" w:themeColor="text1"/>
          <w:sz w:val="22"/>
          <w:szCs w:val="22"/>
        </w:rPr>
        <w:t>[22]</w:t>
      </w:r>
      <w:r w:rsidR="003662F1" w:rsidRPr="00230D42">
        <w:rPr>
          <w:rFonts w:ascii="Calibri" w:hAnsi="Calibri" w:cs="Calibri"/>
          <w:color w:val="000000" w:themeColor="text1"/>
          <w:sz w:val="22"/>
          <w:szCs w:val="22"/>
        </w:rPr>
        <w:fldChar w:fldCharType="end"/>
      </w:r>
      <w:r w:rsidR="005D5F2C" w:rsidRPr="00230D42">
        <w:rPr>
          <w:rFonts w:ascii="Calibri" w:hAnsi="Calibri" w:cs="Calibri"/>
          <w:color w:val="000000" w:themeColor="text1"/>
          <w:sz w:val="22"/>
          <w:szCs w:val="22"/>
        </w:rPr>
        <w:t xml:space="preserve"> and </w:t>
      </w:r>
      <w:r w:rsidR="00882E9D" w:rsidRPr="00230D42">
        <w:rPr>
          <w:rFonts w:ascii="Calibri" w:hAnsi="Calibri" w:cs="Calibri"/>
          <w:color w:val="000000" w:themeColor="text1"/>
          <w:sz w:val="22"/>
          <w:szCs w:val="22"/>
        </w:rPr>
        <w:t>lung</w:t>
      </w:r>
      <w:r w:rsidR="003662F1" w:rsidRPr="00230D42">
        <w:rPr>
          <w:rFonts w:ascii="Calibri" w:hAnsi="Calibri" w:cs="Calibri"/>
          <w:color w:val="000000" w:themeColor="text1"/>
          <w:sz w:val="22"/>
          <w:szCs w:val="22"/>
        </w:rPr>
        <w:fldChar w:fldCharType="begin" w:fldLock="1"/>
      </w:r>
      <w:r w:rsidR="00F66CFF" w:rsidRPr="00230D42">
        <w:rPr>
          <w:rFonts w:ascii="Calibri" w:hAnsi="Calibri" w:cs="Calibri"/>
          <w:color w:val="000000" w:themeColor="text1"/>
          <w:sz w:val="22"/>
          <w:szCs w:val="22"/>
        </w:rPr>
        <w:instrText>ADDIN CSL_CITATION {"citationItems":[{"id":"ITEM-1","itemData":{"DOI":"https://dx.doi.org/10.1080/01635581.2012.668744","ISSN":"1532-7914","abstract":"Early identification and treatment of nutritional deficiencies can lead to improved outcomes in the quality of life (QoL) and survival of patients with nonsmall cell lung cancer (NSCLC). Noninvasive techniques are needed to evaluate changes in body composition as part of determining nutritional status. The aim of the study was to evaluate the association of nutritional parameters in health-related quality of life (HRQL) and survival in patients with advanced NSCLC. Chemotherapy-naive patients with advanced NSCLC with good performance status Eastern Cooperative Oncology Group (ECOG) 0-2 were included prospectively in the study. We evaluated inflammatory parameters such as C-reactive protein, platelet/lymphocyte index, neutrophil/lymphocyte index, serum interleukin (IL)-6, and tumor necrosis factor-alpha, and nutritional variables such as body mass index (BMI) and serum albumin levels. Bioelectrical impedance analysis including phase angle was obtained before cisplatin-based chemotherapy was started. HRQL was assessed by application of the European Organization for Research and Treatment of Cancer Quality of Life Questionnaire (QLQ)-C30 and QLQ-LC13 instruments at baseline. Overall survival (OS) was calculated with the Kaplan-Meier method and analyzed with log-rank and Cox proportional hazard models. One hundred nineteen patients were included. Mean BMI was 24.8 +/- 4.5 kg/m(2), average weight loss of patients was 8.4%, and median phase angle was 5.8degree. Malnutrition measured by subjective global assessment (SGA), weight loss &gt;10%, BMI &gt;20 was associated with lower HRQL scales. Patients with ECOG 2, high content serum IL-6, lower phase angle, and malnutrition parameters showed lower OS; however, after multivariate analysis, only ECOG 2 [Hazard ratio (HR), 2.7; 95% confidence interval (95% CI), 1.5-4.7; P = 0.001], phase angle &lt;=5.8degree (HR = 3.02; 95% CI: 1.2-7.11; P = 0.011), and SGA (HR = 2.7; 95% CI, 1.31-5.5; P = 0.005) were associated with poor survival. Patients were divided into low-, intermediate-, and high-risk groups according to regression coefficients; OS at 1 yr was 78.4, 53, and 13.8%, respectively. Malnutrition is associated with low HRQL and is an independent prognostic factor in advanced NSCLC. The results warrant prospective trials to evaluate the impact of different nutritional interventions on HRQL and survival.","author":[{"dropping-particle":"","family":"Sanchez-Lara","given":"Karla","non-dropping-particle":"","parse-names":false,"suffix":""},{"dropping-particle":"","family":"Turcott","given":"Jenny G","non-dropping-particle":"","parse-names":false,"suffix":""},{"dropping-particle":"","family":"Juarez","given":"Eva","non-dropping-particle":"","parse-names":false,"suffix":""},{"dropping-particle":"","family":"Guevara","given":"Patricia","non-dropping-particle":"","parse-names":false,"suffix":""},{"dropping-particle":"","family":"Nunez-Valencia","given":"Carolina","non-dropping-particle":"","parse-names":false,"suffix":""},{"dropping-particle":"","family":"Onate-Ocana","given":"Luis F","non-dropping-particle":"","parse-names":false,"suffix":""},{"dropping-particle":"","family":"Flores","given":"Diana","non-dropping-particle":"","parse-names":false,"suffix":""},{"dropping-particle":"","family":"Arrieta","given":"Oscar","non-dropping-particle":"","parse-names":false,"suffix":""}],"container-title":"Nutrition and cancer","id":"ITEM-1","issue":"4","issued":{"date-parts":[["2012"]]},"page":"526-534","publisher-place":"United States","title":"Association of nutrition parameters including bioelectrical impedance and systemic inflammatory response with quality of life and prognosis in patients with advanced non-small-cell lung cancer: a prospective study.","type":"article-journal","volume":"64"},"uris":["http://www.mendeley.com/documents/?uuid=563f40bc-f820-48b6-850e-03ee2bfea85a"]}],"mendeley":{"formattedCitation":"[23]","plainTextFormattedCitation":"[23]","previouslyFormattedCitation":"[24]"},"properties":{"noteIndex":0},"schema":"https://github.com/citation-style-language/schema/raw/master/csl-citation.json"}</w:instrText>
      </w:r>
      <w:r w:rsidR="003662F1" w:rsidRPr="00230D42">
        <w:rPr>
          <w:rFonts w:ascii="Calibri" w:hAnsi="Calibri" w:cs="Calibri"/>
          <w:color w:val="000000" w:themeColor="text1"/>
          <w:sz w:val="22"/>
          <w:szCs w:val="22"/>
        </w:rPr>
        <w:fldChar w:fldCharType="separate"/>
      </w:r>
      <w:r w:rsidR="00F66CFF" w:rsidRPr="00230D42">
        <w:rPr>
          <w:rFonts w:ascii="Calibri" w:hAnsi="Calibri" w:cs="Calibri"/>
          <w:noProof/>
          <w:color w:val="000000" w:themeColor="text1"/>
          <w:sz w:val="22"/>
          <w:szCs w:val="22"/>
        </w:rPr>
        <w:t>[23]</w:t>
      </w:r>
      <w:r w:rsidR="003662F1" w:rsidRPr="00230D42">
        <w:rPr>
          <w:rFonts w:ascii="Calibri" w:hAnsi="Calibri" w:cs="Calibri"/>
          <w:color w:val="000000" w:themeColor="text1"/>
          <w:sz w:val="22"/>
          <w:szCs w:val="22"/>
        </w:rPr>
        <w:fldChar w:fldCharType="end"/>
      </w:r>
      <w:r w:rsidR="00DF5541" w:rsidRPr="00230D42">
        <w:rPr>
          <w:rFonts w:ascii="Calibri" w:hAnsi="Calibri" w:cs="Calibri"/>
          <w:color w:val="000000" w:themeColor="text1"/>
          <w:sz w:val="22"/>
          <w:szCs w:val="22"/>
        </w:rPr>
        <w:t xml:space="preserve"> </w:t>
      </w:r>
      <w:r w:rsidR="00B605AE" w:rsidRPr="00230D42">
        <w:rPr>
          <w:rFonts w:ascii="Calibri" w:hAnsi="Calibri" w:cs="Calibri"/>
          <w:color w:val="000000" w:themeColor="text1"/>
          <w:sz w:val="22"/>
          <w:szCs w:val="22"/>
        </w:rPr>
        <w:t xml:space="preserve">cancer </w:t>
      </w:r>
      <w:r w:rsidR="007E397D" w:rsidRPr="00230D42">
        <w:rPr>
          <w:rFonts w:ascii="Calibri" w:hAnsi="Calibri" w:cs="Calibri"/>
          <w:color w:val="000000" w:themeColor="text1"/>
          <w:sz w:val="22"/>
          <w:szCs w:val="22"/>
        </w:rPr>
        <w:t xml:space="preserve">as </w:t>
      </w:r>
      <w:r w:rsidR="00DF5541" w:rsidRPr="00230D42">
        <w:rPr>
          <w:rFonts w:ascii="Calibri" w:hAnsi="Calibri" w:cs="Calibri"/>
          <w:color w:val="000000" w:themeColor="text1"/>
          <w:sz w:val="22"/>
          <w:szCs w:val="22"/>
        </w:rPr>
        <w:t>well as</w:t>
      </w:r>
      <w:r w:rsidR="007E397D" w:rsidRPr="00230D42">
        <w:rPr>
          <w:rFonts w:ascii="Calibri" w:hAnsi="Calibri" w:cs="Calibri"/>
          <w:color w:val="000000" w:themeColor="text1"/>
          <w:sz w:val="22"/>
          <w:szCs w:val="22"/>
        </w:rPr>
        <w:t xml:space="preserve"> </w:t>
      </w:r>
      <w:r w:rsidR="004D47EF" w:rsidRPr="00230D42">
        <w:rPr>
          <w:rFonts w:ascii="Calibri" w:hAnsi="Calibri" w:cs="Calibri"/>
          <w:color w:val="000000" w:themeColor="text1"/>
          <w:sz w:val="22"/>
          <w:szCs w:val="22"/>
        </w:rPr>
        <w:t xml:space="preserve">those with </w:t>
      </w:r>
      <w:r w:rsidR="007E397D" w:rsidRPr="00230D42">
        <w:rPr>
          <w:rFonts w:ascii="Calibri" w:hAnsi="Calibri" w:cs="Calibri"/>
          <w:color w:val="000000" w:themeColor="text1"/>
          <w:sz w:val="22"/>
          <w:szCs w:val="22"/>
        </w:rPr>
        <w:t>chronic</w:t>
      </w:r>
      <w:r w:rsidR="00DF5541" w:rsidRPr="00230D42">
        <w:rPr>
          <w:rFonts w:ascii="Calibri" w:hAnsi="Calibri" w:cs="Calibri"/>
          <w:color w:val="000000" w:themeColor="text1"/>
          <w:sz w:val="22"/>
          <w:szCs w:val="22"/>
        </w:rPr>
        <w:t xml:space="preserve"> </w:t>
      </w:r>
      <w:r w:rsidR="00A017C1" w:rsidRPr="00230D42">
        <w:rPr>
          <w:rFonts w:ascii="Calibri" w:hAnsi="Calibri" w:cs="Calibri"/>
          <w:color w:val="000000" w:themeColor="text1"/>
          <w:sz w:val="22"/>
          <w:szCs w:val="22"/>
        </w:rPr>
        <w:t>medical</w:t>
      </w:r>
      <w:r w:rsidR="004D47EF" w:rsidRPr="00230D42">
        <w:rPr>
          <w:rFonts w:ascii="Calibri" w:hAnsi="Calibri" w:cs="Calibri"/>
          <w:color w:val="000000" w:themeColor="text1"/>
          <w:sz w:val="22"/>
          <w:szCs w:val="22"/>
        </w:rPr>
        <w:t xml:space="preserve"> diseases</w:t>
      </w:r>
      <w:r w:rsidR="003662F1" w:rsidRPr="00230D42">
        <w:rPr>
          <w:rFonts w:ascii="Calibri" w:hAnsi="Calibri" w:cs="Calibri"/>
          <w:color w:val="000000" w:themeColor="text1"/>
          <w:sz w:val="22"/>
          <w:szCs w:val="22"/>
        </w:rPr>
        <w:fldChar w:fldCharType="begin" w:fldLock="1"/>
      </w:r>
      <w:r w:rsidR="00F66CFF" w:rsidRPr="00230D42">
        <w:rPr>
          <w:rFonts w:ascii="Calibri" w:hAnsi="Calibri" w:cs="Calibri"/>
          <w:color w:val="000000" w:themeColor="text1"/>
          <w:sz w:val="22"/>
          <w:szCs w:val="22"/>
        </w:rPr>
        <w:instrText>ADDIN CSL_CITATION {"citationItems":[{"id":"ITEM-1","itemData":{"DOI":"10.1038/s41430-018-0159-1","ISSN":"14765640","abstract":"BACKGROUND/OBJECTIVES The phase angle, expressed through bioelectrical impedance, has been studied as a prognostic marker in several health conditions. As this issue is still conflicting, the question whether this parameter correlates with mortality in the most diverse clinical situations remains. Therefore, this study aimed to evaluate the relationship between phase angle and mortality through a systematic review of the literature. SUBJECTS/METHODS This research was conducted in electronic databases (Pubmed, Embase, Cochrane, Lilacs, Scielo, e Scopus), and included studies that had phase angle as a variable of interest and mortality/survival as an outcome. Data were extracted independently by two reviewers and disagreements were assessed by a third reviewer. RESULTS Forty-eight of 455 papers were assessed and an amount of 42 showed a correlation between phase angle and mortality. CONCLUSIONS Phase angle seems to be a good indicator for mortality in many clinical situations and can be used in screening individuals prone to this outcome.","author":[{"dropping-particle":"","family":"Garlini","given":"Luíza M.","non-dropping-particle":"","parse-names":false,"suffix":""},{"dropping-particle":"","family":"Alves","given":"Fernanda D.","non-dropping-particle":"","parse-names":false,"suffix":""},{"dropping-particle":"","family":"Ceretta","given":"Luciane B.","non-dropping-particle":"","parse-names":false,"suffix":""},{"dropping-particle":"","family":"Perry","given":"Ingrid S.","non-dropping-particle":"","parse-names":false,"suffix":""},{"dropping-particle":"","family":"Souza","given":"Gabriela C.","non-dropping-particle":"","parse-names":false,"suffix":""},{"dropping-particle":"","family":"Clausell","given":"Nadine O.","non-dropping-particle":"","parse-names":false,"suffix":""}],"container-title":"European Journal of Clinical Nutrition","id":"ITEM-1","issued":{"date-parts":[["2019"]]},"title":"Phase angle and mortality: a systematic review","type":"article"},"uris":["http://www.mendeley.com/documents/?uuid=410e0c64-2179-44af-b44b-1c3ecbb8d9f7"]}],"mendeley":{"formattedCitation":"[24]","plainTextFormattedCitation":"[24]","previouslyFormattedCitation":"[25]"},"properties":{"noteIndex":0},"schema":"https://github.com/citation-style-language/schema/raw/master/csl-citation.json"}</w:instrText>
      </w:r>
      <w:r w:rsidR="003662F1" w:rsidRPr="00230D42">
        <w:rPr>
          <w:rFonts w:ascii="Calibri" w:hAnsi="Calibri" w:cs="Calibri"/>
          <w:color w:val="000000" w:themeColor="text1"/>
          <w:sz w:val="22"/>
          <w:szCs w:val="22"/>
        </w:rPr>
        <w:fldChar w:fldCharType="separate"/>
      </w:r>
      <w:r w:rsidR="00F66CFF" w:rsidRPr="00230D42">
        <w:rPr>
          <w:rFonts w:ascii="Calibri" w:hAnsi="Calibri" w:cs="Calibri"/>
          <w:noProof/>
          <w:color w:val="000000" w:themeColor="text1"/>
          <w:sz w:val="22"/>
          <w:szCs w:val="22"/>
        </w:rPr>
        <w:t>[24]</w:t>
      </w:r>
      <w:r w:rsidR="003662F1" w:rsidRPr="00230D42">
        <w:rPr>
          <w:rFonts w:ascii="Calibri" w:hAnsi="Calibri" w:cs="Calibri"/>
          <w:color w:val="000000" w:themeColor="text1"/>
          <w:sz w:val="22"/>
          <w:szCs w:val="22"/>
        </w:rPr>
        <w:fldChar w:fldCharType="end"/>
      </w:r>
      <w:r w:rsidR="00A017C1" w:rsidRPr="00230D42">
        <w:rPr>
          <w:rFonts w:ascii="Calibri" w:hAnsi="Calibri" w:cs="Calibri"/>
          <w:color w:val="000000" w:themeColor="text1"/>
          <w:sz w:val="22"/>
          <w:szCs w:val="22"/>
        </w:rPr>
        <w:t xml:space="preserve"> and </w:t>
      </w:r>
      <w:r w:rsidR="004D47EF" w:rsidRPr="00230D42">
        <w:rPr>
          <w:rFonts w:ascii="Calibri" w:hAnsi="Calibri" w:cs="Calibri"/>
          <w:color w:val="000000" w:themeColor="text1"/>
          <w:sz w:val="22"/>
          <w:szCs w:val="22"/>
        </w:rPr>
        <w:t xml:space="preserve">patients admitted to </w:t>
      </w:r>
      <w:r w:rsidR="00844B82" w:rsidRPr="00230D42">
        <w:rPr>
          <w:rFonts w:ascii="Calibri" w:hAnsi="Calibri" w:cs="Calibri"/>
          <w:color w:val="000000" w:themeColor="text1"/>
          <w:sz w:val="22"/>
          <w:szCs w:val="22"/>
        </w:rPr>
        <w:t>critical</w:t>
      </w:r>
      <w:r w:rsidR="004D47EF" w:rsidRPr="00230D42">
        <w:rPr>
          <w:rFonts w:ascii="Calibri" w:hAnsi="Calibri" w:cs="Calibri"/>
          <w:color w:val="000000" w:themeColor="text1"/>
          <w:sz w:val="22"/>
          <w:szCs w:val="22"/>
        </w:rPr>
        <w:t xml:space="preserve"> care</w:t>
      </w:r>
      <w:r w:rsidR="007D4EDC" w:rsidRPr="00230D42">
        <w:rPr>
          <w:rFonts w:ascii="Calibri" w:hAnsi="Calibri" w:cs="Calibri"/>
          <w:color w:val="000000" w:themeColor="text1"/>
          <w:sz w:val="22"/>
          <w:szCs w:val="22"/>
        </w:rPr>
        <w:fldChar w:fldCharType="begin" w:fldLock="1"/>
      </w:r>
      <w:r w:rsidR="00F66CFF" w:rsidRPr="00230D42">
        <w:rPr>
          <w:rFonts w:ascii="Calibri" w:hAnsi="Calibri" w:cs="Calibri"/>
          <w:color w:val="000000" w:themeColor="text1"/>
          <w:sz w:val="22"/>
          <w:szCs w:val="22"/>
        </w:rPr>
        <w:instrText>ADDIN CSL_CITATION {"citationItems":[{"id":"ITEM-1","itemData":{"DOI":"http://dx.doi.org/10.1016/j.clnesp.2017.12.008","ISSN":"2405-4577","abstract":"Introduction: Malnutrition at the time of ICU admission is associated with an increased morbidity and mortality. Malnutrition is most often assessed by a questionnaire but can also be determined with bio-impedance and measurement of phase angle.In a single-centre observational study we compared the percentage of malnutrition in patients admitted to our ICU, according to the Short Nutritional Assessment Questionnaire (SNAQ) with the phase angle measured with bio-impedance. Furthermore, we questioned whether malnutrition is related to outcome parameters. Methods: In a 15 week period consecutive patients admitted to the ICU were included. Exclusion criteria included age &lt;18 years, anatomical and/or neurological abnormalities of the limbs and an ICU stay less than 6 h. Bio-impedance measurements were performed shortly after admission, the SNAQ was obtained from the patient or legal representative. Malnutrition is considered with a SNAQ &gt;=2 or a phase angle of &lt;5degree for men and &lt;4.6degree for women. The study was approved by our local ethical committee (MCL, nWMO 77, April 18, 2015). Results: 299 Patients were included (66% male, age 66 +/- 12 year, BMI 27 +/- 4 kg/m2 and APACHE II score 14 [11-17]), of which 64% elective and 36% acute admissions. Hospital mortality was 7.4%. Malnutrition was present in 16% according to the SNAQ and in 36% according to phase angle. There was a fair accordance between the SNAQ and phase angle. Phase angle was significantly higher in patients with a SNAQ score of 0-1 (5.5degree+/-1.3) in comparison with patients with a SNAQ score &gt;=2 (4.4degree+/- 1.1) (p &lt; 0.001).Logistic regression analysis showed a significant relation between SNAQ and BMI, malignant disease and hospital length of stay and between phase angle and age, sex, BMI, malignant disease, hospital length of stay and hospital mortality. Conclusion: Malnutrition was present in 16% according to the SNAQ and in 36% according to phase angle in our IC population. Malnutrition was associated with prolonged hospital length of stay. In this small population of mixed ICU patients, a low phase angle was found to independently predict hospital mortality. Clinical Trials.gov number: NCT02911181.Copyright © 2017 European Society for Clinical Nutrition and Metabolism.","author":[{"dropping-particle":"","family":"H.","given":"Buter","non-dropping-particle":"","parse-names":false,"suffix":""},{"dropping-particle":"","family":"J.A.","given":"Veenstra","non-dropping-particle":"","parse-names":false,"suffix":""},{"dropping-particle":"","family":"M.","given":"Koopmans","non-dropping-particle":"","parse-names":false,"suffix":""}],"container-title":"Clinical Nutrition ESPEN","id":"ITEM-1","issued":{"date-parts":[["2017"]]},"publisher":"Elsevier Ltd","publisher-place":"H. Buter, Medical Centre Leeuwarden, Department of Intensive Care, Henri Dunantweg 2, 8935 AD, Leeuwarden, The Netherlands","title":"Phase angle is related to outcome after ICU admission; an observational study","type":"article-journal"},"uris":["http://www.mendeley.com/documents/?uuid=7db5c190-a64f-4944-aa97-8481fd75034c"]}],"mendeley":{"formattedCitation":"[25]","plainTextFormattedCitation":"[25]","previouslyFormattedCitation":"[26]"},"properties":{"noteIndex":0},"schema":"https://github.com/citation-style-language/schema/raw/master/csl-citation.json"}</w:instrText>
      </w:r>
      <w:r w:rsidR="007D4EDC" w:rsidRPr="00230D42">
        <w:rPr>
          <w:rFonts w:ascii="Calibri" w:hAnsi="Calibri" w:cs="Calibri"/>
          <w:color w:val="000000" w:themeColor="text1"/>
          <w:sz w:val="22"/>
          <w:szCs w:val="22"/>
        </w:rPr>
        <w:fldChar w:fldCharType="separate"/>
      </w:r>
      <w:r w:rsidR="00F66CFF" w:rsidRPr="00230D42">
        <w:rPr>
          <w:rFonts w:ascii="Calibri" w:hAnsi="Calibri" w:cs="Calibri"/>
          <w:noProof/>
          <w:color w:val="000000" w:themeColor="text1"/>
          <w:sz w:val="22"/>
          <w:szCs w:val="22"/>
        </w:rPr>
        <w:t>[25]</w:t>
      </w:r>
      <w:r w:rsidR="007D4EDC" w:rsidRPr="00230D42">
        <w:rPr>
          <w:rFonts w:ascii="Calibri" w:hAnsi="Calibri" w:cs="Calibri"/>
          <w:color w:val="000000" w:themeColor="text1"/>
          <w:sz w:val="22"/>
          <w:szCs w:val="22"/>
        </w:rPr>
        <w:fldChar w:fldCharType="end"/>
      </w:r>
      <w:r w:rsidR="007D4EDC" w:rsidRPr="00230D42">
        <w:rPr>
          <w:rFonts w:ascii="Calibri" w:hAnsi="Calibri" w:cs="Calibri"/>
          <w:color w:val="000000" w:themeColor="text1"/>
          <w:sz w:val="22"/>
          <w:szCs w:val="22"/>
          <w:vertAlign w:val="superscript"/>
        </w:rPr>
        <w:t>,</w:t>
      </w:r>
      <w:r w:rsidR="003662F1" w:rsidRPr="00230D42">
        <w:rPr>
          <w:rFonts w:ascii="Calibri" w:hAnsi="Calibri" w:cs="Calibri"/>
          <w:color w:val="000000" w:themeColor="text1"/>
          <w:sz w:val="22"/>
          <w:szCs w:val="22"/>
        </w:rPr>
        <w:fldChar w:fldCharType="begin" w:fldLock="1"/>
      </w:r>
      <w:r w:rsidR="00F66CFF" w:rsidRPr="00230D42">
        <w:rPr>
          <w:rFonts w:ascii="Calibri" w:hAnsi="Calibri" w:cs="Calibri"/>
          <w:color w:val="000000" w:themeColor="text1"/>
          <w:sz w:val="22"/>
          <w:szCs w:val="22"/>
        </w:rPr>
        <w:instrText>ADDIN CSL_CITATION {"citationItems":[{"id":"ITEM-1","itemData":{"DOI":"10.1038/s41430-018-0167-1","ISSN":"1476-5640","PMID":"29748659","abstract":"BACKGROUND/OBJECTIVES A low bioelectrical impedance analysis (BIA)-derived phase angle (PA) predicts morbidity and mortality in different patient groups. An association between PA and long-term mortality in ICU patients has not been demonstrated before. The purpose of the present study was to determine whether PA on ICU admission independently predicts 90-day mortality. SUBJECTS/ METHODS This prospective observational study was performed in a mixed university ICU. BIA was performed in 196 patients within 24 h of ICU admission. To test the independent association between PA and 90-day mortality, logistic regression analysis was performed using the APACHE IV predicted mortality as confounder. The optimal cutoff value of PA for mortality prediction was determined by ROC curve analysis. Using this cutoff value, patients were categorized into low or normal PA group and the association with 90-day mortality was tested again. RESULTS The PA of survivors was higher than of the non-survivors (5.0° ± 1.3° vs. 4.1° ± 1.2°, p &lt; 0.001). The area under the ROC curve of PA for 90-day mortality was 0.70 (CI 0.59-0.80). PA was associated with 90-day mortality (OR = 0.56, CI: 0.38-0.77, p = 0.001) on univariate logistic regression analysis and also after adjusting for BMI, gender, age, and APACHE IV on multivariable logistic regression (OR = 0.65, CI: 0.44-0.96, p = 0.031). A PA &lt; 4.8° was an independent predictor of 90-day mortality (adjusted OR = 3.65, CI: 1.34-9.93, p = 0.011). CONCLUSIONS Phase angle at ICU admission is an independent predictor of 90-day mortality. This biological marker can aid in long-term mortality risk assessment of critically ill patients.","author":[{"dropping-particle":"","family":"Stapel","given":"Sandra N","non-dropping-particle":"","parse-names":false,"suffix":""},{"dropping-particle":"","family":"Looijaard","given":"Wilhelmus G P M","non-dropping-particle":"","parse-names":false,"suffix":""},{"dropping-particle":"","family":"Dekker","given":"Ingeborg M","non-dropping-particle":"","parse-names":false,"suffix":""},{"dropping-particle":"","family":"Girbes","given":"Armand R J","non-dropping-particle":"","parse-names":false,"suffix":""},{"dropping-particle":"","family":"Weijs","given":"Peter J M","non-dropping-particle":"","parse-names":false,"suffix":""},{"dropping-particle":"","family":"Oudemans-van Straaten","given":"Heleen M","non-dropping-particle":"","parse-names":false,"suffix":""}],"container-title":"European journal of clinical nutrition","id":"ITEM-1","issued":{"date-parts":[["2018"]]},"title":"Bioelectrical impedance analysis-derived phase angle at admission as a predictor of 90-day mortality in intensive care patients.","type":"article-journal"},"uris":["http://www.mendeley.com/documents/?uuid=5205ca82-da6f-434c-abad-0f2587a2c0d4"]}],"mendeley":{"formattedCitation":"[26]","plainTextFormattedCitation":"[26]","previouslyFormattedCitation":"[27]"},"properties":{"noteIndex":0},"schema":"https://github.com/citation-style-language/schema/raw/master/csl-citation.json"}</w:instrText>
      </w:r>
      <w:r w:rsidR="003662F1" w:rsidRPr="00230D42">
        <w:rPr>
          <w:rFonts w:ascii="Calibri" w:hAnsi="Calibri" w:cs="Calibri"/>
          <w:color w:val="000000" w:themeColor="text1"/>
          <w:sz w:val="22"/>
          <w:szCs w:val="22"/>
        </w:rPr>
        <w:fldChar w:fldCharType="separate"/>
      </w:r>
      <w:r w:rsidR="00F66CFF" w:rsidRPr="00230D42">
        <w:rPr>
          <w:rFonts w:ascii="Calibri" w:hAnsi="Calibri" w:cs="Calibri"/>
          <w:noProof/>
          <w:color w:val="000000" w:themeColor="text1"/>
          <w:sz w:val="22"/>
          <w:szCs w:val="22"/>
        </w:rPr>
        <w:t>[26]</w:t>
      </w:r>
      <w:r w:rsidR="003662F1" w:rsidRPr="00230D42">
        <w:rPr>
          <w:rFonts w:ascii="Calibri" w:hAnsi="Calibri" w:cs="Calibri"/>
          <w:color w:val="000000" w:themeColor="text1"/>
          <w:sz w:val="22"/>
          <w:szCs w:val="22"/>
        </w:rPr>
        <w:fldChar w:fldCharType="end"/>
      </w:r>
      <w:r w:rsidR="00E24D4B" w:rsidRPr="00230D42">
        <w:rPr>
          <w:rFonts w:ascii="Calibri" w:hAnsi="Calibri" w:cs="Calibri"/>
          <w:color w:val="000000" w:themeColor="text1"/>
          <w:sz w:val="22"/>
          <w:szCs w:val="22"/>
        </w:rPr>
        <w:t>.</w:t>
      </w:r>
      <w:r w:rsidR="00844B82" w:rsidRPr="00BC45E7">
        <w:rPr>
          <w:rFonts w:asciiTheme="minorHAnsi" w:hAnsiTheme="minorHAnsi" w:cstheme="minorHAnsi"/>
          <w:color w:val="000000" w:themeColor="text1"/>
          <w:sz w:val="22"/>
          <w:szCs w:val="22"/>
        </w:rPr>
        <w:t xml:space="preserve"> </w:t>
      </w:r>
    </w:p>
    <w:p w14:paraId="46D841BA" w14:textId="1D28612C" w:rsidR="00D447F7" w:rsidRPr="00332C8B" w:rsidRDefault="00837BF2" w:rsidP="00F0414E">
      <w:pPr>
        <w:spacing w:line="480" w:lineRule="auto"/>
        <w:rPr>
          <w:rFonts w:asciiTheme="minorHAnsi" w:hAnsiTheme="minorHAnsi" w:cstheme="minorHAnsi"/>
          <w:color w:val="000000" w:themeColor="text1"/>
          <w:sz w:val="22"/>
          <w:szCs w:val="22"/>
        </w:rPr>
      </w:pPr>
      <w:r w:rsidRPr="00332C8B">
        <w:rPr>
          <w:rFonts w:asciiTheme="minorHAnsi" w:hAnsiTheme="minorHAnsi" w:cstheme="minorHAnsi"/>
          <w:color w:val="000000" w:themeColor="text1"/>
          <w:sz w:val="22"/>
          <w:szCs w:val="22"/>
        </w:rPr>
        <w:softHyphen/>
      </w:r>
    </w:p>
    <w:p w14:paraId="270DF773" w14:textId="067839F5" w:rsidR="002D62C1" w:rsidRPr="00332C8B" w:rsidRDefault="00D447F7" w:rsidP="00F0414E">
      <w:pPr>
        <w:spacing w:line="480" w:lineRule="auto"/>
        <w:rPr>
          <w:rFonts w:asciiTheme="minorHAnsi" w:hAnsiTheme="minorHAnsi" w:cstheme="minorHAnsi"/>
          <w:color w:val="000000" w:themeColor="text1"/>
          <w:sz w:val="22"/>
          <w:szCs w:val="22"/>
          <w:shd w:val="clear" w:color="auto" w:fill="FFFFFF"/>
        </w:rPr>
      </w:pPr>
      <w:r w:rsidRPr="00332C8B">
        <w:rPr>
          <w:rFonts w:asciiTheme="minorHAnsi" w:hAnsiTheme="minorHAnsi" w:cstheme="minorHAnsi"/>
          <w:color w:val="000000" w:themeColor="text1"/>
          <w:sz w:val="22"/>
          <w:szCs w:val="22"/>
        </w:rPr>
        <w:t>Th</w:t>
      </w:r>
      <w:r w:rsidR="007E397D" w:rsidRPr="00332C8B">
        <w:rPr>
          <w:rFonts w:asciiTheme="minorHAnsi" w:hAnsiTheme="minorHAnsi" w:cstheme="minorHAnsi"/>
          <w:color w:val="000000" w:themeColor="text1"/>
          <w:sz w:val="22"/>
          <w:szCs w:val="22"/>
        </w:rPr>
        <w:t>us, th</w:t>
      </w:r>
      <w:r w:rsidRPr="00332C8B">
        <w:rPr>
          <w:rFonts w:asciiTheme="minorHAnsi" w:hAnsiTheme="minorHAnsi" w:cstheme="minorHAnsi"/>
          <w:color w:val="000000" w:themeColor="text1"/>
          <w:sz w:val="22"/>
          <w:szCs w:val="22"/>
        </w:rPr>
        <w:t xml:space="preserve">e aim of this review was to assess </w:t>
      </w:r>
      <w:r w:rsidR="007145E7" w:rsidRPr="00332C8B">
        <w:rPr>
          <w:rFonts w:asciiTheme="minorHAnsi" w:hAnsiTheme="minorHAnsi" w:cstheme="minorHAnsi"/>
          <w:color w:val="000000" w:themeColor="text1"/>
          <w:sz w:val="22"/>
          <w:szCs w:val="22"/>
        </w:rPr>
        <w:t>whether</w:t>
      </w:r>
      <w:r w:rsidR="00575D26" w:rsidRPr="00332C8B">
        <w:rPr>
          <w:rFonts w:asciiTheme="minorHAnsi" w:hAnsiTheme="minorHAnsi" w:cstheme="minorHAnsi"/>
          <w:color w:val="000000"/>
          <w:sz w:val="22"/>
          <w:szCs w:val="22"/>
          <w:lang w:eastAsia="en-GB"/>
        </w:rPr>
        <w:t xml:space="preserve"> measures and estimates of body composition determined by BIA</w:t>
      </w:r>
      <w:r w:rsidR="00A7167E" w:rsidRPr="00332C8B">
        <w:rPr>
          <w:rFonts w:asciiTheme="minorHAnsi" w:hAnsiTheme="minorHAnsi" w:cstheme="minorHAnsi"/>
          <w:color w:val="000000" w:themeColor="text1"/>
          <w:sz w:val="22"/>
          <w:szCs w:val="22"/>
          <w:shd w:val="clear" w:color="auto" w:fill="FFFFFF"/>
        </w:rPr>
        <w:t xml:space="preserve"> </w:t>
      </w:r>
      <w:r w:rsidR="00DB1373" w:rsidRPr="00332C8B">
        <w:rPr>
          <w:rFonts w:asciiTheme="minorHAnsi" w:hAnsiTheme="minorHAnsi" w:cstheme="minorHAnsi"/>
          <w:color w:val="000000" w:themeColor="text1"/>
          <w:sz w:val="22"/>
          <w:szCs w:val="22"/>
          <w:shd w:val="clear" w:color="auto" w:fill="FFFFFF"/>
        </w:rPr>
        <w:t>can</w:t>
      </w:r>
      <w:r w:rsidRPr="00332C8B">
        <w:rPr>
          <w:rFonts w:asciiTheme="minorHAnsi" w:hAnsiTheme="minorHAnsi" w:cstheme="minorHAnsi"/>
          <w:color w:val="000000" w:themeColor="text1"/>
          <w:sz w:val="22"/>
          <w:szCs w:val="22"/>
          <w:shd w:val="clear" w:color="auto" w:fill="FFFFFF"/>
        </w:rPr>
        <w:t xml:space="preserve"> identify adult patients at risk of complications following elective surgery for cancer.</w:t>
      </w:r>
    </w:p>
    <w:p w14:paraId="4D54312A" w14:textId="77777777" w:rsidR="008A2404" w:rsidRPr="00332C8B" w:rsidRDefault="008A2404" w:rsidP="00F0414E">
      <w:pPr>
        <w:spacing w:line="480" w:lineRule="auto"/>
        <w:rPr>
          <w:rFonts w:asciiTheme="minorHAnsi" w:hAnsiTheme="minorHAnsi" w:cstheme="minorHAnsi"/>
          <w:color w:val="000000" w:themeColor="text1"/>
          <w:sz w:val="22"/>
          <w:szCs w:val="22"/>
        </w:rPr>
      </w:pPr>
    </w:p>
    <w:p w14:paraId="5DDAC095" w14:textId="77777777" w:rsidR="002D62C1" w:rsidRPr="00332C8B" w:rsidRDefault="002D62C1" w:rsidP="00F0414E">
      <w:pPr>
        <w:pStyle w:val="ListParagraph"/>
        <w:numPr>
          <w:ilvl w:val="0"/>
          <w:numId w:val="9"/>
        </w:numPr>
        <w:spacing w:line="480" w:lineRule="auto"/>
        <w:rPr>
          <w:rFonts w:asciiTheme="minorHAnsi" w:hAnsiTheme="minorHAnsi" w:cstheme="minorHAnsi"/>
          <w:b/>
          <w:bCs/>
          <w:color w:val="000000" w:themeColor="text1"/>
          <w:sz w:val="22"/>
          <w:szCs w:val="22"/>
        </w:rPr>
      </w:pPr>
      <w:r w:rsidRPr="00332C8B">
        <w:rPr>
          <w:rFonts w:asciiTheme="minorHAnsi" w:hAnsiTheme="minorHAnsi" w:cstheme="minorHAnsi"/>
          <w:b/>
          <w:bCs/>
          <w:color w:val="000000" w:themeColor="text1"/>
          <w:sz w:val="22"/>
          <w:szCs w:val="22"/>
        </w:rPr>
        <w:t>Methods</w:t>
      </w:r>
    </w:p>
    <w:p w14:paraId="2C1AEABF" w14:textId="77777777" w:rsidR="002D62C1" w:rsidRPr="00332C8B" w:rsidRDefault="002D62C1" w:rsidP="00F0414E">
      <w:pPr>
        <w:spacing w:line="480" w:lineRule="auto"/>
        <w:rPr>
          <w:rFonts w:asciiTheme="minorHAnsi" w:hAnsiTheme="minorHAnsi" w:cstheme="minorHAnsi"/>
          <w:color w:val="000000" w:themeColor="text1"/>
          <w:sz w:val="22"/>
          <w:szCs w:val="22"/>
        </w:rPr>
      </w:pPr>
    </w:p>
    <w:p w14:paraId="1FAC7A54" w14:textId="77777777" w:rsidR="00C96B04" w:rsidRPr="00332C8B" w:rsidRDefault="00C96B04" w:rsidP="00F0414E">
      <w:pPr>
        <w:pStyle w:val="ListParagraph"/>
        <w:numPr>
          <w:ilvl w:val="1"/>
          <w:numId w:val="9"/>
        </w:numPr>
        <w:spacing w:line="480" w:lineRule="auto"/>
        <w:rPr>
          <w:rFonts w:asciiTheme="minorHAnsi" w:hAnsiTheme="minorHAnsi" w:cstheme="minorHAnsi"/>
          <w:i/>
          <w:iCs/>
          <w:color w:val="000000" w:themeColor="text1"/>
          <w:sz w:val="22"/>
          <w:szCs w:val="22"/>
        </w:rPr>
      </w:pPr>
      <w:r w:rsidRPr="00332C8B">
        <w:rPr>
          <w:rFonts w:asciiTheme="minorHAnsi" w:hAnsiTheme="minorHAnsi" w:cstheme="minorHAnsi"/>
          <w:i/>
          <w:iCs/>
          <w:color w:val="000000" w:themeColor="text1"/>
          <w:sz w:val="22"/>
          <w:szCs w:val="22"/>
        </w:rPr>
        <w:t>Protocol and registration</w:t>
      </w:r>
    </w:p>
    <w:p w14:paraId="36DDB34C" w14:textId="77777777" w:rsidR="00C96B04" w:rsidRPr="00332C8B" w:rsidRDefault="00C96B04" w:rsidP="00F0414E">
      <w:pPr>
        <w:spacing w:line="480" w:lineRule="auto"/>
        <w:rPr>
          <w:rFonts w:asciiTheme="minorHAnsi" w:hAnsiTheme="minorHAnsi" w:cstheme="minorHAnsi"/>
          <w:color w:val="000000" w:themeColor="text1"/>
          <w:sz w:val="22"/>
          <w:szCs w:val="22"/>
        </w:rPr>
      </w:pPr>
    </w:p>
    <w:p w14:paraId="723428B9" w14:textId="2940F882" w:rsidR="00C96B04" w:rsidRPr="00332C8B" w:rsidRDefault="00C96B04" w:rsidP="00F0414E">
      <w:pPr>
        <w:spacing w:line="480" w:lineRule="auto"/>
        <w:rPr>
          <w:rFonts w:asciiTheme="minorHAnsi" w:hAnsiTheme="minorHAnsi" w:cstheme="minorHAnsi"/>
          <w:color w:val="000000" w:themeColor="text1"/>
          <w:sz w:val="22"/>
          <w:szCs w:val="22"/>
        </w:rPr>
      </w:pPr>
      <w:r w:rsidRPr="00332C8B">
        <w:rPr>
          <w:rFonts w:asciiTheme="minorHAnsi" w:hAnsiTheme="minorHAnsi" w:cstheme="minorHAnsi"/>
          <w:color w:val="000000" w:themeColor="text1"/>
          <w:sz w:val="22"/>
          <w:szCs w:val="22"/>
        </w:rPr>
        <w:t>This review was performed in accordance with the PRISMA guidelines</w:t>
      </w:r>
      <w:r w:rsidR="003662F1" w:rsidRPr="00332C8B">
        <w:rPr>
          <w:rFonts w:asciiTheme="minorHAnsi" w:hAnsiTheme="minorHAnsi" w:cstheme="minorHAnsi"/>
          <w:color w:val="000000" w:themeColor="text1"/>
          <w:sz w:val="22"/>
          <w:szCs w:val="22"/>
        </w:rPr>
        <w:fldChar w:fldCharType="begin" w:fldLock="1"/>
      </w:r>
      <w:r w:rsidR="00F66CFF" w:rsidRPr="00332C8B">
        <w:rPr>
          <w:rFonts w:asciiTheme="minorHAnsi" w:hAnsiTheme="minorHAnsi" w:cstheme="minorHAnsi"/>
          <w:color w:val="000000" w:themeColor="text1"/>
          <w:sz w:val="22"/>
          <w:szCs w:val="22"/>
        </w:rPr>
        <w:instrText>ADDIN CSL_CITATION {"citationItems":[{"id":"ITEM-1","itemData":{"DOI":"10.1371/journal.pmed1000097","ISBN":"2006062298","ISSN":"1911-2092","PMID":"21603045","abstract":"Preferred Reporting Items for Systematic Reviews and Meta-Analyses: The PRISMA Statement","author":[{"dropping-particle":"","family":"Moher","given":"David","non-dropping-particle":"","parse-names":false,"suffix":""},{"dropping-particle":"","family":"Liberati","given":"Alessandro","non-dropping-particle":"","parse-names":false,"suffix":""},{"dropping-particle":"","family":"Tetzlaff","given":"Jennifer","non-dropping-particle":"","parse-names":false,"suffix":""},{"dropping-particle":"","family":"Altman","given":"Douglas G","non-dropping-particle":"","parse-names":false,"suffix":""},{"dropping-particle":"","family":"Group","given":"The Prisma","non-dropping-particle":"","parse-names":false,"suffix":""}],"container-title":"Public Library of Science","id":"ITEM-1","issued":{"date-parts":[["2009"]]},"title":"Preferred Reporting Items for Systematic Reviews and Meta-Analyses: The PRISMA Statement (PRISMA 2009 Checklist)","type":"article"},"uris":["http://www.mendeley.com/documents/?uuid=bfe93448-7be7-442f-afaa-6e520712b5dc"]}],"mendeley":{"formattedCitation":"[27]","plainTextFormattedCitation":"[27]","previouslyFormattedCitation":"[28]"},"properties":{"noteIndex":0},"schema":"https://github.com/citation-style-language/schema/raw/master/csl-citation.json"}</w:instrText>
      </w:r>
      <w:r w:rsidR="003662F1" w:rsidRPr="00332C8B">
        <w:rPr>
          <w:rFonts w:asciiTheme="minorHAnsi" w:hAnsiTheme="minorHAnsi" w:cstheme="minorHAnsi"/>
          <w:color w:val="000000" w:themeColor="text1"/>
          <w:sz w:val="22"/>
          <w:szCs w:val="22"/>
        </w:rPr>
        <w:fldChar w:fldCharType="separate"/>
      </w:r>
      <w:r w:rsidR="00F66CFF" w:rsidRPr="00332C8B">
        <w:rPr>
          <w:rFonts w:asciiTheme="minorHAnsi" w:hAnsiTheme="minorHAnsi" w:cstheme="minorHAnsi"/>
          <w:noProof/>
          <w:color w:val="000000" w:themeColor="text1"/>
          <w:sz w:val="22"/>
          <w:szCs w:val="22"/>
        </w:rPr>
        <w:t>[27]</w:t>
      </w:r>
      <w:r w:rsidR="003662F1" w:rsidRPr="00332C8B">
        <w:rPr>
          <w:rFonts w:asciiTheme="minorHAnsi" w:hAnsiTheme="minorHAnsi" w:cstheme="minorHAnsi"/>
          <w:color w:val="000000" w:themeColor="text1"/>
          <w:sz w:val="22"/>
          <w:szCs w:val="22"/>
        </w:rPr>
        <w:fldChar w:fldCharType="end"/>
      </w:r>
      <w:r w:rsidRPr="00332C8B">
        <w:rPr>
          <w:rFonts w:asciiTheme="minorHAnsi" w:hAnsiTheme="minorHAnsi" w:cstheme="minorHAnsi"/>
          <w:color w:val="000000" w:themeColor="text1"/>
          <w:sz w:val="22"/>
          <w:szCs w:val="22"/>
        </w:rPr>
        <w:t>. The review protocol was registered with the PROSPERO database: http://www.crd.york.ac.uk/PROSPERO/display_record.php?ID=CRD42018103604</w:t>
      </w:r>
    </w:p>
    <w:p w14:paraId="560B314C" w14:textId="77777777" w:rsidR="00C96B04" w:rsidRPr="00332C8B" w:rsidRDefault="00C96B04" w:rsidP="00F0414E">
      <w:pPr>
        <w:spacing w:line="480" w:lineRule="auto"/>
        <w:rPr>
          <w:rFonts w:asciiTheme="minorHAnsi" w:hAnsiTheme="minorHAnsi" w:cstheme="minorHAnsi"/>
          <w:color w:val="000000" w:themeColor="text1"/>
          <w:sz w:val="22"/>
          <w:szCs w:val="22"/>
        </w:rPr>
      </w:pPr>
    </w:p>
    <w:p w14:paraId="066F26A0" w14:textId="77777777" w:rsidR="00C96B04" w:rsidRPr="00332C8B" w:rsidRDefault="00C96B04" w:rsidP="00F0414E">
      <w:pPr>
        <w:pStyle w:val="ListParagraph"/>
        <w:numPr>
          <w:ilvl w:val="1"/>
          <w:numId w:val="9"/>
        </w:numPr>
        <w:spacing w:line="480" w:lineRule="auto"/>
        <w:rPr>
          <w:rFonts w:asciiTheme="minorHAnsi" w:hAnsiTheme="minorHAnsi" w:cstheme="minorHAnsi"/>
          <w:i/>
          <w:iCs/>
          <w:color w:val="000000" w:themeColor="text1"/>
          <w:sz w:val="22"/>
          <w:szCs w:val="22"/>
        </w:rPr>
      </w:pPr>
      <w:r w:rsidRPr="00332C8B">
        <w:rPr>
          <w:rFonts w:asciiTheme="minorHAnsi" w:hAnsiTheme="minorHAnsi" w:cstheme="minorHAnsi"/>
          <w:i/>
          <w:iCs/>
          <w:color w:val="000000" w:themeColor="text1"/>
          <w:sz w:val="22"/>
          <w:szCs w:val="22"/>
        </w:rPr>
        <w:t>Eligibility criteria</w:t>
      </w:r>
    </w:p>
    <w:p w14:paraId="71297ED2" w14:textId="77777777" w:rsidR="00C96B04" w:rsidRPr="00332C8B" w:rsidRDefault="00C96B04" w:rsidP="00F0414E">
      <w:pPr>
        <w:spacing w:line="480" w:lineRule="auto"/>
        <w:rPr>
          <w:rFonts w:asciiTheme="minorHAnsi" w:hAnsiTheme="minorHAnsi" w:cstheme="minorHAnsi"/>
          <w:color w:val="000000" w:themeColor="text1"/>
          <w:sz w:val="22"/>
          <w:szCs w:val="22"/>
        </w:rPr>
      </w:pPr>
    </w:p>
    <w:p w14:paraId="5FF32F0E" w14:textId="77777777" w:rsidR="00C96B04" w:rsidRPr="00332C8B" w:rsidRDefault="00C96B04" w:rsidP="00F0414E">
      <w:pPr>
        <w:spacing w:line="480" w:lineRule="auto"/>
        <w:rPr>
          <w:rFonts w:asciiTheme="minorHAnsi" w:hAnsiTheme="minorHAnsi" w:cstheme="minorHAnsi"/>
          <w:color w:val="000000" w:themeColor="text1"/>
          <w:sz w:val="22"/>
          <w:szCs w:val="22"/>
          <w:shd w:val="clear" w:color="auto" w:fill="FFFFFF"/>
        </w:rPr>
      </w:pPr>
      <w:r w:rsidRPr="00332C8B">
        <w:rPr>
          <w:rFonts w:asciiTheme="minorHAnsi" w:hAnsiTheme="minorHAnsi" w:cstheme="minorHAnsi"/>
          <w:color w:val="000000" w:themeColor="text1"/>
          <w:sz w:val="22"/>
          <w:szCs w:val="22"/>
        </w:rPr>
        <w:t xml:space="preserve">This review was conducted in order to answer the question: </w:t>
      </w:r>
      <w:r w:rsidRPr="00332C8B">
        <w:rPr>
          <w:rFonts w:asciiTheme="minorHAnsi" w:hAnsiTheme="minorHAnsi" w:cstheme="minorHAnsi"/>
          <w:color w:val="000000" w:themeColor="text1"/>
          <w:sz w:val="22"/>
          <w:szCs w:val="22"/>
          <w:shd w:val="clear" w:color="auto" w:fill="FFFFFF"/>
        </w:rPr>
        <w:t xml:space="preserve">What is the effectiveness of </w:t>
      </w:r>
      <w:r w:rsidR="007C754E" w:rsidRPr="00332C8B">
        <w:rPr>
          <w:rFonts w:asciiTheme="minorHAnsi" w:hAnsiTheme="minorHAnsi" w:cstheme="minorHAnsi"/>
          <w:color w:val="000000" w:themeColor="text1"/>
          <w:sz w:val="22"/>
          <w:szCs w:val="22"/>
          <w:shd w:val="clear" w:color="auto" w:fill="FFFFFF"/>
        </w:rPr>
        <w:t>BIA</w:t>
      </w:r>
      <w:r w:rsidRPr="00332C8B">
        <w:rPr>
          <w:rFonts w:asciiTheme="minorHAnsi" w:hAnsiTheme="minorHAnsi" w:cstheme="minorHAnsi"/>
          <w:color w:val="000000" w:themeColor="text1"/>
          <w:sz w:val="22"/>
          <w:szCs w:val="22"/>
          <w:shd w:val="clear" w:color="auto" w:fill="FFFFFF"/>
        </w:rPr>
        <w:t xml:space="preserve"> as a tool in identifying adult patients at higher risk of complications following elective surgery for cancer? Using the PICO strategy, we defined “P” as Adult patients aged 18 and over having elective surgery for cancer, “I” as the use of </w:t>
      </w:r>
      <w:r w:rsidR="007C754E" w:rsidRPr="00332C8B">
        <w:rPr>
          <w:rFonts w:asciiTheme="minorHAnsi" w:hAnsiTheme="minorHAnsi" w:cstheme="minorHAnsi"/>
          <w:color w:val="000000" w:themeColor="text1"/>
          <w:sz w:val="22"/>
          <w:szCs w:val="22"/>
          <w:shd w:val="clear" w:color="auto" w:fill="FFFFFF"/>
        </w:rPr>
        <w:t xml:space="preserve">BIA </w:t>
      </w:r>
      <w:r w:rsidRPr="00332C8B">
        <w:rPr>
          <w:rFonts w:asciiTheme="minorHAnsi" w:hAnsiTheme="minorHAnsi" w:cstheme="minorHAnsi"/>
          <w:color w:val="000000" w:themeColor="text1"/>
          <w:sz w:val="22"/>
          <w:szCs w:val="22"/>
          <w:shd w:val="clear" w:color="auto" w:fill="FFFFFF"/>
        </w:rPr>
        <w:t>during the peri-operative period and “O” as one or more post-operative complications</w:t>
      </w:r>
      <w:r w:rsidRPr="00332C8B">
        <w:rPr>
          <w:rFonts w:asciiTheme="minorHAnsi" w:hAnsiTheme="minorHAnsi" w:cstheme="minorHAnsi"/>
          <w:color w:val="000000" w:themeColor="text1"/>
          <w:sz w:val="22"/>
          <w:szCs w:val="22"/>
        </w:rPr>
        <w:t>. (</w:t>
      </w:r>
      <w:r w:rsidRPr="00332C8B">
        <w:rPr>
          <w:rFonts w:asciiTheme="minorHAnsi" w:hAnsiTheme="minorHAnsi" w:cstheme="minorHAnsi"/>
          <w:color w:val="000000" w:themeColor="text1"/>
          <w:sz w:val="22"/>
          <w:szCs w:val="22"/>
          <w:shd w:val="clear" w:color="auto" w:fill="FFFFFF"/>
        </w:rPr>
        <w:t>We did not include a comparator group, “C”.)</w:t>
      </w:r>
    </w:p>
    <w:p w14:paraId="0F61142A" w14:textId="77777777" w:rsidR="006F65FB" w:rsidRPr="00332C8B" w:rsidRDefault="006F65FB" w:rsidP="00F0414E">
      <w:pPr>
        <w:spacing w:line="480" w:lineRule="auto"/>
        <w:rPr>
          <w:rFonts w:asciiTheme="minorHAnsi" w:hAnsiTheme="minorHAnsi" w:cstheme="minorHAnsi"/>
          <w:color w:val="000000" w:themeColor="text1"/>
          <w:sz w:val="22"/>
          <w:szCs w:val="22"/>
          <w:shd w:val="clear" w:color="auto" w:fill="FFFFFF"/>
        </w:rPr>
      </w:pPr>
    </w:p>
    <w:p w14:paraId="1A4F4E33" w14:textId="77777777" w:rsidR="006F65FB" w:rsidRPr="00332C8B" w:rsidRDefault="006F65FB" w:rsidP="00F0414E">
      <w:pPr>
        <w:spacing w:line="480" w:lineRule="auto"/>
        <w:rPr>
          <w:rFonts w:asciiTheme="minorHAnsi" w:hAnsiTheme="minorHAnsi" w:cstheme="minorHAnsi"/>
          <w:i/>
          <w:iCs/>
          <w:color w:val="000000" w:themeColor="text1"/>
          <w:sz w:val="22"/>
          <w:szCs w:val="22"/>
        </w:rPr>
      </w:pPr>
      <w:r w:rsidRPr="00332C8B">
        <w:rPr>
          <w:rFonts w:asciiTheme="minorHAnsi" w:hAnsiTheme="minorHAnsi" w:cstheme="minorHAnsi"/>
          <w:i/>
          <w:iCs/>
          <w:color w:val="000000" w:themeColor="text1"/>
          <w:sz w:val="22"/>
          <w:szCs w:val="22"/>
          <w:shd w:val="clear" w:color="auto" w:fill="FFFFFF"/>
        </w:rPr>
        <w:t>2.3 Exclusion criteria</w:t>
      </w:r>
    </w:p>
    <w:p w14:paraId="6F77C42E" w14:textId="77777777" w:rsidR="00C96B04" w:rsidRPr="00332C8B" w:rsidRDefault="00C96B04" w:rsidP="00F0414E">
      <w:pPr>
        <w:spacing w:line="480" w:lineRule="auto"/>
        <w:rPr>
          <w:rFonts w:asciiTheme="minorHAnsi" w:hAnsiTheme="minorHAnsi" w:cstheme="minorHAnsi"/>
          <w:color w:val="000000" w:themeColor="text1"/>
          <w:sz w:val="22"/>
          <w:szCs w:val="22"/>
        </w:rPr>
      </w:pPr>
    </w:p>
    <w:p w14:paraId="60AE07C1" w14:textId="77777777" w:rsidR="00C96B04" w:rsidRPr="00332C8B" w:rsidRDefault="00E47B52" w:rsidP="00F0414E">
      <w:pPr>
        <w:spacing w:line="480" w:lineRule="auto"/>
        <w:rPr>
          <w:rFonts w:asciiTheme="minorHAnsi" w:hAnsiTheme="minorHAnsi" w:cstheme="minorHAnsi"/>
          <w:color w:val="000000" w:themeColor="text1"/>
          <w:sz w:val="22"/>
          <w:szCs w:val="22"/>
        </w:rPr>
      </w:pPr>
      <w:r w:rsidRPr="00332C8B">
        <w:rPr>
          <w:rFonts w:asciiTheme="minorHAnsi" w:hAnsiTheme="minorHAnsi" w:cstheme="minorHAnsi"/>
          <w:color w:val="000000" w:themeColor="text1"/>
          <w:sz w:val="22"/>
          <w:szCs w:val="22"/>
        </w:rPr>
        <w:t xml:space="preserve">The following exclusion criteria were used: (A) </w:t>
      </w:r>
      <w:r w:rsidR="004D47EF" w:rsidRPr="00332C8B">
        <w:rPr>
          <w:rFonts w:asciiTheme="minorHAnsi" w:hAnsiTheme="minorHAnsi" w:cstheme="minorHAnsi"/>
          <w:color w:val="000000" w:themeColor="text1"/>
          <w:sz w:val="22"/>
          <w:szCs w:val="22"/>
        </w:rPr>
        <w:t>d</w:t>
      </w:r>
      <w:r w:rsidRPr="00332C8B">
        <w:rPr>
          <w:rFonts w:asciiTheme="minorHAnsi" w:hAnsiTheme="minorHAnsi" w:cstheme="minorHAnsi"/>
          <w:color w:val="000000" w:themeColor="text1"/>
          <w:sz w:val="22"/>
          <w:szCs w:val="22"/>
        </w:rPr>
        <w:t xml:space="preserve">uplicated publications or studies; (B) studies not evaluating an association between a BIA measure and post-operative complications; (C) </w:t>
      </w:r>
      <w:r w:rsidR="00FD4A11" w:rsidRPr="00332C8B">
        <w:rPr>
          <w:rFonts w:asciiTheme="minorHAnsi" w:hAnsiTheme="minorHAnsi" w:cstheme="minorHAnsi"/>
          <w:color w:val="000000" w:themeColor="text1"/>
          <w:sz w:val="22"/>
          <w:szCs w:val="22"/>
        </w:rPr>
        <w:t>case reports, case series, letters to the editor, responses to letters to the editor</w:t>
      </w:r>
      <w:r w:rsidRPr="00332C8B">
        <w:rPr>
          <w:rFonts w:asciiTheme="minorHAnsi" w:hAnsiTheme="minorHAnsi" w:cstheme="minorHAnsi"/>
          <w:color w:val="000000" w:themeColor="text1"/>
          <w:sz w:val="22"/>
          <w:szCs w:val="22"/>
        </w:rPr>
        <w:t>; (D) studies reporting non-cancer pathology; (E) studies reporting participants under 18 years of age</w:t>
      </w:r>
      <w:r w:rsidR="00FD4A11" w:rsidRPr="00332C8B">
        <w:rPr>
          <w:rFonts w:asciiTheme="minorHAnsi" w:hAnsiTheme="minorHAnsi" w:cstheme="minorHAnsi"/>
          <w:color w:val="000000" w:themeColor="text1"/>
          <w:sz w:val="22"/>
          <w:szCs w:val="22"/>
        </w:rPr>
        <w:t>; (F) studies reporting emergency surgery</w:t>
      </w:r>
      <w:r w:rsidR="00AE5E16" w:rsidRPr="00332C8B">
        <w:rPr>
          <w:rFonts w:asciiTheme="minorHAnsi" w:hAnsiTheme="minorHAnsi" w:cstheme="minorHAnsi"/>
          <w:color w:val="000000" w:themeColor="text1"/>
          <w:sz w:val="22"/>
          <w:szCs w:val="22"/>
        </w:rPr>
        <w:t>.</w:t>
      </w:r>
    </w:p>
    <w:p w14:paraId="0F6C5873" w14:textId="77777777" w:rsidR="00183C25" w:rsidRPr="00332C8B" w:rsidRDefault="00183C25" w:rsidP="00F0414E">
      <w:pPr>
        <w:spacing w:line="480" w:lineRule="auto"/>
        <w:rPr>
          <w:rFonts w:asciiTheme="minorHAnsi" w:hAnsiTheme="minorHAnsi" w:cstheme="minorHAnsi"/>
          <w:color w:val="000000" w:themeColor="text1"/>
          <w:sz w:val="22"/>
          <w:szCs w:val="22"/>
        </w:rPr>
      </w:pPr>
    </w:p>
    <w:p w14:paraId="4A89E561" w14:textId="77777777" w:rsidR="00183C25" w:rsidRPr="00332C8B" w:rsidRDefault="00183C25" w:rsidP="00F0414E">
      <w:pPr>
        <w:spacing w:line="480" w:lineRule="auto"/>
        <w:rPr>
          <w:rFonts w:asciiTheme="minorHAnsi" w:hAnsiTheme="minorHAnsi" w:cstheme="minorHAnsi"/>
          <w:i/>
          <w:iCs/>
          <w:color w:val="000000" w:themeColor="text1"/>
          <w:sz w:val="22"/>
          <w:szCs w:val="22"/>
        </w:rPr>
      </w:pPr>
      <w:r w:rsidRPr="00332C8B">
        <w:rPr>
          <w:rFonts w:asciiTheme="minorHAnsi" w:hAnsiTheme="minorHAnsi" w:cstheme="minorHAnsi"/>
          <w:i/>
          <w:iCs/>
          <w:color w:val="000000" w:themeColor="text1"/>
          <w:sz w:val="22"/>
          <w:szCs w:val="22"/>
        </w:rPr>
        <w:t>2.4 Sources of information and search strategy</w:t>
      </w:r>
    </w:p>
    <w:p w14:paraId="27319D85" w14:textId="77777777" w:rsidR="00C96B04" w:rsidRPr="00332C8B" w:rsidRDefault="00C96B04" w:rsidP="00F0414E">
      <w:pPr>
        <w:spacing w:line="480" w:lineRule="auto"/>
        <w:rPr>
          <w:rFonts w:asciiTheme="minorHAnsi" w:hAnsiTheme="minorHAnsi" w:cstheme="minorHAnsi"/>
          <w:color w:val="000000" w:themeColor="text1"/>
          <w:sz w:val="22"/>
          <w:szCs w:val="22"/>
        </w:rPr>
      </w:pPr>
    </w:p>
    <w:p w14:paraId="3574C4A5" w14:textId="6BAE574E" w:rsidR="00183C25" w:rsidRPr="00332C8B" w:rsidRDefault="00183C25" w:rsidP="00F0414E">
      <w:pPr>
        <w:spacing w:line="480" w:lineRule="auto"/>
        <w:rPr>
          <w:rFonts w:asciiTheme="minorHAnsi" w:hAnsiTheme="minorHAnsi" w:cstheme="minorHAnsi"/>
          <w:color w:val="000000" w:themeColor="text1"/>
          <w:sz w:val="22"/>
          <w:szCs w:val="22"/>
        </w:rPr>
      </w:pPr>
      <w:r w:rsidRPr="00332C8B">
        <w:rPr>
          <w:rFonts w:asciiTheme="minorHAnsi" w:hAnsiTheme="minorHAnsi" w:cstheme="minorHAnsi"/>
          <w:color w:val="000000" w:themeColor="text1"/>
          <w:sz w:val="22"/>
          <w:szCs w:val="22"/>
        </w:rPr>
        <w:t>The electronic databases of MEDLINE (OVID), EMBASE (OVID), CINAHL (EBSCO), Cochrane Central Register of Controlled Trials (CENTRAL) and the Web of Science were searched from inception to 19</w:t>
      </w:r>
      <w:r w:rsidRPr="00332C8B">
        <w:rPr>
          <w:rFonts w:asciiTheme="minorHAnsi" w:hAnsiTheme="minorHAnsi" w:cstheme="minorHAnsi"/>
          <w:color w:val="000000" w:themeColor="text1"/>
          <w:sz w:val="22"/>
          <w:szCs w:val="22"/>
          <w:vertAlign w:val="superscript"/>
        </w:rPr>
        <w:t>th</w:t>
      </w:r>
      <w:r w:rsidRPr="00332C8B">
        <w:rPr>
          <w:rFonts w:asciiTheme="minorHAnsi" w:hAnsiTheme="minorHAnsi" w:cstheme="minorHAnsi"/>
          <w:color w:val="000000" w:themeColor="text1"/>
          <w:sz w:val="22"/>
          <w:szCs w:val="22"/>
        </w:rPr>
        <w:t xml:space="preserve"> February 2019. </w:t>
      </w:r>
      <w:r w:rsidR="00FD4A11" w:rsidRPr="00332C8B">
        <w:rPr>
          <w:rFonts w:asciiTheme="minorHAnsi" w:hAnsiTheme="minorHAnsi" w:cstheme="minorHAnsi"/>
          <w:color w:val="000000" w:themeColor="text1"/>
          <w:sz w:val="22"/>
          <w:szCs w:val="22"/>
        </w:rPr>
        <w:t xml:space="preserve"> We attempted to identify additional studies by examining the references of relevant publications and reviews.</w:t>
      </w:r>
      <w:r w:rsidR="00AE5E16" w:rsidRPr="00332C8B">
        <w:rPr>
          <w:rFonts w:asciiTheme="minorHAnsi" w:hAnsiTheme="minorHAnsi" w:cstheme="minorHAnsi"/>
          <w:color w:val="000000" w:themeColor="text1"/>
          <w:sz w:val="22"/>
          <w:szCs w:val="22"/>
        </w:rPr>
        <w:t xml:space="preserve"> </w:t>
      </w:r>
      <w:r w:rsidR="00663E7D" w:rsidRPr="00332C8B">
        <w:rPr>
          <w:rFonts w:asciiTheme="minorHAnsi" w:hAnsiTheme="minorHAnsi" w:cstheme="minorHAnsi"/>
          <w:color w:val="000000" w:themeColor="text1"/>
          <w:sz w:val="22"/>
          <w:szCs w:val="22"/>
        </w:rPr>
        <w:t xml:space="preserve">The search strategy was developed with the support of a university librarian. </w:t>
      </w:r>
      <w:r w:rsidR="00AE5E16" w:rsidRPr="00332C8B">
        <w:rPr>
          <w:rFonts w:asciiTheme="minorHAnsi" w:hAnsiTheme="minorHAnsi" w:cstheme="minorHAnsi"/>
          <w:color w:val="000000" w:themeColor="text1"/>
          <w:sz w:val="22"/>
          <w:szCs w:val="22"/>
        </w:rPr>
        <w:t xml:space="preserve">The detailed search strategy </w:t>
      </w:r>
      <w:r w:rsidR="007D4EDC" w:rsidRPr="00332C8B">
        <w:rPr>
          <w:rFonts w:asciiTheme="minorHAnsi" w:hAnsiTheme="minorHAnsi" w:cstheme="minorHAnsi"/>
          <w:color w:val="000000" w:themeColor="text1"/>
          <w:sz w:val="22"/>
          <w:szCs w:val="22"/>
        </w:rPr>
        <w:t>is available as Supplementary Information A.</w:t>
      </w:r>
    </w:p>
    <w:p w14:paraId="5BA8B2CD" w14:textId="77777777" w:rsidR="00830838" w:rsidRPr="00332C8B" w:rsidRDefault="00830838" w:rsidP="00F0414E">
      <w:pPr>
        <w:spacing w:line="480" w:lineRule="auto"/>
        <w:rPr>
          <w:rFonts w:asciiTheme="minorHAnsi" w:hAnsiTheme="minorHAnsi" w:cstheme="minorHAnsi"/>
          <w:color w:val="000000" w:themeColor="text1"/>
          <w:sz w:val="22"/>
          <w:szCs w:val="22"/>
          <w:u w:val="single"/>
        </w:rPr>
      </w:pPr>
    </w:p>
    <w:p w14:paraId="71E03989" w14:textId="77777777" w:rsidR="00511F81" w:rsidRPr="00332C8B" w:rsidRDefault="00F8494D" w:rsidP="00F0414E">
      <w:pPr>
        <w:spacing w:line="480" w:lineRule="auto"/>
        <w:rPr>
          <w:rFonts w:asciiTheme="minorHAnsi" w:hAnsiTheme="minorHAnsi" w:cstheme="minorHAnsi"/>
          <w:i/>
          <w:iCs/>
          <w:color w:val="000000" w:themeColor="text1"/>
          <w:sz w:val="22"/>
          <w:szCs w:val="22"/>
        </w:rPr>
      </w:pPr>
      <w:r w:rsidRPr="00332C8B">
        <w:rPr>
          <w:rFonts w:asciiTheme="minorHAnsi" w:hAnsiTheme="minorHAnsi" w:cstheme="minorHAnsi"/>
          <w:i/>
          <w:iCs/>
          <w:color w:val="000000" w:themeColor="text1"/>
          <w:sz w:val="22"/>
          <w:szCs w:val="22"/>
        </w:rPr>
        <w:t>2.5 Study selection</w:t>
      </w:r>
    </w:p>
    <w:p w14:paraId="420C3F85" w14:textId="77777777" w:rsidR="00F8494D" w:rsidRPr="00332C8B" w:rsidRDefault="00F8494D" w:rsidP="00F0414E">
      <w:pPr>
        <w:spacing w:line="480" w:lineRule="auto"/>
        <w:rPr>
          <w:rFonts w:asciiTheme="minorHAnsi" w:hAnsiTheme="minorHAnsi" w:cstheme="minorHAnsi"/>
          <w:color w:val="000000" w:themeColor="text1"/>
          <w:sz w:val="22"/>
          <w:szCs w:val="22"/>
        </w:rPr>
      </w:pPr>
    </w:p>
    <w:p w14:paraId="6AEDA9CE" w14:textId="7E44E081" w:rsidR="00511F81" w:rsidRPr="00332C8B" w:rsidRDefault="00511F81" w:rsidP="00F0414E">
      <w:pPr>
        <w:spacing w:line="480" w:lineRule="auto"/>
        <w:rPr>
          <w:rFonts w:asciiTheme="minorHAnsi" w:hAnsiTheme="minorHAnsi" w:cstheme="minorHAnsi"/>
          <w:color w:val="000000" w:themeColor="text1"/>
          <w:sz w:val="22"/>
          <w:szCs w:val="22"/>
        </w:rPr>
      </w:pPr>
      <w:r w:rsidRPr="00332C8B">
        <w:rPr>
          <w:rFonts w:asciiTheme="minorHAnsi" w:hAnsiTheme="minorHAnsi" w:cstheme="minorHAnsi"/>
          <w:color w:val="000000" w:themeColor="text1"/>
          <w:sz w:val="22"/>
          <w:szCs w:val="22"/>
        </w:rPr>
        <w:t>Included studies were imported into Mendeley and duplicates removed. Two authors (AB and LM) independently reviewed the titles and abstracts of included studies using Rayyan QCRI</w:t>
      </w:r>
      <w:r w:rsidR="003662F1" w:rsidRPr="00332C8B">
        <w:rPr>
          <w:rFonts w:asciiTheme="minorHAnsi" w:hAnsiTheme="minorHAnsi" w:cstheme="minorHAnsi"/>
          <w:color w:val="000000" w:themeColor="text1"/>
          <w:sz w:val="22"/>
          <w:szCs w:val="22"/>
        </w:rPr>
        <w:fldChar w:fldCharType="begin" w:fldLock="1"/>
      </w:r>
      <w:r w:rsidR="00F66CFF" w:rsidRPr="00332C8B">
        <w:rPr>
          <w:rFonts w:asciiTheme="minorHAnsi" w:hAnsiTheme="minorHAnsi" w:cstheme="minorHAnsi"/>
          <w:color w:val="000000" w:themeColor="text1"/>
          <w:sz w:val="22"/>
          <w:szCs w:val="22"/>
        </w:rPr>
        <w:instrText>ADDIN CSL_CITATION {"citationItems":[{"id":"ITEM-1","itemData":{"DOI":"10.1186/s13643-016-0384-4","ISSN":"20464053","abstract":"BACKGROUND Synthesis of multiple randomized controlled trials (RCTs) in a systematic review can summarize the effects of individual outcomes and provide numerical answers about the effectiveness of interventions. Filtering of searches is time consuming, and no single method fulfills the principal requirements of speed with accuracy. Automation of systematic reviews is driven by a necessity to expedite the availability of current best evidence for policy and clinical decision-making. We developed Rayyan ( http://rayyan.qcri.org ), a free web and mobile app, that helps expedite the initial screening of abstracts and titles using a process of semi-automation while incorporating a high level of usability. For the beta testing phase, we used two published Cochrane reviews in which included studies had been selected manually. Their searches, with 1030 records and 273 records, were uploaded to Rayyan. Different features of Rayyan were tested using these two reviews. We also conducted a survey of Rayyan's users and collected feedback through a built-in feature. RESULTS Pilot testing of Rayyan focused on usability, accuracy against manual methods, and the added value of the prediction feature. The \"taster\" review (273 records) allowed a quick overview of Rayyan for early comments on usability. The second review (1030 records) required several iterations to identify the previously identified 11 trials. The \"suggestions\" and \"hints,\" based on the \"prediction model,\" appeared as testing progressed beyond five included studies. Post rollout user experiences and a reflexive response by the developers enabled real-time modifications and improvements. The survey respondents reported 40% average time savings when using Rayyan compared to others tools, with 34% of the respondents reporting more than 50% time savings. In addition, around 75% of the respondents mentioned that screening and labeling studies as well as collaborating on reviews to be the two most important features of Rayyan. As of November 2016, Rayyan users exceed 2000 from over 60 countries conducting hundreds of reviews totaling more than 1.6M citations. Feedback from users, obtained mostly through the app web site and a recent survey, has highlighted the ease in exploration of searches, the time saved, and simplicity in sharing and comparing include-exclude decisions. The strongest features of the app, identified and reported in user feedback, were its ability to help in screening and collaboration as we…","author":[{"dropping-particle":"","family":"Ouzzani","given":"Mourad","non-dropping-particle":"","parse-names":false,"suffix":""},{"dropping-particle":"","family":"Hammady","given":"Hossam","non-dropping-particle":"","parse-names":false,"suffix":""},{"dropping-particle":"","family":"Fedorowicz","given":"Zbys","non-dropping-particle":"","parse-names":false,"suffix":""},{"dropping-particle":"","family":"Elmagarmid","given":"Ahmed","non-dropping-particle":"","parse-names":false,"suffix":""}],"container-title":"Systematic Reviews","id":"ITEM-1","issued":{"date-parts":[["2016"]]},"title":"Rayyan-a web and mobile app for systematic reviews","type":"article-journal"},"uris":["http://www.mendeley.com/documents/?uuid=a072e470-c18e-47f0-86a6-147f2a4e4c21"]}],"mendeley":{"formattedCitation":"[28]","plainTextFormattedCitation":"[28]","previouslyFormattedCitation":"[29]"},"properties":{"noteIndex":0},"schema":"https://github.com/citation-style-language/schema/raw/master/csl-citation.json"}</w:instrText>
      </w:r>
      <w:r w:rsidR="003662F1" w:rsidRPr="00332C8B">
        <w:rPr>
          <w:rFonts w:asciiTheme="minorHAnsi" w:hAnsiTheme="minorHAnsi" w:cstheme="minorHAnsi"/>
          <w:color w:val="000000" w:themeColor="text1"/>
          <w:sz w:val="22"/>
          <w:szCs w:val="22"/>
        </w:rPr>
        <w:fldChar w:fldCharType="separate"/>
      </w:r>
      <w:r w:rsidR="00F66CFF" w:rsidRPr="00332C8B">
        <w:rPr>
          <w:rFonts w:asciiTheme="minorHAnsi" w:hAnsiTheme="minorHAnsi" w:cstheme="minorHAnsi"/>
          <w:noProof/>
          <w:color w:val="000000" w:themeColor="text1"/>
          <w:sz w:val="22"/>
          <w:szCs w:val="22"/>
        </w:rPr>
        <w:t>[28]</w:t>
      </w:r>
      <w:r w:rsidR="003662F1" w:rsidRPr="00332C8B">
        <w:rPr>
          <w:rFonts w:asciiTheme="minorHAnsi" w:hAnsiTheme="minorHAnsi" w:cstheme="minorHAnsi"/>
          <w:color w:val="000000" w:themeColor="text1"/>
          <w:sz w:val="22"/>
          <w:szCs w:val="22"/>
        </w:rPr>
        <w:fldChar w:fldCharType="end"/>
      </w:r>
      <w:r w:rsidRPr="00332C8B">
        <w:rPr>
          <w:rFonts w:asciiTheme="minorHAnsi" w:hAnsiTheme="minorHAnsi" w:cstheme="minorHAnsi"/>
          <w:color w:val="000000" w:themeColor="text1"/>
          <w:sz w:val="22"/>
          <w:szCs w:val="22"/>
        </w:rPr>
        <w:t xml:space="preserve">. The full texts of all potentially relevant </w:t>
      </w:r>
      <w:r w:rsidR="004D47EF" w:rsidRPr="00332C8B">
        <w:rPr>
          <w:rFonts w:asciiTheme="minorHAnsi" w:hAnsiTheme="minorHAnsi" w:cstheme="minorHAnsi"/>
          <w:color w:val="000000" w:themeColor="text1"/>
          <w:sz w:val="22"/>
          <w:szCs w:val="22"/>
        </w:rPr>
        <w:t>publication</w:t>
      </w:r>
      <w:r w:rsidRPr="00332C8B">
        <w:rPr>
          <w:rFonts w:asciiTheme="minorHAnsi" w:hAnsiTheme="minorHAnsi" w:cstheme="minorHAnsi"/>
          <w:color w:val="000000" w:themeColor="text1"/>
          <w:sz w:val="22"/>
          <w:szCs w:val="22"/>
        </w:rPr>
        <w:t>s were assessed. If more information was required authors were contacted directly by e-mail. Conflicts were resolved by a third reviewer (SW).</w:t>
      </w:r>
    </w:p>
    <w:p w14:paraId="3A983188" w14:textId="77777777" w:rsidR="00511F81" w:rsidRPr="00332C8B" w:rsidRDefault="00511F81" w:rsidP="00F0414E">
      <w:pPr>
        <w:spacing w:line="480" w:lineRule="auto"/>
        <w:rPr>
          <w:rFonts w:asciiTheme="minorHAnsi" w:hAnsiTheme="minorHAnsi" w:cstheme="minorHAnsi"/>
          <w:color w:val="000000" w:themeColor="text1"/>
          <w:sz w:val="22"/>
          <w:szCs w:val="22"/>
        </w:rPr>
      </w:pPr>
    </w:p>
    <w:p w14:paraId="7BB1053F" w14:textId="77777777" w:rsidR="00F8494D" w:rsidRPr="00332C8B" w:rsidRDefault="00F8494D" w:rsidP="00F0414E">
      <w:pPr>
        <w:spacing w:line="480" w:lineRule="auto"/>
        <w:rPr>
          <w:rFonts w:asciiTheme="minorHAnsi" w:hAnsiTheme="minorHAnsi" w:cstheme="minorHAnsi"/>
          <w:i/>
          <w:iCs/>
          <w:color w:val="000000" w:themeColor="text1"/>
          <w:sz w:val="22"/>
          <w:szCs w:val="22"/>
        </w:rPr>
      </w:pPr>
      <w:r w:rsidRPr="00332C8B">
        <w:rPr>
          <w:rFonts w:asciiTheme="minorHAnsi" w:hAnsiTheme="minorHAnsi" w:cstheme="minorHAnsi"/>
          <w:i/>
          <w:iCs/>
          <w:color w:val="000000" w:themeColor="text1"/>
          <w:sz w:val="22"/>
          <w:szCs w:val="22"/>
        </w:rPr>
        <w:t>2.6 Data extraction</w:t>
      </w:r>
    </w:p>
    <w:p w14:paraId="51232FBB" w14:textId="77777777" w:rsidR="00F8494D" w:rsidRPr="00332C8B" w:rsidRDefault="00F8494D" w:rsidP="00F0414E">
      <w:pPr>
        <w:spacing w:line="480" w:lineRule="auto"/>
        <w:rPr>
          <w:rFonts w:asciiTheme="minorHAnsi" w:hAnsiTheme="minorHAnsi" w:cstheme="minorHAnsi"/>
          <w:color w:val="000000" w:themeColor="text1"/>
          <w:sz w:val="22"/>
          <w:szCs w:val="22"/>
        </w:rPr>
      </w:pPr>
    </w:p>
    <w:p w14:paraId="4DEAFDDD" w14:textId="6F621355" w:rsidR="00437103" w:rsidRPr="00332C8B" w:rsidRDefault="00437103" w:rsidP="00F0414E">
      <w:pPr>
        <w:spacing w:line="480" w:lineRule="auto"/>
        <w:rPr>
          <w:rFonts w:asciiTheme="minorHAnsi" w:hAnsiTheme="minorHAnsi" w:cstheme="minorHAnsi"/>
          <w:color w:val="000000" w:themeColor="text1"/>
          <w:sz w:val="22"/>
          <w:szCs w:val="22"/>
        </w:rPr>
      </w:pPr>
      <w:r w:rsidRPr="00332C8B">
        <w:rPr>
          <w:rFonts w:asciiTheme="minorHAnsi" w:hAnsiTheme="minorHAnsi" w:cstheme="minorHAnsi"/>
          <w:color w:val="000000" w:themeColor="text1"/>
          <w:sz w:val="22"/>
          <w:szCs w:val="22"/>
        </w:rPr>
        <w:t xml:space="preserve">The following data were extracted independently by the authors (AB and LM), using data forms created by the authors for this review: first author, year and country of publication, tumour site, study population characteristics, sample size, study setting and design, impedance variables, timing of </w:t>
      </w:r>
      <w:r w:rsidR="007C754E" w:rsidRPr="00332C8B">
        <w:rPr>
          <w:rFonts w:asciiTheme="minorHAnsi" w:hAnsiTheme="minorHAnsi" w:cstheme="minorHAnsi"/>
          <w:color w:val="000000" w:themeColor="text1"/>
          <w:sz w:val="22"/>
          <w:szCs w:val="22"/>
        </w:rPr>
        <w:t>BIA</w:t>
      </w:r>
      <w:r w:rsidRPr="00332C8B">
        <w:rPr>
          <w:rFonts w:asciiTheme="minorHAnsi" w:hAnsiTheme="minorHAnsi" w:cstheme="minorHAnsi"/>
          <w:color w:val="000000" w:themeColor="text1"/>
          <w:sz w:val="22"/>
          <w:szCs w:val="22"/>
        </w:rPr>
        <w:t xml:space="preserve">, definition of post-operative complication, main results, statistical methods and comparison with alternative methods of pre-operative risk prediction. </w:t>
      </w:r>
    </w:p>
    <w:p w14:paraId="4B19D476" w14:textId="77777777" w:rsidR="00437103" w:rsidRPr="00332C8B" w:rsidRDefault="00437103" w:rsidP="00F0414E">
      <w:pPr>
        <w:spacing w:line="480" w:lineRule="auto"/>
        <w:rPr>
          <w:rFonts w:asciiTheme="minorHAnsi" w:hAnsiTheme="minorHAnsi" w:cstheme="minorHAnsi"/>
          <w:color w:val="000000" w:themeColor="text1"/>
          <w:sz w:val="22"/>
          <w:szCs w:val="22"/>
        </w:rPr>
      </w:pPr>
    </w:p>
    <w:p w14:paraId="38F89027" w14:textId="77777777" w:rsidR="00F8494D" w:rsidRPr="00332C8B" w:rsidRDefault="00F8494D" w:rsidP="00F0414E">
      <w:pPr>
        <w:spacing w:line="480" w:lineRule="auto"/>
        <w:rPr>
          <w:rFonts w:asciiTheme="minorHAnsi" w:hAnsiTheme="minorHAnsi" w:cstheme="minorHAnsi"/>
          <w:color w:val="000000" w:themeColor="text1"/>
          <w:sz w:val="22"/>
          <w:szCs w:val="22"/>
        </w:rPr>
      </w:pPr>
      <w:r w:rsidRPr="00332C8B">
        <w:rPr>
          <w:rFonts w:asciiTheme="minorHAnsi" w:hAnsiTheme="minorHAnsi" w:cstheme="minorHAnsi"/>
          <w:color w:val="000000" w:themeColor="text1"/>
          <w:sz w:val="22"/>
          <w:szCs w:val="22"/>
        </w:rPr>
        <w:t>2.7 Quality assessment in individual studies</w:t>
      </w:r>
    </w:p>
    <w:p w14:paraId="32BF077A" w14:textId="77777777" w:rsidR="00FA3BE4" w:rsidRPr="00332C8B" w:rsidRDefault="00FA3BE4" w:rsidP="00F0414E">
      <w:pPr>
        <w:spacing w:line="480" w:lineRule="auto"/>
        <w:rPr>
          <w:rFonts w:asciiTheme="minorHAnsi" w:hAnsiTheme="minorHAnsi" w:cstheme="minorHAnsi"/>
          <w:color w:val="000000" w:themeColor="text1"/>
          <w:sz w:val="22"/>
          <w:szCs w:val="22"/>
        </w:rPr>
      </w:pPr>
    </w:p>
    <w:p w14:paraId="658EAEF5" w14:textId="5ED1CFDB" w:rsidR="00FA3BE4" w:rsidRPr="00332C8B" w:rsidRDefault="00FA3BE4" w:rsidP="00F0414E">
      <w:pPr>
        <w:spacing w:line="480" w:lineRule="auto"/>
        <w:rPr>
          <w:rFonts w:asciiTheme="minorHAnsi" w:hAnsiTheme="minorHAnsi" w:cstheme="minorHAnsi"/>
          <w:color w:val="000000" w:themeColor="text1"/>
          <w:sz w:val="22"/>
          <w:szCs w:val="22"/>
        </w:rPr>
      </w:pPr>
      <w:r w:rsidRPr="00332C8B">
        <w:rPr>
          <w:rFonts w:asciiTheme="minorHAnsi" w:hAnsiTheme="minorHAnsi" w:cstheme="minorHAnsi"/>
          <w:color w:val="000000" w:themeColor="text1"/>
          <w:sz w:val="22"/>
          <w:szCs w:val="22"/>
        </w:rPr>
        <w:t xml:space="preserve">All included studies were observational studies. </w:t>
      </w:r>
      <w:r w:rsidR="00BA0C47" w:rsidRPr="00332C8B">
        <w:rPr>
          <w:rFonts w:asciiTheme="minorHAnsi" w:hAnsiTheme="minorHAnsi" w:cstheme="minorHAnsi"/>
          <w:color w:val="000000" w:themeColor="text1"/>
          <w:sz w:val="22"/>
          <w:szCs w:val="22"/>
        </w:rPr>
        <w:t>To analyse study quality w</w:t>
      </w:r>
      <w:r w:rsidRPr="00332C8B">
        <w:rPr>
          <w:rFonts w:asciiTheme="minorHAnsi" w:hAnsiTheme="minorHAnsi" w:cstheme="minorHAnsi"/>
          <w:color w:val="000000" w:themeColor="text1"/>
          <w:sz w:val="22"/>
          <w:szCs w:val="22"/>
        </w:rPr>
        <w:t>e used a modified version of the Downs and Black checklist</w:t>
      </w:r>
      <w:r w:rsidR="003662F1" w:rsidRPr="00332C8B">
        <w:rPr>
          <w:rFonts w:asciiTheme="minorHAnsi" w:hAnsiTheme="minorHAnsi" w:cstheme="minorHAnsi"/>
          <w:color w:val="000000" w:themeColor="text1"/>
          <w:sz w:val="22"/>
          <w:szCs w:val="22"/>
        </w:rPr>
        <w:fldChar w:fldCharType="begin" w:fldLock="1"/>
      </w:r>
      <w:r w:rsidR="00F66CFF" w:rsidRPr="00332C8B">
        <w:rPr>
          <w:rFonts w:asciiTheme="minorHAnsi" w:hAnsiTheme="minorHAnsi" w:cstheme="minorHAnsi"/>
          <w:color w:val="000000" w:themeColor="text1"/>
          <w:sz w:val="22"/>
          <w:szCs w:val="22"/>
        </w:rPr>
        <w:instrText>ADDIN CSL_CITATION {"citationItems":[{"id":"ITEM-1","itemData":{"DOI":"10.1136/jech.52.6.377","ISSN":"0143005X","abstract":"OBJECTIVE To test the feasibility of creating a valid and reliable checklist with the following features: appropriate for assessing both randomised and non-randomised studies; provision of both an overall score for study quality and a profile of scores not only for the quality of reporting, internal validity (bias and confounding) and power, but also for external validity. DESIGN A pilot version was first developed, based on epidemiological principles, reviews, and existing checklists for randomised studies. Face and content validity were assessed by three experienced reviewers and reliability was determined using two raters assessing 10 randomised and 10 non-randomised studies. Using different raters, the checklist was revised and tested for internal consistency (Kuder-Richardson 20), test-retest and inter-rater reliability (Spearman correlation coefficient and sign rank test; kappa statistics), criterion validity, and respondent burden. MAIN RESULTS The performance of the checklist improved considerably after revision of a pilot version. The Quality Index had high internal consistency (KR-20: 0.89) as did the subscales apart from external validity (KR-20: 0.54). Test-retest (r 0.88) and inter-rater (r 0.75) reliability of the Quality Index were good. Reliability of the subscales varied from good (bias) to poor (external validity). The Quality Index correlated highly with an existing, established instrument for assessing randomised studies (r 0.90). There was little difference between its performance with non-randomised and with randomised studies. Raters took about 20 minutes to assess each paper (range 10 to 45 minutes). CONCLUSIONS This study has shown that it is feasible to develop a checklist that can be used to assess the methodological quality not only of randomised controlled trials but also non-randomised studies. It has also shown that it is possible to produce a checklist that provides a profile of the paper, alerting reviewers to its particular methodological strengths and weaknesses. Further work is required to improve the checklist and the training of raters in the assessment of external validity.","author":[{"dropping-particle":"","family":"Downs","given":"Sara H.","non-dropping-particle":"","parse-names":false,"suffix":""},{"dropping-particle":"","family":"Black","given":"Nick","non-dropping-particle":"","parse-names":false,"suffix":""}],"container-title":"Journal of Epidemiology and Community Health","id":"ITEM-1","issued":{"date-parts":[["1998"]]},"title":"The feasibility of creating a checklist for the assessment of the methodological quality both of randomised and non-randomised studies of health care interventions","type":"article-journal"},"uris":["http://www.mendeley.com/documents/?uuid=1046b6af-74ec-407a-800f-bd52e247fd56"]}],"mendeley":{"formattedCitation":"[29]","plainTextFormattedCitation":"[29]","previouslyFormattedCitation":"[30]"},"properties":{"noteIndex":0},"schema":"https://github.com/citation-style-language/schema/raw/master/csl-citation.json"}</w:instrText>
      </w:r>
      <w:r w:rsidR="003662F1" w:rsidRPr="00332C8B">
        <w:rPr>
          <w:rFonts w:asciiTheme="minorHAnsi" w:hAnsiTheme="minorHAnsi" w:cstheme="minorHAnsi"/>
          <w:color w:val="000000" w:themeColor="text1"/>
          <w:sz w:val="22"/>
          <w:szCs w:val="22"/>
        </w:rPr>
        <w:fldChar w:fldCharType="separate"/>
      </w:r>
      <w:r w:rsidR="00F66CFF" w:rsidRPr="00332C8B">
        <w:rPr>
          <w:rFonts w:asciiTheme="minorHAnsi" w:hAnsiTheme="minorHAnsi" w:cstheme="minorHAnsi"/>
          <w:noProof/>
          <w:color w:val="000000" w:themeColor="text1"/>
          <w:sz w:val="22"/>
          <w:szCs w:val="22"/>
        </w:rPr>
        <w:t>[29]</w:t>
      </w:r>
      <w:r w:rsidR="003662F1" w:rsidRPr="00332C8B">
        <w:rPr>
          <w:rFonts w:asciiTheme="minorHAnsi" w:hAnsiTheme="minorHAnsi" w:cstheme="minorHAnsi"/>
          <w:color w:val="000000" w:themeColor="text1"/>
          <w:sz w:val="22"/>
          <w:szCs w:val="22"/>
        </w:rPr>
        <w:fldChar w:fldCharType="end"/>
      </w:r>
      <w:r w:rsidRPr="00332C8B">
        <w:rPr>
          <w:rFonts w:asciiTheme="minorHAnsi" w:hAnsiTheme="minorHAnsi" w:cstheme="minorHAnsi"/>
          <w:color w:val="000000" w:themeColor="text1"/>
          <w:sz w:val="22"/>
          <w:szCs w:val="22"/>
        </w:rPr>
        <w:t>.</w:t>
      </w:r>
    </w:p>
    <w:p w14:paraId="3DE2B471" w14:textId="07F62811" w:rsidR="002D62C1" w:rsidRPr="00332C8B" w:rsidRDefault="002D62C1" w:rsidP="00F0414E">
      <w:pPr>
        <w:spacing w:line="480" w:lineRule="auto"/>
        <w:rPr>
          <w:rFonts w:asciiTheme="minorHAnsi" w:hAnsiTheme="minorHAnsi" w:cstheme="minorHAnsi"/>
          <w:color w:val="000000" w:themeColor="text1"/>
          <w:sz w:val="22"/>
          <w:szCs w:val="22"/>
        </w:rPr>
      </w:pPr>
    </w:p>
    <w:p w14:paraId="3D312A45" w14:textId="77777777" w:rsidR="002D62C1" w:rsidRPr="00332C8B" w:rsidRDefault="002D62C1" w:rsidP="00F0414E">
      <w:pPr>
        <w:pStyle w:val="ListParagraph"/>
        <w:numPr>
          <w:ilvl w:val="0"/>
          <w:numId w:val="9"/>
        </w:numPr>
        <w:spacing w:line="480" w:lineRule="auto"/>
        <w:rPr>
          <w:rFonts w:asciiTheme="minorHAnsi" w:hAnsiTheme="minorHAnsi" w:cstheme="minorHAnsi"/>
          <w:b/>
          <w:bCs/>
          <w:color w:val="000000" w:themeColor="text1"/>
          <w:sz w:val="22"/>
          <w:szCs w:val="22"/>
        </w:rPr>
      </w:pPr>
      <w:r w:rsidRPr="00332C8B">
        <w:rPr>
          <w:rFonts w:asciiTheme="minorHAnsi" w:hAnsiTheme="minorHAnsi" w:cstheme="minorHAnsi"/>
          <w:b/>
          <w:bCs/>
          <w:color w:val="000000" w:themeColor="text1"/>
          <w:sz w:val="22"/>
          <w:szCs w:val="22"/>
        </w:rPr>
        <w:t>Results</w:t>
      </w:r>
    </w:p>
    <w:p w14:paraId="222F5D07" w14:textId="77777777" w:rsidR="002D62C1" w:rsidRPr="00332C8B" w:rsidRDefault="002D62C1" w:rsidP="00F0414E">
      <w:pPr>
        <w:spacing w:line="480" w:lineRule="auto"/>
        <w:rPr>
          <w:rFonts w:asciiTheme="minorHAnsi" w:hAnsiTheme="minorHAnsi" w:cstheme="minorHAnsi"/>
          <w:color w:val="000000" w:themeColor="text1"/>
          <w:sz w:val="22"/>
          <w:szCs w:val="22"/>
        </w:rPr>
      </w:pPr>
    </w:p>
    <w:p w14:paraId="0E10A5B8" w14:textId="54EB1560" w:rsidR="00D03030" w:rsidRPr="00332C8B" w:rsidRDefault="00D03030" w:rsidP="00F0414E">
      <w:pPr>
        <w:spacing w:after="160" w:line="480" w:lineRule="auto"/>
        <w:rPr>
          <w:rFonts w:asciiTheme="minorHAnsi" w:eastAsia="Calibri" w:hAnsiTheme="minorHAnsi" w:cstheme="minorHAnsi"/>
          <w:color w:val="000000" w:themeColor="text1"/>
          <w:sz w:val="22"/>
          <w:szCs w:val="22"/>
        </w:rPr>
      </w:pPr>
      <w:r w:rsidRPr="00332C8B">
        <w:rPr>
          <w:rFonts w:asciiTheme="minorHAnsi" w:eastAsia="Calibri" w:hAnsiTheme="minorHAnsi" w:cstheme="minorHAnsi"/>
          <w:color w:val="000000" w:themeColor="text1"/>
          <w:sz w:val="22"/>
          <w:szCs w:val="22"/>
        </w:rPr>
        <w:t xml:space="preserve">The initial search returned </w:t>
      </w:r>
      <w:r w:rsidR="008C6446" w:rsidRPr="00332C8B">
        <w:rPr>
          <w:rFonts w:asciiTheme="minorHAnsi" w:eastAsia="Calibri" w:hAnsiTheme="minorHAnsi" w:cstheme="minorHAnsi"/>
          <w:color w:val="000000" w:themeColor="text1"/>
          <w:sz w:val="22"/>
          <w:szCs w:val="22"/>
        </w:rPr>
        <w:t xml:space="preserve">2578 </w:t>
      </w:r>
      <w:r w:rsidRPr="00332C8B">
        <w:rPr>
          <w:rFonts w:asciiTheme="minorHAnsi" w:eastAsia="Calibri" w:hAnsiTheme="minorHAnsi" w:cstheme="minorHAnsi"/>
          <w:color w:val="000000" w:themeColor="text1"/>
          <w:sz w:val="22"/>
          <w:szCs w:val="22"/>
        </w:rPr>
        <w:t xml:space="preserve">studies of which </w:t>
      </w:r>
      <w:r w:rsidR="008C6446" w:rsidRPr="00332C8B">
        <w:rPr>
          <w:rFonts w:asciiTheme="minorHAnsi" w:eastAsia="Calibri" w:hAnsiTheme="minorHAnsi" w:cstheme="minorHAnsi"/>
          <w:color w:val="000000" w:themeColor="text1"/>
          <w:sz w:val="22"/>
          <w:szCs w:val="22"/>
        </w:rPr>
        <w:t>462</w:t>
      </w:r>
      <w:r w:rsidRPr="00332C8B">
        <w:rPr>
          <w:rFonts w:asciiTheme="minorHAnsi" w:eastAsia="Calibri" w:hAnsiTheme="minorHAnsi" w:cstheme="minorHAnsi"/>
          <w:color w:val="000000" w:themeColor="text1"/>
          <w:sz w:val="22"/>
          <w:szCs w:val="22"/>
        </w:rPr>
        <w:t xml:space="preserve"> were duplicate</w:t>
      </w:r>
      <w:r w:rsidR="00A7167E" w:rsidRPr="00332C8B">
        <w:rPr>
          <w:rFonts w:asciiTheme="minorHAnsi" w:eastAsia="Calibri" w:hAnsiTheme="minorHAnsi" w:cstheme="minorHAnsi"/>
          <w:color w:val="000000" w:themeColor="text1"/>
          <w:sz w:val="22"/>
          <w:szCs w:val="22"/>
        </w:rPr>
        <w:t>s</w:t>
      </w:r>
      <w:r w:rsidRPr="00332C8B">
        <w:rPr>
          <w:rFonts w:asciiTheme="minorHAnsi" w:eastAsia="Calibri" w:hAnsiTheme="minorHAnsi" w:cstheme="minorHAnsi"/>
          <w:color w:val="000000" w:themeColor="text1"/>
          <w:sz w:val="22"/>
          <w:szCs w:val="22"/>
        </w:rPr>
        <w:t xml:space="preserve">. We screened the remaining 2116 titles and abstracts, of which 2026 were excluded. 90 articles were retrieved of which 75 were excluded following full-text review and an additional three during data extraction. Thus, 12 papers are included in this review (Figure </w:t>
      </w:r>
      <w:r w:rsidR="00F877DC" w:rsidRPr="00332C8B">
        <w:rPr>
          <w:rFonts w:asciiTheme="minorHAnsi" w:eastAsia="Calibri" w:hAnsiTheme="minorHAnsi" w:cstheme="minorHAnsi"/>
          <w:color w:val="000000" w:themeColor="text1"/>
          <w:sz w:val="22"/>
          <w:szCs w:val="22"/>
        </w:rPr>
        <w:t>1</w:t>
      </w:r>
      <w:r w:rsidRPr="00332C8B">
        <w:rPr>
          <w:rFonts w:asciiTheme="minorHAnsi" w:eastAsia="Calibri" w:hAnsiTheme="minorHAnsi" w:cstheme="minorHAnsi"/>
          <w:color w:val="000000" w:themeColor="text1"/>
          <w:sz w:val="22"/>
          <w:szCs w:val="22"/>
        </w:rPr>
        <w:t>).</w:t>
      </w:r>
    </w:p>
    <w:p w14:paraId="2FB244F5" w14:textId="77777777" w:rsidR="00CA26D7" w:rsidRPr="00332C8B" w:rsidRDefault="00CA26D7" w:rsidP="00F0414E">
      <w:pPr>
        <w:spacing w:after="160" w:line="480" w:lineRule="auto"/>
        <w:rPr>
          <w:rFonts w:asciiTheme="minorHAnsi" w:eastAsia="Calibri" w:hAnsiTheme="minorHAnsi" w:cstheme="minorHAnsi"/>
          <w:color w:val="000000" w:themeColor="text1"/>
          <w:sz w:val="22"/>
          <w:szCs w:val="22"/>
        </w:rPr>
      </w:pPr>
    </w:p>
    <w:p w14:paraId="650C3EEC" w14:textId="77777777" w:rsidR="00D03030" w:rsidRPr="00332C8B" w:rsidRDefault="00D03030" w:rsidP="00F0414E">
      <w:pPr>
        <w:spacing w:after="160" w:line="480" w:lineRule="auto"/>
        <w:jc w:val="center"/>
        <w:rPr>
          <w:rFonts w:asciiTheme="minorHAnsi" w:eastAsia="Calibri" w:hAnsiTheme="minorHAnsi" w:cstheme="minorHAnsi"/>
          <w:color w:val="000000" w:themeColor="text1"/>
          <w:sz w:val="22"/>
          <w:szCs w:val="22"/>
        </w:rPr>
      </w:pPr>
      <w:r w:rsidRPr="00332C8B">
        <w:rPr>
          <w:rFonts w:asciiTheme="minorHAnsi" w:eastAsia="Calibri" w:hAnsiTheme="minorHAnsi" w:cstheme="minorHAnsi"/>
          <w:noProof/>
          <w:color w:val="000000" w:themeColor="text1"/>
          <w:sz w:val="22"/>
          <w:szCs w:val="22"/>
          <w:lang w:eastAsia="en-GB"/>
        </w:rPr>
        <w:drawing>
          <wp:inline distT="0" distB="0" distL="0" distR="0" wp14:anchorId="0B1AFE73" wp14:editId="66F260C6">
            <wp:extent cx="5179477" cy="3370730"/>
            <wp:effectExtent l="0" t="0" r="2540" b="0"/>
            <wp:docPr id="28" name="Picture 27">
              <a:extLst xmlns:a="http://schemas.openxmlformats.org/drawingml/2006/main">
                <a:ext uri="{FF2B5EF4-FFF2-40B4-BE49-F238E27FC236}">
                  <a16:creationId xmlns:a16="http://schemas.microsoft.com/office/drawing/2014/main" id="{92F8BEA5-3D48-4D42-AAF0-6FC0B092CA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92F8BEA5-3D48-4D42-AAF0-6FC0B092CA93}"/>
                        </a:ext>
                      </a:extLst>
                    </pic:cNvPr>
                    <pic:cNvPicPr>
                      <a:picLocks noChangeAspect="1"/>
                    </pic:cNvPicPr>
                  </pic:nvPicPr>
                  <pic:blipFill>
                    <a:blip r:embed="rId8" cstate="print"/>
                    <a:stretch>
                      <a:fillRect/>
                    </a:stretch>
                  </pic:blipFill>
                  <pic:spPr>
                    <a:xfrm>
                      <a:off x="0" y="0"/>
                      <a:ext cx="5179477" cy="3370730"/>
                    </a:xfrm>
                    <a:prstGeom prst="rect">
                      <a:avLst/>
                    </a:prstGeom>
                    <a:solidFill>
                      <a:schemeClr val="accent1">
                        <a:lumMod val="20000"/>
                        <a:lumOff val="80000"/>
                      </a:schemeClr>
                    </a:solidFill>
                    <a:ln w="1270">
                      <a:noFill/>
                    </a:ln>
                  </pic:spPr>
                </pic:pic>
              </a:graphicData>
            </a:graphic>
          </wp:inline>
        </w:drawing>
      </w:r>
    </w:p>
    <w:p w14:paraId="21D6CE5C" w14:textId="77777777" w:rsidR="00A00A65" w:rsidRPr="00332C8B" w:rsidRDefault="00D03030" w:rsidP="00F0414E">
      <w:pPr>
        <w:spacing w:after="160" w:line="480" w:lineRule="auto"/>
        <w:jc w:val="center"/>
        <w:rPr>
          <w:rFonts w:asciiTheme="minorHAnsi" w:eastAsia="Calibri" w:hAnsiTheme="minorHAnsi" w:cstheme="minorHAnsi"/>
          <w:color w:val="000000" w:themeColor="text1"/>
          <w:sz w:val="22"/>
          <w:szCs w:val="22"/>
        </w:rPr>
      </w:pPr>
      <w:r w:rsidRPr="00332C8B">
        <w:rPr>
          <w:rFonts w:asciiTheme="minorHAnsi" w:eastAsia="Calibri" w:hAnsiTheme="minorHAnsi" w:cstheme="minorHAnsi"/>
          <w:b/>
          <w:bCs/>
          <w:color w:val="000000" w:themeColor="text1"/>
          <w:sz w:val="22"/>
          <w:szCs w:val="22"/>
        </w:rPr>
        <w:t xml:space="preserve">Fig. </w:t>
      </w:r>
      <w:r w:rsidR="00451F10" w:rsidRPr="00332C8B">
        <w:rPr>
          <w:rFonts w:asciiTheme="minorHAnsi" w:eastAsia="Calibri" w:hAnsiTheme="minorHAnsi" w:cstheme="minorHAnsi"/>
          <w:b/>
          <w:bCs/>
          <w:color w:val="000000" w:themeColor="text1"/>
          <w:sz w:val="22"/>
          <w:szCs w:val="22"/>
        </w:rPr>
        <w:t>1</w:t>
      </w:r>
      <w:r w:rsidRPr="00332C8B">
        <w:rPr>
          <w:rFonts w:asciiTheme="minorHAnsi" w:eastAsia="Calibri" w:hAnsiTheme="minorHAnsi" w:cstheme="minorHAnsi"/>
          <w:color w:val="000000" w:themeColor="text1"/>
          <w:sz w:val="22"/>
          <w:szCs w:val="22"/>
        </w:rPr>
        <w:t xml:space="preserve"> Flow diagram of included studies</w:t>
      </w:r>
    </w:p>
    <w:p w14:paraId="2F422D4C" w14:textId="77777777" w:rsidR="00260BB7" w:rsidRPr="00332C8B" w:rsidRDefault="00260BB7" w:rsidP="00F0414E">
      <w:pPr>
        <w:spacing w:after="160" w:line="480" w:lineRule="auto"/>
        <w:rPr>
          <w:rFonts w:asciiTheme="minorHAnsi" w:eastAsia="Calibri" w:hAnsiTheme="minorHAnsi" w:cstheme="minorHAnsi"/>
          <w:color w:val="000000" w:themeColor="text1"/>
          <w:sz w:val="22"/>
          <w:szCs w:val="22"/>
        </w:rPr>
      </w:pPr>
    </w:p>
    <w:p w14:paraId="3EAE93CD" w14:textId="7CD25717" w:rsidR="00D03030" w:rsidRPr="00332C8B" w:rsidRDefault="00D03030" w:rsidP="00F0414E">
      <w:pPr>
        <w:spacing w:after="160" w:line="480" w:lineRule="auto"/>
        <w:rPr>
          <w:rFonts w:asciiTheme="minorHAnsi" w:eastAsia="Calibri" w:hAnsiTheme="minorHAnsi" w:cstheme="minorHAnsi"/>
          <w:color w:val="000000" w:themeColor="text1"/>
          <w:sz w:val="22"/>
          <w:szCs w:val="22"/>
        </w:rPr>
      </w:pPr>
      <w:r w:rsidRPr="00332C8B">
        <w:rPr>
          <w:rFonts w:asciiTheme="minorHAnsi" w:eastAsia="Calibri" w:hAnsiTheme="minorHAnsi" w:cstheme="minorHAnsi"/>
          <w:color w:val="000000" w:themeColor="text1"/>
          <w:sz w:val="22"/>
          <w:szCs w:val="22"/>
        </w:rPr>
        <w:t xml:space="preserve">The general characteristics of the included studies are summarised in table </w:t>
      </w:r>
      <w:r w:rsidR="00F877DC" w:rsidRPr="00332C8B">
        <w:rPr>
          <w:rFonts w:asciiTheme="minorHAnsi" w:eastAsia="Calibri" w:hAnsiTheme="minorHAnsi" w:cstheme="minorHAnsi"/>
          <w:color w:val="000000" w:themeColor="text1"/>
          <w:sz w:val="22"/>
          <w:szCs w:val="22"/>
        </w:rPr>
        <w:t>1.</w:t>
      </w:r>
      <w:r w:rsidRPr="00332C8B">
        <w:rPr>
          <w:rFonts w:asciiTheme="minorHAnsi" w:eastAsia="Calibri" w:hAnsiTheme="minorHAnsi" w:cstheme="minorHAnsi"/>
          <w:color w:val="000000" w:themeColor="text1"/>
          <w:sz w:val="22"/>
          <w:szCs w:val="22"/>
        </w:rPr>
        <w:t xml:space="preserve"> Taken together, the included studies report data from 1</w:t>
      </w:r>
      <w:r w:rsidR="00D000F3" w:rsidRPr="00332C8B">
        <w:rPr>
          <w:rFonts w:asciiTheme="minorHAnsi" w:eastAsia="Calibri" w:hAnsiTheme="minorHAnsi" w:cstheme="minorHAnsi"/>
          <w:color w:val="000000" w:themeColor="text1"/>
          <w:sz w:val="22"/>
          <w:szCs w:val="22"/>
        </w:rPr>
        <w:t>508</w:t>
      </w:r>
      <w:r w:rsidRPr="00332C8B">
        <w:rPr>
          <w:rFonts w:asciiTheme="minorHAnsi" w:eastAsia="Calibri" w:hAnsiTheme="minorHAnsi" w:cstheme="minorHAnsi"/>
          <w:color w:val="000000" w:themeColor="text1"/>
          <w:sz w:val="22"/>
          <w:szCs w:val="22"/>
        </w:rPr>
        <w:t xml:space="preserve"> subjects. The median sample size was </w:t>
      </w:r>
      <w:r w:rsidR="00964497" w:rsidRPr="00332C8B">
        <w:rPr>
          <w:rFonts w:asciiTheme="minorHAnsi" w:eastAsia="Calibri" w:hAnsiTheme="minorHAnsi" w:cstheme="minorHAnsi"/>
          <w:color w:val="000000" w:themeColor="text1"/>
          <w:sz w:val="22"/>
          <w:szCs w:val="22"/>
        </w:rPr>
        <w:t>10</w:t>
      </w:r>
      <w:r w:rsidRPr="00332C8B">
        <w:rPr>
          <w:rFonts w:asciiTheme="minorHAnsi" w:eastAsia="Calibri" w:hAnsiTheme="minorHAnsi" w:cstheme="minorHAnsi"/>
          <w:color w:val="000000" w:themeColor="text1"/>
          <w:sz w:val="22"/>
          <w:szCs w:val="22"/>
        </w:rPr>
        <w:t xml:space="preserve">8 (range </w:t>
      </w:r>
      <w:r w:rsidR="00D000F3" w:rsidRPr="00332C8B">
        <w:rPr>
          <w:rFonts w:asciiTheme="minorHAnsi" w:eastAsia="Calibri" w:hAnsiTheme="minorHAnsi" w:cstheme="minorHAnsi"/>
          <w:color w:val="000000" w:themeColor="text1"/>
          <w:sz w:val="22"/>
          <w:szCs w:val="22"/>
        </w:rPr>
        <w:t>52</w:t>
      </w:r>
      <w:r w:rsidRPr="00332C8B">
        <w:rPr>
          <w:rFonts w:asciiTheme="minorHAnsi" w:eastAsia="Calibri" w:hAnsiTheme="minorHAnsi" w:cstheme="minorHAnsi"/>
          <w:color w:val="000000" w:themeColor="text1"/>
          <w:sz w:val="22"/>
          <w:szCs w:val="22"/>
        </w:rPr>
        <w:t xml:space="preserve"> – 293). </w:t>
      </w:r>
      <w:r w:rsidR="00C94CFC">
        <w:rPr>
          <w:rFonts w:asciiTheme="minorHAnsi" w:eastAsia="Calibri" w:hAnsiTheme="minorHAnsi" w:cstheme="minorHAnsi"/>
          <w:color w:val="000000" w:themeColor="text1"/>
          <w:sz w:val="22"/>
          <w:szCs w:val="22"/>
        </w:rPr>
        <w:t xml:space="preserve">Studies were defined as “mixed” if they reported data from more than one surgical specialty. </w:t>
      </w:r>
      <w:r w:rsidRPr="00332C8B">
        <w:rPr>
          <w:rFonts w:asciiTheme="minorHAnsi" w:eastAsia="Calibri" w:hAnsiTheme="minorHAnsi" w:cstheme="minorHAnsi"/>
          <w:color w:val="000000" w:themeColor="text1"/>
          <w:sz w:val="22"/>
          <w:szCs w:val="22"/>
        </w:rPr>
        <w:t>Study cohorts included colorectal</w:t>
      </w:r>
      <w:r w:rsidR="003662F1" w:rsidRPr="00332C8B">
        <w:rPr>
          <w:rFonts w:asciiTheme="minorHAnsi" w:eastAsia="Calibri" w:hAnsiTheme="minorHAnsi" w:cstheme="minorHAnsi"/>
          <w:color w:val="000000" w:themeColor="text1"/>
          <w:sz w:val="22"/>
          <w:szCs w:val="22"/>
        </w:rPr>
        <w:fldChar w:fldCharType="begin" w:fldLock="1"/>
      </w:r>
      <w:r w:rsidR="00F66CFF" w:rsidRPr="00332C8B">
        <w:rPr>
          <w:rFonts w:asciiTheme="minorHAnsi" w:eastAsia="Calibri" w:hAnsiTheme="minorHAnsi" w:cstheme="minorHAnsi"/>
          <w:color w:val="000000" w:themeColor="text1"/>
          <w:sz w:val="22"/>
          <w:szCs w:val="22"/>
        </w:rPr>
        <w:instrText>ADDIN CSL_CITATION {"citationItems":[{"id":"ITEM-1","itemData":{"DOI":"10.1016/j.clnu.2017.08.026","ISSN":"0261-5614","abstract":"Background &amp; aims: Malnutrition in patients with colorectal cancer contributes to increased postoperative complications. The aim of the study was to evaluate the prognostic value of several nutritional assessment parameters: body mass index versus percentage of weight loss grading system (BMI/%WL); Patient-Generated Subjective Global Assessment (PG-SGA); standardized phase angle (SPA) by BIA; muscle strength by handgrip strength; muscle mass by computerized tomography; and the combination of muscle mass and strength in patients undergoing resection surgery. Methods: Patients diagnosed with cancer of the colon or rectum, who were over 18 years old and were scheduled to undergo surgical treatment were invited to participate. Postoperative complications were assessed from the first day post-surgery until discharge. Complications classified as Grade II or above according to the Clavien-Dindo classification were considered. Chi-square test or Fisher's exact test, bivariate analysis, Poisson regression and receiver operator characteristic (ROC) curve were utilized and p &lt; 0.05 was considered significant. Results: 84 patients were evaluated, with 28 (33.3%) presenting with Grade II postoperative complications. SPA showed no association with postoperative complications (p = 0.199). In multivariate analysis, low skeletal muscle mass showed a relative risk (RR) of 1.80 (CI: 1.02-3.17), BMI/%WL equal or higher than grade 3 had a RR of 1.90 (95% CI: 1.22-3.39). PG-SGA classified as malnutrition showed a RR of 2.08 (95% CI: 1.06-4.06); and low muscle mass plus low muscle strength showed a RR 2.13 (95% CI: 1.23-3.69). Low strength alone was not associated with postoperative complications after controlling for confounding factors (p = 0.16; 95% CI: 0.83-2.77). Low muscle mass in combination with low strength showed the highest predictive power for postoperative complications (AUC: 0.68; CI: 0.56-0.80). Conclusions: BMI/%WL &gt; grade 3, PG-SGA defined malnutrition, low muscle mass and low muscle mass plus low strength were independent risk factors for complications controlling for confounding factors. However, low muscle mass in combination with low muscle strength were the strongest variables associated with complications. Clinical Trials identification number: NCT02901132 (www.clinicaltrials.gov).Copyright © 2017 Elsevier Ltd and European Society for Clinical Nutrition and Metabolism","author":[{"dropping-particle":"","family":"S.F.","given":"Mauricio","non-dropping-particle":"","parse-names":false,"suffix":""},{"dropping-particle":"","family":"J.","given":"Xiao","non-dropping-particle":"","parse-names":false,"suffix":""},{"dropping-particle":"","family":"C.M.","given":"Prado","non-dropping-particle":"","parse-names":false,"suffix":""},{"dropping-particle":"","family":"M.C.","given":"Gonzalez","non-dropping-particle":"","parse-names":false,"suffix":""},{"dropping-particle":"","family":"Maurício","given":"Sílvia Fernandes","non-dropping-particle":"","parse-names":false,"suffix":""},{"dropping-particle":"","family":"Xiao","given":"Jingjie","non-dropping-particle":"","parse-names":false,"suffix":""},{"dropping-particle":"","family":"Prado","given":"Carla M","non-dropping-particle":"","parse-names":false,"suffix":""},{"dropping-particle":"","family":"Gonzalez","given":"Maria Cristina","non-dropping-particle":"","parse-names":false,"suffix":""},{"dropping-particle":"","family":"Correia","given":"Maria Isabel Toulson Davisson","non-dropping-particle":"","parse-names":false,"suffix":""},{"dropping-particle":"","family":"Mauricio","given":"Silvia Fernandes","non-dropping-particle":"","parse-names":false,"suffix":""},{"dropping-particle":"","family":"Xiao","given":"Jingjie","non-dropping-particle":"","parse-names":false,"suffix":""},{"dropping-particle":"","family":"Prado","given":"Carla M","non-dropping-particle":"","parse-names":false,"suffix":""},{"dropping-particle":"","family":"Gonzalez","given":"Maria Cristina","non-dropping-particle":"","parse-names":false,"suffix":""},{"dropping-particle":"","family":"Toulson Davisson Correia","given":"Maria Isabel","non-dropping-particle":"","parse-names":false,"suffix":""}],"container-title":"Clinical Nutrition","id":"ITEM-1","issue":"5","issued":{"date-parts":[["2018","10"]]},"note":"From Duplicate 2 (Different nutritional assessment tools as predictors of postoperative complications in patients undergoing colorectal cancer resection. - Maurício, Sílvia Fernandes; Xiao, Jingjie; Prado, Carla M; Gonzalez, Maria Cristina; Correia, Maria Isabel Toulson Davisson)\n\nAccession Number: 131806549. Language: English. Entry Date: 20180924. Revision Date: 20180924. Publication Type: Article. Journal Subset: Allied Health; Biomedical; Continental Europe; Double Blind Peer Reviewed; Europe; Peer Reviewed. NLM UID: 8309603.","page":"1505-1511","publisher":"Elsevier B.V.","publisher-place":"Post-graduate Program on Surgery and Ophthalmology, Federal University of Minas Gerais, Belo Horizonte, Minas Gerais, Brazil","title":"Different nutritional assessment tools as predictors of postoperative complications in patients undergoing colorectal cancer resection","type":"article-journal","volume":"37"},"uris":["http://www.mendeley.com/documents/?uuid=204f43ab-b662-42ab-a81b-3ef41b0d9664"]}],"mendeley":{"formattedCitation":"[30]","plainTextFormattedCitation":"[30]","previouslyFormattedCitation":"[31]"},"properties":{"noteIndex":0},"schema":"https://github.com/citation-style-language/schema/raw/master/csl-citation.json"}</w:instrText>
      </w:r>
      <w:r w:rsidR="003662F1" w:rsidRPr="00332C8B">
        <w:rPr>
          <w:rFonts w:asciiTheme="minorHAnsi" w:eastAsia="Calibri" w:hAnsiTheme="minorHAnsi" w:cstheme="minorHAnsi"/>
          <w:color w:val="000000" w:themeColor="text1"/>
          <w:sz w:val="22"/>
          <w:szCs w:val="22"/>
        </w:rPr>
        <w:fldChar w:fldCharType="separate"/>
      </w:r>
      <w:r w:rsidR="00F66CFF" w:rsidRPr="00332C8B">
        <w:rPr>
          <w:rFonts w:asciiTheme="minorHAnsi" w:eastAsia="Calibri" w:hAnsiTheme="minorHAnsi" w:cstheme="minorHAnsi"/>
          <w:noProof/>
          <w:color w:val="000000" w:themeColor="text1"/>
          <w:sz w:val="22"/>
          <w:szCs w:val="22"/>
        </w:rPr>
        <w:t>[30]</w:t>
      </w:r>
      <w:r w:rsidR="003662F1" w:rsidRPr="00332C8B">
        <w:rPr>
          <w:rFonts w:asciiTheme="minorHAnsi" w:eastAsia="Calibri" w:hAnsiTheme="minorHAnsi" w:cstheme="minorHAnsi"/>
          <w:color w:val="000000" w:themeColor="text1"/>
          <w:sz w:val="22"/>
          <w:szCs w:val="22"/>
        </w:rPr>
        <w:fldChar w:fldCharType="end"/>
      </w:r>
      <w:r w:rsidRPr="00332C8B">
        <w:rPr>
          <w:rFonts w:asciiTheme="minorHAnsi" w:eastAsia="Calibri" w:hAnsiTheme="minorHAnsi" w:cstheme="minorHAnsi"/>
          <w:color w:val="000000" w:themeColor="text1"/>
          <w:sz w:val="22"/>
          <w:szCs w:val="22"/>
          <w:vertAlign w:val="superscript"/>
        </w:rPr>
        <w:t>,</w:t>
      </w:r>
      <w:r w:rsidR="003662F1" w:rsidRPr="00332C8B">
        <w:rPr>
          <w:rFonts w:asciiTheme="minorHAnsi" w:eastAsia="Calibri" w:hAnsiTheme="minorHAnsi" w:cstheme="minorHAnsi"/>
          <w:color w:val="000000" w:themeColor="text1"/>
          <w:sz w:val="22"/>
          <w:szCs w:val="22"/>
          <w:vertAlign w:val="superscript"/>
        </w:rPr>
        <w:fldChar w:fldCharType="begin" w:fldLock="1"/>
      </w:r>
      <w:r w:rsidR="00F66CFF" w:rsidRPr="00332C8B">
        <w:rPr>
          <w:rFonts w:asciiTheme="minorHAnsi" w:eastAsia="Calibri" w:hAnsiTheme="minorHAnsi" w:cstheme="minorHAnsi"/>
          <w:color w:val="000000" w:themeColor="text1"/>
          <w:sz w:val="22"/>
          <w:szCs w:val="22"/>
          <w:vertAlign w:val="superscript"/>
        </w:rPr>
        <w:instrText>ADDIN CSL_CITATION {"citationItems":[{"id":"ITEM-1","itemData":{"DOI":"10.1111/jhn.12002","ISSN":"0952-3871","abstract":"Background Both malnutrition and obesity are related to worsened post-operative outcomes after colorectal surgery. Obese cancer patients may be malnourished as a result of short-term weight loss. The present study aimed to evaluate preoperative nutritional status, body composition and dietary intake related to post-operative complications ( POC) and post-operative hospital days ( POHD) in elective colorectal cancer ( CRC) patients. Methods Anthropometry, body composition measured by bioelectric spectroscopy and dietary habits assessed by a validated food-frequency questionnaire were examined in 100 newly-diagnosed CRC patients. Data from 30-day POC and POHD were collected from medical records. Nonparametric and chi-squared tests and logistic regression were used to analyse associations between body and dietary variables and post-operative outcome. Results Twenty-nine patients had at least one POC. The median POHD was six. Body size and composition measures and short-term weight loss were no different between patients with and without POC, or between patients with POHD &lt;7 and ≥7. Dietary variables were otherwise no different between patients with and without POC, although the median intake of marine n-3 polyunsaturated fatty acids ( PUFA, the sum of eicosapentaenoic and docosahexaenoic acids) was significantly lower in patients with versus without POC (0.7 versus 1.2 g day−1, P = 0.04). Conclusions We found that preoperative body size, body composition and short-term weight loss were not related to 30-day post-operative outcomes in CRC patients. A high content of marine n-3 PUFA in preoperative habitual diets may protect against POC after CRC surgery.","author":[{"dropping-particle":"","family":"Berstad","given":"P","non-dropping-particle":"","parse-names":false,"suffix":""},{"dropping-particle":"","family":"Haugum","given":"B","non-dropping-particle":"","parse-names":false,"suffix":""},{"dropping-particle":"","family":"Helgeland","given":"M","non-dropping-particle":"","parse-names":false,"suffix":""},{"dropping-particle":"","family":"Bukholm","given":"I","non-dropping-particle":"","parse-names":false,"suffix":""},{"dropping-particle":"","family":"Almendingen","given":"K","non-dropping-particle":"","parse-names":false,"suffix":""}],"container-title":"Journal of Human Nutrition &amp; Dietetics","id":"ITEM-1","issue":"4","issued":{"date-parts":[["2013","8"]]},"note":"Accession Number: 104196215. Language: English. Entry Date: 20130716. Revision Date: 20150820. Publication Type: Journal Article; research; tables/charts. Journal Subset: Allied Health; Biomedical; Europe; Peer Reviewed; UK &amp;amp; Ireland. Special Interest: Nutrition; Oncologic Care; Perioperative Care. Instrumentation: Food Frequency Questionnaire (FFQ). Grant Information: This work was supported by grant no. 2006094 from Eastern Norway Regional Health Authority RHF and grants from Eckbo Foundation and Flatner Foundation.. NLM UID: 8904840.","page":"359-368","publisher":"Wiley-Blackwell","publisher-place":"Research Centre Akershus University Hospital","title":"Preoperative body size and composition, habitual diet, and post-operative complications in elective colorectal cancer patients in Norway.","type":"article-journal","volume":"26"},"uris":["http://www.mendeley.com/documents/?uuid=ed89d092-88dd-471d-99eb-e3ad956371cb"]}],"mendeley":{"formattedCitation":"[31]","plainTextFormattedCitation":"[31]","previouslyFormattedCitation":"[32]"},"properties":{"noteIndex":0},"schema":"https://github.com/citation-style-language/schema/raw/master/csl-citation.json"}</w:instrText>
      </w:r>
      <w:r w:rsidR="003662F1" w:rsidRPr="00332C8B">
        <w:rPr>
          <w:rFonts w:asciiTheme="minorHAnsi" w:eastAsia="Calibri" w:hAnsiTheme="minorHAnsi" w:cstheme="minorHAnsi"/>
          <w:color w:val="000000" w:themeColor="text1"/>
          <w:sz w:val="22"/>
          <w:szCs w:val="22"/>
          <w:vertAlign w:val="superscript"/>
        </w:rPr>
        <w:fldChar w:fldCharType="separate"/>
      </w:r>
      <w:r w:rsidR="00F66CFF" w:rsidRPr="00332C8B">
        <w:rPr>
          <w:rFonts w:asciiTheme="minorHAnsi" w:eastAsia="Calibri" w:hAnsiTheme="minorHAnsi" w:cstheme="minorHAnsi"/>
          <w:noProof/>
          <w:color w:val="000000" w:themeColor="text1"/>
          <w:sz w:val="22"/>
          <w:szCs w:val="22"/>
        </w:rPr>
        <w:t>[31]</w:t>
      </w:r>
      <w:r w:rsidR="003662F1" w:rsidRPr="00332C8B">
        <w:rPr>
          <w:rFonts w:asciiTheme="minorHAnsi" w:eastAsia="Calibri" w:hAnsiTheme="minorHAnsi" w:cstheme="minorHAnsi"/>
          <w:color w:val="000000" w:themeColor="text1"/>
          <w:sz w:val="22"/>
          <w:szCs w:val="22"/>
          <w:vertAlign w:val="superscript"/>
        </w:rPr>
        <w:fldChar w:fldCharType="end"/>
      </w:r>
      <w:r w:rsidRPr="00332C8B">
        <w:rPr>
          <w:rFonts w:asciiTheme="minorHAnsi" w:eastAsia="Calibri" w:hAnsiTheme="minorHAnsi" w:cstheme="minorHAnsi"/>
          <w:color w:val="000000" w:themeColor="text1"/>
          <w:sz w:val="22"/>
          <w:szCs w:val="22"/>
          <w:vertAlign w:val="superscript"/>
        </w:rPr>
        <w:t>,</w:t>
      </w:r>
      <w:r w:rsidR="003662F1" w:rsidRPr="00332C8B">
        <w:rPr>
          <w:rFonts w:asciiTheme="minorHAnsi" w:eastAsia="Calibri" w:hAnsiTheme="minorHAnsi" w:cstheme="minorHAnsi"/>
          <w:color w:val="000000" w:themeColor="text1"/>
          <w:sz w:val="22"/>
          <w:szCs w:val="22"/>
          <w:vertAlign w:val="superscript"/>
        </w:rPr>
        <w:fldChar w:fldCharType="begin" w:fldLock="1"/>
      </w:r>
      <w:r w:rsidR="00F66CFF" w:rsidRPr="00332C8B">
        <w:rPr>
          <w:rFonts w:asciiTheme="minorHAnsi" w:eastAsia="Calibri" w:hAnsiTheme="minorHAnsi" w:cstheme="minorHAnsi"/>
          <w:color w:val="000000" w:themeColor="text1"/>
          <w:sz w:val="22"/>
          <w:szCs w:val="22"/>
          <w:vertAlign w:val="superscript"/>
        </w:rPr>
        <w:instrText>ADDIN CSL_CITATION {"citationItems":[{"id":"ITEM-1","itemData":{"DOI":"10.1111/ecc.12491","ISSN":"0961-5423","abstract":"We aimed to ascertain the implementation of body composition assessment, by means of fat-free mass index (FFMI), fat mass index (FMI) and presence of sarcopenic obesity, in colorectal cancer population, on the basis of hospital length of stay (LOS) determination and to benchmark their discriminatory performance with other nutrition status algorithms, such as body mass index (BMI) and Malnutrition Universal Screening Tool (MUST). Ninety adult patients with operable colorectal cancer were enrolled. Study parameters included demographic and anthropometric data registration, BMI and MUST calculation and body composition parameters measurement within 24-h post-admission. Hospital LOS constituted the outcome of interest, using 7 days as cut-off point. Fifty-one patients (56.7%) were hospitalised for ≤7 days. The presence of sarcopenic obesity affected adversely hospital LOS (OR, 9.236; 95% CI, 3.278-26.173, P = 0.000). Low FFMI (OR, 7.457; 95% CI, 2.868-19.390, P = 0.000), malnutrition according to MUST (OR, 2.632; 95% CI, 1.280-5.413, P = 0.009) and high FMI (2.133; 95% CI, 1.111-4.094, P = 0.023) were the most powerful discriminators of accelerated hospitalisation. Loss of lean body tissue, gain of adipose tissue and sarcopenic obesity confer noteworthy prognostic value being superior or equivalent to MUST in terms of hospital LOS determination in colorectal cancer resection setting. BMI presents inferior discrimination performance in this field.","author":[{"dropping-particle":"","family":"Tsaousi","given":"G","non-dropping-particle":"","parse-names":false,"suffix":""},{"dropping-particle":"","family":"Kokkota","given":"S","non-dropping-particle":"","parse-names":false,"suffix":""},{"dropping-particle":"","family":"Papakostas","given":"P","non-dropping-particle":"","parse-names":false,"suffix":""},{"dropping-particle":"","family":"Stavrou","given":"G","non-dropping-particle":"","parse-names":false,"suffix":""},{"dropping-particle":"","family":"Doumaki","given":"E","non-dropping-particle":"","parse-names":false,"suffix":""},{"dropping-particle":"","family":"Kotzampassi","given":"K","non-dropping-particle":"","parse-names":false,"suffix":""}],"container-title":"European Journal of Cancer Care","id":"ITEM-1","issue":"6","issued":{"date-parts":[["2017","11"]]},"note":"Accession Number: 126068743. Language: English. Entry Date: 20171111. Revision Date: 20171111. Publication Type: Article; research; tables/charts. Journal Subset: Core Nursing; Europe; Nursing; Peer Reviewed; UK &amp;amp; Ireland. Instrumentation: Malnutrition Universal Screening Tool (MUST). NLM UID: 9301979.","page":"n/a-n/a","publisher":"Wiley-Blackwell","publisher-place":"Department of Anesthesiology and ICU, Faculty of Medicine, Aristotle University of Thessaloniki","title":"Body composition analysis for discrimination of prolonged hospital stay in colorectal cancer surgery patients.","type":"article-journal","volume":"26"},"uris":["http://www.mendeley.com/documents/?uuid=bfe70df8-2fb6-4892-9d8c-a4acc4b94327"]}],"mendeley":{"formattedCitation":"[32]","plainTextFormattedCitation":"[32]","previouslyFormattedCitation":"[33]"},"properties":{"noteIndex":0},"schema":"https://github.com/citation-style-language/schema/raw/master/csl-citation.json"}</w:instrText>
      </w:r>
      <w:r w:rsidR="003662F1" w:rsidRPr="00332C8B">
        <w:rPr>
          <w:rFonts w:asciiTheme="minorHAnsi" w:eastAsia="Calibri" w:hAnsiTheme="minorHAnsi" w:cstheme="minorHAnsi"/>
          <w:color w:val="000000" w:themeColor="text1"/>
          <w:sz w:val="22"/>
          <w:szCs w:val="22"/>
          <w:vertAlign w:val="superscript"/>
        </w:rPr>
        <w:fldChar w:fldCharType="separate"/>
      </w:r>
      <w:r w:rsidR="00F66CFF" w:rsidRPr="00332C8B">
        <w:rPr>
          <w:rFonts w:asciiTheme="minorHAnsi" w:eastAsia="Calibri" w:hAnsiTheme="minorHAnsi" w:cstheme="minorHAnsi"/>
          <w:noProof/>
          <w:color w:val="000000" w:themeColor="text1"/>
          <w:sz w:val="22"/>
          <w:szCs w:val="22"/>
        </w:rPr>
        <w:t>[32]</w:t>
      </w:r>
      <w:r w:rsidR="003662F1" w:rsidRPr="00332C8B">
        <w:rPr>
          <w:rFonts w:asciiTheme="minorHAnsi" w:eastAsia="Calibri" w:hAnsiTheme="minorHAnsi" w:cstheme="minorHAnsi"/>
          <w:color w:val="000000" w:themeColor="text1"/>
          <w:sz w:val="22"/>
          <w:szCs w:val="22"/>
          <w:vertAlign w:val="superscript"/>
        </w:rPr>
        <w:fldChar w:fldCharType="end"/>
      </w:r>
      <w:r w:rsidRPr="00332C8B">
        <w:rPr>
          <w:rFonts w:asciiTheme="minorHAnsi" w:eastAsia="Calibri" w:hAnsiTheme="minorHAnsi" w:cstheme="minorHAnsi"/>
          <w:color w:val="000000" w:themeColor="text1"/>
          <w:sz w:val="22"/>
          <w:szCs w:val="22"/>
        </w:rPr>
        <w:t>, upper gastro-intestinal</w:t>
      </w:r>
      <w:r w:rsidR="003662F1" w:rsidRPr="00332C8B">
        <w:rPr>
          <w:rFonts w:asciiTheme="minorHAnsi" w:eastAsia="Calibri" w:hAnsiTheme="minorHAnsi" w:cstheme="minorHAnsi"/>
          <w:color w:val="000000" w:themeColor="text1"/>
          <w:sz w:val="22"/>
          <w:szCs w:val="22"/>
        </w:rPr>
        <w:fldChar w:fldCharType="begin" w:fldLock="1"/>
      </w:r>
      <w:r w:rsidR="00F66CFF" w:rsidRPr="00332C8B">
        <w:rPr>
          <w:rFonts w:asciiTheme="minorHAnsi" w:eastAsia="Calibri" w:hAnsiTheme="minorHAnsi" w:cstheme="minorHAnsi"/>
          <w:color w:val="000000" w:themeColor="text1"/>
          <w:sz w:val="22"/>
          <w:szCs w:val="22"/>
        </w:rPr>
        <w:instrText>ADDIN CSL_CITATION {"citationItems":[{"id":"ITEM-1","itemData":{"DOI":"10.21873/anticanres.13203","ISSN":"0250-7005","abstract":"Background: Sarcopenia is known to have an important influence on\npostoperative complications in several diseases, and on the prognosis of\npatients with cancer. However, whether sarcopenia is associated with\ncomplications and prognosis after gastrectomy in patients with gastric\ncancer remains controversial. This study evaluated the impact of the\npreoperative muscle mass on postoperative complications of gastric\ncancer surgery. Materials and Methods: The muscle mass of 153 patients\nwho underwent gastrectomy for gastric cancer from January 2014 to August\n2016 was assessed before surgery by a multifrequency bioelectrical\nimpedance analysis (In Body 3.0; Biospace, Tokyo, Japan) and was\nexpressed as the muscle mass index (MMI). Sarcopenia was defined as an\nMMI value of one standard deviation or more below the gender-specific\nmean MMI. Complications of Clavien-Dindo grade 2 or more were defined as\nsignificant postoperative complications. The impact of preoperative\nsarcopenia on postoperative infectious complications was analyzed by\nunivariate and multivariate analyses. Results: A total of 153 patients\nwere analyzed, sarcopenia was present in 24 out of 153 patients\n(15.7%). Thirty (19.6%) patients developed postoperative\ncomplications, 20 (13.1%) of which were infectious complications.\nSarcopenia was significantly associated with age, body mass index, serum\nalbumin, pulmonary disease in comorbidities, operative time, surgical\napproach, and postoperative complications. The univariate analyses\nrevealed that male sex, sarcopenia, total gastrectomy, laparotomy, and\nintraoperative blood loss were associated with postoperative infectious\ncomplications. In the multivariate analyses, sarcopenia and\nintraoperative blood loss &gt;= 400 ml were independently associated with\npostoperative infectious complications. Conclusion: Preoperative\nsarcopenia was found to be an independent risk factor for postoperative\ninfectious complications in gastric cancer patients.","author":[{"dropping-particle":"","family":"Tamura","given":"Tatsuro","non-dropping-particle":"","parse-names":false,"suffix":""},{"dropping-particle":"","family":"Sakurai","given":"Katsunobu","non-dropping-particle":"","parse-names":false,"suffix":""},{"dropping-particle":"","family":"Nambara","given":"Mikio","non-dropping-particle":"","parse-names":false,"suffix":""},{"dropping-particle":"","family":"Miki","given":"Yuichiro","non-dropping-particle":"","parse-names":false,"suffix":""},{"dropping-particle":"","family":"Toyokawa","given":"Takahiro","non-dropping-particle":"","parse-names":false,"suffix":""},{"dropping-particle":"","family":"Kubo","given":"Naoshi","non-dropping-particle":"","parse-names":false,"suffix":""},{"dropping-particle":"","family":"Tanaka","given":"Hiroaki","non-dropping-particle":"","parse-names":false,"suffix":""},{"dropping-particle":"","family":"Muguruma","given":"Kazuya","non-dropping-particle":"","parse-names":false,"suffix":""},{"dropping-particle":"","family":"Yashiro","given":"Masakazu","non-dropping-particle":"","parse-names":false,"suffix":""},{"dropping-particle":"","family":"Ohira","given":"Masaichi","non-dropping-particle":"","parse-names":false,"suffix":""}],"container-title":"ANTICANCER RESEARCH","id":"ITEM-1","issue":"2","issued":{"date-parts":[["2019","2"]]},"page":"987-992","title":"Adverse Effects of Preoperative Sarcopenia on Postoperative Complications of Patients With Gastric Cancer","type":"article-journal","volume":"39"},"uris":["http://www.mendeley.com/documents/?uuid=b0dc6cbe-eae3-4fb0-979a-e02b6496d53b"]}],"mendeley":{"formattedCitation":"[33]","plainTextFormattedCitation":"[33]","previouslyFormattedCitation":"[34]"},"properties":{"noteIndex":0},"schema":"https://github.com/citation-style-language/schema/raw/master/csl-citation.json"}</w:instrText>
      </w:r>
      <w:r w:rsidR="003662F1" w:rsidRPr="00332C8B">
        <w:rPr>
          <w:rFonts w:asciiTheme="minorHAnsi" w:eastAsia="Calibri" w:hAnsiTheme="minorHAnsi" w:cstheme="minorHAnsi"/>
          <w:color w:val="000000" w:themeColor="text1"/>
          <w:sz w:val="22"/>
          <w:szCs w:val="22"/>
        </w:rPr>
        <w:fldChar w:fldCharType="separate"/>
      </w:r>
      <w:r w:rsidR="00F66CFF" w:rsidRPr="00332C8B">
        <w:rPr>
          <w:rFonts w:asciiTheme="minorHAnsi" w:eastAsia="Calibri" w:hAnsiTheme="minorHAnsi" w:cstheme="minorHAnsi"/>
          <w:noProof/>
          <w:color w:val="000000" w:themeColor="text1"/>
          <w:sz w:val="22"/>
          <w:szCs w:val="22"/>
        </w:rPr>
        <w:t>[33]</w:t>
      </w:r>
      <w:r w:rsidR="003662F1" w:rsidRPr="00332C8B">
        <w:rPr>
          <w:rFonts w:asciiTheme="minorHAnsi" w:eastAsia="Calibri" w:hAnsiTheme="minorHAnsi" w:cstheme="minorHAnsi"/>
          <w:color w:val="000000" w:themeColor="text1"/>
          <w:sz w:val="22"/>
          <w:szCs w:val="22"/>
        </w:rPr>
        <w:fldChar w:fldCharType="end"/>
      </w:r>
      <w:r w:rsidRPr="00332C8B">
        <w:rPr>
          <w:rFonts w:asciiTheme="minorHAnsi" w:eastAsia="Calibri" w:hAnsiTheme="minorHAnsi" w:cstheme="minorHAnsi"/>
          <w:color w:val="000000" w:themeColor="text1"/>
          <w:sz w:val="22"/>
          <w:szCs w:val="22"/>
          <w:vertAlign w:val="superscript"/>
        </w:rPr>
        <w:t>,</w:t>
      </w:r>
      <w:r w:rsidR="003662F1" w:rsidRPr="00332C8B">
        <w:rPr>
          <w:rFonts w:asciiTheme="minorHAnsi" w:eastAsia="Calibri" w:hAnsiTheme="minorHAnsi" w:cstheme="minorHAnsi"/>
          <w:color w:val="000000" w:themeColor="text1"/>
          <w:sz w:val="22"/>
          <w:szCs w:val="22"/>
          <w:vertAlign w:val="superscript"/>
        </w:rPr>
        <w:fldChar w:fldCharType="begin" w:fldLock="1"/>
      </w:r>
      <w:r w:rsidR="00F66CFF" w:rsidRPr="00332C8B">
        <w:rPr>
          <w:rFonts w:asciiTheme="minorHAnsi" w:eastAsia="Calibri" w:hAnsiTheme="minorHAnsi" w:cstheme="minorHAnsi"/>
          <w:color w:val="000000" w:themeColor="text1"/>
          <w:sz w:val="22"/>
          <w:szCs w:val="22"/>
          <w:vertAlign w:val="superscript"/>
        </w:rPr>
        <w:instrText>ADDIN CSL_CITATION {"citationItems":[{"id":"ITEM-1","itemData":{"DOI":"https://dx.doi.org/10.1007/s10120-015-0554-4","ISSN":"1436-3305","abstract":"BACKGROUND: Sarcopenia is a decrease in both muscle mass and strength. It remains unclear whether sarcopenia is associated with morbidity after gastric cancer surgery. This study evaluated the impact of sarcopenia on the morbidity of gastric cancer surgery., METHODS: A total of 293 gastric cancer patients who underwent curative surgery between May 2011 and June 2013 were retrospectively examined. Patients with performance status 3 or 4 were excluded. Preoperative lean body mass (LBM) was evaluated by bioelectrical impedance analysis and expressed as LBM index. Preoperative muscle function was measured by hand grip strength (HGS). The cutoff values were the gender-specific lowest 20 %. Grade 2 or higher morbidities, as retrospectively evaluated by the Clavien-Dindo classification, were obtained from the patient record. The risk factors for morbidity were examined by univariate and multivariate analyses., RESULTS: Morbidity was observed in 39 patients (13.3 %), including 7 with pancreatic leakage, 12 with anastomotic leakage, and 4 with intraabdominal abscesses, but no mortality was observed. The univariate analysis showed that male gender, total gastrectomy, splenectomy, and a low HGS were significant risk factors for morbidity. A low LBM was not a significant risk factor. A low HGS, male gender, and total gastrectomy remained significant in the multivariate analysis., CONCLUSIONS: A low hand grip strength was a significant risk factor for morbidity after gastric cancer surgery. The importance of the hand grip strength as a risk factor should be examined in future prospective studies.","author":[{"dropping-particle":"","family":"Sato","given":"Tsutomu","non-dropping-particle":"","parse-names":false,"suffix":""},{"dropping-particle":"","family":"Aoyama","given":"Toru","non-dropping-particle":"","parse-names":false,"suffix":""},{"dropping-particle":"","family":"Hayashi","given":"Tsutomu","non-dropping-particle":"","parse-names":false,"suffix":""},{"dropping-particle":"","family":"Segami","given":"Kenki","non-dropping-particle":"","parse-names":false,"suffix":""},{"dropping-particle":"","family":"Kawabe","given":"Taiichi","non-dropping-particle":"","parse-names":false,"suffix":""},{"dropping-particle":"","family":"Fujikawa","given":"Hirohito","non-dropping-particle":"","parse-names":false,"suffix":""},{"dropping-particle":"","family":"Yamada","given":"Takanobu","non-dropping-particle":"","parse-names":false,"suffix":""},{"dropping-particle":"","family":"Yamamoto","given":"Naoto","non-dropping-particle":"","parse-names":false,"suffix":""},{"dropping-particle":"","family":"Oshima","given":"Takashi","non-dropping-particle":"","parse-names":false,"suffix":""},{"dropping-particle":"","family":"Rino","given":"Yasushi","non-dropping-particle":"","parse-names":false,"suffix":""},{"dropping-particle":"","family":"Masuda","given":"Munetaka","non-dropping-particle":"","parse-names":false,"suffix":""},{"dropping-particle":"","family":"Ogata","given":"Takashi","non-dropping-particle":"","parse-names":false,"suffix":""},{"dropping-particle":"","family":"Cho","given":"Haruhiko","non-dropping-particle":"","parse-names":false,"suffix":""},{"dropping-particle":"","family":"Yoshikawa","given":"Takaki","non-dropping-particle":"","parse-names":false,"suffix":""}],"container-title":"Gastric cancer : official journal of the International Gastric Cancer Association and the Japanese Gastric Cancer Association","id":"ITEM-1","issue":"3","issued":{"date-parts":[["2016"]]},"page":"1008-1015","publisher-place":"Japan","title":"Impact of preoperative hand grip strength on morbidity following gastric cancer surgery.","type":"article-journal","volume":"19"},"uris":["http://www.mendeley.com/documents/?uuid=a7720521-e083-46bf-88a1-5a1149d42876"]}],"mendeley":{"formattedCitation":"[34]","plainTextFormattedCitation":"[34]","previouslyFormattedCitation":"[35]"},"properties":{"noteIndex":0},"schema":"https://github.com/citation-style-language/schema/raw/master/csl-citation.json"}</w:instrText>
      </w:r>
      <w:r w:rsidR="003662F1" w:rsidRPr="00332C8B">
        <w:rPr>
          <w:rFonts w:asciiTheme="minorHAnsi" w:eastAsia="Calibri" w:hAnsiTheme="minorHAnsi" w:cstheme="minorHAnsi"/>
          <w:color w:val="000000" w:themeColor="text1"/>
          <w:sz w:val="22"/>
          <w:szCs w:val="22"/>
          <w:vertAlign w:val="superscript"/>
        </w:rPr>
        <w:fldChar w:fldCharType="separate"/>
      </w:r>
      <w:r w:rsidR="00F66CFF" w:rsidRPr="00332C8B">
        <w:rPr>
          <w:rFonts w:asciiTheme="minorHAnsi" w:eastAsia="Calibri" w:hAnsiTheme="minorHAnsi" w:cstheme="minorHAnsi"/>
          <w:noProof/>
          <w:color w:val="000000" w:themeColor="text1"/>
          <w:sz w:val="22"/>
          <w:szCs w:val="22"/>
        </w:rPr>
        <w:t>[34]</w:t>
      </w:r>
      <w:r w:rsidR="003662F1" w:rsidRPr="00332C8B">
        <w:rPr>
          <w:rFonts w:asciiTheme="minorHAnsi" w:eastAsia="Calibri" w:hAnsiTheme="minorHAnsi" w:cstheme="minorHAnsi"/>
          <w:color w:val="000000" w:themeColor="text1"/>
          <w:sz w:val="22"/>
          <w:szCs w:val="22"/>
          <w:vertAlign w:val="superscript"/>
        </w:rPr>
        <w:fldChar w:fldCharType="end"/>
      </w:r>
      <w:r w:rsidRPr="00332C8B">
        <w:rPr>
          <w:rFonts w:asciiTheme="minorHAnsi" w:eastAsia="Calibri" w:hAnsiTheme="minorHAnsi" w:cstheme="minorHAnsi"/>
          <w:color w:val="000000" w:themeColor="text1"/>
          <w:sz w:val="22"/>
          <w:szCs w:val="22"/>
          <w:vertAlign w:val="superscript"/>
        </w:rPr>
        <w:t>,</w:t>
      </w:r>
      <w:r w:rsidR="003662F1" w:rsidRPr="00332C8B">
        <w:rPr>
          <w:rFonts w:asciiTheme="minorHAnsi" w:eastAsia="Calibri" w:hAnsiTheme="minorHAnsi" w:cstheme="minorHAnsi"/>
          <w:color w:val="000000" w:themeColor="text1"/>
          <w:sz w:val="22"/>
          <w:szCs w:val="22"/>
          <w:vertAlign w:val="superscript"/>
        </w:rPr>
        <w:fldChar w:fldCharType="begin" w:fldLock="1"/>
      </w:r>
      <w:r w:rsidR="00F66CFF" w:rsidRPr="00332C8B">
        <w:rPr>
          <w:rFonts w:asciiTheme="minorHAnsi" w:eastAsia="Calibri" w:hAnsiTheme="minorHAnsi" w:cstheme="minorHAnsi"/>
          <w:color w:val="000000" w:themeColor="text1"/>
          <w:sz w:val="22"/>
          <w:szCs w:val="22"/>
          <w:vertAlign w:val="superscript"/>
        </w:rPr>
        <w:instrText>ADDIN CSL_CITATION {"citationItems":[{"id":"ITEM-1","itemData":{"DOI":"https://dx.doi.org/10.1245/s10434-015-4559-3","ISSN":"1534-4681","abstract":"BACKGROUND: Depletion of skeletal muscle mass (sarcopenia) indicates a poor prognosis for patients with several kinds of cancer, but it remains unclear whether esophageal squamous cell carcinoma (ESCC) is among these cancers. The aim of this study was to clarify the relationship between sarcopenia and postoperative outcome in patients with ESCC treated by esophagectomy., METHODS: Skeletal muscle mass was assessed in 138 patients who underwent esophagectomy from August 2009 to May 2014. A multifrequency bioelectrical impedance analysis (InBody 720; Biospace, Tokyo, Japan) was used to assess skeletal muscle mass just before surgery. Postoperative complications were graded according to the Clavien-Dindo classification, and univariate and multivariate analyses were performed for postoperative respiratory complications., RESULTS: Sarcopenia was determined in 61 patients (44.2 %). Preoperative pulmonary function was significantly lower and the rate of respiratory complications significantly higher in the sarcopenia group than in the non-sarcopenia group (p &lt; 0.01). For other complications, the differences were not significant. Multivariate analysis showed that sarcopenia [odds ratio (OR) 5.82; p = 0.0001] and longer operation time (OR 3.09; p = 0.04) were risk factors for the occurrence of respiratory complications., CONCLUSIONS: Sarcopenia may be a predictor of pulmonary complications after esophagectomy. Further analysis is needed to clarify whether nutritional intervention improves skeletal muscle mass and thus contributes to reducing postoperative respiratory complications in sarcopenic patients.","author":[{"dropping-particle":"","family":"Ida","given":"Satoshi","non-dropping-particle":"","parse-names":false,"suffix":""},{"dropping-particle":"","family":"Watanabe","given":"Masayuki","non-dropping-particle":"","parse-names":false,"suffix":""},{"dropping-particle":"","family":"Yoshida","given":"Naoya","non-dropping-particle":"","parse-names":false,"suffix":""},{"dropping-particle":"","family":"Baba","given":"Yoshifumi","non-dropping-particle":"","parse-names":false,"suffix":""},{"dropping-particle":"","family":"Umezaki","given":"Naoki","non-dropping-particle":"","parse-names":false,"suffix":""},{"dropping-particle":"","family":"Harada","given":"Kazuto","non-dropping-particle":"","parse-names":false,"suffix":""},{"dropping-particle":"","family":"Karashima","given":"Ryuichi","non-dropping-particle":"","parse-names":false,"suffix":""},{"dropping-particle":"","family":"Imamura","given":"Yu","non-dropping-particle":"","parse-names":false,"suffix":""},{"dropping-particle":"","family":"Iwagami","given":"Shiro","non-dropping-particle":"","parse-names":false,"suffix":""},{"dropping-particle":"","family":"Baba","given":"Hideo","non-dropping-particle":"","parse-names":false,"suffix":""}],"container-title":"Annals of surgical oncology","id":"ITEM-1","issue":"13","issued":{"date-parts":[["2015"]]},"page":"4432-4437","publisher-place":"United States","title":"Sarcopenia is a Predictor of Postoperative Respiratory Complications in Patients with Esophageal Cancer.","type":"article-journal","volume":"22"},"uris":["http://www.mendeley.com/documents/?uuid=1f3d9e6a-f97f-44b3-9e01-564de97b3919"]}],"mendeley":{"formattedCitation":"[35]","plainTextFormattedCitation":"[35]","previouslyFormattedCitation":"[36]"},"properties":{"noteIndex":0},"schema":"https://github.com/citation-style-language/schema/raw/master/csl-citation.json"}</w:instrText>
      </w:r>
      <w:r w:rsidR="003662F1" w:rsidRPr="00332C8B">
        <w:rPr>
          <w:rFonts w:asciiTheme="minorHAnsi" w:eastAsia="Calibri" w:hAnsiTheme="minorHAnsi" w:cstheme="minorHAnsi"/>
          <w:color w:val="000000" w:themeColor="text1"/>
          <w:sz w:val="22"/>
          <w:szCs w:val="22"/>
          <w:vertAlign w:val="superscript"/>
        </w:rPr>
        <w:fldChar w:fldCharType="separate"/>
      </w:r>
      <w:r w:rsidR="00F66CFF" w:rsidRPr="00332C8B">
        <w:rPr>
          <w:rFonts w:asciiTheme="minorHAnsi" w:eastAsia="Calibri" w:hAnsiTheme="minorHAnsi" w:cstheme="minorHAnsi"/>
          <w:noProof/>
          <w:color w:val="000000" w:themeColor="text1"/>
          <w:sz w:val="22"/>
          <w:szCs w:val="22"/>
        </w:rPr>
        <w:t>[35]</w:t>
      </w:r>
      <w:r w:rsidR="003662F1" w:rsidRPr="00332C8B">
        <w:rPr>
          <w:rFonts w:asciiTheme="minorHAnsi" w:eastAsia="Calibri" w:hAnsiTheme="minorHAnsi" w:cstheme="minorHAnsi"/>
          <w:color w:val="000000" w:themeColor="text1"/>
          <w:sz w:val="22"/>
          <w:szCs w:val="22"/>
          <w:vertAlign w:val="superscript"/>
        </w:rPr>
        <w:fldChar w:fldCharType="end"/>
      </w:r>
      <w:r w:rsidRPr="00332C8B">
        <w:rPr>
          <w:rFonts w:asciiTheme="minorHAnsi" w:eastAsia="Calibri" w:hAnsiTheme="minorHAnsi" w:cstheme="minorHAnsi"/>
          <w:color w:val="000000" w:themeColor="text1"/>
          <w:sz w:val="22"/>
          <w:szCs w:val="22"/>
        </w:rPr>
        <w:t>, gynaecological</w:t>
      </w:r>
      <w:r w:rsidR="003662F1" w:rsidRPr="00332C8B">
        <w:rPr>
          <w:rFonts w:asciiTheme="minorHAnsi" w:eastAsia="Calibri" w:hAnsiTheme="minorHAnsi" w:cstheme="minorHAnsi"/>
          <w:color w:val="000000" w:themeColor="text1"/>
          <w:sz w:val="22"/>
          <w:szCs w:val="22"/>
        </w:rPr>
        <w:fldChar w:fldCharType="begin" w:fldLock="1"/>
      </w:r>
      <w:r w:rsidR="00F66CFF" w:rsidRPr="00332C8B">
        <w:rPr>
          <w:rFonts w:asciiTheme="minorHAnsi" w:eastAsia="Calibri" w:hAnsiTheme="minorHAnsi" w:cstheme="minorHAnsi"/>
          <w:color w:val="000000" w:themeColor="text1"/>
          <w:sz w:val="22"/>
          <w:szCs w:val="22"/>
        </w:rPr>
        <w:instrText>ADDIN CSL_CITATION {"citationItems":[{"id":"ITEM-1","itemData":{"DOI":"http://dx.doi.org/10.1016/j.ygyno.2018.03.044","ISSN":"0090-8258","abstract":"Objective: To investigate whether patients' altered body composition (measured with bioimpedentiometry), due to a poor nutritional status, predicts the incidence of no residual disease at primary debulking and the risk of complications in patients with newly-diagnosed advanced epithelial ovarian cancer (EOC). Methods: Data regarding patients with newly-diagnosed stage IIIC-IV EOC undergoing elective nutritional assessment between December 2016 and March 2017, were prospectively collected. Bioelectrical impedance analysis (BIA) with measurement of BIA-derived phase angle [PhA] at 50 KHz, was accomplished. Only patients with disease which was considered resectable at staging laparoscopy were submitted to open primary cytoreduction. The rate of residual tumor (RT) = 0 and the incidence of complications were assessed. Results: Seventy patients were included. Fifty-two of them were submitted to primary cytoreduction (74.3%) and 48 (68.6% of the entire cohort, 92.3% of those who underwent primary debulking) had RT = 0 at the end of surgery. Median values of PhA were significantly lower in patients with RT &gt; vs. =0 (4.7, range: 3.6-5.8 vs. 5.3, range: 4.2-6.8; p = 0.001). Twenty-four (out of the 52 operated) patients (46.2%) developed at least one complication. PhA was significantly lower in patients with vs. without complications (5, range: 3.6-6.4, vs. 5.4, range 4.5-6.8; p = 0.03). After multivariable analysis, Fagotti score and PhA were the only independent predictors of residual disease (OR:13.56; 95%CI:1.33-137.6; p = 0.027 and 9.24; 1.16-73.43; p = 0.036, respectively) and of any complication (OR:4.9;95%CI:1.17-20.6; p = 0.03 and 7.27; 1.45-36.4; p = 0.01, respectively). Conclusions: Derangement of body composition (likely due to disease-related malnutrition) expressed as a low phase angle, is an independent predictor of residual disease and peri-operative complications at the time of upfront cytoreduction for advanced EOC.Copyright © 2018 Elsevier Inc.","author":[{"dropping-particle":"","family":"S.","given":"Uccella","non-dropping-particle":"","parse-names":false,"suffix":""},{"dropping-particle":"","family":"M.C.","given":"Mele","non-dropping-particle":"","parse-names":false,"suffix":""},{"dropping-particle":"","family":"L.","given":"Quagliozzi","non-dropping-particle":"","parse-names":false,"suffix":""},{"dropping-particle":"","family":"E.","given":"Rinninella","non-dropping-particle":"","parse-names":false,"suffix":""},{"dropping-particle":"","family":"C.","given":"Nero","non-dropping-particle":"","parse-names":false,"suffix":""},{"dropping-particle":"","family":"S.","given":"Cappuccio","non-dropping-particle":"","parse-names":false,"suffix":""},{"dropping-particle":"","family":"M.","given":"Cintoni","non-dropping-particle":"","parse-names":false,"suffix":""},{"dropping-particle":"","family":"A.","given":"Gasbarrini","non-dropping-particle":"","parse-names":false,"suffix":""},{"dropping-particle":"","family":"G.","given":"Scambia","non-dropping-particle":"","parse-names":false,"suffix":""},{"dropping-particle":"","family":"Fagotti A.  AO  - Uccella  Marco; ORCID: http://orcid.org/0000-0002-9610-0748 AO  - Nero, Camilla; ORCID: http://orcid.org/0000-0002-4442-4046","given":"Stefano; ORCID: http://orcid.org/0000-0002-4456-0822 A O - Cintoni","non-dropping-particle":"","parse-names":false,"suffix":""}],"container-title":"Gynecologic Oncology","id":"ITEM-1","issue":"2","issued":{"date-parts":[["2018"]]},"page":"263-269","publisher":"Academic Press Inc. (E-mail: apjcs@harcourt.com)","publisher-place":"S. Uccella, Department of Woman and Child Health, Fondazione Policlinico Agostino Gemelli, Rome, Italy. E-mail: stefucc@libero.it","title":"Assessment of preoperative nutritional status using BIA-derived phase angle (PhA) in patients with advanced ovarian cancer: Correlation with the extent of cytoreduction and complications","type":"article-journal","volume":"149"},"uris":["http://www.mendeley.com/documents/?uuid=740bc537-bfc4-43b1-b3c3-2ed9e7133df6"]}],"mendeley":{"formattedCitation":"[36]","plainTextFormattedCitation":"[36]","previouslyFormattedCitation":"[37]"},"properties":{"noteIndex":0},"schema":"https://github.com/citation-style-language/schema/raw/master/csl-citation.json"}</w:instrText>
      </w:r>
      <w:r w:rsidR="003662F1" w:rsidRPr="00332C8B">
        <w:rPr>
          <w:rFonts w:asciiTheme="minorHAnsi" w:eastAsia="Calibri" w:hAnsiTheme="minorHAnsi" w:cstheme="minorHAnsi"/>
          <w:color w:val="000000" w:themeColor="text1"/>
          <w:sz w:val="22"/>
          <w:szCs w:val="22"/>
        </w:rPr>
        <w:fldChar w:fldCharType="separate"/>
      </w:r>
      <w:r w:rsidR="00F66CFF" w:rsidRPr="00332C8B">
        <w:rPr>
          <w:rFonts w:asciiTheme="minorHAnsi" w:eastAsia="Calibri" w:hAnsiTheme="minorHAnsi" w:cstheme="minorHAnsi"/>
          <w:noProof/>
          <w:color w:val="000000" w:themeColor="text1"/>
          <w:sz w:val="22"/>
          <w:szCs w:val="22"/>
        </w:rPr>
        <w:t>[36]</w:t>
      </w:r>
      <w:r w:rsidR="003662F1" w:rsidRPr="00332C8B">
        <w:rPr>
          <w:rFonts w:asciiTheme="minorHAnsi" w:eastAsia="Calibri" w:hAnsiTheme="minorHAnsi" w:cstheme="minorHAnsi"/>
          <w:color w:val="000000" w:themeColor="text1"/>
          <w:sz w:val="22"/>
          <w:szCs w:val="22"/>
        </w:rPr>
        <w:fldChar w:fldCharType="end"/>
      </w:r>
      <w:r w:rsidRPr="00332C8B">
        <w:rPr>
          <w:rFonts w:asciiTheme="minorHAnsi" w:eastAsia="Calibri" w:hAnsiTheme="minorHAnsi" w:cstheme="minorHAnsi"/>
          <w:color w:val="000000" w:themeColor="text1"/>
          <w:sz w:val="22"/>
          <w:szCs w:val="22"/>
          <w:vertAlign w:val="superscript"/>
        </w:rPr>
        <w:t>,</w:t>
      </w:r>
      <w:r w:rsidR="003662F1" w:rsidRPr="00332C8B">
        <w:rPr>
          <w:rFonts w:asciiTheme="minorHAnsi" w:eastAsia="Calibri" w:hAnsiTheme="minorHAnsi" w:cstheme="minorHAnsi"/>
          <w:color w:val="000000" w:themeColor="text1"/>
          <w:sz w:val="22"/>
          <w:szCs w:val="22"/>
          <w:vertAlign w:val="superscript"/>
        </w:rPr>
        <w:fldChar w:fldCharType="begin" w:fldLock="1"/>
      </w:r>
      <w:r w:rsidR="00F66CFF" w:rsidRPr="00332C8B">
        <w:rPr>
          <w:rFonts w:asciiTheme="minorHAnsi" w:eastAsia="Calibri" w:hAnsiTheme="minorHAnsi" w:cstheme="minorHAnsi"/>
          <w:color w:val="000000" w:themeColor="text1"/>
          <w:sz w:val="22"/>
          <w:szCs w:val="22"/>
          <w:vertAlign w:val="superscript"/>
        </w:rPr>
        <w:instrText>ADDIN CSL_CITATION {"citationItems":[{"id":"ITEM-1","itemData":{"DOI":"http://dx.doi.org/10.1038/ejcn.2017.115","ISSN":"0954-3007","abstract":"BACKGROUND/OBJECTIVES: Bioelectrical impedance vector analysis (BIVA) has been considered a promising technique in monitoring the nutritional and hydration status of patients with different types of diseases. The aim of this study was to assess the nutritional status provided by direct parameters of bioelectrical impedance analysis (BIA), BIVA and phase angle (PA), in patients with cervical and endometrial cancer undergoing surgical treatment, associating to other parameters of nutritional status and surgical outcomes. SUBJECTS/METHODS: In a prospective cohort, 208 women eligible to surgical treatment, admitted from January to December 2015, were enrolled. Patients were assessed according to the body mass index (BMI), Patient Generated Subjective Global Assessment (PG-SGA) and BIA. The PA was categorized as below and above percentiles 25 and 50 of studied population. RESULTS: According to BMI and PG-SGA, most of them were classified as obese (69%) and well nourished (84%), respectively. PA was significantly lower in patients with endometrial cancer, PG-SGA B or C, and in those who remained longer in hospital. PA below 25th percentile was also associated with surgical complications. Comparison of BIVA detachment of our population with a reference population showed significant impedance vector displacement, characterized by decreased reactance value and increased resistance value in our group of patients. CONCLUSIONS: PA was associated with other parameters of nutritional status and surgical outcomes. BIVA was associated with nutritional status and length of hospital, but did not present significant result for surgical complications.Copyright © 2017 Macmillan Publishers Limited, part of Springer Nature.","author":[{"dropping-particle":"","family":"I.C.R.","given":"Cardoso","non-dropping-particle":"","parse-names":false,"suffix":""},{"dropping-particle":"","family":"M.A.","given":"Aredes","non-dropping-particle":"","parse-names":false,"suffix":""}],"container-title":"European Journal of Clinical Nutrition","id":"ITEM-1","issue":"11","issued":{"date-parts":[["2017"]]},"page":"1278-1284","publisher":"Nature Publishing Group (Houndmills, Basingstoke, Hampshire RG21 6XS, United Kingdom)","publisher-place":"G.V. Chaves, Department of Nutrition and Dietetics, Brazilian National Cancer Institute-INCA, Rua Equador, 831, Santo Cristo, Rio de Janeiro 22010-050, Brazil. E-mail: gabrielavc@gmail.com","title":"Applicability of the direct parameters of bioelectrical impedance in assessing nutritional status and surgical complications of women with gynecological cancer","type":"article-journal","volume":"71"},"uris":["http://www.mendeley.com/documents/?uuid=3c95cc9d-eb4a-4292-a54f-67ca3bafefc1"]}],"mendeley":{"formattedCitation":"[37]","plainTextFormattedCitation":"[37]","previouslyFormattedCitation":"[38]"},"properties":{"noteIndex":0},"schema":"https://github.com/citation-style-language/schema/raw/master/csl-citation.json"}</w:instrText>
      </w:r>
      <w:r w:rsidR="003662F1" w:rsidRPr="00332C8B">
        <w:rPr>
          <w:rFonts w:asciiTheme="minorHAnsi" w:eastAsia="Calibri" w:hAnsiTheme="minorHAnsi" w:cstheme="minorHAnsi"/>
          <w:color w:val="000000" w:themeColor="text1"/>
          <w:sz w:val="22"/>
          <w:szCs w:val="22"/>
          <w:vertAlign w:val="superscript"/>
        </w:rPr>
        <w:fldChar w:fldCharType="separate"/>
      </w:r>
      <w:r w:rsidR="00F66CFF" w:rsidRPr="00332C8B">
        <w:rPr>
          <w:rFonts w:asciiTheme="minorHAnsi" w:eastAsia="Calibri" w:hAnsiTheme="minorHAnsi" w:cstheme="minorHAnsi"/>
          <w:noProof/>
          <w:color w:val="000000" w:themeColor="text1"/>
          <w:sz w:val="22"/>
          <w:szCs w:val="22"/>
        </w:rPr>
        <w:t>[37]</w:t>
      </w:r>
      <w:r w:rsidR="003662F1" w:rsidRPr="00332C8B">
        <w:rPr>
          <w:rFonts w:asciiTheme="minorHAnsi" w:eastAsia="Calibri" w:hAnsiTheme="minorHAnsi" w:cstheme="minorHAnsi"/>
          <w:color w:val="000000" w:themeColor="text1"/>
          <w:sz w:val="22"/>
          <w:szCs w:val="22"/>
          <w:vertAlign w:val="superscript"/>
        </w:rPr>
        <w:fldChar w:fldCharType="end"/>
      </w:r>
      <w:r w:rsidRPr="00332C8B">
        <w:rPr>
          <w:rFonts w:asciiTheme="minorHAnsi" w:eastAsia="Calibri" w:hAnsiTheme="minorHAnsi" w:cstheme="minorHAnsi"/>
          <w:color w:val="000000" w:themeColor="text1"/>
          <w:sz w:val="22"/>
          <w:szCs w:val="22"/>
          <w:vertAlign w:val="superscript"/>
        </w:rPr>
        <w:t>,</w:t>
      </w:r>
      <w:r w:rsidR="003662F1" w:rsidRPr="00332C8B">
        <w:rPr>
          <w:rFonts w:asciiTheme="minorHAnsi" w:eastAsia="Calibri" w:hAnsiTheme="minorHAnsi" w:cstheme="minorHAnsi"/>
          <w:color w:val="000000" w:themeColor="text1"/>
          <w:sz w:val="22"/>
          <w:szCs w:val="22"/>
          <w:vertAlign w:val="superscript"/>
        </w:rPr>
        <w:fldChar w:fldCharType="begin" w:fldLock="1"/>
      </w:r>
      <w:r w:rsidR="00F66CFF" w:rsidRPr="00332C8B">
        <w:rPr>
          <w:rFonts w:asciiTheme="minorHAnsi" w:eastAsia="Calibri" w:hAnsiTheme="minorHAnsi" w:cstheme="minorHAnsi"/>
          <w:color w:val="000000" w:themeColor="text1"/>
          <w:sz w:val="22"/>
          <w:szCs w:val="22"/>
          <w:vertAlign w:val="superscript"/>
        </w:rPr>
        <w:instrText>ADDIN CSL_CITATION {"citationItems":[{"id":"ITEM-1","itemData":{"DOI":"http://dx.doi.org/10.1111/jog.12554","ISSN":"1341-8076","abstract":"Abstract Aim This study used the measure of percentage of body fat (%BF) to define obesity and evaluated the effect of percentage of %BF on clinical, surgical and pathological features in women with endometrial cancer. Methods Between 2011 and 2013, bioelectrical impedance analysis and body size measurements of 94 patients whose endometrial biopsy revealed endometrial cancer were obtained. Patients were divided into two groups according to body mass index (BMI) (normal, &lt;30 kg/m2; elevated, &gt;=30 kg/m2), and also classified by %BF (normal, &lt;32%; elevated, &gt;=32%). Results The patients' mean age was 55.0 +/- 10.9 years. Mean %BF and BMI were 40.8% +/- 9.8% and 32.9 +/- 7.5, respectively. Eighty-three (88%) patients were obese according to %BF; 54 (57%) were obese according to BMI. Patients with elevated %BF were more likely to have less than 50% myometrial invasion (P = 0.004). Significantly more para-aortic lymph nodes were retrieved in patients with normal %BF or BMI (P &lt; 0.001, P &lt; 0.001). Patients with elevated %BF had longer operating times (P = 0.043) and were more likely to have stage I disease than patients with normal %BF (P &lt; 0.001). Conclusion Endometrial cancer patients with an elevated %BF are more likely to have stage I disease and less than 50% myometrial invasion than patients with normal %BF. Defining obesity by BF may provide better estimation of obesity prevalence in patients with endometrial cancer and further understanding the relationship between BF with endometrial cancer may give more information about the effects of obesity on endometrial cancer.Copyright © 2014 The Authors.","author":[{"dropping-particle":"","family":"O.","given":"Secilmis Kerimoglu","non-dropping-particle":"","parse-names":false,"suffix":""},{"dropping-particle":"","family":"A.","given":"Pekin","non-dropping-particle":"","parse-names":false,"suffix":""},{"dropping-particle":"","family":"S.A.","given":"Yilmaz","non-dropping-particle":"","parse-names":false,"suffix":""},{"dropping-particle":"","family":"G.","given":"Yavas","non-dropping-particle":"","parse-names":false,"suffix":""},{"dropping-particle":"","family":"F.","given":"Beyhekim","non-dropping-particle":"","parse-names":false,"suffix":""},{"dropping-particle":"","family":"A.A.","given":"Demirtas","non-dropping-particle":"","parse-names":false,"suffix":""},{"dropping-particle":"","family":"N.U.","given":"Dogan","non-dropping-particle":"","parse-names":false,"suffix":""},{"dropping-particle":"","family":"T.T.","given":"Ilhan","non-dropping-particle":"","parse-names":false,"suffix":""}],"container-title":"Journal of Obstetrics and Gynaecology Research","id":"ITEM-1","issue":"3","issued":{"date-parts":[["2015"]]},"page":"449-455","publisher":"Blackwell Publishing (E-mail: info@asia.blackpublishing.com.au)","publisher-place":"O. Secilmis Kerimoglu, Selcuk Universitesi Tip Fakultesi, Kadin Hastaliklari ve Dogum ABD, Kampus, Selcuklu 42000, Turkey","title":"Effect of the percentage of body fat on surgical, clinical and pathological outcomes in women with endometrial cancer","type":"article-journal","volume":"41"},"uris":["http://www.mendeley.com/documents/?uuid=fab9c483-886b-4d5f-9d60-16cb99d77d36"]}],"mendeley":{"formattedCitation":"[38]","plainTextFormattedCitation":"[38]","previouslyFormattedCitation":"[39]"},"properties":{"noteIndex":0},"schema":"https://github.com/citation-style-language/schema/raw/master/csl-citation.json"}</w:instrText>
      </w:r>
      <w:r w:rsidR="003662F1" w:rsidRPr="00332C8B">
        <w:rPr>
          <w:rFonts w:asciiTheme="minorHAnsi" w:eastAsia="Calibri" w:hAnsiTheme="minorHAnsi" w:cstheme="minorHAnsi"/>
          <w:color w:val="000000" w:themeColor="text1"/>
          <w:sz w:val="22"/>
          <w:szCs w:val="22"/>
          <w:vertAlign w:val="superscript"/>
        </w:rPr>
        <w:fldChar w:fldCharType="separate"/>
      </w:r>
      <w:r w:rsidR="00F66CFF" w:rsidRPr="00332C8B">
        <w:rPr>
          <w:rFonts w:asciiTheme="minorHAnsi" w:eastAsia="Calibri" w:hAnsiTheme="minorHAnsi" w:cstheme="minorHAnsi"/>
          <w:noProof/>
          <w:color w:val="000000" w:themeColor="text1"/>
          <w:sz w:val="22"/>
          <w:szCs w:val="22"/>
        </w:rPr>
        <w:t>[38]</w:t>
      </w:r>
      <w:r w:rsidR="003662F1" w:rsidRPr="00332C8B">
        <w:rPr>
          <w:rFonts w:asciiTheme="minorHAnsi" w:eastAsia="Calibri" w:hAnsiTheme="minorHAnsi" w:cstheme="minorHAnsi"/>
          <w:color w:val="000000" w:themeColor="text1"/>
          <w:sz w:val="22"/>
          <w:szCs w:val="22"/>
          <w:vertAlign w:val="superscript"/>
        </w:rPr>
        <w:fldChar w:fldCharType="end"/>
      </w:r>
      <w:r w:rsidRPr="00332C8B">
        <w:rPr>
          <w:rFonts w:asciiTheme="minorHAnsi" w:eastAsia="Calibri" w:hAnsiTheme="minorHAnsi" w:cstheme="minorHAnsi"/>
          <w:color w:val="000000" w:themeColor="text1"/>
          <w:sz w:val="22"/>
          <w:szCs w:val="22"/>
        </w:rPr>
        <w:t xml:space="preserve"> and mixed</w:t>
      </w:r>
      <w:r w:rsidR="003662F1" w:rsidRPr="00332C8B">
        <w:rPr>
          <w:rFonts w:asciiTheme="minorHAnsi" w:eastAsia="Calibri" w:hAnsiTheme="minorHAnsi" w:cstheme="minorHAnsi"/>
          <w:color w:val="000000" w:themeColor="text1"/>
          <w:sz w:val="22"/>
          <w:szCs w:val="22"/>
        </w:rPr>
        <w:fldChar w:fldCharType="begin" w:fldLock="1"/>
      </w:r>
      <w:r w:rsidR="00F66CFF" w:rsidRPr="00332C8B">
        <w:rPr>
          <w:rFonts w:asciiTheme="minorHAnsi" w:eastAsia="Calibri" w:hAnsiTheme="minorHAnsi" w:cstheme="minorHAnsi"/>
          <w:color w:val="000000" w:themeColor="text1"/>
          <w:sz w:val="22"/>
          <w:szCs w:val="22"/>
        </w:rPr>
        <w:instrText>ADDIN CSL_CITATION {"citationItems":[{"id":"ITEM-1","itemData":{"DOI":"https://dx.doi.org/10.1002/ncp.10110","ISSN":"1941-2452","abstract":"BACKGROUND: Different nutrition assessment tools in surgical cancer patients are used in clinical practice, which results in different prevalence rates of malnutrition. This may impact the interpretation of the association between nutrition status and clinical outcomes. Reduced standardized phase angle (SPA) values are associated with adverse outcomes in patients with cancer. Thus, it is important to assess the association of SPA with nutrition status and relate it to postoperative clinical outcomes., METHODS: This prospective observational study included 121 surgical cancer patients. Bioelectrical impedance analysis, subjective global assessment (SGA), anthropometric measurements, and assessment of muscle strength were used to provide nutrition diagnosis 1 day before surgery. The patients were followed for infectious and noninfectious postoperative complications from the first day after the operation until discharge or death., RESULTS: The prevalence of malnutrition was higher according to SGA (63.6%). Patients with an SPA &lt; -1.65 had a greater chance of being diagnosed as malnourished according to the SGA (3.66 [1.35-9.90]), midarm circumference (OR 4.24; CI95%; 1.72-10.43), midarm muscle area (OR 4.38; CI95%; 1.68-11.42), and low handgrip strength (3.84 [1.31-11.25]). Patients with an SPA &lt; -1.65 presented with more infectious complications (OR 4.19; CI95%; 1.52-11.53), but there was no association between SPA and other outcomes or death. SPA was the only significant predictor of infectious complications (AUC, 0.61; 95% CI, 0.51-0.71)., CONCLUSION: SPA was associated with different nutrition status parameters, and it was able to predict postoperative infectious complications.Copyright © 2018 American Society for Parenteral and Enteral Nutrition.","author":[{"dropping-particle":"","family":"Pena","given":"Natalia F","non-dropping-particle":"","parse-names":false,"suffix":""},{"dropping-particle":"","family":"Mauricio","given":"Silvia F","non-dropping-particle":"","parse-names":false,"suffix":""},{"dropping-particle":"","family":"Rodrigues","given":"Ana M S","non-dropping-particle":"","parse-names":false,"suffix":""},{"dropping-particle":"","family":"Carmo","given":"Ariene S","non-dropping-particle":"","parse-names":false,"suffix":""},{"dropping-particle":"","family":"Coury","given":"Nayara C","non-dropping-particle":"","parse-names":false,"suffix":""},{"dropping-particle":"","family":"Correia","given":"Maria I T D","non-dropping-particle":"","parse-names":false,"suffix":""},{"dropping-particle":"V","family":"Generoso","given":"Simone","non-dropping-particle":"","parse-names":false,"suffix":""}],"container-title":"Nutrition in clinical practice : official publication of the American Society for Parenteral and Enteral Nutrition","id":"ITEM-1","issued":{"date-parts":[["2018"]]},"publisher-place":"United States","title":"Association Between Standardized Phase Angle, Nutrition Status, and Clinical Outcomes in Surgical Cancer Patients.","type":"article-journal"},"uris":["http://www.mendeley.com/documents/?uuid=18b543ef-05e9-4a02-ba63-c32674dafbbc"]}],"mendeley":{"formattedCitation":"[39]","plainTextFormattedCitation":"[39]","previouslyFormattedCitation":"[40]"},"properties":{"noteIndex":0},"schema":"https://github.com/citation-style-language/schema/raw/master/csl-citation.json"}</w:instrText>
      </w:r>
      <w:r w:rsidR="003662F1" w:rsidRPr="00332C8B">
        <w:rPr>
          <w:rFonts w:asciiTheme="minorHAnsi" w:eastAsia="Calibri" w:hAnsiTheme="minorHAnsi" w:cstheme="minorHAnsi"/>
          <w:color w:val="000000" w:themeColor="text1"/>
          <w:sz w:val="22"/>
          <w:szCs w:val="22"/>
        </w:rPr>
        <w:fldChar w:fldCharType="separate"/>
      </w:r>
      <w:r w:rsidR="00F66CFF" w:rsidRPr="00332C8B">
        <w:rPr>
          <w:rFonts w:asciiTheme="minorHAnsi" w:eastAsia="Calibri" w:hAnsiTheme="minorHAnsi" w:cstheme="minorHAnsi"/>
          <w:noProof/>
          <w:color w:val="000000" w:themeColor="text1"/>
          <w:sz w:val="22"/>
          <w:szCs w:val="22"/>
        </w:rPr>
        <w:t>[39]</w:t>
      </w:r>
      <w:r w:rsidR="003662F1" w:rsidRPr="00332C8B">
        <w:rPr>
          <w:rFonts w:asciiTheme="minorHAnsi" w:eastAsia="Calibri" w:hAnsiTheme="minorHAnsi" w:cstheme="minorHAnsi"/>
          <w:color w:val="000000" w:themeColor="text1"/>
          <w:sz w:val="22"/>
          <w:szCs w:val="22"/>
        </w:rPr>
        <w:fldChar w:fldCharType="end"/>
      </w:r>
      <w:r w:rsidRPr="00332C8B">
        <w:rPr>
          <w:rFonts w:asciiTheme="minorHAnsi" w:eastAsia="Calibri" w:hAnsiTheme="minorHAnsi" w:cstheme="minorHAnsi"/>
          <w:color w:val="000000" w:themeColor="text1"/>
          <w:sz w:val="22"/>
          <w:szCs w:val="22"/>
          <w:vertAlign w:val="superscript"/>
        </w:rPr>
        <w:t>,</w:t>
      </w:r>
      <w:r w:rsidR="003662F1" w:rsidRPr="00332C8B">
        <w:rPr>
          <w:rFonts w:asciiTheme="minorHAnsi" w:eastAsia="Calibri" w:hAnsiTheme="minorHAnsi" w:cstheme="minorHAnsi"/>
          <w:color w:val="000000" w:themeColor="text1"/>
          <w:sz w:val="22"/>
          <w:szCs w:val="22"/>
          <w:vertAlign w:val="superscript"/>
        </w:rPr>
        <w:fldChar w:fldCharType="begin" w:fldLock="1"/>
      </w:r>
      <w:r w:rsidR="00F66CFF" w:rsidRPr="00332C8B">
        <w:rPr>
          <w:rFonts w:asciiTheme="minorHAnsi" w:eastAsia="Calibri" w:hAnsiTheme="minorHAnsi" w:cstheme="minorHAnsi"/>
          <w:color w:val="000000" w:themeColor="text1"/>
          <w:sz w:val="22"/>
          <w:szCs w:val="22"/>
          <w:vertAlign w:val="superscript"/>
        </w:rPr>
        <w:instrText>ADDIN CSL_CITATION {"citationItems":[{"id":"ITEM-1","itemData":{"DOI":"10.1007/s00520-017-3661-4","ISSN":"0941-4355","abstract":"Purpose: We evaluated phase angle, sarcopenia, and handgrip strength as prognostic factors of postoperative morbimortality in patients with cancer.Methodology: We conducted a prospective study with 60 oncology patients admitted for elective surgery between November 2015 and May 2016. We calculated the standardized phase angle (SPA) and the skeletal mass index of the subjects based on their bioelectrical impedance tests. Handgrip strength (HGS) was measured using a hydraulic dynamometer. Diagnosis of sarcopenia followed the criteria of the European Working Group on Sarcopenia in Older People. The nutritional status of each subject was evaluated through the Patient-Generated Subjective Global Assessment. Evaluation of postoperative complications followed the Clavien-Dindo classification. We also evaluated the duration of hospital stay. Outcomes were postoperative complications and duration of hospital stay.Results: The prevalence of malnutrition was 28.3%, and the prevalence of sarcopenia was 18.6%. The SPA was significantly lower among those who had severe postoperative complications or long hospital stays, while HGS and sarcopenia showed no relationship with these outcomes. Malnutrition was also related to postoperative outcomes.Conclusion: SPA can be considered a prognostic factor in postoperative morbimortality for patients with cancer.","author":[{"dropping-particle":"","family":"Härter","given":"Jéssica","non-dropping-particle":"","parse-names":false,"suffix":""},{"dropping-particle":"","family":"Orlandi","given":"Silvana","non-dropping-particle":"","parse-names":false,"suffix":""},{"dropping-particle":"","family":"Gonzalez","given":"Maria","non-dropping-particle":"","parse-names":false,"suffix":""},{"dropping-particle":"","family":"Härter","given":"Jéssica","non-dropping-particle":"","parse-names":false,"suffix":""},{"dropping-particle":"","family":"Orlandi","given":"Silvana Paiva","non-dropping-particle":"","parse-names":false,"suffix":""},{"dropping-particle":"","family":"Gonzalez","given":"Maria Cristina","non-dropping-particle":"","parse-names":false,"suffix":""}],"container-title":"Supportive Care in Cancer","id":"ITEM-1","issue":"8","issued":{"date-parts":[["2017","8"]]},"note":"Accession Number: 123716957. Language: English. Entry Date: 20180318. Revision Date: 20180517. Publication Type: journal article. Journal Subset: Biomedical; Continental Europe; Double Blind Peer Reviewed; Editorial Board Reviewed; Europe; Expert Peer Reviewed; Peer Reviewed. NLM UID: 9302957.","page":"2525-2530","publisher":"Springer Science &amp; Business Media B.V.","publisher-place":"Post-graduate Program, Nutrition and Food , Federal University of Pelotas , Rua Gomes Carneiro, 01 Pelotas 96010-610 Brazil","title":"Nutritional and functional factors as prognostic of surgical cancer patients.","type":"article-journal","volume":"25"},"uris":["http://www.mendeley.com/documents/?uuid=c4a486af-4def-4eb8-81fd-1ff9f790eb45"]}],"mendeley":{"formattedCitation":"[40]","plainTextFormattedCitation":"[40]","previouslyFormattedCitation":"[41]"},"properties":{"noteIndex":0},"schema":"https://github.com/citation-style-language/schema/raw/master/csl-citation.json"}</w:instrText>
      </w:r>
      <w:r w:rsidR="003662F1" w:rsidRPr="00332C8B">
        <w:rPr>
          <w:rFonts w:asciiTheme="minorHAnsi" w:eastAsia="Calibri" w:hAnsiTheme="minorHAnsi" w:cstheme="minorHAnsi"/>
          <w:color w:val="000000" w:themeColor="text1"/>
          <w:sz w:val="22"/>
          <w:szCs w:val="22"/>
          <w:vertAlign w:val="superscript"/>
        </w:rPr>
        <w:fldChar w:fldCharType="separate"/>
      </w:r>
      <w:r w:rsidR="00F66CFF" w:rsidRPr="00332C8B">
        <w:rPr>
          <w:rFonts w:asciiTheme="minorHAnsi" w:eastAsia="Calibri" w:hAnsiTheme="minorHAnsi" w:cstheme="minorHAnsi"/>
          <w:noProof/>
          <w:color w:val="000000" w:themeColor="text1"/>
          <w:sz w:val="22"/>
          <w:szCs w:val="22"/>
        </w:rPr>
        <w:t>[40]</w:t>
      </w:r>
      <w:r w:rsidR="003662F1" w:rsidRPr="00332C8B">
        <w:rPr>
          <w:rFonts w:asciiTheme="minorHAnsi" w:eastAsia="Calibri" w:hAnsiTheme="minorHAnsi" w:cstheme="minorHAnsi"/>
          <w:color w:val="000000" w:themeColor="text1"/>
          <w:sz w:val="22"/>
          <w:szCs w:val="22"/>
          <w:vertAlign w:val="superscript"/>
        </w:rPr>
        <w:fldChar w:fldCharType="end"/>
      </w:r>
      <w:r w:rsidRPr="00332C8B">
        <w:rPr>
          <w:rFonts w:asciiTheme="minorHAnsi" w:eastAsia="Calibri" w:hAnsiTheme="minorHAnsi" w:cstheme="minorHAnsi"/>
          <w:color w:val="000000" w:themeColor="text1"/>
          <w:sz w:val="22"/>
          <w:szCs w:val="22"/>
          <w:vertAlign w:val="superscript"/>
        </w:rPr>
        <w:t>,</w:t>
      </w:r>
      <w:r w:rsidR="003662F1" w:rsidRPr="00332C8B">
        <w:rPr>
          <w:rFonts w:asciiTheme="minorHAnsi" w:eastAsia="Calibri" w:hAnsiTheme="minorHAnsi" w:cstheme="minorHAnsi"/>
          <w:color w:val="000000" w:themeColor="text1"/>
          <w:sz w:val="22"/>
          <w:szCs w:val="22"/>
          <w:vertAlign w:val="superscript"/>
        </w:rPr>
        <w:fldChar w:fldCharType="begin" w:fldLock="1"/>
      </w:r>
      <w:r w:rsidR="00F66CFF" w:rsidRPr="00332C8B">
        <w:rPr>
          <w:rFonts w:asciiTheme="minorHAnsi" w:eastAsia="Calibri" w:hAnsiTheme="minorHAnsi" w:cstheme="minorHAnsi"/>
          <w:color w:val="000000" w:themeColor="text1"/>
          <w:sz w:val="22"/>
          <w:szCs w:val="22"/>
          <w:vertAlign w:val="superscript"/>
        </w:rPr>
        <w:instrText>ADDIN CSL_CITATION {"citationItems":[{"id":"ITEM-1","itemData":{"ISSN":"0748-7983","abstract":"The correlation between body composition measured by bioelectrical impedance (BIA) and postoperative complications in 115 patients with gastrointestinal cancer was analysed. A significant increase in severe complications was found independent of lean body mass (LBM). In patients with LBM below the normal range the complication rate proved to be 31% (17/55), whereas patients with normal LBM had a complication rate of 10% (6/60). Other decisive factors, such as sex, age, tumor stage, operative procedure and body height were equally distributed in both groups. The practicability and efficiency of BIA became obvious in this study.","author":[{"dropping-particle":"","family":"T.","given":"Fritz","non-dropping-particle":"","parse-names":false,"suffix":""},{"dropping-particle":"","family":"I.","given":"Hollwarth","non-dropping-particle":"","parse-names":false,"suffix":""},{"dropping-particle":"","family":"M.","given":"Romaschow","non-dropping-particle":"","parse-names":false,"suffix":""}],"container-title":"European Journal of Surgical Oncology","id":"ITEM-1","issue":"4","issued":{"date-parts":[["1990"]]},"page":"326-331","publisher":"W.B. Saunders Ltd (32 Jamestown Road, London NW1 7BY, United Kingdom)","publisher-place":"P. Schlag, Department of Surgery, University of Heidelberg, Im Neuenheimer Feld 110, D-6900 Heidelberg, Germany","title":"The predictive role of bioelectrical impedance analysis (BIA) in postoperative complications of cancer patients","type":"article-journal","volume":"16"},"uris":["http://www.mendeley.com/documents/?uuid=e0444ba5-8fa0-4676-9f2f-5be6618fbef1"]}],"mendeley":{"formattedCitation":"[41]","plainTextFormattedCitation":"[41]","previouslyFormattedCitation":"[42]"},"properties":{"noteIndex":0},"schema":"https://github.com/citation-style-language/schema/raw/master/csl-citation.json"}</w:instrText>
      </w:r>
      <w:r w:rsidR="003662F1" w:rsidRPr="00332C8B">
        <w:rPr>
          <w:rFonts w:asciiTheme="minorHAnsi" w:eastAsia="Calibri" w:hAnsiTheme="minorHAnsi" w:cstheme="minorHAnsi"/>
          <w:color w:val="000000" w:themeColor="text1"/>
          <w:sz w:val="22"/>
          <w:szCs w:val="22"/>
          <w:vertAlign w:val="superscript"/>
        </w:rPr>
        <w:fldChar w:fldCharType="separate"/>
      </w:r>
      <w:r w:rsidR="00F66CFF" w:rsidRPr="00332C8B">
        <w:rPr>
          <w:rFonts w:asciiTheme="minorHAnsi" w:eastAsia="Calibri" w:hAnsiTheme="minorHAnsi" w:cstheme="minorHAnsi"/>
          <w:noProof/>
          <w:color w:val="000000" w:themeColor="text1"/>
          <w:sz w:val="22"/>
          <w:szCs w:val="22"/>
        </w:rPr>
        <w:t>[41]</w:t>
      </w:r>
      <w:r w:rsidR="003662F1" w:rsidRPr="00332C8B">
        <w:rPr>
          <w:rFonts w:asciiTheme="minorHAnsi" w:eastAsia="Calibri" w:hAnsiTheme="minorHAnsi" w:cstheme="minorHAnsi"/>
          <w:color w:val="000000" w:themeColor="text1"/>
          <w:sz w:val="22"/>
          <w:szCs w:val="22"/>
          <w:vertAlign w:val="superscript"/>
        </w:rPr>
        <w:fldChar w:fldCharType="end"/>
      </w:r>
      <w:r w:rsidRPr="00332C8B">
        <w:rPr>
          <w:rFonts w:asciiTheme="minorHAnsi" w:eastAsia="Calibri" w:hAnsiTheme="minorHAnsi" w:cstheme="minorHAnsi"/>
          <w:color w:val="000000" w:themeColor="text1"/>
          <w:sz w:val="22"/>
          <w:szCs w:val="22"/>
        </w:rPr>
        <w:t xml:space="preserve"> cancers. All studies were single centre observational </w:t>
      </w:r>
      <w:r w:rsidR="00A00A65" w:rsidRPr="00332C8B">
        <w:rPr>
          <w:rFonts w:asciiTheme="minorHAnsi" w:eastAsia="Calibri" w:hAnsiTheme="minorHAnsi" w:cstheme="minorHAnsi"/>
          <w:color w:val="000000" w:themeColor="text1"/>
          <w:sz w:val="22"/>
          <w:szCs w:val="22"/>
        </w:rPr>
        <w:t xml:space="preserve">cohort </w:t>
      </w:r>
      <w:r w:rsidRPr="00332C8B">
        <w:rPr>
          <w:rFonts w:asciiTheme="minorHAnsi" w:eastAsia="Calibri" w:hAnsiTheme="minorHAnsi" w:cstheme="minorHAnsi"/>
          <w:color w:val="000000" w:themeColor="text1"/>
          <w:sz w:val="22"/>
          <w:szCs w:val="22"/>
        </w:rPr>
        <w:t>studies</w:t>
      </w:r>
      <w:r w:rsidR="00A7167E" w:rsidRPr="00332C8B">
        <w:rPr>
          <w:rFonts w:asciiTheme="minorHAnsi" w:eastAsia="Calibri" w:hAnsiTheme="minorHAnsi" w:cstheme="minorHAnsi"/>
          <w:color w:val="000000" w:themeColor="text1"/>
          <w:sz w:val="22"/>
          <w:szCs w:val="22"/>
        </w:rPr>
        <w:t>,</w:t>
      </w:r>
      <w:r w:rsidRPr="00332C8B">
        <w:rPr>
          <w:rFonts w:asciiTheme="minorHAnsi" w:eastAsia="Calibri" w:hAnsiTheme="minorHAnsi" w:cstheme="minorHAnsi"/>
          <w:color w:val="000000" w:themeColor="text1"/>
          <w:sz w:val="22"/>
          <w:szCs w:val="22"/>
        </w:rPr>
        <w:t xml:space="preserve"> ten were prospective and two were retrospective.</w:t>
      </w:r>
    </w:p>
    <w:p w14:paraId="4A68F4E4" w14:textId="4DB094B0" w:rsidR="00D03030" w:rsidRPr="00332C8B" w:rsidRDefault="007C754E" w:rsidP="00F0414E">
      <w:pPr>
        <w:spacing w:after="160" w:line="480" w:lineRule="auto"/>
        <w:rPr>
          <w:rFonts w:asciiTheme="minorHAnsi" w:eastAsia="Calibri" w:hAnsiTheme="minorHAnsi" w:cstheme="minorHAnsi"/>
          <w:color w:val="000000" w:themeColor="text1"/>
          <w:sz w:val="22"/>
          <w:szCs w:val="22"/>
        </w:rPr>
      </w:pPr>
      <w:r w:rsidRPr="00332C8B">
        <w:rPr>
          <w:rFonts w:asciiTheme="minorHAnsi" w:eastAsia="Calibri" w:hAnsiTheme="minorHAnsi" w:cstheme="minorHAnsi"/>
          <w:color w:val="000000" w:themeColor="text1"/>
          <w:sz w:val="22"/>
          <w:szCs w:val="22"/>
        </w:rPr>
        <w:t>B</w:t>
      </w:r>
      <w:r w:rsidR="007925C8">
        <w:rPr>
          <w:rFonts w:asciiTheme="minorHAnsi" w:eastAsia="Calibri" w:hAnsiTheme="minorHAnsi" w:cstheme="minorHAnsi"/>
          <w:color w:val="000000" w:themeColor="text1"/>
          <w:sz w:val="22"/>
          <w:szCs w:val="22"/>
        </w:rPr>
        <w:t>ioelectrical impedance analysis</w:t>
      </w:r>
      <w:r w:rsidR="00D03030" w:rsidRPr="00332C8B">
        <w:rPr>
          <w:rFonts w:asciiTheme="minorHAnsi" w:eastAsia="Calibri" w:hAnsiTheme="minorHAnsi" w:cstheme="minorHAnsi"/>
          <w:color w:val="000000" w:themeColor="text1"/>
          <w:sz w:val="22"/>
          <w:szCs w:val="22"/>
        </w:rPr>
        <w:t xml:space="preserve"> was performed pre-operatively in all included studies. Reported parameters included the phase angle, standardi</w:t>
      </w:r>
      <w:r w:rsidR="004150ED">
        <w:rPr>
          <w:rFonts w:asciiTheme="minorHAnsi" w:eastAsia="Calibri" w:hAnsiTheme="minorHAnsi" w:cstheme="minorHAnsi"/>
          <w:color w:val="000000" w:themeColor="text1"/>
          <w:sz w:val="22"/>
          <w:szCs w:val="22"/>
        </w:rPr>
        <w:t>z</w:t>
      </w:r>
      <w:r w:rsidR="00D03030" w:rsidRPr="00332C8B">
        <w:rPr>
          <w:rFonts w:asciiTheme="minorHAnsi" w:eastAsia="Calibri" w:hAnsiTheme="minorHAnsi" w:cstheme="minorHAnsi"/>
          <w:color w:val="000000" w:themeColor="text1"/>
          <w:sz w:val="22"/>
          <w:szCs w:val="22"/>
        </w:rPr>
        <w:t>ed phase angle a</w:t>
      </w:r>
      <w:r w:rsidR="00260BB7" w:rsidRPr="00332C8B">
        <w:rPr>
          <w:rFonts w:asciiTheme="minorHAnsi" w:eastAsia="Calibri" w:hAnsiTheme="minorHAnsi" w:cstheme="minorHAnsi"/>
          <w:color w:val="000000" w:themeColor="text1"/>
          <w:sz w:val="22"/>
          <w:szCs w:val="22"/>
        </w:rPr>
        <w:t>nd derived measures of body composition</w:t>
      </w:r>
      <w:r w:rsidR="00D03030" w:rsidRPr="00332C8B">
        <w:rPr>
          <w:rFonts w:asciiTheme="minorHAnsi" w:eastAsia="Calibri" w:hAnsiTheme="minorHAnsi" w:cstheme="minorHAnsi"/>
          <w:color w:val="000000" w:themeColor="text1"/>
          <w:sz w:val="22"/>
          <w:szCs w:val="22"/>
        </w:rPr>
        <w:t xml:space="preserve">. </w:t>
      </w:r>
      <w:r w:rsidR="008A03FD" w:rsidRPr="00332C8B">
        <w:rPr>
          <w:rFonts w:asciiTheme="minorHAnsi" w:eastAsia="Calibri" w:hAnsiTheme="minorHAnsi" w:cstheme="minorHAnsi"/>
          <w:color w:val="000000" w:themeColor="text1"/>
          <w:sz w:val="22"/>
          <w:szCs w:val="22"/>
        </w:rPr>
        <w:t>These</w:t>
      </w:r>
      <w:r w:rsidR="00D03030" w:rsidRPr="00332C8B">
        <w:rPr>
          <w:rFonts w:asciiTheme="minorHAnsi" w:eastAsia="Calibri" w:hAnsiTheme="minorHAnsi" w:cstheme="minorHAnsi"/>
          <w:color w:val="000000" w:themeColor="text1"/>
          <w:sz w:val="22"/>
          <w:szCs w:val="22"/>
        </w:rPr>
        <w:t xml:space="preserve"> included fat-free mass, fat-free mass index, </w:t>
      </w:r>
      <w:r w:rsidR="007A72B1" w:rsidRPr="00332C8B">
        <w:rPr>
          <w:rFonts w:asciiTheme="minorHAnsi" w:eastAsia="Calibri" w:hAnsiTheme="minorHAnsi" w:cstheme="minorHAnsi"/>
          <w:color w:val="000000" w:themeColor="text1"/>
          <w:sz w:val="22"/>
          <w:szCs w:val="22"/>
        </w:rPr>
        <w:t>le</w:t>
      </w:r>
      <w:r w:rsidR="00D03030" w:rsidRPr="00332C8B">
        <w:rPr>
          <w:rFonts w:asciiTheme="minorHAnsi" w:eastAsia="Calibri" w:hAnsiTheme="minorHAnsi" w:cstheme="minorHAnsi"/>
          <w:color w:val="000000" w:themeColor="text1"/>
          <w:sz w:val="22"/>
          <w:szCs w:val="22"/>
        </w:rPr>
        <w:t>an body mass, lean body mass index, muscle mass index, skeletal muscle mass</w:t>
      </w:r>
      <w:r w:rsidR="00564F23" w:rsidRPr="00332C8B">
        <w:rPr>
          <w:rFonts w:asciiTheme="minorHAnsi" w:eastAsia="Calibri" w:hAnsiTheme="minorHAnsi" w:cstheme="minorHAnsi"/>
          <w:color w:val="000000" w:themeColor="text1"/>
          <w:sz w:val="22"/>
          <w:szCs w:val="22"/>
        </w:rPr>
        <w:t xml:space="preserve"> and</w:t>
      </w:r>
      <w:r w:rsidR="00D03030" w:rsidRPr="00332C8B">
        <w:rPr>
          <w:rFonts w:asciiTheme="minorHAnsi" w:eastAsia="Calibri" w:hAnsiTheme="minorHAnsi" w:cstheme="minorHAnsi"/>
          <w:color w:val="000000" w:themeColor="text1"/>
          <w:sz w:val="22"/>
          <w:szCs w:val="22"/>
        </w:rPr>
        <w:t xml:space="preserve"> skeletal muscle mass index</w:t>
      </w:r>
      <w:r w:rsidR="00564F23" w:rsidRPr="00332C8B">
        <w:rPr>
          <w:rFonts w:asciiTheme="minorHAnsi" w:eastAsia="Calibri" w:hAnsiTheme="minorHAnsi" w:cstheme="minorHAnsi"/>
          <w:color w:val="000000" w:themeColor="text1"/>
          <w:sz w:val="22"/>
          <w:szCs w:val="22"/>
        </w:rPr>
        <w:t>. One study reported</w:t>
      </w:r>
      <w:r w:rsidR="00D03030" w:rsidRPr="00332C8B">
        <w:rPr>
          <w:rFonts w:asciiTheme="minorHAnsi" w:eastAsia="Calibri" w:hAnsiTheme="minorHAnsi" w:cstheme="minorHAnsi"/>
          <w:color w:val="000000" w:themeColor="text1"/>
          <w:sz w:val="22"/>
          <w:szCs w:val="22"/>
        </w:rPr>
        <w:t xml:space="preserve"> percentage body fat</w:t>
      </w:r>
      <w:r w:rsidR="00564F23" w:rsidRPr="00332C8B">
        <w:rPr>
          <w:rFonts w:asciiTheme="minorHAnsi" w:eastAsia="Calibri" w:hAnsiTheme="minorHAnsi" w:cstheme="minorHAnsi"/>
          <w:color w:val="000000" w:themeColor="text1"/>
          <w:sz w:val="22"/>
          <w:szCs w:val="22"/>
        </w:rPr>
        <w:t xml:space="preserve"> only</w:t>
      </w:r>
      <w:r w:rsidR="007A72B1" w:rsidRPr="00332C8B">
        <w:rPr>
          <w:rFonts w:asciiTheme="minorHAnsi" w:eastAsia="Calibri" w:hAnsiTheme="minorHAnsi" w:cstheme="minorHAnsi"/>
          <w:color w:val="000000" w:themeColor="text1"/>
          <w:sz w:val="22"/>
          <w:szCs w:val="22"/>
        </w:rPr>
        <w:t>.</w:t>
      </w:r>
    </w:p>
    <w:p w14:paraId="3787AB5E" w14:textId="0A44FA1C" w:rsidR="007A1844" w:rsidRPr="00332C8B" w:rsidRDefault="00D03030" w:rsidP="00F0414E">
      <w:pPr>
        <w:spacing w:after="160" w:line="480" w:lineRule="auto"/>
        <w:rPr>
          <w:rFonts w:asciiTheme="minorHAnsi" w:eastAsia="Calibri" w:hAnsiTheme="minorHAnsi" w:cstheme="minorHAnsi"/>
          <w:color w:val="000000" w:themeColor="text1"/>
          <w:sz w:val="22"/>
          <w:szCs w:val="22"/>
        </w:rPr>
      </w:pPr>
      <w:r w:rsidRPr="00332C8B">
        <w:rPr>
          <w:rFonts w:asciiTheme="minorHAnsi" w:eastAsia="Calibri" w:hAnsiTheme="minorHAnsi" w:cstheme="minorHAnsi"/>
          <w:color w:val="000000" w:themeColor="text1"/>
          <w:sz w:val="22"/>
          <w:szCs w:val="22"/>
        </w:rPr>
        <w:t>Five studies</w:t>
      </w:r>
      <w:r w:rsidR="003662F1" w:rsidRPr="00332C8B">
        <w:rPr>
          <w:rFonts w:asciiTheme="minorHAnsi" w:eastAsia="Calibri" w:hAnsiTheme="minorHAnsi" w:cstheme="minorHAnsi"/>
          <w:color w:val="000000" w:themeColor="text1"/>
          <w:sz w:val="22"/>
          <w:szCs w:val="22"/>
        </w:rPr>
        <w:fldChar w:fldCharType="begin" w:fldLock="1"/>
      </w:r>
      <w:r w:rsidR="00F66CFF" w:rsidRPr="00332C8B">
        <w:rPr>
          <w:rFonts w:asciiTheme="minorHAnsi" w:eastAsia="Calibri" w:hAnsiTheme="minorHAnsi" w:cstheme="minorHAnsi"/>
          <w:color w:val="000000" w:themeColor="text1"/>
          <w:sz w:val="22"/>
          <w:szCs w:val="22"/>
        </w:rPr>
        <w:instrText>ADDIN CSL_CITATION {"citationItems":[{"id":"ITEM-1","itemData":{"DOI":"10.1016/j.clnu.2017.08.026","ISSN":"0261-5614","abstract":"Background &amp; aims: Malnutrition in patients with colorectal cancer contributes to increased postoperative complications. The aim of the study was to evaluate the prognostic value of several nutritional assessment parameters: body mass index versus percentage of weight loss grading system (BMI/%WL); Patient-Generated Subjective Global Assessment (PG-SGA); standardized phase angle (SPA) by BIA; muscle strength by handgrip strength; muscle mass by computerized tomography; and the combination of muscle mass and strength in patients undergoing resection surgery. Methods: Patients diagnosed with cancer of the colon or rectum, who were over 18 years old and were scheduled to undergo surgical treatment were invited to participate. Postoperative complications were assessed from the first day post-surgery until discharge. Complications classified as Grade II or above according to the Clavien-Dindo classification were considered. Chi-square test or Fisher's exact test, bivariate analysis, Poisson regression and receiver operator characteristic (ROC) curve were utilized and p &lt; 0.05 was considered significant. Results: 84 patients were evaluated, with 28 (33.3%) presenting with Grade II postoperative complications. SPA showed no association with postoperative complications (p = 0.199). In multivariate analysis, low skeletal muscle mass showed a relative risk (RR) of 1.80 (CI: 1.02-3.17), BMI/%WL equal or higher than grade 3 had a RR of 1.90 (95% CI: 1.22-3.39). PG-SGA classified as malnutrition showed a RR of 2.08 (95% CI: 1.06-4.06); and low muscle mass plus low muscle strength showed a RR 2.13 (95% CI: 1.23-3.69). Low strength alone was not associated with postoperative complications after controlling for confounding factors (p = 0.16; 95% CI: 0.83-2.77). Low muscle mass in combination with low strength showed the highest predictive power for postoperative complications (AUC: 0.68; CI: 0.56-0.80). Conclusions: BMI/%WL &gt; grade 3, PG-SGA defined malnutrition, low muscle mass and low muscle mass plus low strength were independent risk factors for complications controlling for confounding factors. However, low muscle mass in combination with low muscle strength were the strongest variables associated with complications. Clinical Trials identification number: NCT02901132 (www.clinicaltrials.gov).Copyright © 2017 Elsevier Ltd and European Society for Clinical Nutrition and Metabolism","author":[{"dropping-particle":"","family":"S.F.","given":"Mauricio","non-dropping-particle":"","parse-names":false,"suffix":""},{"dropping-particle":"","family":"J.","given":"Xiao","non-dropping-particle":"","parse-names":false,"suffix":""},{"dropping-particle":"","family":"C.M.","given":"Prado","non-dropping-particle":"","parse-names":false,"suffix":""},{"dropping-particle":"","family":"M.C.","given":"Gonzalez","non-dropping-particle":"","parse-names":false,"suffix":""},{"dropping-particle":"","family":"Maurício","given":"Sílvia Fernandes","non-dropping-particle":"","parse-names":false,"suffix":""},{"dropping-particle":"","family":"Xiao","given":"Jingjie","non-dropping-particle":"","parse-names":false,"suffix":""},{"dropping-particle":"","family":"Prado","given":"Carla M","non-dropping-particle":"","parse-names":false,"suffix":""},{"dropping-particle":"","family":"Gonzalez","given":"Maria Cristina","non-dropping-particle":"","parse-names":false,"suffix":""},{"dropping-particle":"","family":"Correia","given":"Maria Isabel Toulson Davisson","non-dropping-particle":"","parse-names":false,"suffix":""},{"dropping-particle":"","family":"Mauricio","given":"Silvia Fernandes","non-dropping-particle":"","parse-names":false,"suffix":""},{"dropping-particle":"","family":"Xiao","given":"Jingjie","non-dropping-particle":"","parse-names":false,"suffix":""},{"dropping-particle":"","family":"Prado","given":"Carla M","non-dropping-particle":"","parse-names":false,"suffix":""},{"dropping-particle":"","family":"Gonzalez","given":"Maria Cristina","non-dropping-particle":"","parse-names":false,"suffix":""},{"dropping-particle":"","family":"Toulson Davisson Correia","given":"Maria Isabel","non-dropping-particle":"","parse-names":false,"suffix":""}],"container-title":"Clinical Nutrition","id":"ITEM-1","issue":"5","issued":{"date-parts":[["2018","10"]]},"note":"From Duplicate 2 (Different nutritional assessment tools as predictors of postoperative complications in patients undergoing colorectal cancer resection. - Maurício, Sílvia Fernandes; Xiao, Jingjie; Prado, Carla M; Gonzalez, Maria Cristina; Correia, Maria Isabel Toulson Davisson)\n\nAccession Number: 131806549. Language: English. Entry Date: 20180924. Revision Date: 20180924. Publication Type: Article. Journal Subset: Allied Health; Biomedical; Continental Europe; Double Blind Peer Reviewed; Europe; Peer Reviewed. NLM UID: 8309603.","page":"1505-1511","publisher":"Elsevier B.V.","publisher-place":"Post-graduate Program on Surgery and Ophthalmology, Federal University of Minas Gerais, Belo Horizonte, Minas Gerais, Brazil","title":"Different nutritional assessment tools as predictors of postoperative complications in patients undergoing colorectal cancer resection","type":"article-journal","volume":"37"},"uris":["http://www.mendeley.com/documents/?uuid=204f43ab-b662-42ab-a81b-3ef41b0d9664"]}],"mendeley":{"formattedCitation":"[30]","plainTextFormattedCitation":"[30]","previouslyFormattedCitation":"[31]"},"properties":{"noteIndex":0},"schema":"https://github.com/citation-style-language/schema/raw/master/csl-citation.json"}</w:instrText>
      </w:r>
      <w:r w:rsidR="003662F1" w:rsidRPr="00332C8B">
        <w:rPr>
          <w:rFonts w:asciiTheme="minorHAnsi" w:eastAsia="Calibri" w:hAnsiTheme="minorHAnsi" w:cstheme="minorHAnsi"/>
          <w:color w:val="000000" w:themeColor="text1"/>
          <w:sz w:val="22"/>
          <w:szCs w:val="22"/>
        </w:rPr>
        <w:fldChar w:fldCharType="separate"/>
      </w:r>
      <w:r w:rsidR="00F66CFF" w:rsidRPr="00332C8B">
        <w:rPr>
          <w:rFonts w:asciiTheme="minorHAnsi" w:eastAsia="Calibri" w:hAnsiTheme="minorHAnsi" w:cstheme="minorHAnsi"/>
          <w:noProof/>
          <w:color w:val="000000" w:themeColor="text1"/>
          <w:sz w:val="22"/>
          <w:szCs w:val="22"/>
        </w:rPr>
        <w:t>[30]</w:t>
      </w:r>
      <w:r w:rsidR="003662F1" w:rsidRPr="00332C8B">
        <w:rPr>
          <w:rFonts w:asciiTheme="minorHAnsi" w:eastAsia="Calibri" w:hAnsiTheme="minorHAnsi" w:cstheme="minorHAnsi"/>
          <w:color w:val="000000" w:themeColor="text1"/>
          <w:sz w:val="22"/>
          <w:szCs w:val="22"/>
        </w:rPr>
        <w:fldChar w:fldCharType="end"/>
      </w:r>
      <w:r w:rsidRPr="00332C8B">
        <w:rPr>
          <w:rFonts w:asciiTheme="minorHAnsi" w:eastAsia="Calibri" w:hAnsiTheme="minorHAnsi" w:cstheme="minorHAnsi"/>
          <w:color w:val="000000" w:themeColor="text1"/>
          <w:sz w:val="22"/>
          <w:szCs w:val="22"/>
          <w:vertAlign w:val="superscript"/>
        </w:rPr>
        <w:t>,</w:t>
      </w:r>
      <w:r w:rsidR="003662F1" w:rsidRPr="00332C8B">
        <w:rPr>
          <w:rFonts w:asciiTheme="minorHAnsi" w:eastAsia="Calibri" w:hAnsiTheme="minorHAnsi" w:cstheme="minorHAnsi"/>
          <w:color w:val="000000" w:themeColor="text1"/>
          <w:sz w:val="22"/>
          <w:szCs w:val="22"/>
          <w:vertAlign w:val="superscript"/>
        </w:rPr>
        <w:fldChar w:fldCharType="begin" w:fldLock="1"/>
      </w:r>
      <w:r w:rsidR="00F66CFF" w:rsidRPr="00332C8B">
        <w:rPr>
          <w:rFonts w:asciiTheme="minorHAnsi" w:eastAsia="Calibri" w:hAnsiTheme="minorHAnsi" w:cstheme="minorHAnsi"/>
          <w:color w:val="000000" w:themeColor="text1"/>
          <w:sz w:val="22"/>
          <w:szCs w:val="22"/>
          <w:vertAlign w:val="superscript"/>
        </w:rPr>
        <w:instrText>ADDIN CSL_CITATION {"citationItems":[{"id":"ITEM-1","itemData":{"DOI":"http://dx.doi.org/10.1016/j.ygyno.2018.03.044","ISSN":"0090-8258","abstract":"Objective: To investigate whether patients' altered body composition (measured with bioimpedentiometry), due to a poor nutritional status, predicts the incidence of no residual disease at primary debulking and the risk of complications in patients with newly-diagnosed advanced epithelial ovarian cancer (EOC). Methods: Data regarding patients with newly-diagnosed stage IIIC-IV EOC undergoing elective nutritional assessment between December 2016 and March 2017, were prospectively collected. Bioelectrical impedance analysis (BIA) with measurement of BIA-derived phase angle [PhA] at 50 KHz, was accomplished. Only patients with disease which was considered resectable at staging laparoscopy were submitted to open primary cytoreduction. The rate of residual tumor (RT) = 0 and the incidence of complications were assessed. Results: Seventy patients were included. Fifty-two of them were submitted to primary cytoreduction (74.3%) and 48 (68.6% of the entire cohort, 92.3% of those who underwent primary debulking) had RT = 0 at the end of surgery. Median values of PhA were significantly lower in patients with RT &gt; vs. =0 (4.7, range: 3.6-5.8 vs. 5.3, range: 4.2-6.8; p = 0.001). Twenty-four (out of the 52 operated) patients (46.2%) developed at least one complication. PhA was significantly lower in patients with vs. without complications (5, range: 3.6-6.4, vs. 5.4, range 4.5-6.8; p = 0.03). After multivariable analysis, Fagotti score and PhA were the only independent predictors of residual disease (OR:13.56; 95%CI:1.33-137.6; p = 0.027 and 9.24; 1.16-73.43; p = 0.036, respectively) and of any complication (OR:4.9;95%CI:1.17-20.6; p = 0.03 and 7.27; 1.45-36.4; p = 0.01, respectively). Conclusions: Derangement of body composition (likely due to disease-related malnutrition) expressed as a low phase angle, is an independent predictor of residual disease and peri-operative complications at the time of upfront cytoreduction for advanced EOC.Copyright © 2018 Elsevier Inc.","author":[{"dropping-particle":"","family":"S.","given":"Uccella","non-dropping-particle":"","parse-names":false,"suffix":""},{"dropping-particle":"","family":"M.C.","given":"Mele","non-dropping-particle":"","parse-names":false,"suffix":""},{"dropping-particle":"","family":"L.","given":"Quagliozzi","non-dropping-particle":"","parse-names":false,"suffix":""},{"dropping-particle":"","family":"E.","given":"Rinninella","non-dropping-particle":"","parse-names":false,"suffix":""},{"dropping-particle":"","family":"C.","given":"Nero","non-dropping-particle":"","parse-names":false,"suffix":""},{"dropping-particle":"","family":"S.","given":"Cappuccio","non-dropping-particle":"","parse-names":false,"suffix":""},{"dropping-particle":"","family":"M.","given":"Cintoni","non-dropping-particle":"","parse-names":false,"suffix":""},{"dropping-particle":"","family":"A.","given":"Gasbarrini","non-dropping-particle":"","parse-names":false,"suffix":""},{"dropping-particle":"","family":"G.","given":"Scambia","non-dropping-particle":"","parse-names":false,"suffix":""},{"dropping-particle":"","family":"Fagotti A.  AO  - Uccella  Marco; ORCID: http://orcid.org/0000-0002-9610-0748 AO  - Nero, Camilla; ORCID: http://orcid.org/0000-0002-4442-4046","given":"Stefano; ORCID: http://orcid.org/0000-0002-4456-0822 A O - Cintoni","non-dropping-particle":"","parse-names":false,"suffix":""}],"container-title":"Gynecologic Oncology","id":"ITEM-1","issue":"2","issued":{"date-parts":[["2018"]]},"page":"263-269","publisher":"Academic Press Inc. (E-mail: apjcs@harcourt.com)","publisher-place":"S. Uccella, Department of Woman and Child Health, Fondazione Policlinico Agostino Gemelli, Rome, Italy. E-mail: stefucc@libero.it","title":"Assessment of preoperative nutritional status using BIA-derived phase angle (PhA) in patients with advanced ovarian cancer: Correlation with the extent of cytoreduction and complications","type":"article-journal","volume":"149"},"uris":["http://www.mendeley.com/documents/?uuid=740bc537-bfc4-43b1-b3c3-2ed9e7133df6"]}],"mendeley":{"formattedCitation":"[36]","plainTextFormattedCitation":"[36]","previouslyFormattedCitation":"[37]"},"properties":{"noteIndex":0},"schema":"https://github.com/citation-style-language/schema/raw/master/csl-citation.json"}</w:instrText>
      </w:r>
      <w:r w:rsidR="003662F1" w:rsidRPr="00332C8B">
        <w:rPr>
          <w:rFonts w:asciiTheme="minorHAnsi" w:eastAsia="Calibri" w:hAnsiTheme="minorHAnsi" w:cstheme="minorHAnsi"/>
          <w:color w:val="000000" w:themeColor="text1"/>
          <w:sz w:val="22"/>
          <w:szCs w:val="22"/>
          <w:vertAlign w:val="superscript"/>
        </w:rPr>
        <w:fldChar w:fldCharType="separate"/>
      </w:r>
      <w:r w:rsidR="00F66CFF" w:rsidRPr="00332C8B">
        <w:rPr>
          <w:rFonts w:asciiTheme="minorHAnsi" w:eastAsia="Calibri" w:hAnsiTheme="minorHAnsi" w:cstheme="minorHAnsi"/>
          <w:noProof/>
          <w:color w:val="000000" w:themeColor="text1"/>
          <w:sz w:val="22"/>
          <w:szCs w:val="22"/>
        </w:rPr>
        <w:t>[36]</w:t>
      </w:r>
      <w:r w:rsidR="003662F1" w:rsidRPr="00332C8B">
        <w:rPr>
          <w:rFonts w:asciiTheme="minorHAnsi" w:eastAsia="Calibri" w:hAnsiTheme="minorHAnsi" w:cstheme="minorHAnsi"/>
          <w:color w:val="000000" w:themeColor="text1"/>
          <w:sz w:val="22"/>
          <w:szCs w:val="22"/>
          <w:vertAlign w:val="superscript"/>
        </w:rPr>
        <w:fldChar w:fldCharType="end"/>
      </w:r>
      <w:r w:rsidRPr="00332C8B">
        <w:rPr>
          <w:rFonts w:asciiTheme="minorHAnsi" w:eastAsia="Calibri" w:hAnsiTheme="minorHAnsi" w:cstheme="minorHAnsi"/>
          <w:color w:val="000000" w:themeColor="text1"/>
          <w:sz w:val="22"/>
          <w:szCs w:val="22"/>
          <w:vertAlign w:val="superscript"/>
        </w:rPr>
        <w:t>,</w:t>
      </w:r>
      <w:r w:rsidR="003662F1" w:rsidRPr="00332C8B">
        <w:rPr>
          <w:rFonts w:asciiTheme="minorHAnsi" w:eastAsia="Calibri" w:hAnsiTheme="minorHAnsi" w:cstheme="minorHAnsi"/>
          <w:color w:val="000000" w:themeColor="text1"/>
          <w:sz w:val="22"/>
          <w:szCs w:val="22"/>
          <w:vertAlign w:val="superscript"/>
        </w:rPr>
        <w:fldChar w:fldCharType="begin" w:fldLock="1"/>
      </w:r>
      <w:r w:rsidR="00F66CFF" w:rsidRPr="00332C8B">
        <w:rPr>
          <w:rFonts w:asciiTheme="minorHAnsi" w:eastAsia="Calibri" w:hAnsiTheme="minorHAnsi" w:cstheme="minorHAnsi"/>
          <w:color w:val="000000" w:themeColor="text1"/>
          <w:sz w:val="22"/>
          <w:szCs w:val="22"/>
          <w:vertAlign w:val="superscript"/>
        </w:rPr>
        <w:instrText>ADDIN CSL_CITATION {"citationItems":[{"id":"ITEM-1","itemData":{"DOI":"http://dx.doi.org/10.1038/ejcn.2017.115","ISSN":"0954-3007","abstract":"BACKGROUND/OBJECTIVES: Bioelectrical impedance vector analysis (BIVA) has been considered a promising technique in monitoring the nutritional and hydration status of patients with different types of diseases. The aim of this study was to assess the nutritional status provided by direct parameters of bioelectrical impedance analysis (BIA), BIVA and phase angle (PA), in patients with cervical and endometrial cancer undergoing surgical treatment, associating to other parameters of nutritional status and surgical outcomes. SUBJECTS/METHODS: In a prospective cohort, 208 women eligible to surgical treatment, admitted from January to December 2015, were enrolled. Patients were assessed according to the body mass index (BMI), Patient Generated Subjective Global Assessment (PG-SGA) and BIA. The PA was categorized as below and above percentiles 25 and 50 of studied population. RESULTS: According to BMI and PG-SGA, most of them were classified as obese (69%) and well nourished (84%), respectively. PA was significantly lower in patients with endometrial cancer, PG-SGA B or C, and in those who remained longer in hospital. PA below 25th percentile was also associated with surgical complications. Comparison of BIVA detachment of our population with a reference population showed significant impedance vector displacement, characterized by decreased reactance value and increased resistance value in our group of patients. CONCLUSIONS: PA was associated with other parameters of nutritional status and surgical outcomes. BIVA was associated with nutritional status and length of hospital, but did not present significant result for surgical complications.Copyright © 2017 Macmillan Publishers Limited, part of Springer Nature.","author":[{"dropping-particle":"","family":"I.C.R.","given":"Cardoso","non-dropping-particle":"","parse-names":false,"suffix":""},{"dropping-particle":"","family":"M.A.","given":"Aredes","non-dropping-particle":"","parse-names":false,"suffix":""}],"container-title":"European Journal of Clinical Nutrition","id":"ITEM-1","issue":"11","issued":{"date-parts":[["2017"]]},"page":"1278-1284","publisher":"Nature Publishing Group (Houndmills, Basingstoke, Hampshire RG21 6XS, United Kingdom)","publisher-place":"G.V. Chaves, Department of Nutrition and Dietetics, Brazilian National Cancer Institute-INCA, Rua Equador, 831, Santo Cristo, Rio de Janeiro 22010-050, Brazil. E-mail: gabrielavc@gmail.com","title":"Applicability of the direct parameters of bioelectrical impedance in assessing nutritional status and surgical complications of women with gynecological cancer","type":"article-journal","volume":"71"},"uris":["http://www.mendeley.com/documents/?uuid=3c95cc9d-eb4a-4292-a54f-67ca3bafefc1"]}],"mendeley":{"formattedCitation":"[37]","plainTextFormattedCitation":"[37]","previouslyFormattedCitation":"[38]"},"properties":{"noteIndex":0},"schema":"https://github.com/citation-style-language/schema/raw/master/csl-citation.json"}</w:instrText>
      </w:r>
      <w:r w:rsidR="003662F1" w:rsidRPr="00332C8B">
        <w:rPr>
          <w:rFonts w:asciiTheme="minorHAnsi" w:eastAsia="Calibri" w:hAnsiTheme="minorHAnsi" w:cstheme="minorHAnsi"/>
          <w:color w:val="000000" w:themeColor="text1"/>
          <w:sz w:val="22"/>
          <w:szCs w:val="22"/>
          <w:vertAlign w:val="superscript"/>
        </w:rPr>
        <w:fldChar w:fldCharType="separate"/>
      </w:r>
      <w:r w:rsidR="00F66CFF" w:rsidRPr="00332C8B">
        <w:rPr>
          <w:rFonts w:asciiTheme="minorHAnsi" w:eastAsia="Calibri" w:hAnsiTheme="minorHAnsi" w:cstheme="minorHAnsi"/>
          <w:noProof/>
          <w:color w:val="000000" w:themeColor="text1"/>
          <w:sz w:val="22"/>
          <w:szCs w:val="22"/>
        </w:rPr>
        <w:t>[37]</w:t>
      </w:r>
      <w:r w:rsidR="003662F1" w:rsidRPr="00332C8B">
        <w:rPr>
          <w:rFonts w:asciiTheme="minorHAnsi" w:eastAsia="Calibri" w:hAnsiTheme="minorHAnsi" w:cstheme="minorHAnsi"/>
          <w:color w:val="000000" w:themeColor="text1"/>
          <w:sz w:val="22"/>
          <w:szCs w:val="22"/>
          <w:vertAlign w:val="superscript"/>
        </w:rPr>
        <w:fldChar w:fldCharType="end"/>
      </w:r>
      <w:r w:rsidR="00FC4D05" w:rsidRPr="00332C8B">
        <w:rPr>
          <w:rFonts w:asciiTheme="minorHAnsi" w:eastAsia="Calibri" w:hAnsiTheme="minorHAnsi" w:cstheme="minorHAnsi"/>
          <w:color w:val="000000" w:themeColor="text1"/>
          <w:sz w:val="22"/>
          <w:szCs w:val="22"/>
          <w:vertAlign w:val="superscript"/>
        </w:rPr>
        <w:t>,</w:t>
      </w:r>
      <w:r w:rsidR="003662F1" w:rsidRPr="00332C8B">
        <w:rPr>
          <w:rFonts w:asciiTheme="minorHAnsi" w:eastAsia="Calibri" w:hAnsiTheme="minorHAnsi" w:cstheme="minorHAnsi"/>
          <w:color w:val="000000" w:themeColor="text1"/>
          <w:sz w:val="22"/>
          <w:szCs w:val="22"/>
          <w:vertAlign w:val="superscript"/>
        </w:rPr>
        <w:fldChar w:fldCharType="begin" w:fldLock="1"/>
      </w:r>
      <w:r w:rsidR="00F66CFF" w:rsidRPr="00332C8B">
        <w:rPr>
          <w:rFonts w:asciiTheme="minorHAnsi" w:eastAsia="Calibri" w:hAnsiTheme="minorHAnsi" w:cstheme="minorHAnsi"/>
          <w:color w:val="000000" w:themeColor="text1"/>
          <w:sz w:val="22"/>
          <w:szCs w:val="22"/>
          <w:vertAlign w:val="superscript"/>
        </w:rPr>
        <w:instrText>ADDIN CSL_CITATION {"citationItems":[{"id":"ITEM-1","itemData":{"DOI":"https://dx.doi.org/10.1002/ncp.10110","ISSN":"1941-2452","abstract":"BACKGROUND: Different nutrition assessment tools in surgical cancer patients are used in clinical practice, which results in different prevalence rates of malnutrition. This may impact the interpretation of the association between nutrition status and clinical outcomes. Reduced standardized phase angle (SPA) values are associated with adverse outcomes in patients with cancer. Thus, it is important to assess the association of SPA with nutrition status and relate it to postoperative clinical outcomes., METHODS: This prospective observational study included 121 surgical cancer patients. Bioelectrical impedance analysis, subjective global assessment (SGA), anthropometric measurements, and assessment of muscle strength were used to provide nutrition diagnosis 1 day before surgery. The patients were followed for infectious and noninfectious postoperative complications from the first day after the operation until discharge or death., RESULTS: The prevalence of malnutrition was higher according to SGA (63.6%). Patients with an SPA &lt; -1.65 had a greater chance of being diagnosed as malnourished according to the SGA (3.66 [1.35-9.90]), midarm circumference (OR 4.24; CI95%; 1.72-10.43), midarm muscle area (OR 4.38; CI95%; 1.68-11.42), and low handgrip strength (3.84 [1.31-11.25]). Patients with an SPA &lt; -1.65 presented with more infectious complications (OR 4.19; CI95%; 1.52-11.53), but there was no association between SPA and other outcomes or death. SPA was the only significant predictor of infectious complications (AUC, 0.61; 95% CI, 0.51-0.71)., CONCLUSION: SPA was associated with different nutrition status parameters, and it was able to predict postoperative infectious complications.Copyright © 2018 American Society for Parenteral and Enteral Nutrition.","author":[{"dropping-particle":"","family":"Pena","given":"Natalia F","non-dropping-particle":"","parse-names":false,"suffix":""},{"dropping-particle":"","family":"Mauricio","given":"Silvia F","non-dropping-particle":"","parse-names":false,"suffix":""},{"dropping-particle":"","family":"Rodrigues","given":"Ana M S","non-dropping-particle":"","parse-names":false,"suffix":""},{"dropping-particle":"","family":"Carmo","given":"Ariene S","non-dropping-particle":"","parse-names":false,"suffix":""},{"dropping-particle":"","family":"Coury","given":"Nayara C","non-dropping-particle":"","parse-names":false,"suffix":""},{"dropping-particle":"","family":"Correia","given":"Maria I T D","non-dropping-particle":"","parse-names":false,"suffix":""},{"dropping-particle":"V","family":"Generoso","given":"Simone","non-dropping-particle":"","parse-names":false,"suffix":""}],"container-title":"Nutrition in clinical practice : official publication of the American Society for Parenteral and Enteral Nutrition","id":"ITEM-1","issued":{"date-parts":[["2018"]]},"publisher-place":"United States","title":"Association Between Standardized Phase Angle, Nutrition Status, and Clinical Outcomes in Surgical Cancer Patients.","type":"article-journal"},"uris":["http://www.mendeley.com/documents/?uuid=18b543ef-05e9-4a02-ba63-c32674dafbbc"]}],"mendeley":{"formattedCitation":"[39]","plainTextFormattedCitation":"[39]","previouslyFormattedCitation":"[40]"},"properties":{"noteIndex":0},"schema":"https://github.com/citation-style-language/schema/raw/master/csl-citation.json"}</w:instrText>
      </w:r>
      <w:r w:rsidR="003662F1" w:rsidRPr="00332C8B">
        <w:rPr>
          <w:rFonts w:asciiTheme="minorHAnsi" w:eastAsia="Calibri" w:hAnsiTheme="minorHAnsi" w:cstheme="minorHAnsi"/>
          <w:color w:val="000000" w:themeColor="text1"/>
          <w:sz w:val="22"/>
          <w:szCs w:val="22"/>
          <w:vertAlign w:val="superscript"/>
        </w:rPr>
        <w:fldChar w:fldCharType="separate"/>
      </w:r>
      <w:r w:rsidR="00F66CFF" w:rsidRPr="00332C8B">
        <w:rPr>
          <w:rFonts w:asciiTheme="minorHAnsi" w:eastAsia="Calibri" w:hAnsiTheme="minorHAnsi" w:cstheme="minorHAnsi"/>
          <w:noProof/>
          <w:color w:val="000000" w:themeColor="text1"/>
          <w:sz w:val="22"/>
          <w:szCs w:val="22"/>
        </w:rPr>
        <w:t>[39]</w:t>
      </w:r>
      <w:r w:rsidR="003662F1" w:rsidRPr="00332C8B">
        <w:rPr>
          <w:rFonts w:asciiTheme="minorHAnsi" w:eastAsia="Calibri" w:hAnsiTheme="minorHAnsi" w:cstheme="minorHAnsi"/>
          <w:color w:val="000000" w:themeColor="text1"/>
          <w:sz w:val="22"/>
          <w:szCs w:val="22"/>
          <w:vertAlign w:val="superscript"/>
        </w:rPr>
        <w:fldChar w:fldCharType="end"/>
      </w:r>
      <w:r w:rsidR="00FC4D05" w:rsidRPr="00332C8B">
        <w:rPr>
          <w:rFonts w:asciiTheme="minorHAnsi" w:eastAsia="Calibri" w:hAnsiTheme="minorHAnsi" w:cstheme="minorHAnsi"/>
          <w:color w:val="000000" w:themeColor="text1"/>
          <w:sz w:val="22"/>
          <w:szCs w:val="22"/>
          <w:vertAlign w:val="superscript"/>
        </w:rPr>
        <w:t>,</w:t>
      </w:r>
      <w:r w:rsidR="003662F1" w:rsidRPr="00332C8B">
        <w:rPr>
          <w:rFonts w:asciiTheme="minorHAnsi" w:eastAsia="Calibri" w:hAnsiTheme="minorHAnsi" w:cstheme="minorHAnsi"/>
          <w:color w:val="000000" w:themeColor="text1"/>
          <w:sz w:val="22"/>
          <w:szCs w:val="22"/>
          <w:vertAlign w:val="superscript"/>
        </w:rPr>
        <w:fldChar w:fldCharType="begin" w:fldLock="1"/>
      </w:r>
      <w:r w:rsidR="00F66CFF" w:rsidRPr="00332C8B">
        <w:rPr>
          <w:rFonts w:asciiTheme="minorHAnsi" w:eastAsia="Calibri" w:hAnsiTheme="minorHAnsi" w:cstheme="minorHAnsi"/>
          <w:color w:val="000000" w:themeColor="text1"/>
          <w:sz w:val="22"/>
          <w:szCs w:val="22"/>
          <w:vertAlign w:val="superscript"/>
        </w:rPr>
        <w:instrText>ADDIN CSL_CITATION {"citationItems":[{"id":"ITEM-1","itemData":{"DOI":"10.1007/s00520-017-3661-4","ISSN":"0941-4355","abstract":"Purpose: We evaluated phase angle, sarcopenia, and handgrip strength as prognostic factors of postoperative morbimortality in patients with cancer.Methodology: We conducted a prospective study with 60 oncology patients admitted for elective surgery between November 2015 and May 2016. We calculated the standardized phase angle (SPA) and the skeletal mass index of the subjects based on their bioelectrical impedance tests. Handgrip strength (HGS) was measured using a hydraulic dynamometer. Diagnosis of sarcopenia followed the criteria of the European Working Group on Sarcopenia in Older People. The nutritional status of each subject was evaluated through the Patient-Generated Subjective Global Assessment. Evaluation of postoperative complications followed the Clavien-Dindo classification. We also evaluated the duration of hospital stay. Outcomes were postoperative complications and duration of hospital stay.Results: The prevalence of malnutrition was 28.3%, and the prevalence of sarcopenia was 18.6%. The SPA was significantly lower among those who had severe postoperative complications or long hospital stays, while HGS and sarcopenia showed no relationship with these outcomes. Malnutrition was also related to postoperative outcomes.Conclusion: SPA can be considered a prognostic factor in postoperative morbimortality for patients with cancer.","author":[{"dropping-particle":"","family":"Härter","given":"Jéssica","non-dropping-particle":"","parse-names":false,"suffix":""},{"dropping-particle":"","family":"Orlandi","given":"Silvana","non-dropping-particle":"","parse-names":false,"suffix":""},{"dropping-particle":"","family":"Gonzalez","given":"Maria","non-dropping-particle":"","parse-names":false,"suffix":""},{"dropping-particle":"","family":"Härter","given":"Jéssica","non-dropping-particle":"","parse-names":false,"suffix":""},{"dropping-particle":"","family":"Orlandi","given":"Silvana Paiva","non-dropping-particle":"","parse-names":false,"suffix":""},{"dropping-particle":"","family":"Gonzalez","given":"Maria Cristina","non-dropping-particle":"","parse-names":false,"suffix":""}],"container-title":"Supportive Care in Cancer","id":"ITEM-1","issue":"8","issued":{"date-parts":[["2017","8"]]},"note":"Accession Number: 123716957. Language: English. Entry Date: 20180318. Revision Date: 20180517. Publication Type: journal article. Journal Subset: Biomedical; Continental Europe; Double Blind Peer Reviewed; Editorial Board Reviewed; Europe; Expert Peer Reviewed; Peer Reviewed. NLM UID: 9302957.","page":"2525-2530","publisher":"Springer Science &amp; Business Media B.V.","publisher-place":"Post-graduate Program, Nutrition and Food , Federal University of Pelotas , Rua Gomes Carneiro, 01 Pelotas 96010-610 Brazil","title":"Nutritional and functional factors as prognostic of surgical cancer patients.","type":"article-journal","volume":"25"},"uris":["http://www.mendeley.com/documents/?uuid=c4a486af-4def-4eb8-81fd-1ff9f790eb45"]}],"mendeley":{"formattedCitation":"[40]","plainTextFormattedCitation":"[40]","previouslyFormattedCitation":"[41]"},"properties":{"noteIndex":0},"schema":"https://github.com/citation-style-language/schema/raw/master/csl-citation.json"}</w:instrText>
      </w:r>
      <w:r w:rsidR="003662F1" w:rsidRPr="00332C8B">
        <w:rPr>
          <w:rFonts w:asciiTheme="minorHAnsi" w:eastAsia="Calibri" w:hAnsiTheme="minorHAnsi" w:cstheme="minorHAnsi"/>
          <w:color w:val="000000" w:themeColor="text1"/>
          <w:sz w:val="22"/>
          <w:szCs w:val="22"/>
          <w:vertAlign w:val="superscript"/>
        </w:rPr>
        <w:fldChar w:fldCharType="separate"/>
      </w:r>
      <w:r w:rsidR="00F66CFF" w:rsidRPr="00332C8B">
        <w:rPr>
          <w:rFonts w:asciiTheme="minorHAnsi" w:eastAsia="Calibri" w:hAnsiTheme="minorHAnsi" w:cstheme="minorHAnsi"/>
          <w:noProof/>
          <w:color w:val="000000" w:themeColor="text1"/>
          <w:sz w:val="22"/>
          <w:szCs w:val="22"/>
        </w:rPr>
        <w:t>[40]</w:t>
      </w:r>
      <w:r w:rsidR="003662F1" w:rsidRPr="00332C8B">
        <w:rPr>
          <w:rFonts w:asciiTheme="minorHAnsi" w:eastAsia="Calibri" w:hAnsiTheme="minorHAnsi" w:cstheme="minorHAnsi"/>
          <w:color w:val="000000" w:themeColor="text1"/>
          <w:sz w:val="22"/>
          <w:szCs w:val="22"/>
          <w:vertAlign w:val="superscript"/>
        </w:rPr>
        <w:fldChar w:fldCharType="end"/>
      </w:r>
      <w:r w:rsidRPr="00332C8B">
        <w:rPr>
          <w:rFonts w:asciiTheme="minorHAnsi" w:eastAsia="Calibri" w:hAnsiTheme="minorHAnsi" w:cstheme="minorHAnsi"/>
          <w:color w:val="000000" w:themeColor="text1"/>
          <w:sz w:val="22"/>
          <w:szCs w:val="22"/>
        </w:rPr>
        <w:t xml:space="preserve"> examined phase angle or standardi</w:t>
      </w:r>
      <w:r w:rsidR="004150ED">
        <w:rPr>
          <w:rFonts w:asciiTheme="minorHAnsi" w:eastAsia="Calibri" w:hAnsiTheme="minorHAnsi" w:cstheme="minorHAnsi"/>
          <w:color w:val="000000" w:themeColor="text1"/>
          <w:sz w:val="22"/>
          <w:szCs w:val="22"/>
        </w:rPr>
        <w:t>z</w:t>
      </w:r>
      <w:r w:rsidRPr="00332C8B">
        <w:rPr>
          <w:rFonts w:asciiTheme="minorHAnsi" w:eastAsia="Calibri" w:hAnsiTheme="minorHAnsi" w:cstheme="minorHAnsi"/>
          <w:color w:val="000000" w:themeColor="text1"/>
          <w:sz w:val="22"/>
          <w:szCs w:val="22"/>
        </w:rPr>
        <w:t>ed phase angle, six examined derived measures</w:t>
      </w:r>
      <w:r w:rsidR="003662F1" w:rsidRPr="00332C8B">
        <w:rPr>
          <w:rFonts w:asciiTheme="minorHAnsi" w:eastAsia="Calibri" w:hAnsiTheme="minorHAnsi" w:cstheme="minorHAnsi"/>
          <w:color w:val="000000" w:themeColor="text1"/>
          <w:sz w:val="22"/>
          <w:szCs w:val="22"/>
          <w:vertAlign w:val="superscript"/>
        </w:rPr>
        <w:fldChar w:fldCharType="begin" w:fldLock="1"/>
      </w:r>
      <w:r w:rsidR="00F66CFF" w:rsidRPr="00332C8B">
        <w:rPr>
          <w:rFonts w:asciiTheme="minorHAnsi" w:eastAsia="Calibri" w:hAnsiTheme="minorHAnsi" w:cstheme="minorHAnsi"/>
          <w:color w:val="000000" w:themeColor="text1"/>
          <w:sz w:val="22"/>
          <w:szCs w:val="22"/>
          <w:vertAlign w:val="superscript"/>
        </w:rPr>
        <w:instrText>ADDIN CSL_CITATION {"citationItems":[{"id":"ITEM-1","itemData":{"DOI":"10.1111/ecc.12491","ISSN":"0961-5423","abstract":"We aimed to ascertain the implementation of body composition assessment, by means of fat-free mass index (FFMI), fat mass index (FMI) and presence of sarcopenic obesity, in colorectal cancer population, on the basis of hospital length of stay (LOS) determination and to benchmark their discriminatory performance with other nutrition status algorithms, such as body mass index (BMI) and Malnutrition Universal Screening Tool (MUST). Ninety adult patients with operable colorectal cancer were enrolled. Study parameters included demographic and anthropometric data registration, BMI and MUST calculation and body composition parameters measurement within 24-h post-admission. Hospital LOS constituted the outcome of interest, using 7 days as cut-off point. Fifty-one patients (56.7%) were hospitalised for ≤7 days. The presence of sarcopenic obesity affected adversely hospital LOS (OR, 9.236; 95% CI, 3.278-26.173, P = 0.000). Low FFMI (OR, 7.457; 95% CI, 2.868-19.390, P = 0.000), malnutrition according to MUST (OR, 2.632; 95% CI, 1.280-5.413, P = 0.009) and high FMI (2.133; 95% CI, 1.111-4.094, P = 0.023) were the most powerful discriminators of accelerated hospitalisation. Loss of lean body tissue, gain of adipose tissue and sarcopenic obesity confer noteworthy prognostic value being superior or equivalent to MUST in terms of hospital LOS determination in colorectal cancer resection setting. BMI presents inferior discrimination performance in this field.","author":[{"dropping-particle":"","family":"Tsaousi","given":"G","non-dropping-particle":"","parse-names":false,"suffix":""},{"dropping-particle":"","family":"Kokkota","given":"S","non-dropping-particle":"","parse-names":false,"suffix":""},{"dropping-particle":"","family":"Papakostas","given":"P","non-dropping-particle":"","parse-names":false,"suffix":""},{"dropping-particle":"","family":"Stavrou","given":"G","non-dropping-particle":"","parse-names":false,"suffix":""},{"dropping-particle":"","family":"Doumaki","given":"E","non-dropping-particle":"","parse-names":false,"suffix":""},{"dropping-particle":"","family":"Kotzampassi","given":"K","non-dropping-particle":"","parse-names":false,"suffix":""}],"container-title":"European Journal of Cancer Care","id":"ITEM-1","issue":"6","issued":{"date-parts":[["2017","11"]]},"note":"Accession Number: 126068743. Language: English. Entry Date: 20171111. Revision Date: 20171111. Publication Type: Article; research; tables/charts. Journal Subset: Core Nursing; Europe; Nursing; Peer Reviewed; UK &amp;amp; Ireland. Instrumentation: Malnutrition Universal Screening Tool (MUST). NLM UID: 9301979.","page":"n/a-n/a","publisher":"Wiley-Blackwell","publisher-place":"Department of Anesthesiology and ICU, Faculty of Medicine, Aristotle University of Thessaloniki","title":"Body composition analysis for discrimination of prolonged hospital stay in colorectal cancer surgery patients.","type":"article-journal","volume":"26"},"uris":["http://www.mendeley.com/documents/?uuid=bfe70df8-2fb6-4892-9d8c-a4acc4b94327"]}],"mendeley":{"formattedCitation":"[32]","plainTextFormattedCitation":"[32]","previouslyFormattedCitation":"[33]"},"properties":{"noteIndex":0},"schema":"https://github.com/citation-style-language/schema/raw/master/csl-citation.json"}</w:instrText>
      </w:r>
      <w:r w:rsidR="003662F1" w:rsidRPr="00332C8B">
        <w:rPr>
          <w:rFonts w:asciiTheme="minorHAnsi" w:eastAsia="Calibri" w:hAnsiTheme="minorHAnsi" w:cstheme="minorHAnsi"/>
          <w:color w:val="000000" w:themeColor="text1"/>
          <w:sz w:val="22"/>
          <w:szCs w:val="22"/>
          <w:vertAlign w:val="superscript"/>
        </w:rPr>
        <w:fldChar w:fldCharType="separate"/>
      </w:r>
      <w:r w:rsidR="00F66CFF" w:rsidRPr="00332C8B">
        <w:rPr>
          <w:rFonts w:asciiTheme="minorHAnsi" w:eastAsia="Calibri" w:hAnsiTheme="minorHAnsi" w:cstheme="minorHAnsi"/>
          <w:noProof/>
          <w:color w:val="000000" w:themeColor="text1"/>
          <w:sz w:val="22"/>
          <w:szCs w:val="22"/>
        </w:rPr>
        <w:t>[32]</w:t>
      </w:r>
      <w:r w:rsidR="003662F1" w:rsidRPr="00332C8B">
        <w:rPr>
          <w:rFonts w:asciiTheme="minorHAnsi" w:eastAsia="Calibri" w:hAnsiTheme="minorHAnsi" w:cstheme="minorHAnsi"/>
          <w:color w:val="000000" w:themeColor="text1"/>
          <w:sz w:val="22"/>
          <w:szCs w:val="22"/>
          <w:vertAlign w:val="superscript"/>
        </w:rPr>
        <w:fldChar w:fldCharType="end"/>
      </w:r>
      <w:r w:rsidR="006B6875" w:rsidRPr="00332C8B">
        <w:rPr>
          <w:rFonts w:asciiTheme="minorHAnsi" w:eastAsia="Calibri" w:hAnsiTheme="minorHAnsi" w:cstheme="minorHAnsi"/>
          <w:color w:val="000000" w:themeColor="text1"/>
          <w:sz w:val="22"/>
          <w:szCs w:val="22"/>
          <w:vertAlign w:val="superscript"/>
        </w:rPr>
        <w:t>,</w:t>
      </w:r>
      <w:r w:rsidR="003662F1" w:rsidRPr="00332C8B">
        <w:rPr>
          <w:rFonts w:asciiTheme="minorHAnsi" w:eastAsia="Calibri" w:hAnsiTheme="minorHAnsi" w:cstheme="minorHAnsi"/>
          <w:color w:val="000000" w:themeColor="text1"/>
          <w:sz w:val="22"/>
          <w:szCs w:val="22"/>
        </w:rPr>
        <w:fldChar w:fldCharType="begin" w:fldLock="1"/>
      </w:r>
      <w:r w:rsidR="00F66CFF" w:rsidRPr="00332C8B">
        <w:rPr>
          <w:rFonts w:asciiTheme="minorHAnsi" w:eastAsia="Calibri" w:hAnsiTheme="minorHAnsi" w:cstheme="minorHAnsi"/>
          <w:color w:val="000000" w:themeColor="text1"/>
          <w:sz w:val="22"/>
          <w:szCs w:val="22"/>
        </w:rPr>
        <w:instrText>ADDIN CSL_CITATION {"citationItems":[{"id":"ITEM-1","itemData":{"DOI":"10.21873/anticanres.13203","ISSN":"0250-7005","abstract":"Background: Sarcopenia is known to have an important influence on\npostoperative complications in several diseases, and on the prognosis of\npatients with cancer. However, whether sarcopenia is associated with\ncomplications and prognosis after gastrectomy in patients with gastric\ncancer remains controversial. This study evaluated the impact of the\npreoperative muscle mass on postoperative complications of gastric\ncancer surgery. Materials and Methods: The muscle mass of 153 patients\nwho underwent gastrectomy for gastric cancer from January 2014 to August\n2016 was assessed before surgery by a multifrequency bioelectrical\nimpedance analysis (In Body 3.0; Biospace, Tokyo, Japan) and was\nexpressed as the muscle mass index (MMI). Sarcopenia was defined as an\nMMI value of one standard deviation or more below the gender-specific\nmean MMI. Complications of Clavien-Dindo grade 2 or more were defined as\nsignificant postoperative complications. The impact of preoperative\nsarcopenia on postoperative infectious complications was analyzed by\nunivariate and multivariate analyses. Results: A total of 153 patients\nwere analyzed, sarcopenia was present in 24 out of 153 patients\n(15.7%). Thirty (19.6%) patients developed postoperative\ncomplications, 20 (13.1%) of which were infectious complications.\nSarcopenia was significantly associated with age, body mass index, serum\nalbumin, pulmonary disease in comorbidities, operative time, surgical\napproach, and postoperative complications. The univariate analyses\nrevealed that male sex, sarcopenia, total gastrectomy, laparotomy, and\nintraoperative blood loss were associated with postoperative infectious\ncomplications. In the multivariate analyses, sarcopenia and\nintraoperative blood loss &gt;= 400 ml were independently associated with\npostoperative infectious complications. Conclusion: Preoperative\nsarcopenia was found to be an independent risk factor for postoperative\ninfectious complications in gastric cancer patients.","author":[{"dropping-particle":"","family":"Tamura","given":"Tatsuro","non-dropping-particle":"","parse-names":false,"suffix":""},{"dropping-particle":"","family":"Sakurai","given":"Katsunobu","non-dropping-particle":"","parse-names":false,"suffix":""},{"dropping-particle":"","family":"Nambara","given":"Mikio","non-dropping-particle":"","parse-names":false,"suffix":""},{"dropping-particle":"","family":"Miki","given":"Yuichiro","non-dropping-particle":"","parse-names":false,"suffix":""},{"dropping-particle":"","family":"Toyokawa","given":"Takahiro","non-dropping-particle":"","parse-names":false,"suffix":""},{"dropping-particle":"","family":"Kubo","given":"Naoshi","non-dropping-particle":"","parse-names":false,"suffix":""},{"dropping-particle":"","family":"Tanaka","given":"Hiroaki","non-dropping-particle":"","parse-names":false,"suffix":""},{"dropping-particle":"","family":"Muguruma","given":"Kazuya","non-dropping-particle":"","parse-names":false,"suffix":""},{"dropping-particle":"","family":"Yashiro","given":"Masakazu","non-dropping-particle":"","parse-names":false,"suffix":""},{"dropping-particle":"","family":"Ohira","given":"Masaichi","non-dropping-particle":"","parse-names":false,"suffix":""}],"container-title":"ANTICANCER RESEARCH","id":"ITEM-1","issue":"2","issued":{"date-parts":[["2019","2"]]},"page":"987-992","title":"Adverse Effects of Preoperative Sarcopenia on Postoperative Complications of Patients With Gastric Cancer","type":"article-journal","volume":"39"},"uris":["http://www.mendeley.com/documents/?uuid=b0dc6cbe-eae3-4fb0-979a-e02b6496d53b"]}],"mendeley":{"formattedCitation":"[33]","plainTextFormattedCitation":"[33]","previouslyFormattedCitation":"[34]"},"properties":{"noteIndex":0},"schema":"https://github.com/citation-style-language/schema/raw/master/csl-citation.json"}</w:instrText>
      </w:r>
      <w:r w:rsidR="003662F1" w:rsidRPr="00332C8B">
        <w:rPr>
          <w:rFonts w:asciiTheme="minorHAnsi" w:eastAsia="Calibri" w:hAnsiTheme="minorHAnsi" w:cstheme="minorHAnsi"/>
          <w:color w:val="000000" w:themeColor="text1"/>
          <w:sz w:val="22"/>
          <w:szCs w:val="22"/>
        </w:rPr>
        <w:fldChar w:fldCharType="separate"/>
      </w:r>
      <w:r w:rsidR="00F66CFF" w:rsidRPr="00332C8B">
        <w:rPr>
          <w:rFonts w:asciiTheme="minorHAnsi" w:eastAsia="Calibri" w:hAnsiTheme="minorHAnsi" w:cstheme="minorHAnsi"/>
          <w:noProof/>
          <w:color w:val="000000" w:themeColor="text1"/>
          <w:sz w:val="22"/>
          <w:szCs w:val="22"/>
        </w:rPr>
        <w:t>[33]</w:t>
      </w:r>
      <w:r w:rsidR="003662F1" w:rsidRPr="00332C8B">
        <w:rPr>
          <w:rFonts w:asciiTheme="minorHAnsi" w:eastAsia="Calibri" w:hAnsiTheme="minorHAnsi" w:cstheme="minorHAnsi"/>
          <w:color w:val="000000" w:themeColor="text1"/>
          <w:sz w:val="22"/>
          <w:szCs w:val="22"/>
        </w:rPr>
        <w:fldChar w:fldCharType="end"/>
      </w:r>
      <w:r w:rsidR="008A03FD" w:rsidRPr="00332C8B">
        <w:rPr>
          <w:rFonts w:asciiTheme="minorHAnsi" w:eastAsia="Calibri" w:hAnsiTheme="minorHAnsi" w:cstheme="minorHAnsi"/>
          <w:color w:val="000000" w:themeColor="text1"/>
          <w:sz w:val="22"/>
          <w:szCs w:val="22"/>
          <w:vertAlign w:val="superscript"/>
        </w:rPr>
        <w:t>,</w:t>
      </w:r>
      <w:r w:rsidR="003662F1" w:rsidRPr="00332C8B">
        <w:rPr>
          <w:rFonts w:asciiTheme="minorHAnsi" w:eastAsia="Calibri" w:hAnsiTheme="minorHAnsi" w:cstheme="minorHAnsi"/>
          <w:color w:val="000000" w:themeColor="text1"/>
          <w:sz w:val="22"/>
          <w:szCs w:val="22"/>
          <w:vertAlign w:val="superscript"/>
        </w:rPr>
        <w:fldChar w:fldCharType="begin" w:fldLock="1"/>
      </w:r>
      <w:r w:rsidR="00F66CFF" w:rsidRPr="00332C8B">
        <w:rPr>
          <w:rFonts w:asciiTheme="minorHAnsi" w:eastAsia="Calibri" w:hAnsiTheme="minorHAnsi" w:cstheme="minorHAnsi"/>
          <w:color w:val="000000" w:themeColor="text1"/>
          <w:sz w:val="22"/>
          <w:szCs w:val="22"/>
          <w:vertAlign w:val="superscript"/>
        </w:rPr>
        <w:instrText>ADDIN CSL_CITATION {"citationItems":[{"id":"ITEM-1","itemData":{"DOI":"https://dx.doi.org/10.1007/s10120-015-0554-4","ISSN":"1436-3305","abstract":"BACKGROUND: Sarcopenia is a decrease in both muscle mass and strength. It remains unclear whether sarcopenia is associated with morbidity after gastric cancer surgery. This study evaluated the impact of sarcopenia on the morbidity of gastric cancer surgery., METHODS: A total of 293 gastric cancer patients who underwent curative surgery between May 2011 and June 2013 were retrospectively examined. Patients with performance status 3 or 4 were excluded. Preoperative lean body mass (LBM) was evaluated by bioelectrical impedance analysis and expressed as LBM index. Preoperative muscle function was measured by hand grip strength (HGS). The cutoff values were the gender-specific lowest 20 %. Grade 2 or higher morbidities, as retrospectively evaluated by the Clavien-Dindo classification, were obtained from the patient record. The risk factors for morbidity were examined by univariate and multivariate analyses., RESULTS: Morbidity was observed in 39 patients (13.3 %), including 7 with pancreatic leakage, 12 with anastomotic leakage, and 4 with intraabdominal abscesses, but no mortality was observed. The univariate analysis showed that male gender, total gastrectomy, splenectomy, and a low HGS were significant risk factors for morbidity. A low LBM was not a significant risk factor. A low HGS, male gender, and total gastrectomy remained significant in the multivariate analysis., CONCLUSIONS: A low hand grip strength was a significant risk factor for morbidity after gastric cancer surgery. The importance of the hand grip strength as a risk factor should be examined in future prospective studies.","author":[{"dropping-particle":"","family":"Sato","given":"Tsutomu","non-dropping-particle":"","parse-names":false,"suffix":""},{"dropping-particle":"","family":"Aoyama","given":"Toru","non-dropping-particle":"","parse-names":false,"suffix":""},{"dropping-particle":"","family":"Hayashi","given":"Tsutomu","non-dropping-particle":"","parse-names":false,"suffix":""},{"dropping-particle":"","family":"Segami","given":"Kenki","non-dropping-particle":"","parse-names":false,"suffix":""},{"dropping-particle":"","family":"Kawabe","given":"Taiichi","non-dropping-particle":"","parse-names":false,"suffix":""},{"dropping-particle":"","family":"Fujikawa","given":"Hirohito","non-dropping-particle":"","parse-names":false,"suffix":""},{"dropping-particle":"","family":"Yamada","given":"Takanobu","non-dropping-particle":"","parse-names":false,"suffix":""},{"dropping-particle":"","family":"Yamamoto","given":"Naoto","non-dropping-particle":"","parse-names":false,"suffix":""},{"dropping-particle":"","family":"Oshima","given":"Takashi","non-dropping-particle":"","parse-names":false,"suffix":""},{"dropping-particle":"","family":"Rino","given":"Yasushi","non-dropping-particle":"","parse-names":false,"suffix":""},{"dropping-particle":"","family":"Masuda","given":"Munetaka","non-dropping-particle":"","parse-names":false,"suffix":""},{"dropping-particle":"","family":"Ogata","given":"Takashi","non-dropping-particle":"","parse-names":false,"suffix":""},{"dropping-particle":"","family":"Cho","given":"Haruhiko","non-dropping-particle":"","parse-names":false,"suffix":""},{"dropping-particle":"","family":"Yoshikawa","given":"Takaki","non-dropping-particle":"","parse-names":false,"suffix":""}],"container-title":"Gastric cancer : official journal of the International Gastric Cancer Association and the Japanese Gastric Cancer Association","id":"ITEM-1","issue":"3","issued":{"date-parts":[["2016"]]},"page":"1008-1015","publisher-place":"Japan","title":"Impact of preoperative hand grip strength on morbidity following gastric cancer surgery.","type":"article-journal","volume":"19"},"uris":["http://www.mendeley.com/documents/?uuid=a7720521-e083-46bf-88a1-5a1149d42876"]}],"mendeley":{"formattedCitation":"[34]","plainTextFormattedCitation":"[34]","previouslyFormattedCitation":"[35]"},"properties":{"noteIndex":0},"schema":"https://github.com/citation-style-language/schema/raw/master/csl-citation.json"}</w:instrText>
      </w:r>
      <w:r w:rsidR="003662F1" w:rsidRPr="00332C8B">
        <w:rPr>
          <w:rFonts w:asciiTheme="minorHAnsi" w:eastAsia="Calibri" w:hAnsiTheme="minorHAnsi" w:cstheme="minorHAnsi"/>
          <w:color w:val="000000" w:themeColor="text1"/>
          <w:sz w:val="22"/>
          <w:szCs w:val="22"/>
          <w:vertAlign w:val="superscript"/>
        </w:rPr>
        <w:fldChar w:fldCharType="separate"/>
      </w:r>
      <w:r w:rsidR="00F66CFF" w:rsidRPr="00332C8B">
        <w:rPr>
          <w:rFonts w:asciiTheme="minorHAnsi" w:eastAsia="Calibri" w:hAnsiTheme="minorHAnsi" w:cstheme="minorHAnsi"/>
          <w:noProof/>
          <w:color w:val="000000" w:themeColor="text1"/>
          <w:sz w:val="22"/>
          <w:szCs w:val="22"/>
        </w:rPr>
        <w:t>[34]</w:t>
      </w:r>
      <w:r w:rsidR="003662F1" w:rsidRPr="00332C8B">
        <w:rPr>
          <w:rFonts w:asciiTheme="minorHAnsi" w:eastAsia="Calibri" w:hAnsiTheme="minorHAnsi" w:cstheme="minorHAnsi"/>
          <w:color w:val="000000" w:themeColor="text1"/>
          <w:sz w:val="22"/>
          <w:szCs w:val="22"/>
          <w:vertAlign w:val="superscript"/>
        </w:rPr>
        <w:fldChar w:fldCharType="end"/>
      </w:r>
      <w:r w:rsidR="008A03FD" w:rsidRPr="00332C8B">
        <w:rPr>
          <w:rFonts w:asciiTheme="minorHAnsi" w:eastAsia="Calibri" w:hAnsiTheme="minorHAnsi" w:cstheme="minorHAnsi"/>
          <w:color w:val="000000" w:themeColor="text1"/>
          <w:sz w:val="22"/>
          <w:szCs w:val="22"/>
          <w:vertAlign w:val="superscript"/>
        </w:rPr>
        <w:t>,</w:t>
      </w:r>
      <w:r w:rsidR="003662F1" w:rsidRPr="00332C8B">
        <w:rPr>
          <w:rFonts w:asciiTheme="minorHAnsi" w:eastAsia="Calibri" w:hAnsiTheme="minorHAnsi" w:cstheme="minorHAnsi"/>
          <w:color w:val="000000" w:themeColor="text1"/>
          <w:sz w:val="22"/>
          <w:szCs w:val="22"/>
          <w:vertAlign w:val="superscript"/>
        </w:rPr>
        <w:fldChar w:fldCharType="begin" w:fldLock="1"/>
      </w:r>
      <w:r w:rsidR="00F66CFF" w:rsidRPr="00332C8B">
        <w:rPr>
          <w:rFonts w:asciiTheme="minorHAnsi" w:eastAsia="Calibri" w:hAnsiTheme="minorHAnsi" w:cstheme="minorHAnsi"/>
          <w:color w:val="000000" w:themeColor="text1"/>
          <w:sz w:val="22"/>
          <w:szCs w:val="22"/>
          <w:vertAlign w:val="superscript"/>
        </w:rPr>
        <w:instrText>ADDIN CSL_CITATION {"citationItems":[{"id":"ITEM-1","itemData":{"DOI":"https://dx.doi.org/10.1245/s10434-015-4559-3","ISSN":"1534-4681","abstract":"BACKGROUND: Depletion of skeletal muscle mass (sarcopenia) indicates a poor prognosis for patients with several kinds of cancer, but it remains unclear whether esophageal squamous cell carcinoma (ESCC) is among these cancers. The aim of this study was to clarify the relationship between sarcopenia and postoperative outcome in patients with ESCC treated by esophagectomy., METHODS: Skeletal muscle mass was assessed in 138 patients who underwent esophagectomy from August 2009 to May 2014. A multifrequency bioelectrical impedance analysis (InBody 720; Biospace, Tokyo, Japan) was used to assess skeletal muscle mass just before surgery. Postoperative complications were graded according to the Clavien-Dindo classification, and univariate and multivariate analyses were performed for postoperative respiratory complications., RESULTS: Sarcopenia was determined in 61 patients (44.2 %). Preoperative pulmonary function was significantly lower and the rate of respiratory complications significantly higher in the sarcopenia group than in the non-sarcopenia group (p &lt; 0.01). For other complications, the differences were not significant. Multivariate analysis showed that sarcopenia [odds ratio (OR) 5.82; p = 0.0001] and longer operation time (OR 3.09; p = 0.04) were risk factors for the occurrence of respiratory complications., CONCLUSIONS: Sarcopenia may be a predictor of pulmonary complications after esophagectomy. Further analysis is needed to clarify whether nutritional intervention improves skeletal muscle mass and thus contributes to reducing postoperative respiratory complications in sarcopenic patients.","author":[{"dropping-particle":"","family":"Ida","given":"Satoshi","non-dropping-particle":"","parse-names":false,"suffix":""},{"dropping-particle":"","family":"Watanabe","given":"Masayuki","non-dropping-particle":"","parse-names":false,"suffix":""},{"dropping-particle":"","family":"Yoshida","given":"Naoya","non-dropping-particle":"","parse-names":false,"suffix":""},{"dropping-particle":"","family":"Baba","given":"Yoshifumi","non-dropping-particle":"","parse-names":false,"suffix":""},{"dropping-particle":"","family":"Umezaki","given":"Naoki","non-dropping-particle":"","parse-names":false,"suffix":""},{"dropping-particle":"","family":"Harada","given":"Kazuto","non-dropping-particle":"","parse-names":false,"suffix":""},{"dropping-particle":"","family":"Karashima","given":"Ryuichi","non-dropping-particle":"","parse-names":false,"suffix":""},{"dropping-particle":"","family":"Imamura","given":"Yu","non-dropping-particle":"","parse-names":false,"suffix":""},{"dropping-particle":"","family":"Iwagami","given":"Shiro","non-dropping-particle":"","parse-names":false,"suffix":""},{"dropping-particle":"","family":"Baba","given":"Hideo","non-dropping-particle":"","parse-names":false,"suffix":""}],"container-title":"Annals of surgical oncology","id":"ITEM-1","issue":"13","issued":{"date-parts":[["2015"]]},"page":"4432-4437","publisher-place":"United States","title":"Sarcopenia is a Predictor of Postoperative Respiratory Complications in Patients with Esophageal Cancer.","type":"article-journal","volume":"22"},"uris":["http://www.mendeley.com/documents/?uuid=1f3d9e6a-f97f-44b3-9e01-564de97b3919"]}],"mendeley":{"formattedCitation":"[35]","plainTextFormattedCitation":"[35]","previouslyFormattedCitation":"[36]"},"properties":{"noteIndex":0},"schema":"https://github.com/citation-style-language/schema/raw/master/csl-citation.json"}</w:instrText>
      </w:r>
      <w:r w:rsidR="003662F1" w:rsidRPr="00332C8B">
        <w:rPr>
          <w:rFonts w:asciiTheme="minorHAnsi" w:eastAsia="Calibri" w:hAnsiTheme="minorHAnsi" w:cstheme="minorHAnsi"/>
          <w:color w:val="000000" w:themeColor="text1"/>
          <w:sz w:val="22"/>
          <w:szCs w:val="22"/>
          <w:vertAlign w:val="superscript"/>
        </w:rPr>
        <w:fldChar w:fldCharType="separate"/>
      </w:r>
      <w:r w:rsidR="00F66CFF" w:rsidRPr="00332C8B">
        <w:rPr>
          <w:rFonts w:asciiTheme="minorHAnsi" w:eastAsia="Calibri" w:hAnsiTheme="minorHAnsi" w:cstheme="minorHAnsi"/>
          <w:noProof/>
          <w:color w:val="000000" w:themeColor="text1"/>
          <w:sz w:val="22"/>
          <w:szCs w:val="22"/>
        </w:rPr>
        <w:t>[35]</w:t>
      </w:r>
      <w:r w:rsidR="003662F1" w:rsidRPr="00332C8B">
        <w:rPr>
          <w:rFonts w:asciiTheme="minorHAnsi" w:eastAsia="Calibri" w:hAnsiTheme="minorHAnsi" w:cstheme="minorHAnsi"/>
          <w:color w:val="000000" w:themeColor="text1"/>
          <w:sz w:val="22"/>
          <w:szCs w:val="22"/>
          <w:vertAlign w:val="superscript"/>
        </w:rPr>
        <w:fldChar w:fldCharType="end"/>
      </w:r>
      <w:r w:rsidR="008A03FD" w:rsidRPr="00332C8B">
        <w:rPr>
          <w:rFonts w:asciiTheme="minorHAnsi" w:eastAsia="Calibri" w:hAnsiTheme="minorHAnsi" w:cstheme="minorHAnsi"/>
          <w:color w:val="000000" w:themeColor="text1"/>
          <w:sz w:val="22"/>
          <w:szCs w:val="22"/>
          <w:vertAlign w:val="superscript"/>
        </w:rPr>
        <w:t>,</w:t>
      </w:r>
      <w:r w:rsidR="003662F1" w:rsidRPr="00332C8B">
        <w:rPr>
          <w:rFonts w:asciiTheme="minorHAnsi" w:eastAsia="Calibri" w:hAnsiTheme="minorHAnsi" w:cstheme="minorHAnsi"/>
          <w:color w:val="000000" w:themeColor="text1"/>
          <w:sz w:val="22"/>
          <w:szCs w:val="22"/>
          <w:vertAlign w:val="superscript"/>
        </w:rPr>
        <w:fldChar w:fldCharType="begin" w:fldLock="1"/>
      </w:r>
      <w:r w:rsidR="00F66CFF" w:rsidRPr="00332C8B">
        <w:rPr>
          <w:rFonts w:asciiTheme="minorHAnsi" w:eastAsia="Calibri" w:hAnsiTheme="minorHAnsi" w:cstheme="minorHAnsi"/>
          <w:color w:val="000000" w:themeColor="text1"/>
          <w:sz w:val="22"/>
          <w:szCs w:val="22"/>
          <w:vertAlign w:val="superscript"/>
        </w:rPr>
        <w:instrText>ADDIN CSL_CITATION {"citationItems":[{"id":"ITEM-1","itemData":{"DOI":"http://dx.doi.org/10.1111/jog.12554","ISSN":"1341-8076","abstract":"Abstract Aim This study used the measure of percentage of body fat (%BF) to define obesity and evaluated the effect of percentage of %BF on clinical, surgical and pathological features in women with endometrial cancer. Methods Between 2011 and 2013, bioelectrical impedance analysis and body size measurements of 94 patients whose endometrial biopsy revealed endometrial cancer were obtained. Patients were divided into two groups according to body mass index (BMI) (normal, &lt;30 kg/m2; elevated, &gt;=30 kg/m2), and also classified by %BF (normal, &lt;32%; elevated, &gt;=32%). Results The patients' mean age was 55.0 +/- 10.9 years. Mean %BF and BMI were 40.8% +/- 9.8% and 32.9 +/- 7.5, respectively. Eighty-three (88%) patients were obese according to %BF; 54 (57%) were obese according to BMI. Patients with elevated %BF were more likely to have less than 50% myometrial invasion (P = 0.004). Significantly more para-aortic lymph nodes were retrieved in patients with normal %BF or BMI (P &lt; 0.001, P &lt; 0.001). Patients with elevated %BF had longer operating times (P = 0.043) and were more likely to have stage I disease than patients with normal %BF (P &lt; 0.001). Conclusion Endometrial cancer patients with an elevated %BF are more likely to have stage I disease and less than 50% myometrial invasion than patients with normal %BF. Defining obesity by BF may provide better estimation of obesity prevalence in patients with endometrial cancer and further understanding the relationship between BF with endometrial cancer may give more information about the effects of obesity on endometrial cancer.Copyright © 2014 The Authors.","author":[{"dropping-particle":"","family":"O.","given":"Secilmis Kerimoglu","non-dropping-particle":"","parse-names":false,"suffix":""},{"dropping-particle":"","family":"A.","given":"Pekin","non-dropping-particle":"","parse-names":false,"suffix":""},{"dropping-particle":"","family":"S.A.","given":"Yilmaz","non-dropping-particle":"","parse-names":false,"suffix":""},{"dropping-particle":"","family":"G.","given":"Yavas","non-dropping-particle":"","parse-names":false,"suffix":""},{"dropping-particle":"","family":"F.","given":"Beyhekim","non-dropping-particle":"","parse-names":false,"suffix":""},{"dropping-particle":"","family":"A.A.","given":"Demirtas","non-dropping-particle":"","parse-names":false,"suffix":""},{"dropping-particle":"","family":"N.U.","given":"Dogan","non-dropping-particle":"","parse-names":false,"suffix":""},{"dropping-particle":"","family":"T.T.","given":"Ilhan","non-dropping-particle":"","parse-names":false,"suffix":""}],"container-title":"Journal of Obstetrics and Gynaecology Research","id":"ITEM-1","issue":"3","issued":{"date-parts":[["2015"]]},"page":"449-455","publisher":"Blackwell Publishing (E-mail: info@asia.blackpublishing.com.au)","publisher-place":"O. Secilmis Kerimoglu, Selcuk Universitesi Tip Fakultesi, Kadin Hastaliklari ve Dogum ABD, Kampus, Selcuklu 42000, Turkey","title":"Effect of the percentage of body fat on surgical, clinical and pathological outcomes in women with endometrial cancer","type":"article-journal","volume":"41"},"uris":["http://www.mendeley.com/documents/?uuid=fab9c483-886b-4d5f-9d60-16cb99d77d36"]}],"mendeley":{"formattedCitation":"[38]","plainTextFormattedCitation":"[38]","previouslyFormattedCitation":"[39]"},"properties":{"noteIndex":0},"schema":"https://github.com/citation-style-language/schema/raw/master/csl-citation.json"}</w:instrText>
      </w:r>
      <w:r w:rsidR="003662F1" w:rsidRPr="00332C8B">
        <w:rPr>
          <w:rFonts w:asciiTheme="minorHAnsi" w:eastAsia="Calibri" w:hAnsiTheme="minorHAnsi" w:cstheme="minorHAnsi"/>
          <w:color w:val="000000" w:themeColor="text1"/>
          <w:sz w:val="22"/>
          <w:szCs w:val="22"/>
          <w:vertAlign w:val="superscript"/>
        </w:rPr>
        <w:fldChar w:fldCharType="separate"/>
      </w:r>
      <w:r w:rsidR="00F66CFF" w:rsidRPr="00332C8B">
        <w:rPr>
          <w:rFonts w:asciiTheme="minorHAnsi" w:eastAsia="Calibri" w:hAnsiTheme="minorHAnsi" w:cstheme="minorHAnsi"/>
          <w:noProof/>
          <w:color w:val="000000" w:themeColor="text1"/>
          <w:sz w:val="22"/>
          <w:szCs w:val="22"/>
        </w:rPr>
        <w:t>[38]</w:t>
      </w:r>
      <w:r w:rsidR="003662F1" w:rsidRPr="00332C8B">
        <w:rPr>
          <w:rFonts w:asciiTheme="minorHAnsi" w:eastAsia="Calibri" w:hAnsiTheme="minorHAnsi" w:cstheme="minorHAnsi"/>
          <w:color w:val="000000" w:themeColor="text1"/>
          <w:sz w:val="22"/>
          <w:szCs w:val="22"/>
          <w:vertAlign w:val="superscript"/>
        </w:rPr>
        <w:fldChar w:fldCharType="end"/>
      </w:r>
      <w:r w:rsidR="008A03FD" w:rsidRPr="00332C8B">
        <w:rPr>
          <w:rFonts w:asciiTheme="minorHAnsi" w:eastAsia="Calibri" w:hAnsiTheme="minorHAnsi" w:cstheme="minorHAnsi"/>
          <w:color w:val="000000" w:themeColor="text1"/>
          <w:sz w:val="22"/>
          <w:szCs w:val="22"/>
          <w:vertAlign w:val="superscript"/>
        </w:rPr>
        <w:t>,</w:t>
      </w:r>
      <w:r w:rsidR="003662F1" w:rsidRPr="00332C8B">
        <w:rPr>
          <w:rFonts w:asciiTheme="minorHAnsi" w:eastAsia="Calibri" w:hAnsiTheme="minorHAnsi" w:cstheme="minorHAnsi"/>
          <w:color w:val="000000" w:themeColor="text1"/>
          <w:sz w:val="22"/>
          <w:szCs w:val="22"/>
          <w:vertAlign w:val="superscript"/>
        </w:rPr>
        <w:fldChar w:fldCharType="begin" w:fldLock="1"/>
      </w:r>
      <w:r w:rsidR="00F66CFF" w:rsidRPr="00332C8B">
        <w:rPr>
          <w:rFonts w:asciiTheme="minorHAnsi" w:eastAsia="Calibri" w:hAnsiTheme="minorHAnsi" w:cstheme="minorHAnsi"/>
          <w:color w:val="000000" w:themeColor="text1"/>
          <w:sz w:val="22"/>
          <w:szCs w:val="22"/>
          <w:vertAlign w:val="superscript"/>
        </w:rPr>
        <w:instrText>ADDIN CSL_CITATION {"citationItems":[{"id":"ITEM-1","itemData":{"ISSN":"0748-7983","abstract":"The correlation between body composition measured by bioelectrical impedance (BIA) and postoperative complications in 115 patients with gastrointestinal cancer was analysed. A significant increase in severe complications was found independent of lean body mass (LBM). In patients with LBM below the normal range the complication rate proved to be 31% (17/55), whereas patients with normal LBM had a complication rate of 10% (6/60). Other decisive factors, such as sex, age, tumor stage, operative procedure and body height were equally distributed in both groups. The practicability and efficiency of BIA became obvious in this study.","author":[{"dropping-particle":"","family":"T.","given":"Fritz","non-dropping-particle":"","parse-names":false,"suffix":""},{"dropping-particle":"","family":"I.","given":"Hollwarth","non-dropping-particle":"","parse-names":false,"suffix":""},{"dropping-particle":"","family":"M.","given":"Romaschow","non-dropping-particle":"","parse-names":false,"suffix":""}],"container-title":"European Journal of Surgical Oncology","id":"ITEM-1","issue":"4","issued":{"date-parts":[["1990"]]},"page":"326-331","publisher":"W.B. Saunders Ltd (32 Jamestown Road, London NW1 7BY, United Kingdom)","publisher-place":"P. Schlag, Department of Surgery, University of Heidelberg, Im Neuenheimer Feld 110, D-6900 Heidelberg, Germany","title":"The predictive role of bioelectrical impedance analysis (BIA) in postoperative complications of cancer patients","type":"article-journal","volume":"16"},"uris":["http://www.mendeley.com/documents/?uuid=e0444ba5-8fa0-4676-9f2f-5be6618fbef1"]}],"mendeley":{"formattedCitation":"[41]","plainTextFormattedCitation":"[41]","previouslyFormattedCitation":"[42]"},"properties":{"noteIndex":0},"schema":"https://github.com/citation-style-language/schema/raw/master/csl-citation.json"}</w:instrText>
      </w:r>
      <w:r w:rsidR="003662F1" w:rsidRPr="00332C8B">
        <w:rPr>
          <w:rFonts w:asciiTheme="minorHAnsi" w:eastAsia="Calibri" w:hAnsiTheme="minorHAnsi" w:cstheme="minorHAnsi"/>
          <w:color w:val="000000" w:themeColor="text1"/>
          <w:sz w:val="22"/>
          <w:szCs w:val="22"/>
          <w:vertAlign w:val="superscript"/>
        </w:rPr>
        <w:fldChar w:fldCharType="separate"/>
      </w:r>
      <w:r w:rsidR="00F66CFF" w:rsidRPr="00332C8B">
        <w:rPr>
          <w:rFonts w:asciiTheme="minorHAnsi" w:eastAsia="Calibri" w:hAnsiTheme="minorHAnsi" w:cstheme="minorHAnsi"/>
          <w:noProof/>
          <w:color w:val="000000" w:themeColor="text1"/>
          <w:sz w:val="22"/>
          <w:szCs w:val="22"/>
        </w:rPr>
        <w:t>[41]</w:t>
      </w:r>
      <w:r w:rsidR="003662F1" w:rsidRPr="00332C8B">
        <w:rPr>
          <w:rFonts w:asciiTheme="minorHAnsi" w:eastAsia="Calibri" w:hAnsiTheme="minorHAnsi" w:cstheme="minorHAnsi"/>
          <w:color w:val="000000" w:themeColor="text1"/>
          <w:sz w:val="22"/>
          <w:szCs w:val="22"/>
          <w:vertAlign w:val="superscript"/>
        </w:rPr>
        <w:fldChar w:fldCharType="end"/>
      </w:r>
      <w:r w:rsidRPr="00332C8B">
        <w:rPr>
          <w:rFonts w:asciiTheme="minorHAnsi" w:eastAsia="Calibri" w:hAnsiTheme="minorHAnsi" w:cstheme="minorHAnsi"/>
          <w:color w:val="000000" w:themeColor="text1"/>
          <w:sz w:val="22"/>
          <w:szCs w:val="22"/>
        </w:rPr>
        <w:t xml:space="preserve"> and one examined both</w:t>
      </w:r>
      <w:r w:rsidR="003662F1" w:rsidRPr="00332C8B">
        <w:rPr>
          <w:rFonts w:asciiTheme="minorHAnsi" w:eastAsia="Calibri" w:hAnsiTheme="minorHAnsi" w:cstheme="minorHAnsi"/>
          <w:color w:val="000000" w:themeColor="text1"/>
          <w:sz w:val="22"/>
          <w:szCs w:val="22"/>
        </w:rPr>
        <w:fldChar w:fldCharType="begin" w:fldLock="1"/>
      </w:r>
      <w:r w:rsidR="00F66CFF" w:rsidRPr="00332C8B">
        <w:rPr>
          <w:rFonts w:asciiTheme="minorHAnsi" w:eastAsia="Calibri" w:hAnsiTheme="minorHAnsi" w:cstheme="minorHAnsi"/>
          <w:color w:val="000000" w:themeColor="text1"/>
          <w:sz w:val="22"/>
          <w:szCs w:val="22"/>
        </w:rPr>
        <w:instrText>ADDIN CSL_CITATION {"citationItems":[{"id":"ITEM-1","itemData":{"DOI":"10.1111/jhn.12002","ISSN":"0952-3871","abstract":"Background Both malnutrition and obesity are related to worsened post-operative outcomes after colorectal surgery. Obese cancer patients may be malnourished as a result of short-term weight loss. The present study aimed to evaluate preoperative nutritional status, body composition and dietary intake related to post-operative complications ( POC) and post-operative hospital days ( POHD) in elective colorectal cancer ( CRC) patients. Methods Anthropometry, body composition measured by bioelectric spectroscopy and dietary habits assessed by a validated food-frequency questionnaire were examined in 100 newly-diagnosed CRC patients. Data from 30-day POC and POHD were collected from medical records. Nonparametric and chi-squared tests and logistic regression were used to analyse associations between body and dietary variables and post-operative outcome. Results Twenty-nine patients had at least one POC. The median POHD was six. Body size and composition measures and short-term weight loss were no different between patients with and without POC, or between patients with POHD &lt;7 and ≥7. Dietary variables were otherwise no different between patients with and without POC, although the median intake of marine n-3 polyunsaturated fatty acids ( PUFA, the sum of eicosapentaenoic and docosahexaenoic acids) was significantly lower in patients with versus without POC (0.7 versus 1.2 g day−1, P = 0.04). Conclusions We found that preoperative body size, body composition and short-term weight loss were not related to 30-day post-operative outcomes in CRC patients. A high content of marine n-3 PUFA in preoperative habitual diets may protect against POC after CRC surgery.","author":[{"dropping-particle":"","family":"Berstad","given":"P","non-dropping-particle":"","parse-names":false,"suffix":""},{"dropping-particle":"","family":"Haugum","given":"B","non-dropping-particle":"","parse-names":false,"suffix":""},{"dropping-particle":"","family":"Helgeland","given":"M","non-dropping-particle":"","parse-names":false,"suffix":""},{"dropping-particle":"","family":"Bukholm","given":"I","non-dropping-particle":"","parse-names":false,"suffix":""},{"dropping-particle":"","family":"Almendingen","given":"K","non-dropping-particle":"","parse-names":false,"suffix":""}],"container-title":"Journal of Human Nutrition &amp; Dietetics","id":"ITEM-1","issue":"4","issued":{"date-parts":[["2013","8"]]},"note":"Accession Number: 104196215. Language: English. Entry Date: 20130716. Revision Date: 20150820. Publication Type: Journal Article; research; tables/charts. Journal Subset: Allied Health; Biomedical; Europe; Peer Reviewed; UK &amp;amp; Ireland. Special Interest: Nutrition; Oncologic Care; Perioperative Care. Instrumentation: Food Frequency Questionnaire (FFQ). Grant Information: This work was supported by grant no. 2006094 from Eastern Norway Regional Health Authority RHF and grants from Eckbo Foundation and Flatner Foundation.. NLM UID: 8904840.","page":"359-368","publisher":"Wiley-Blackwell","publisher-place":"Research Centre Akershus University Hospital","title":"Preoperative body size and composition, habitual diet, and post-operative complications in elective colorectal cancer patients in Norway.","type":"article-journal","volume":"26"},"uris":["http://www.mendeley.com/documents/?uuid=ed89d092-88dd-471d-99eb-e3ad956371cb"]}],"mendeley":{"formattedCitation":"[31]","plainTextFormattedCitation":"[31]","previouslyFormattedCitation":"[32]"},"properties":{"noteIndex":0},"schema":"https://github.com/citation-style-language/schema/raw/master/csl-citation.json"}</w:instrText>
      </w:r>
      <w:r w:rsidR="003662F1" w:rsidRPr="00332C8B">
        <w:rPr>
          <w:rFonts w:asciiTheme="minorHAnsi" w:eastAsia="Calibri" w:hAnsiTheme="minorHAnsi" w:cstheme="minorHAnsi"/>
          <w:color w:val="000000" w:themeColor="text1"/>
          <w:sz w:val="22"/>
          <w:szCs w:val="22"/>
        </w:rPr>
        <w:fldChar w:fldCharType="separate"/>
      </w:r>
      <w:r w:rsidR="00F66CFF" w:rsidRPr="00332C8B">
        <w:rPr>
          <w:rFonts w:asciiTheme="minorHAnsi" w:eastAsia="Calibri" w:hAnsiTheme="minorHAnsi" w:cstheme="minorHAnsi"/>
          <w:noProof/>
          <w:color w:val="000000" w:themeColor="text1"/>
          <w:sz w:val="22"/>
          <w:szCs w:val="22"/>
        </w:rPr>
        <w:t>[31]</w:t>
      </w:r>
      <w:r w:rsidR="003662F1" w:rsidRPr="00332C8B">
        <w:rPr>
          <w:rFonts w:asciiTheme="minorHAnsi" w:eastAsia="Calibri" w:hAnsiTheme="minorHAnsi" w:cstheme="minorHAnsi"/>
          <w:color w:val="000000" w:themeColor="text1"/>
          <w:sz w:val="22"/>
          <w:szCs w:val="22"/>
        </w:rPr>
        <w:fldChar w:fldCharType="end"/>
      </w:r>
      <w:r w:rsidRPr="00332C8B">
        <w:rPr>
          <w:rFonts w:asciiTheme="minorHAnsi" w:eastAsia="Calibri" w:hAnsiTheme="minorHAnsi" w:cstheme="minorHAnsi"/>
          <w:color w:val="000000" w:themeColor="text1"/>
          <w:sz w:val="22"/>
          <w:szCs w:val="22"/>
        </w:rPr>
        <w:t>. Eight of the twelve (67%) demonstrated an association between phase angle and/or lean mass and an increased risk of complications. Four (33%) reported no association.</w:t>
      </w:r>
      <w:r w:rsidR="007A1844" w:rsidRPr="00332C8B">
        <w:rPr>
          <w:rFonts w:asciiTheme="minorHAnsi" w:eastAsia="Calibri" w:hAnsiTheme="minorHAnsi" w:cstheme="minorHAnsi"/>
          <w:color w:val="000000" w:themeColor="text1"/>
          <w:sz w:val="22"/>
          <w:szCs w:val="22"/>
        </w:rPr>
        <w:t xml:space="preserve"> </w:t>
      </w:r>
    </w:p>
    <w:p w14:paraId="6AC5F523" w14:textId="1B12A486" w:rsidR="007063DD" w:rsidRPr="00332C8B" w:rsidRDefault="007063DD" w:rsidP="00F0414E">
      <w:pPr>
        <w:spacing w:after="160" w:line="480" w:lineRule="auto"/>
        <w:rPr>
          <w:rFonts w:asciiTheme="minorHAnsi" w:eastAsia="Calibri" w:hAnsiTheme="minorHAnsi" w:cstheme="minorHAnsi"/>
          <w:color w:val="000000" w:themeColor="text1"/>
          <w:sz w:val="22"/>
          <w:szCs w:val="22"/>
        </w:rPr>
      </w:pPr>
      <w:r w:rsidRPr="00332C8B">
        <w:rPr>
          <w:rFonts w:asciiTheme="minorHAnsi" w:eastAsia="Calibri" w:hAnsiTheme="minorHAnsi" w:cstheme="minorHAnsi"/>
          <w:color w:val="000000" w:themeColor="text1"/>
          <w:sz w:val="22"/>
          <w:szCs w:val="22"/>
        </w:rPr>
        <w:t>We present the data on phase angle and the derived measures of lean mass separately given the important differences in the way they are calculated. Phase angle is the arc tangent of the ratio of res</w:t>
      </w:r>
      <w:r w:rsidR="00260BB7" w:rsidRPr="00332C8B">
        <w:rPr>
          <w:rFonts w:asciiTheme="minorHAnsi" w:eastAsia="Calibri" w:hAnsiTheme="minorHAnsi" w:cstheme="minorHAnsi"/>
          <w:color w:val="000000" w:themeColor="text1"/>
          <w:sz w:val="22"/>
          <w:szCs w:val="22"/>
        </w:rPr>
        <w:t xml:space="preserve">istance to reactance </w:t>
      </w:r>
      <w:r w:rsidRPr="00332C8B">
        <w:rPr>
          <w:rFonts w:asciiTheme="minorHAnsi" w:eastAsia="Calibri" w:hAnsiTheme="minorHAnsi" w:cstheme="minorHAnsi"/>
          <w:color w:val="000000" w:themeColor="text1"/>
          <w:sz w:val="22"/>
          <w:szCs w:val="22"/>
        </w:rPr>
        <w:t xml:space="preserve">and thus a direct measurement of bioelectrical impedance, whereas the derived measures are calculated using assumptions about the hydration status of the subject. </w:t>
      </w:r>
    </w:p>
    <w:p w14:paraId="475A1E33" w14:textId="71759823" w:rsidR="00487642" w:rsidRPr="00332C8B" w:rsidRDefault="00487642" w:rsidP="00F0414E">
      <w:pPr>
        <w:spacing w:after="160" w:line="480" w:lineRule="auto"/>
        <w:rPr>
          <w:rFonts w:asciiTheme="minorHAnsi" w:eastAsia="Calibri" w:hAnsiTheme="minorHAnsi" w:cstheme="minorHAnsi"/>
          <w:color w:val="000000" w:themeColor="text1"/>
          <w:sz w:val="22"/>
          <w:szCs w:val="22"/>
        </w:rPr>
      </w:pPr>
      <w:r w:rsidRPr="00332C8B">
        <w:rPr>
          <w:rFonts w:asciiTheme="minorHAnsi" w:eastAsia="Calibri" w:hAnsiTheme="minorHAnsi" w:cstheme="minorHAnsi"/>
          <w:color w:val="000000" w:themeColor="text1"/>
          <w:sz w:val="22"/>
          <w:szCs w:val="22"/>
        </w:rPr>
        <w:t>Five studies reported complications using the Clavien-Dindo classification</w:t>
      </w:r>
      <w:r w:rsidR="003662F1" w:rsidRPr="00332C8B">
        <w:rPr>
          <w:rFonts w:asciiTheme="minorHAnsi" w:eastAsia="Calibri" w:hAnsiTheme="minorHAnsi" w:cstheme="minorHAnsi"/>
          <w:color w:val="000000" w:themeColor="text1"/>
          <w:sz w:val="22"/>
          <w:szCs w:val="22"/>
          <w:vertAlign w:val="superscript"/>
        </w:rPr>
        <w:fldChar w:fldCharType="begin" w:fldLock="1"/>
      </w:r>
      <w:r w:rsidR="00F66CFF" w:rsidRPr="00332C8B">
        <w:rPr>
          <w:rFonts w:asciiTheme="minorHAnsi" w:eastAsia="Calibri" w:hAnsiTheme="minorHAnsi" w:cstheme="minorHAnsi"/>
          <w:color w:val="000000" w:themeColor="text1"/>
          <w:sz w:val="22"/>
          <w:szCs w:val="22"/>
          <w:vertAlign w:val="superscript"/>
        </w:rPr>
        <w:instrText>ADDIN CSL_CITATION {"citationItems":[{"id":"ITEM-1","itemData":{"DOI":"10.1016/j.clnu.2017.08.026","ISSN":"0261-5614","abstract":"Background &amp; aims: Malnutrition in patients with colorectal cancer contributes to increased postoperative complications. The aim of the study was to evaluate the prognostic value of several nutritional assessment parameters: body mass index versus percentage of weight loss grading system (BMI/%WL); Patient-Generated Subjective Global Assessment (PG-SGA); standardized phase angle (SPA) by BIA; muscle strength by handgrip strength; muscle mass by computerized tomography; and the combination of muscle mass and strength in patients undergoing resection surgery. Methods: Patients diagnosed with cancer of the colon or rectum, who were over 18 years old and were scheduled to undergo surgical treatment were invited to participate. Postoperative complications were assessed from the first day post-surgery until discharge. Complications classified as Grade II or above according to the Clavien-Dindo classification were considered. Chi-square test or Fisher's exact test, bivariate analysis, Poisson regression and receiver operator characteristic (ROC) curve were utilized and p &lt; 0.05 was considered significant. Results: 84 patients were evaluated, with 28 (33.3%) presenting with Grade II postoperative complications. SPA showed no association with postoperative complications (p = 0.199). In multivariate analysis, low skeletal muscle mass showed a relative risk (RR) of 1.80 (CI: 1.02-3.17), BMI/%WL equal or higher than grade 3 had a RR of 1.90 (95% CI: 1.22-3.39). PG-SGA classified as malnutrition showed a RR of 2.08 (95% CI: 1.06-4.06); and low muscle mass plus low muscle strength showed a RR 2.13 (95% CI: 1.23-3.69). Low strength alone was not associated with postoperative complications after controlling for confounding factors (p = 0.16; 95% CI: 0.83-2.77). Low muscle mass in combination with low strength showed the highest predictive power for postoperative complications (AUC: 0.68; CI: 0.56-0.80). Conclusions: BMI/%WL &gt; grade 3, PG-SGA defined malnutrition, low muscle mass and low muscle mass plus low strength were independent risk factors for complications controlling for confounding factors. However, low muscle mass in combination with low muscle strength were the strongest variables associated with complications. Clinical Trials identification number: NCT02901132 (www.clinicaltrials.gov).Copyright © 2017 Elsevier Ltd and European Society for Clinical Nutrition and Metabolism","author":[{"dropping-particle":"","family":"S.F.","given":"Mauricio","non-dropping-particle":"","parse-names":false,"suffix":""},{"dropping-particle":"","family":"J.","given":"Xiao","non-dropping-particle":"","parse-names":false,"suffix":""},{"dropping-particle":"","family":"C.M.","given":"Prado","non-dropping-particle":"","parse-names":false,"suffix":""},{"dropping-particle":"","family":"M.C.","given":"Gonzalez","non-dropping-particle":"","parse-names":false,"suffix":""},{"dropping-particle":"","family":"Maurício","given":"Sílvia Fernandes","non-dropping-particle":"","parse-names":false,"suffix":""},{"dropping-particle":"","family":"Xiao","given":"Jingjie","non-dropping-particle":"","parse-names":false,"suffix":""},{"dropping-particle":"","family":"Prado","given":"Carla M","non-dropping-particle":"","parse-names":false,"suffix":""},{"dropping-particle":"","family":"Gonzalez","given":"Maria Cristina","non-dropping-particle":"","parse-names":false,"suffix":""},{"dropping-particle":"","family":"Correia","given":"Maria Isabel Toulson Davisson","non-dropping-particle":"","parse-names":false,"suffix":""},{"dropping-particle":"","family":"Mauricio","given":"Silvia Fernandes","non-dropping-particle":"","parse-names":false,"suffix":""},{"dropping-particle":"","family":"Xiao","given":"Jingjie","non-dropping-particle":"","parse-names":false,"suffix":""},{"dropping-particle":"","family":"Prado","given":"Carla M","non-dropping-particle":"","parse-names":false,"suffix":""},{"dropping-particle":"","family":"Gonzalez","given":"Maria Cristina","non-dropping-particle":"","parse-names":false,"suffix":""},{"dropping-particle":"","family":"Toulson Davisson Correia","given":"Maria Isabel","non-dropping-particle":"","parse-names":false,"suffix":""}],"container-title":"Clinical Nutrition","id":"ITEM-1","issue":"5","issued":{"date-parts":[["2018","10"]]},"note":"From Duplicate 2 (Different nutritional assessment tools as predictors of postoperative complications in patients undergoing colorectal cancer resection. - Maurício, Sílvia Fernandes; Xiao, Jingjie; Prado, Carla M; Gonzalez, Maria Cristina; Correia, Maria Isabel Toulson Davisson)\n\nAccession Number: 131806549. Language: English. Entry Date: 20180924. Revision Date: 20180924. Publication Type: Article. Journal Subset: Allied Health; Biomedical; Continental Europe; Double Blind Peer Reviewed; Europe; Peer Reviewed. NLM UID: 8309603.","page":"1505-1511","publisher":"Elsevier B.V.","publisher-place":"Post-graduate Program on Surgery and Ophthalmology, Federal University of Minas Gerais, Belo Horizonte, Minas Gerais, Brazil","title":"Different nutritional assessment tools as predictors of postoperative complications in patients undergoing colorectal cancer resection","type":"article-journal","volume":"37"},"uris":["http://www.mendeley.com/documents/?uuid=204f43ab-b662-42ab-a81b-3ef41b0d9664"]}],"mendeley":{"formattedCitation":"[30]","plainTextFormattedCitation":"[30]","previouslyFormattedCitation":"[31]"},"properties":{"noteIndex":0},"schema":"https://github.com/citation-style-language/schema/raw/master/csl-citation.json"}</w:instrText>
      </w:r>
      <w:r w:rsidR="003662F1" w:rsidRPr="00332C8B">
        <w:rPr>
          <w:rFonts w:asciiTheme="minorHAnsi" w:eastAsia="Calibri" w:hAnsiTheme="minorHAnsi" w:cstheme="minorHAnsi"/>
          <w:color w:val="000000" w:themeColor="text1"/>
          <w:sz w:val="22"/>
          <w:szCs w:val="22"/>
          <w:vertAlign w:val="superscript"/>
        </w:rPr>
        <w:fldChar w:fldCharType="separate"/>
      </w:r>
      <w:r w:rsidR="00F66CFF" w:rsidRPr="00332C8B">
        <w:rPr>
          <w:rFonts w:asciiTheme="minorHAnsi" w:eastAsia="Calibri" w:hAnsiTheme="minorHAnsi" w:cstheme="minorHAnsi"/>
          <w:noProof/>
          <w:color w:val="000000" w:themeColor="text1"/>
          <w:sz w:val="22"/>
          <w:szCs w:val="22"/>
        </w:rPr>
        <w:t>[30]</w:t>
      </w:r>
      <w:r w:rsidR="003662F1" w:rsidRPr="00332C8B">
        <w:rPr>
          <w:rFonts w:asciiTheme="minorHAnsi" w:eastAsia="Calibri" w:hAnsiTheme="minorHAnsi" w:cstheme="minorHAnsi"/>
          <w:color w:val="000000" w:themeColor="text1"/>
          <w:sz w:val="22"/>
          <w:szCs w:val="22"/>
          <w:vertAlign w:val="superscript"/>
        </w:rPr>
        <w:fldChar w:fldCharType="end"/>
      </w:r>
      <w:r w:rsidRPr="00332C8B">
        <w:rPr>
          <w:rFonts w:asciiTheme="minorHAnsi" w:eastAsia="Calibri" w:hAnsiTheme="minorHAnsi" w:cstheme="minorHAnsi"/>
          <w:color w:val="000000" w:themeColor="text1"/>
          <w:sz w:val="22"/>
          <w:szCs w:val="22"/>
          <w:vertAlign w:val="superscript"/>
        </w:rPr>
        <w:t>,</w:t>
      </w:r>
      <w:r w:rsidR="003662F1" w:rsidRPr="00332C8B">
        <w:rPr>
          <w:rFonts w:asciiTheme="minorHAnsi" w:eastAsia="Calibri" w:hAnsiTheme="minorHAnsi" w:cstheme="minorHAnsi"/>
          <w:color w:val="000000" w:themeColor="text1"/>
          <w:sz w:val="22"/>
          <w:szCs w:val="22"/>
        </w:rPr>
        <w:fldChar w:fldCharType="begin" w:fldLock="1"/>
      </w:r>
      <w:r w:rsidR="00F66CFF" w:rsidRPr="00332C8B">
        <w:rPr>
          <w:rFonts w:asciiTheme="minorHAnsi" w:eastAsia="Calibri" w:hAnsiTheme="minorHAnsi" w:cstheme="minorHAnsi"/>
          <w:color w:val="000000" w:themeColor="text1"/>
          <w:sz w:val="22"/>
          <w:szCs w:val="22"/>
        </w:rPr>
        <w:instrText>ADDIN CSL_CITATION {"citationItems":[{"id":"ITEM-1","itemData":{"DOI":"10.21873/anticanres.13203","ISSN":"0250-7005","abstract":"Background: Sarcopenia is known to have an important influence on\npostoperative complications in several diseases, and on the prognosis of\npatients with cancer. However, whether sarcopenia is associated with\ncomplications and prognosis after gastrectomy in patients with gastric\ncancer remains controversial. This study evaluated the impact of the\npreoperative muscle mass on postoperative complications of gastric\ncancer surgery. Materials and Methods: The muscle mass of 153 patients\nwho underwent gastrectomy for gastric cancer from January 2014 to August\n2016 was assessed before surgery by a multifrequency bioelectrical\nimpedance analysis (In Body 3.0; Biospace, Tokyo, Japan) and was\nexpressed as the muscle mass index (MMI). Sarcopenia was defined as an\nMMI value of one standard deviation or more below the gender-specific\nmean MMI. Complications of Clavien-Dindo grade 2 or more were defined as\nsignificant postoperative complications. The impact of preoperative\nsarcopenia on postoperative infectious complications was analyzed by\nunivariate and multivariate analyses. Results: A total of 153 patients\nwere analyzed, sarcopenia was present in 24 out of 153 patients\n(15.7%). Thirty (19.6%) patients developed postoperative\ncomplications, 20 (13.1%) of which were infectious complications.\nSarcopenia was significantly associated with age, body mass index, serum\nalbumin, pulmonary disease in comorbidities, operative time, surgical\napproach, and postoperative complications. The univariate analyses\nrevealed that male sex, sarcopenia, total gastrectomy, laparotomy, and\nintraoperative blood loss were associated with postoperative infectious\ncomplications. In the multivariate analyses, sarcopenia and\nintraoperative blood loss &gt;= 400 ml were independently associated with\npostoperative infectious complications. Conclusion: Preoperative\nsarcopenia was found to be an independent risk factor for postoperative\ninfectious complications in gastric cancer patients.","author":[{"dropping-particle":"","family":"Tamura","given":"Tatsuro","non-dropping-particle":"","parse-names":false,"suffix":""},{"dropping-particle":"","family":"Sakurai","given":"Katsunobu","non-dropping-particle":"","parse-names":false,"suffix":""},{"dropping-particle":"","family":"Nambara","given":"Mikio","non-dropping-particle":"","parse-names":false,"suffix":""},{"dropping-particle":"","family":"Miki","given":"Yuichiro","non-dropping-particle":"","parse-names":false,"suffix":""},{"dropping-particle":"","family":"Toyokawa","given":"Takahiro","non-dropping-particle":"","parse-names":false,"suffix":""},{"dropping-particle":"","family":"Kubo","given":"Naoshi","non-dropping-particle":"","parse-names":false,"suffix":""},{"dropping-particle":"","family":"Tanaka","given":"Hiroaki","non-dropping-particle":"","parse-names":false,"suffix":""},{"dropping-particle":"","family":"Muguruma","given":"Kazuya","non-dropping-particle":"","parse-names":false,"suffix":""},{"dropping-particle":"","family":"Yashiro","given":"Masakazu","non-dropping-particle":"","parse-names":false,"suffix":""},{"dropping-particle":"","family":"Ohira","given":"Masaichi","non-dropping-particle":"","parse-names":false,"suffix":""}],"container-title":"ANTICANCER RESEARCH","id":"ITEM-1","issue":"2","issued":{"date-parts":[["2019","2"]]},"page":"987-992","title":"Adverse Effects of Preoperative Sarcopenia on Postoperative Complications of Patients With Gastric Cancer","type":"article-journal","volume":"39"},"uris":["http://www.mendeley.com/documents/?uuid=b0dc6cbe-eae3-4fb0-979a-e02b6496d53b"]}],"mendeley":{"formattedCitation":"[33]","plainTextFormattedCitation":"[33]","previouslyFormattedCitation":"[34]"},"properties":{"noteIndex":0},"schema":"https://github.com/citation-style-language/schema/raw/master/csl-citation.json"}</w:instrText>
      </w:r>
      <w:r w:rsidR="003662F1" w:rsidRPr="00332C8B">
        <w:rPr>
          <w:rFonts w:asciiTheme="minorHAnsi" w:eastAsia="Calibri" w:hAnsiTheme="minorHAnsi" w:cstheme="minorHAnsi"/>
          <w:color w:val="000000" w:themeColor="text1"/>
          <w:sz w:val="22"/>
          <w:szCs w:val="22"/>
        </w:rPr>
        <w:fldChar w:fldCharType="separate"/>
      </w:r>
      <w:r w:rsidR="00F66CFF" w:rsidRPr="00332C8B">
        <w:rPr>
          <w:rFonts w:asciiTheme="minorHAnsi" w:eastAsia="Calibri" w:hAnsiTheme="minorHAnsi" w:cstheme="minorHAnsi"/>
          <w:noProof/>
          <w:color w:val="000000" w:themeColor="text1"/>
          <w:sz w:val="22"/>
          <w:szCs w:val="22"/>
        </w:rPr>
        <w:t>[33]</w:t>
      </w:r>
      <w:r w:rsidR="003662F1" w:rsidRPr="00332C8B">
        <w:rPr>
          <w:rFonts w:asciiTheme="minorHAnsi" w:eastAsia="Calibri" w:hAnsiTheme="minorHAnsi" w:cstheme="minorHAnsi"/>
          <w:color w:val="000000" w:themeColor="text1"/>
          <w:sz w:val="22"/>
          <w:szCs w:val="22"/>
        </w:rPr>
        <w:fldChar w:fldCharType="end"/>
      </w:r>
      <w:r w:rsidRPr="00332C8B">
        <w:rPr>
          <w:rFonts w:asciiTheme="minorHAnsi" w:eastAsia="Calibri" w:hAnsiTheme="minorHAnsi" w:cstheme="minorHAnsi"/>
          <w:color w:val="000000" w:themeColor="text1"/>
          <w:sz w:val="22"/>
          <w:szCs w:val="22"/>
          <w:vertAlign w:val="superscript"/>
        </w:rPr>
        <w:t>,</w:t>
      </w:r>
      <w:r w:rsidR="003662F1" w:rsidRPr="00332C8B">
        <w:rPr>
          <w:rFonts w:asciiTheme="minorHAnsi" w:eastAsia="Calibri" w:hAnsiTheme="minorHAnsi" w:cstheme="minorHAnsi"/>
          <w:color w:val="000000" w:themeColor="text1"/>
          <w:sz w:val="22"/>
          <w:szCs w:val="22"/>
          <w:vertAlign w:val="superscript"/>
        </w:rPr>
        <w:fldChar w:fldCharType="begin" w:fldLock="1"/>
      </w:r>
      <w:r w:rsidR="00F66CFF" w:rsidRPr="00332C8B">
        <w:rPr>
          <w:rFonts w:asciiTheme="minorHAnsi" w:eastAsia="Calibri" w:hAnsiTheme="minorHAnsi" w:cstheme="minorHAnsi"/>
          <w:color w:val="000000" w:themeColor="text1"/>
          <w:sz w:val="22"/>
          <w:szCs w:val="22"/>
          <w:vertAlign w:val="superscript"/>
        </w:rPr>
        <w:instrText>ADDIN CSL_CITATION {"citationItems":[{"id":"ITEM-1","itemData":{"DOI":"https://dx.doi.org/10.1007/s10120-015-0554-4","ISSN":"1436-3305","abstract":"BACKGROUND: Sarcopenia is a decrease in both muscle mass and strength. It remains unclear whether sarcopenia is associated with morbidity after gastric cancer surgery. This study evaluated the impact of sarcopenia on the morbidity of gastric cancer surgery., METHODS: A total of 293 gastric cancer patients who underwent curative surgery between May 2011 and June 2013 were retrospectively examined. Patients with performance status 3 or 4 were excluded. Preoperative lean body mass (LBM) was evaluated by bioelectrical impedance analysis and expressed as LBM index. Preoperative muscle function was measured by hand grip strength (HGS). The cutoff values were the gender-specific lowest 20 %. Grade 2 or higher morbidities, as retrospectively evaluated by the Clavien-Dindo classification, were obtained from the patient record. The risk factors for morbidity were examined by univariate and multivariate analyses., RESULTS: Morbidity was observed in 39 patients (13.3 %), including 7 with pancreatic leakage, 12 with anastomotic leakage, and 4 with intraabdominal abscesses, but no mortality was observed. The univariate analysis showed that male gender, total gastrectomy, splenectomy, and a low HGS were significant risk factors for morbidity. A low LBM was not a significant risk factor. A low HGS, male gender, and total gastrectomy remained significant in the multivariate analysis., CONCLUSIONS: A low hand grip strength was a significant risk factor for morbidity after gastric cancer surgery. The importance of the hand grip strength as a risk factor should be examined in future prospective studies.","author":[{"dropping-particle":"","family":"Sato","given":"Tsutomu","non-dropping-particle":"","parse-names":false,"suffix":""},{"dropping-particle":"","family":"Aoyama","given":"Toru","non-dropping-particle":"","parse-names":false,"suffix":""},{"dropping-particle":"","family":"Hayashi","given":"Tsutomu","non-dropping-particle":"","parse-names":false,"suffix":""},{"dropping-particle":"","family":"Segami","given":"Kenki","non-dropping-particle":"","parse-names":false,"suffix":""},{"dropping-particle":"","family":"Kawabe","given":"Taiichi","non-dropping-particle":"","parse-names":false,"suffix":""},{"dropping-particle":"","family":"Fujikawa","given":"Hirohito","non-dropping-particle":"","parse-names":false,"suffix":""},{"dropping-particle":"","family":"Yamada","given":"Takanobu","non-dropping-particle":"","parse-names":false,"suffix":""},{"dropping-particle":"","family":"Yamamoto","given":"Naoto","non-dropping-particle":"","parse-names":false,"suffix":""},{"dropping-particle":"","family":"Oshima","given":"Takashi","non-dropping-particle":"","parse-names":false,"suffix":""},{"dropping-particle":"","family":"Rino","given":"Yasushi","non-dropping-particle":"","parse-names":false,"suffix":""},{"dropping-particle":"","family":"Masuda","given":"Munetaka","non-dropping-particle":"","parse-names":false,"suffix":""},{"dropping-particle":"","family":"Ogata","given":"Takashi","non-dropping-particle":"","parse-names":false,"suffix":""},{"dropping-particle":"","family":"Cho","given":"Haruhiko","non-dropping-particle":"","parse-names":false,"suffix":""},{"dropping-particle":"","family":"Yoshikawa","given":"Takaki","non-dropping-particle":"","parse-names":false,"suffix":""}],"container-title":"Gastric cancer : official journal of the International Gastric Cancer Association and the Japanese Gastric Cancer Association","id":"ITEM-1","issue":"3","issued":{"date-parts":[["2016"]]},"page":"1008-1015","publisher-place":"Japan","title":"Impact of preoperative hand grip strength on morbidity following gastric cancer surgery.","type":"article-journal","volume":"19"},"uris":["http://www.mendeley.com/documents/?uuid=a7720521-e083-46bf-88a1-5a1149d42876"]}],"mendeley":{"formattedCitation":"[34]","plainTextFormattedCitation":"[34]","previouslyFormattedCitation":"[35]"},"properties":{"noteIndex":0},"schema":"https://github.com/citation-style-language/schema/raw/master/csl-citation.json"}</w:instrText>
      </w:r>
      <w:r w:rsidR="003662F1" w:rsidRPr="00332C8B">
        <w:rPr>
          <w:rFonts w:asciiTheme="minorHAnsi" w:eastAsia="Calibri" w:hAnsiTheme="minorHAnsi" w:cstheme="minorHAnsi"/>
          <w:color w:val="000000" w:themeColor="text1"/>
          <w:sz w:val="22"/>
          <w:szCs w:val="22"/>
          <w:vertAlign w:val="superscript"/>
        </w:rPr>
        <w:fldChar w:fldCharType="separate"/>
      </w:r>
      <w:r w:rsidR="00F66CFF" w:rsidRPr="00332C8B">
        <w:rPr>
          <w:rFonts w:asciiTheme="minorHAnsi" w:eastAsia="Calibri" w:hAnsiTheme="minorHAnsi" w:cstheme="minorHAnsi"/>
          <w:noProof/>
          <w:color w:val="000000" w:themeColor="text1"/>
          <w:sz w:val="22"/>
          <w:szCs w:val="22"/>
        </w:rPr>
        <w:t>[34]</w:t>
      </w:r>
      <w:r w:rsidR="003662F1" w:rsidRPr="00332C8B">
        <w:rPr>
          <w:rFonts w:asciiTheme="minorHAnsi" w:eastAsia="Calibri" w:hAnsiTheme="minorHAnsi" w:cstheme="minorHAnsi"/>
          <w:color w:val="000000" w:themeColor="text1"/>
          <w:sz w:val="22"/>
          <w:szCs w:val="22"/>
          <w:vertAlign w:val="superscript"/>
        </w:rPr>
        <w:fldChar w:fldCharType="end"/>
      </w:r>
      <w:r w:rsidRPr="00332C8B">
        <w:rPr>
          <w:rFonts w:asciiTheme="minorHAnsi" w:eastAsia="Calibri" w:hAnsiTheme="minorHAnsi" w:cstheme="minorHAnsi"/>
          <w:color w:val="000000" w:themeColor="text1"/>
          <w:sz w:val="22"/>
          <w:szCs w:val="22"/>
          <w:vertAlign w:val="superscript"/>
        </w:rPr>
        <w:t>,</w:t>
      </w:r>
      <w:r w:rsidR="003662F1" w:rsidRPr="00332C8B">
        <w:rPr>
          <w:rFonts w:asciiTheme="minorHAnsi" w:eastAsia="Calibri" w:hAnsiTheme="minorHAnsi" w:cstheme="minorHAnsi"/>
          <w:color w:val="000000" w:themeColor="text1"/>
          <w:sz w:val="22"/>
          <w:szCs w:val="22"/>
          <w:vertAlign w:val="superscript"/>
        </w:rPr>
        <w:fldChar w:fldCharType="begin" w:fldLock="1"/>
      </w:r>
      <w:r w:rsidR="00F66CFF" w:rsidRPr="00332C8B">
        <w:rPr>
          <w:rFonts w:asciiTheme="minorHAnsi" w:eastAsia="Calibri" w:hAnsiTheme="minorHAnsi" w:cstheme="minorHAnsi"/>
          <w:color w:val="000000" w:themeColor="text1"/>
          <w:sz w:val="22"/>
          <w:szCs w:val="22"/>
          <w:vertAlign w:val="superscript"/>
        </w:rPr>
        <w:instrText>ADDIN CSL_CITATION {"citationItems":[{"id":"ITEM-1","itemData":{"DOI":"https://dx.doi.org/10.1245/s10434-015-4559-3","ISSN":"1534-4681","abstract":"BACKGROUND: Depletion of skeletal muscle mass (sarcopenia) indicates a poor prognosis for patients with several kinds of cancer, but it remains unclear whether esophageal squamous cell carcinoma (ESCC) is among these cancers. The aim of this study was to clarify the relationship between sarcopenia and postoperative outcome in patients with ESCC treated by esophagectomy., METHODS: Skeletal muscle mass was assessed in 138 patients who underwent esophagectomy from August 2009 to May 2014. A multifrequency bioelectrical impedance analysis (InBody 720; Biospace, Tokyo, Japan) was used to assess skeletal muscle mass just before surgery. Postoperative complications were graded according to the Clavien-Dindo classification, and univariate and multivariate analyses were performed for postoperative respiratory complications., RESULTS: Sarcopenia was determined in 61 patients (44.2 %). Preoperative pulmonary function was significantly lower and the rate of respiratory complications significantly higher in the sarcopenia group than in the non-sarcopenia group (p &lt; 0.01). For other complications, the differences were not significant. Multivariate analysis showed that sarcopenia [odds ratio (OR) 5.82; p = 0.0001] and longer operation time (OR 3.09; p = 0.04) were risk factors for the occurrence of respiratory complications., CONCLUSIONS: Sarcopenia may be a predictor of pulmonary complications after esophagectomy. Further analysis is needed to clarify whether nutritional intervention improves skeletal muscle mass and thus contributes to reducing postoperative respiratory complications in sarcopenic patients.","author":[{"dropping-particle":"","family":"Ida","given":"Satoshi","non-dropping-particle":"","parse-names":false,"suffix":""},{"dropping-particle":"","family":"Watanabe","given":"Masayuki","non-dropping-particle":"","parse-names":false,"suffix":""},{"dropping-particle":"","family":"Yoshida","given":"Naoya","non-dropping-particle":"","parse-names":false,"suffix":""},{"dropping-particle":"","family":"Baba","given":"Yoshifumi","non-dropping-particle":"","parse-names":false,"suffix":""},{"dropping-particle":"","family":"Umezaki","given":"Naoki","non-dropping-particle":"","parse-names":false,"suffix":""},{"dropping-particle":"","family":"Harada","given":"Kazuto","non-dropping-particle":"","parse-names":false,"suffix":""},{"dropping-particle":"","family":"Karashima","given":"Ryuichi","non-dropping-particle":"","parse-names":false,"suffix":""},{"dropping-particle":"","family":"Imamura","given":"Yu","non-dropping-particle":"","parse-names":false,"suffix":""},{"dropping-particle":"","family":"Iwagami","given":"Shiro","non-dropping-particle":"","parse-names":false,"suffix":""},{"dropping-particle":"","family":"Baba","given":"Hideo","non-dropping-particle":"","parse-names":false,"suffix":""}],"container-title":"Annals of surgical oncology","id":"ITEM-1","issue":"13","issued":{"date-parts":[["2015"]]},"page":"4432-4437","publisher-place":"United States","title":"Sarcopenia is a Predictor of Postoperative Respiratory Complications in Patients with Esophageal Cancer.","type":"article-journal","volume":"22"},"uris":["http://www.mendeley.com/documents/?uuid=1f3d9e6a-f97f-44b3-9e01-564de97b3919"]}],"mendeley":{"formattedCitation":"[35]","plainTextFormattedCitation":"[35]","previouslyFormattedCitation":"[36]"},"properties":{"noteIndex":0},"schema":"https://github.com/citation-style-language/schema/raw/master/csl-citation.json"}</w:instrText>
      </w:r>
      <w:r w:rsidR="003662F1" w:rsidRPr="00332C8B">
        <w:rPr>
          <w:rFonts w:asciiTheme="minorHAnsi" w:eastAsia="Calibri" w:hAnsiTheme="minorHAnsi" w:cstheme="minorHAnsi"/>
          <w:color w:val="000000" w:themeColor="text1"/>
          <w:sz w:val="22"/>
          <w:szCs w:val="22"/>
          <w:vertAlign w:val="superscript"/>
        </w:rPr>
        <w:fldChar w:fldCharType="separate"/>
      </w:r>
      <w:r w:rsidR="00F66CFF" w:rsidRPr="00332C8B">
        <w:rPr>
          <w:rFonts w:asciiTheme="minorHAnsi" w:eastAsia="Calibri" w:hAnsiTheme="minorHAnsi" w:cstheme="minorHAnsi"/>
          <w:noProof/>
          <w:color w:val="000000" w:themeColor="text1"/>
          <w:sz w:val="22"/>
          <w:szCs w:val="22"/>
        </w:rPr>
        <w:t>[35]</w:t>
      </w:r>
      <w:r w:rsidR="003662F1" w:rsidRPr="00332C8B">
        <w:rPr>
          <w:rFonts w:asciiTheme="minorHAnsi" w:eastAsia="Calibri" w:hAnsiTheme="minorHAnsi" w:cstheme="minorHAnsi"/>
          <w:color w:val="000000" w:themeColor="text1"/>
          <w:sz w:val="22"/>
          <w:szCs w:val="22"/>
          <w:vertAlign w:val="superscript"/>
        </w:rPr>
        <w:fldChar w:fldCharType="end"/>
      </w:r>
      <w:r w:rsidRPr="00332C8B">
        <w:rPr>
          <w:rFonts w:asciiTheme="minorHAnsi" w:eastAsia="Calibri" w:hAnsiTheme="minorHAnsi" w:cstheme="minorHAnsi"/>
          <w:color w:val="000000" w:themeColor="text1"/>
          <w:sz w:val="22"/>
          <w:szCs w:val="22"/>
          <w:vertAlign w:val="superscript"/>
        </w:rPr>
        <w:t>,</w:t>
      </w:r>
      <w:r w:rsidR="003662F1" w:rsidRPr="00332C8B">
        <w:rPr>
          <w:rFonts w:asciiTheme="minorHAnsi" w:eastAsia="Calibri" w:hAnsiTheme="minorHAnsi" w:cstheme="minorHAnsi"/>
          <w:color w:val="000000" w:themeColor="text1"/>
          <w:sz w:val="22"/>
          <w:szCs w:val="22"/>
          <w:vertAlign w:val="superscript"/>
        </w:rPr>
        <w:fldChar w:fldCharType="begin" w:fldLock="1"/>
      </w:r>
      <w:r w:rsidR="00F66CFF" w:rsidRPr="00332C8B">
        <w:rPr>
          <w:rFonts w:asciiTheme="minorHAnsi" w:eastAsia="Calibri" w:hAnsiTheme="minorHAnsi" w:cstheme="minorHAnsi"/>
          <w:color w:val="000000" w:themeColor="text1"/>
          <w:sz w:val="22"/>
          <w:szCs w:val="22"/>
          <w:vertAlign w:val="superscript"/>
        </w:rPr>
        <w:instrText>ADDIN CSL_CITATION {"citationItems":[{"id":"ITEM-1","itemData":{"DOI":"10.1007/s00520-017-3661-4","ISSN":"0941-4355","abstract":"Purpose: We evaluated phase angle, sarcopenia, and handgrip strength as prognostic factors of postoperative morbimortality in patients with cancer.Methodology: We conducted a prospective study with 60 oncology patients admitted for elective surgery between November 2015 and May 2016. We calculated the standardized phase angle (SPA) and the skeletal mass index of the subjects based on their bioelectrical impedance tests. Handgrip strength (HGS) was measured using a hydraulic dynamometer. Diagnosis of sarcopenia followed the criteria of the European Working Group on Sarcopenia in Older People. The nutritional status of each subject was evaluated through the Patient-Generated Subjective Global Assessment. Evaluation of postoperative complications followed the Clavien-Dindo classification. We also evaluated the duration of hospital stay. Outcomes were postoperative complications and duration of hospital stay.Results: The prevalence of malnutrition was 28.3%, and the prevalence of sarcopenia was 18.6%. The SPA was significantly lower among those who had severe postoperative complications or long hospital stays, while HGS and sarcopenia showed no relationship with these outcomes. Malnutrition was also related to postoperative outcomes.Conclusion: SPA can be considered a prognostic factor in postoperative morbimortality for patients with cancer.","author":[{"dropping-particle":"","family":"Härter","given":"Jéssica","non-dropping-particle":"","parse-names":false,"suffix":""},{"dropping-particle":"","family":"Orlandi","given":"Silvana","non-dropping-particle":"","parse-names":false,"suffix":""},{"dropping-particle":"","family":"Gonzalez","given":"Maria","non-dropping-particle":"","parse-names":false,"suffix":""},{"dropping-particle":"","family":"Härter","given":"Jéssica","non-dropping-particle":"","parse-names":false,"suffix":""},{"dropping-particle":"","family":"Orlandi","given":"Silvana Paiva","non-dropping-particle":"","parse-names":false,"suffix":""},{"dropping-particle":"","family":"Gonzalez","given":"Maria Cristina","non-dropping-particle":"","parse-names":false,"suffix":""}],"container-title":"Supportive Care in Cancer","id":"ITEM-1","issue":"8","issued":{"date-parts":[["2017","8"]]},"note":"Accession Number: 123716957. Language: English. Entry Date: 20180318. Revision Date: 20180517. Publication Type: journal article. Journal Subset: Biomedical; Continental Europe; Double Blind Peer Reviewed; Editorial Board Reviewed; Europe; Expert Peer Reviewed; Peer Reviewed. NLM UID: 9302957.","page":"2525-2530","publisher":"Springer Science &amp; Business Media B.V.","publisher-place":"Post-graduate Program, Nutrition and Food , Federal University of Pelotas , Rua Gomes Carneiro, 01 Pelotas 96010-610 Brazil","title":"Nutritional and functional factors as prognostic of surgical cancer patients.","type":"article-journal","volume":"25"},"uris":["http://www.mendeley.com/documents/?uuid=c4a486af-4def-4eb8-81fd-1ff9f790eb45"]}],"mendeley":{"formattedCitation":"[40]","plainTextFormattedCitation":"[40]","previouslyFormattedCitation":"[41]"},"properties":{"noteIndex":0},"schema":"https://github.com/citation-style-language/schema/raw/master/csl-citation.json"}</w:instrText>
      </w:r>
      <w:r w:rsidR="003662F1" w:rsidRPr="00332C8B">
        <w:rPr>
          <w:rFonts w:asciiTheme="minorHAnsi" w:eastAsia="Calibri" w:hAnsiTheme="minorHAnsi" w:cstheme="minorHAnsi"/>
          <w:color w:val="000000" w:themeColor="text1"/>
          <w:sz w:val="22"/>
          <w:szCs w:val="22"/>
          <w:vertAlign w:val="superscript"/>
        </w:rPr>
        <w:fldChar w:fldCharType="separate"/>
      </w:r>
      <w:r w:rsidR="00F66CFF" w:rsidRPr="00332C8B">
        <w:rPr>
          <w:rFonts w:asciiTheme="minorHAnsi" w:eastAsia="Calibri" w:hAnsiTheme="minorHAnsi" w:cstheme="minorHAnsi"/>
          <w:noProof/>
          <w:color w:val="000000" w:themeColor="text1"/>
          <w:sz w:val="22"/>
          <w:szCs w:val="22"/>
        </w:rPr>
        <w:t>[40]</w:t>
      </w:r>
      <w:r w:rsidR="003662F1" w:rsidRPr="00332C8B">
        <w:rPr>
          <w:rFonts w:asciiTheme="minorHAnsi" w:eastAsia="Calibri" w:hAnsiTheme="minorHAnsi" w:cstheme="minorHAnsi"/>
          <w:color w:val="000000" w:themeColor="text1"/>
          <w:sz w:val="22"/>
          <w:szCs w:val="22"/>
          <w:vertAlign w:val="superscript"/>
        </w:rPr>
        <w:fldChar w:fldCharType="end"/>
      </w:r>
      <w:r w:rsidRPr="00332C8B">
        <w:rPr>
          <w:rFonts w:asciiTheme="minorHAnsi" w:eastAsia="Calibri" w:hAnsiTheme="minorHAnsi" w:cstheme="minorHAnsi"/>
          <w:color w:val="000000" w:themeColor="text1"/>
          <w:sz w:val="22"/>
          <w:szCs w:val="22"/>
        </w:rPr>
        <w:t xml:space="preserve"> , three used other systems</w:t>
      </w:r>
      <w:r w:rsidR="003662F1" w:rsidRPr="00332C8B">
        <w:rPr>
          <w:rFonts w:asciiTheme="minorHAnsi" w:eastAsia="Calibri" w:hAnsiTheme="minorHAnsi" w:cstheme="minorHAnsi"/>
          <w:color w:val="000000" w:themeColor="text1"/>
          <w:sz w:val="22"/>
          <w:szCs w:val="22"/>
          <w:vertAlign w:val="superscript"/>
        </w:rPr>
        <w:fldChar w:fldCharType="begin" w:fldLock="1"/>
      </w:r>
      <w:r w:rsidR="00F66CFF" w:rsidRPr="00332C8B">
        <w:rPr>
          <w:rFonts w:asciiTheme="minorHAnsi" w:eastAsia="Calibri" w:hAnsiTheme="minorHAnsi" w:cstheme="minorHAnsi"/>
          <w:color w:val="000000" w:themeColor="text1"/>
          <w:sz w:val="22"/>
          <w:szCs w:val="22"/>
          <w:vertAlign w:val="superscript"/>
        </w:rPr>
        <w:instrText>ADDIN CSL_CITATION {"citationItems":[{"id":"ITEM-1","itemData":{"DOI":"http://dx.doi.org/10.1016/j.ygyno.2018.03.044","ISSN":"0090-8258","abstract":"Objective: To investigate whether patients' altered body composition (measured with bioimpedentiometry), due to a poor nutritional status, predicts the incidence of no residual disease at primary debulking and the risk of complications in patients with newly-diagnosed advanced epithelial ovarian cancer (EOC). Methods: Data regarding patients with newly-diagnosed stage IIIC-IV EOC undergoing elective nutritional assessment between December 2016 and March 2017, were prospectively collected. Bioelectrical impedance analysis (BIA) with measurement of BIA-derived phase angle [PhA] at 50 KHz, was accomplished. Only patients with disease which was considered resectable at staging laparoscopy were submitted to open primary cytoreduction. The rate of residual tumor (RT) = 0 and the incidence of complications were assessed. Results: Seventy patients were included. Fifty-two of them were submitted to primary cytoreduction (74.3%) and 48 (68.6% of the entire cohort, 92.3% of those who underwent primary debulking) had RT = 0 at the end of surgery. Median values of PhA were significantly lower in patients with RT &gt; vs. =0 (4.7, range: 3.6-5.8 vs. 5.3, range: 4.2-6.8; p = 0.001). Twenty-four (out of the 52 operated) patients (46.2%) developed at least one complication. PhA was significantly lower in patients with vs. without complications (5, range: 3.6-6.4, vs. 5.4, range 4.5-6.8; p = 0.03). After multivariable analysis, Fagotti score and PhA were the only independent predictors of residual disease (OR:13.56; 95%CI:1.33-137.6; p = 0.027 and 9.24; 1.16-73.43; p = 0.036, respectively) and of any complication (OR:4.9;95%CI:1.17-20.6; p = 0.03 and 7.27; 1.45-36.4; p = 0.01, respectively). Conclusions: Derangement of body composition (likely due to disease-related malnutrition) expressed as a low phase angle, is an independent predictor of residual disease and peri-operative complications at the time of upfront cytoreduction for advanced EOC.Copyright © 2018 Elsevier Inc.","author":[{"dropping-particle":"","family":"S.","given":"Uccella","non-dropping-particle":"","parse-names":false,"suffix":""},{"dropping-particle":"","family":"M.C.","given":"Mele","non-dropping-particle":"","parse-names":false,"suffix":""},{"dropping-particle":"","family":"L.","given":"Quagliozzi","non-dropping-particle":"","parse-names":false,"suffix":""},{"dropping-particle":"","family":"E.","given":"Rinninella","non-dropping-particle":"","parse-names":false,"suffix":""},{"dropping-particle":"","family":"C.","given":"Nero","non-dropping-particle":"","parse-names":false,"suffix":""},{"dropping-particle":"","family":"S.","given":"Cappuccio","non-dropping-particle":"","parse-names":false,"suffix":""},{"dropping-particle":"","family":"M.","given":"Cintoni","non-dropping-particle":"","parse-names":false,"suffix":""},{"dropping-particle":"","family":"A.","given":"Gasbarrini","non-dropping-particle":"","parse-names":false,"suffix":""},{"dropping-particle":"","family":"G.","given":"Scambia","non-dropping-particle":"","parse-names":false,"suffix":""},{"dropping-particle":"","family":"Fagotti A.  AO  - Uccella  Marco; ORCID: http://orcid.org/0000-0002-9610-0748 AO  - Nero, Camilla; ORCID: http://orcid.org/0000-0002-4442-4046","given":"Stefano; ORCID: http://orcid.org/0000-0002-4456-0822 A O - Cintoni","non-dropping-particle":"","parse-names":false,"suffix":""}],"container-title":"Gynecologic Oncology","id":"ITEM-1","issue":"2","issued":{"date-parts":[["2018"]]},"page":"263-269","publisher":"Academic Press Inc. (E-mail: apjcs@harcourt.com)","publisher-place":"S. Uccella, Department of Woman and Child Health, Fondazione Policlinico Agostino Gemelli, Rome, Italy. E-mail: stefucc@libero.it","title":"Assessment of preoperative nutritional status using BIA-derived phase angle (PhA) in patients with advanced ovarian cancer: Correlation with the extent of cytoreduction and complications","type":"article-journal","volume":"149"},"uris":["http://www.mendeley.com/documents/?uuid=740bc537-bfc4-43b1-b3c3-2ed9e7133df6"]}],"mendeley":{"formattedCitation":"[36]","plainTextFormattedCitation":"[36]","previouslyFormattedCitation":"[37]"},"properties":{"noteIndex":0},"schema":"https://github.com/citation-style-language/schema/raw/master/csl-citation.json"}</w:instrText>
      </w:r>
      <w:r w:rsidR="003662F1" w:rsidRPr="00332C8B">
        <w:rPr>
          <w:rFonts w:asciiTheme="minorHAnsi" w:eastAsia="Calibri" w:hAnsiTheme="minorHAnsi" w:cstheme="minorHAnsi"/>
          <w:color w:val="000000" w:themeColor="text1"/>
          <w:sz w:val="22"/>
          <w:szCs w:val="22"/>
          <w:vertAlign w:val="superscript"/>
        </w:rPr>
        <w:fldChar w:fldCharType="separate"/>
      </w:r>
      <w:r w:rsidR="00F66CFF" w:rsidRPr="00332C8B">
        <w:rPr>
          <w:rFonts w:asciiTheme="minorHAnsi" w:eastAsia="Calibri" w:hAnsiTheme="minorHAnsi" w:cstheme="minorHAnsi"/>
          <w:noProof/>
          <w:color w:val="000000" w:themeColor="text1"/>
          <w:sz w:val="22"/>
          <w:szCs w:val="22"/>
        </w:rPr>
        <w:t>[36]</w:t>
      </w:r>
      <w:r w:rsidR="003662F1" w:rsidRPr="00332C8B">
        <w:rPr>
          <w:rFonts w:asciiTheme="minorHAnsi" w:eastAsia="Calibri" w:hAnsiTheme="minorHAnsi" w:cstheme="minorHAnsi"/>
          <w:color w:val="000000" w:themeColor="text1"/>
          <w:sz w:val="22"/>
          <w:szCs w:val="22"/>
          <w:vertAlign w:val="superscript"/>
        </w:rPr>
        <w:fldChar w:fldCharType="end"/>
      </w:r>
      <w:r w:rsidRPr="00332C8B">
        <w:rPr>
          <w:rFonts w:asciiTheme="minorHAnsi" w:eastAsia="Calibri" w:hAnsiTheme="minorHAnsi" w:cstheme="minorHAnsi"/>
          <w:color w:val="000000" w:themeColor="text1"/>
          <w:sz w:val="22"/>
          <w:szCs w:val="22"/>
          <w:vertAlign w:val="superscript"/>
        </w:rPr>
        <w:t>,</w:t>
      </w:r>
      <w:r w:rsidR="003662F1" w:rsidRPr="00332C8B">
        <w:rPr>
          <w:rFonts w:asciiTheme="minorHAnsi" w:eastAsia="Calibri" w:hAnsiTheme="minorHAnsi" w:cstheme="minorHAnsi"/>
          <w:color w:val="000000" w:themeColor="text1"/>
          <w:sz w:val="22"/>
          <w:szCs w:val="22"/>
          <w:vertAlign w:val="superscript"/>
        </w:rPr>
        <w:fldChar w:fldCharType="begin" w:fldLock="1"/>
      </w:r>
      <w:r w:rsidR="00F66CFF" w:rsidRPr="00332C8B">
        <w:rPr>
          <w:rFonts w:asciiTheme="minorHAnsi" w:eastAsia="Calibri" w:hAnsiTheme="minorHAnsi" w:cstheme="minorHAnsi"/>
          <w:color w:val="000000" w:themeColor="text1"/>
          <w:sz w:val="22"/>
          <w:szCs w:val="22"/>
          <w:vertAlign w:val="superscript"/>
        </w:rPr>
        <w:instrText>ADDIN CSL_CITATION {"citationItems":[{"id":"ITEM-1","itemData":{"DOI":"http://dx.doi.org/10.1038/ejcn.2017.115","ISSN":"0954-3007","abstract":"BACKGROUND/OBJECTIVES: Bioelectrical impedance vector analysis (BIVA) has been considered a promising technique in monitoring the nutritional and hydration status of patients with different types of diseases. The aim of this study was to assess the nutritional status provided by direct parameters of bioelectrical impedance analysis (BIA), BIVA and phase angle (PA), in patients with cervical and endometrial cancer undergoing surgical treatment, associating to other parameters of nutritional status and surgical outcomes. SUBJECTS/METHODS: In a prospective cohort, 208 women eligible to surgical treatment, admitted from January to December 2015, were enrolled. Patients were assessed according to the body mass index (BMI), Patient Generated Subjective Global Assessment (PG-SGA) and BIA. The PA was categorized as below and above percentiles 25 and 50 of studied population. RESULTS: According to BMI and PG-SGA, most of them were classified as obese (69%) and well nourished (84%), respectively. PA was significantly lower in patients with endometrial cancer, PG-SGA B or C, and in those who remained longer in hospital. PA below 25th percentile was also associated with surgical complications. Comparison of BIVA detachment of our population with a reference population showed significant impedance vector displacement, characterized by decreased reactance value and increased resistance value in our group of patients. CONCLUSIONS: PA was associated with other parameters of nutritional status and surgical outcomes. BIVA was associated with nutritional status and length of hospital, but did not present significant result for surgical complications.Copyright © 2017 Macmillan Publishers Limited, part of Springer Nature.","author":[{"dropping-particle":"","family":"I.C.R.","given":"Cardoso","non-dropping-particle":"","parse-names":false,"suffix":""},{"dropping-particle":"","family":"M.A.","given":"Aredes","non-dropping-particle":"","parse-names":false,"suffix":""}],"container-title":"European Journal of Clinical Nutrition","id":"ITEM-1","issue":"11","issued":{"date-parts":[["2017"]]},"page":"1278-1284","publisher":"Nature Publishing Group (Houndmills, Basingstoke, Hampshire RG21 6XS, United Kingdom)","publisher-place":"G.V. Chaves, Department of Nutrition and Dietetics, Brazilian National Cancer Institute-INCA, Rua Equador, 831, Santo Cristo, Rio de Janeiro 22010-050, Brazil. E-mail: gabrielavc@gmail.com","title":"Applicability of the direct parameters of bioelectrical impedance in assessing nutritional status and surgical complications of women with gynecological cancer","type":"article-journal","volume":"71"},"uris":["http://www.mendeley.com/documents/?uuid=3c95cc9d-eb4a-4292-a54f-67ca3bafefc1"]}],"mendeley":{"formattedCitation":"[37]","plainTextFormattedCitation":"[37]","previouslyFormattedCitation":"[38]"},"properties":{"noteIndex":0},"schema":"https://github.com/citation-style-language/schema/raw/master/csl-citation.json"}</w:instrText>
      </w:r>
      <w:r w:rsidR="003662F1" w:rsidRPr="00332C8B">
        <w:rPr>
          <w:rFonts w:asciiTheme="minorHAnsi" w:eastAsia="Calibri" w:hAnsiTheme="minorHAnsi" w:cstheme="minorHAnsi"/>
          <w:color w:val="000000" w:themeColor="text1"/>
          <w:sz w:val="22"/>
          <w:szCs w:val="22"/>
          <w:vertAlign w:val="superscript"/>
        </w:rPr>
        <w:fldChar w:fldCharType="separate"/>
      </w:r>
      <w:r w:rsidR="00F66CFF" w:rsidRPr="00332C8B">
        <w:rPr>
          <w:rFonts w:asciiTheme="minorHAnsi" w:eastAsia="Calibri" w:hAnsiTheme="minorHAnsi" w:cstheme="minorHAnsi"/>
          <w:noProof/>
          <w:color w:val="000000" w:themeColor="text1"/>
          <w:sz w:val="22"/>
          <w:szCs w:val="22"/>
        </w:rPr>
        <w:t>[37]</w:t>
      </w:r>
      <w:r w:rsidR="003662F1" w:rsidRPr="00332C8B">
        <w:rPr>
          <w:rFonts w:asciiTheme="minorHAnsi" w:eastAsia="Calibri" w:hAnsiTheme="minorHAnsi" w:cstheme="minorHAnsi"/>
          <w:color w:val="000000" w:themeColor="text1"/>
          <w:sz w:val="22"/>
          <w:szCs w:val="22"/>
          <w:vertAlign w:val="superscript"/>
        </w:rPr>
        <w:fldChar w:fldCharType="end"/>
      </w:r>
      <w:r w:rsidRPr="00332C8B">
        <w:rPr>
          <w:rFonts w:asciiTheme="minorHAnsi" w:eastAsia="Calibri" w:hAnsiTheme="minorHAnsi" w:cstheme="minorHAnsi"/>
          <w:color w:val="000000" w:themeColor="text1"/>
          <w:sz w:val="22"/>
          <w:szCs w:val="22"/>
          <w:vertAlign w:val="superscript"/>
        </w:rPr>
        <w:t>,</w:t>
      </w:r>
      <w:r w:rsidR="003662F1" w:rsidRPr="00332C8B">
        <w:rPr>
          <w:rFonts w:asciiTheme="minorHAnsi" w:eastAsia="Calibri" w:hAnsiTheme="minorHAnsi" w:cstheme="minorHAnsi"/>
          <w:color w:val="000000" w:themeColor="text1"/>
          <w:sz w:val="22"/>
          <w:szCs w:val="22"/>
        </w:rPr>
        <w:fldChar w:fldCharType="begin" w:fldLock="1"/>
      </w:r>
      <w:r w:rsidR="00F66CFF" w:rsidRPr="00332C8B">
        <w:rPr>
          <w:rFonts w:asciiTheme="minorHAnsi" w:eastAsia="Calibri" w:hAnsiTheme="minorHAnsi" w:cstheme="minorHAnsi"/>
          <w:color w:val="000000" w:themeColor="text1"/>
          <w:sz w:val="22"/>
          <w:szCs w:val="22"/>
        </w:rPr>
        <w:instrText>ADDIN CSL_CITATION {"citationItems":[{"id":"ITEM-1","itemData":{"DOI":"https://dx.doi.org/10.1002/ncp.10110","ISSN":"1941-2452","abstract":"BACKGROUND: Different nutrition assessment tools in surgical cancer patients are used in clinical practice, which results in different prevalence rates of malnutrition. This may impact the interpretation of the association between nutrition status and clinical outcomes. Reduced standardized phase angle (SPA) values are associated with adverse outcomes in patients with cancer. Thus, it is important to assess the association of SPA with nutrition status and relate it to postoperative clinical outcomes., METHODS: This prospective observational study included 121 surgical cancer patients. Bioelectrical impedance analysis, subjective global assessment (SGA), anthropometric measurements, and assessment of muscle strength were used to provide nutrition diagnosis 1 day before surgery. The patients were followed for infectious and noninfectious postoperative complications from the first day after the operation until discharge or death., RESULTS: The prevalence of malnutrition was higher according to SGA (63.6%). Patients with an SPA &lt; -1.65 had a greater chance of being diagnosed as malnourished according to the SGA (3.66 [1.35-9.90]), midarm circumference (OR 4.24; CI95%; 1.72-10.43), midarm muscle area (OR 4.38; CI95%; 1.68-11.42), and low handgrip strength (3.84 [1.31-11.25]). Patients with an SPA &lt; -1.65 presented with more infectious complications (OR 4.19; CI95%; 1.52-11.53), but there was no association between SPA and other outcomes or death. SPA was the only significant predictor of infectious complications (AUC, 0.61; 95% CI, 0.51-0.71)., CONCLUSION: SPA was associated with different nutrition status parameters, and it was able to predict postoperative infectious complications.Copyright © 2018 American Society for Parenteral and Enteral Nutrition.","author":[{"dropping-particle":"","family":"Pena","given":"Natalia F","non-dropping-particle":"","parse-names":false,"suffix":""},{"dropping-particle":"","family":"Mauricio","given":"Silvia F","non-dropping-particle":"","parse-names":false,"suffix":""},{"dropping-particle":"","family":"Rodrigues","given":"Ana M S","non-dropping-particle":"","parse-names":false,"suffix":""},{"dropping-particle":"","family":"Carmo","given":"Ariene S","non-dropping-particle":"","parse-names":false,"suffix":""},{"dropping-particle":"","family":"Coury","given":"Nayara C","non-dropping-particle":"","parse-names":false,"suffix":""},{"dropping-particle":"","family":"Correia","given":"Maria I T D","non-dropping-particle":"","parse-names":false,"suffix":""},{"dropping-particle":"V","family":"Generoso","given":"Simone","non-dropping-particle":"","parse-names":false,"suffix":""}],"container-title":"Nutrition in clinical practice : official publication of the American Society for Parenteral and Enteral Nutrition","id":"ITEM-1","issued":{"date-parts":[["2018"]]},"publisher-place":"United States","title":"Association Between Standardized Phase Angle, Nutrition Status, and Clinical Outcomes in Surgical Cancer Patients.","type":"article-journal"},"uris":["http://www.mendeley.com/documents/?uuid=18b543ef-05e9-4a02-ba63-c32674dafbbc"]}],"mendeley":{"formattedCitation":"[39]","plainTextFormattedCitation":"[39]","previouslyFormattedCitation":"[40]"},"properties":{"noteIndex":0},"schema":"https://github.com/citation-style-language/schema/raw/master/csl-citation.json"}</w:instrText>
      </w:r>
      <w:r w:rsidR="003662F1" w:rsidRPr="00332C8B">
        <w:rPr>
          <w:rFonts w:asciiTheme="minorHAnsi" w:eastAsia="Calibri" w:hAnsiTheme="minorHAnsi" w:cstheme="minorHAnsi"/>
          <w:color w:val="000000" w:themeColor="text1"/>
          <w:sz w:val="22"/>
          <w:szCs w:val="22"/>
        </w:rPr>
        <w:fldChar w:fldCharType="separate"/>
      </w:r>
      <w:r w:rsidR="00F66CFF" w:rsidRPr="00332C8B">
        <w:rPr>
          <w:rFonts w:asciiTheme="minorHAnsi" w:eastAsia="Calibri" w:hAnsiTheme="minorHAnsi" w:cstheme="minorHAnsi"/>
          <w:noProof/>
          <w:color w:val="000000" w:themeColor="text1"/>
          <w:sz w:val="22"/>
          <w:szCs w:val="22"/>
        </w:rPr>
        <w:t>[39]</w:t>
      </w:r>
      <w:r w:rsidR="003662F1" w:rsidRPr="00332C8B">
        <w:rPr>
          <w:rFonts w:asciiTheme="minorHAnsi" w:eastAsia="Calibri" w:hAnsiTheme="minorHAnsi" w:cstheme="minorHAnsi"/>
          <w:color w:val="000000" w:themeColor="text1"/>
          <w:sz w:val="22"/>
          <w:szCs w:val="22"/>
        </w:rPr>
        <w:fldChar w:fldCharType="end"/>
      </w:r>
      <w:r w:rsidRPr="00332C8B">
        <w:rPr>
          <w:rFonts w:asciiTheme="minorHAnsi" w:eastAsia="Calibri" w:hAnsiTheme="minorHAnsi" w:cstheme="minorHAnsi"/>
          <w:color w:val="000000" w:themeColor="text1"/>
          <w:sz w:val="22"/>
          <w:szCs w:val="22"/>
        </w:rPr>
        <w:t xml:space="preserve"> and in four studies complications were defined by the authors</w:t>
      </w:r>
      <w:r w:rsidR="003662F1" w:rsidRPr="00332C8B">
        <w:rPr>
          <w:rFonts w:asciiTheme="minorHAnsi" w:eastAsia="Calibri" w:hAnsiTheme="minorHAnsi" w:cstheme="minorHAnsi"/>
          <w:color w:val="000000" w:themeColor="text1"/>
          <w:sz w:val="22"/>
          <w:szCs w:val="22"/>
        </w:rPr>
        <w:fldChar w:fldCharType="begin" w:fldLock="1"/>
      </w:r>
      <w:r w:rsidR="00F66CFF" w:rsidRPr="00332C8B">
        <w:rPr>
          <w:rFonts w:asciiTheme="minorHAnsi" w:eastAsia="Calibri" w:hAnsiTheme="minorHAnsi" w:cstheme="minorHAnsi"/>
          <w:color w:val="000000" w:themeColor="text1"/>
          <w:sz w:val="22"/>
          <w:szCs w:val="22"/>
        </w:rPr>
        <w:instrText>ADDIN CSL_CITATION {"citationItems":[{"id":"ITEM-1","itemData":{"DOI":"10.1111/jhn.12002","ISSN":"0952-3871","abstract":"Background Both malnutrition and obesity are related to worsened post-operative outcomes after colorectal surgery. Obese cancer patients may be malnourished as a result of short-term weight loss. The present study aimed to evaluate preoperative nutritional status, body composition and dietary intake related to post-operative complications ( POC) and post-operative hospital days ( POHD) in elective colorectal cancer ( CRC) patients. Methods Anthropometry, body composition measured by bioelectric spectroscopy and dietary habits assessed by a validated food-frequency questionnaire were examined in 100 newly-diagnosed CRC patients. Data from 30-day POC and POHD were collected from medical records. Nonparametric and chi-squared tests and logistic regression were used to analyse associations between body and dietary variables and post-operative outcome. Results Twenty-nine patients had at least one POC. The median POHD was six. Body size and composition measures and short-term weight loss were no different between patients with and without POC, or between patients with POHD &lt;7 and ≥7. Dietary variables were otherwise no different between patients with and without POC, although the median intake of marine n-3 polyunsaturated fatty acids ( PUFA, the sum of eicosapentaenoic and docosahexaenoic acids) was significantly lower in patients with versus without POC (0.7 versus 1.2 g day−1, P = 0.04). Conclusions We found that preoperative body size, body composition and short-term weight loss were not related to 30-day post-operative outcomes in CRC patients. A high content of marine n-3 PUFA in preoperative habitual diets may protect against POC after CRC surgery.","author":[{"dropping-particle":"","family":"Berstad","given":"P","non-dropping-particle":"","parse-names":false,"suffix":""},{"dropping-particle":"","family":"Haugum","given":"B","non-dropping-particle":"","parse-names":false,"suffix":""},{"dropping-particle":"","family":"Helgeland","given":"M","non-dropping-particle":"","parse-names":false,"suffix":""},{"dropping-particle":"","family":"Bukholm","given":"I","non-dropping-particle":"","parse-names":false,"suffix":""},{"dropping-particle":"","family":"Almendingen","given":"K","non-dropping-particle":"","parse-names":false,"suffix":""}],"container-title":"Journal of Human Nutrition &amp; Dietetics","id":"ITEM-1","issue":"4","issued":{"date-parts":[["2013","8"]]},"note":"Accession Number: 104196215. Language: English. Entry Date: 20130716. Revision Date: 20150820. Publication Type: Journal Article; research; tables/charts. Journal Subset: Allied Health; Biomedical; Europe; Peer Reviewed; UK &amp;amp; Ireland. Special Interest: Nutrition; Oncologic Care; Perioperative Care. Instrumentation: Food Frequency Questionnaire (FFQ). Grant Information: This work was supported by grant no. 2006094 from Eastern Norway Regional Health Authority RHF and grants from Eckbo Foundation and Flatner Foundation.. NLM UID: 8904840.","page":"359-368","publisher":"Wiley-Blackwell","publisher-place":"Research Centre Akershus University Hospital","title":"Preoperative body size and composition, habitual diet, and post-operative complications in elective colorectal cancer patients in Norway.","type":"article-journal","volume":"26"},"uris":["http://www.mendeley.com/documents/?uuid=ed89d092-88dd-471d-99eb-e3ad956371cb"]}],"mendeley":{"formattedCitation":"[31]","plainTextFormattedCitation":"[31]","previouslyFormattedCitation":"[32]"},"properties":{"noteIndex":0},"schema":"https://github.com/citation-style-language/schema/raw/master/csl-citation.json"}</w:instrText>
      </w:r>
      <w:r w:rsidR="003662F1" w:rsidRPr="00332C8B">
        <w:rPr>
          <w:rFonts w:asciiTheme="minorHAnsi" w:eastAsia="Calibri" w:hAnsiTheme="minorHAnsi" w:cstheme="minorHAnsi"/>
          <w:color w:val="000000" w:themeColor="text1"/>
          <w:sz w:val="22"/>
          <w:szCs w:val="22"/>
        </w:rPr>
        <w:fldChar w:fldCharType="separate"/>
      </w:r>
      <w:r w:rsidR="00F66CFF" w:rsidRPr="00332C8B">
        <w:rPr>
          <w:rFonts w:asciiTheme="minorHAnsi" w:eastAsia="Calibri" w:hAnsiTheme="minorHAnsi" w:cstheme="minorHAnsi"/>
          <w:noProof/>
          <w:color w:val="000000" w:themeColor="text1"/>
          <w:sz w:val="22"/>
          <w:szCs w:val="22"/>
        </w:rPr>
        <w:t>[31]</w:t>
      </w:r>
      <w:r w:rsidR="003662F1" w:rsidRPr="00332C8B">
        <w:rPr>
          <w:rFonts w:asciiTheme="minorHAnsi" w:eastAsia="Calibri" w:hAnsiTheme="minorHAnsi" w:cstheme="minorHAnsi"/>
          <w:color w:val="000000" w:themeColor="text1"/>
          <w:sz w:val="22"/>
          <w:szCs w:val="22"/>
        </w:rPr>
        <w:fldChar w:fldCharType="end"/>
      </w:r>
      <w:r w:rsidRPr="00332C8B">
        <w:rPr>
          <w:rFonts w:asciiTheme="minorHAnsi" w:eastAsia="Calibri" w:hAnsiTheme="minorHAnsi" w:cstheme="minorHAnsi"/>
          <w:color w:val="000000" w:themeColor="text1"/>
          <w:sz w:val="22"/>
          <w:szCs w:val="22"/>
          <w:vertAlign w:val="superscript"/>
        </w:rPr>
        <w:t>,</w:t>
      </w:r>
      <w:r w:rsidR="003662F1" w:rsidRPr="00332C8B">
        <w:rPr>
          <w:rFonts w:asciiTheme="minorHAnsi" w:eastAsia="Calibri" w:hAnsiTheme="minorHAnsi" w:cstheme="minorHAnsi"/>
          <w:color w:val="000000" w:themeColor="text1"/>
          <w:sz w:val="22"/>
          <w:szCs w:val="22"/>
          <w:vertAlign w:val="superscript"/>
        </w:rPr>
        <w:fldChar w:fldCharType="begin" w:fldLock="1"/>
      </w:r>
      <w:r w:rsidR="00F66CFF" w:rsidRPr="00332C8B">
        <w:rPr>
          <w:rFonts w:asciiTheme="minorHAnsi" w:eastAsia="Calibri" w:hAnsiTheme="minorHAnsi" w:cstheme="minorHAnsi"/>
          <w:color w:val="000000" w:themeColor="text1"/>
          <w:sz w:val="22"/>
          <w:szCs w:val="22"/>
          <w:vertAlign w:val="superscript"/>
        </w:rPr>
        <w:instrText>ADDIN CSL_CITATION {"citationItems":[{"id":"ITEM-1","itemData":{"DOI":"10.1111/ecc.12491","ISSN":"0961-5423","abstract":"We aimed to ascertain the implementation of body composition assessment, by means of fat-free mass index (FFMI), fat mass index (FMI) and presence of sarcopenic obesity, in colorectal cancer population, on the basis of hospital length of stay (LOS) determination and to benchmark their discriminatory performance with other nutrition status algorithms, such as body mass index (BMI) and Malnutrition Universal Screening Tool (MUST). Ninety adult patients with operable colorectal cancer were enrolled. Study parameters included demographic and anthropometric data registration, BMI and MUST calculation and body composition parameters measurement within 24-h post-admission. Hospital LOS constituted the outcome of interest, using 7 days as cut-off point. Fifty-one patients (56.7%) were hospitalised for ≤7 days. The presence of sarcopenic obesity affected adversely hospital LOS (OR, 9.236; 95% CI, 3.278-26.173, P = 0.000). Low FFMI (OR, 7.457; 95% CI, 2.868-19.390, P = 0.000), malnutrition according to MUST (OR, 2.632; 95% CI, 1.280-5.413, P = 0.009) and high FMI (2.133; 95% CI, 1.111-4.094, P = 0.023) were the most powerful discriminators of accelerated hospitalisation. Loss of lean body tissue, gain of adipose tissue and sarcopenic obesity confer noteworthy prognostic value being superior or equivalent to MUST in terms of hospital LOS determination in colorectal cancer resection setting. BMI presents inferior discrimination performance in this field.","author":[{"dropping-particle":"","family":"Tsaousi","given":"G","non-dropping-particle":"","parse-names":false,"suffix":""},{"dropping-particle":"","family":"Kokkota","given":"S","non-dropping-particle":"","parse-names":false,"suffix":""},{"dropping-particle":"","family":"Papakostas","given":"P","non-dropping-particle":"","parse-names":false,"suffix":""},{"dropping-particle":"","family":"Stavrou","given":"G","non-dropping-particle":"","parse-names":false,"suffix":""},{"dropping-particle":"","family":"Doumaki","given":"E","non-dropping-particle":"","parse-names":false,"suffix":""},{"dropping-particle":"","family":"Kotzampassi","given":"K","non-dropping-particle":"","parse-names":false,"suffix":""}],"container-title":"European Journal of Cancer Care","id":"ITEM-1","issue":"6","issued":{"date-parts":[["2017","11"]]},"note":"Accession Number: 126068743. Language: English. Entry Date: 20171111. Revision Date: 20171111. Publication Type: Article; research; tables/charts. Journal Subset: Core Nursing; Europe; Nursing; Peer Reviewed; UK &amp;amp; Ireland. Instrumentation: Malnutrition Universal Screening Tool (MUST). NLM UID: 9301979.","page":"n/a-n/a","publisher":"Wiley-Blackwell","publisher-place":"Department of Anesthesiology and ICU, Faculty of Medicine, Aristotle University of Thessaloniki","title":"Body composition analysis for discrimination of prolonged hospital stay in colorectal cancer surgery patients.","type":"article-journal","volume":"26"},"uris":["http://www.mendeley.com/documents/?uuid=bfe70df8-2fb6-4892-9d8c-a4acc4b94327"]}],"mendeley":{"formattedCitation":"[32]","plainTextFormattedCitation":"[32]","previouslyFormattedCitation":"[33]"},"properties":{"noteIndex":0},"schema":"https://github.com/citation-style-language/schema/raw/master/csl-citation.json"}</w:instrText>
      </w:r>
      <w:r w:rsidR="003662F1" w:rsidRPr="00332C8B">
        <w:rPr>
          <w:rFonts w:asciiTheme="minorHAnsi" w:eastAsia="Calibri" w:hAnsiTheme="minorHAnsi" w:cstheme="minorHAnsi"/>
          <w:color w:val="000000" w:themeColor="text1"/>
          <w:sz w:val="22"/>
          <w:szCs w:val="22"/>
          <w:vertAlign w:val="superscript"/>
        </w:rPr>
        <w:fldChar w:fldCharType="separate"/>
      </w:r>
      <w:r w:rsidR="00F66CFF" w:rsidRPr="00332C8B">
        <w:rPr>
          <w:rFonts w:asciiTheme="minorHAnsi" w:eastAsia="Calibri" w:hAnsiTheme="minorHAnsi" w:cstheme="minorHAnsi"/>
          <w:noProof/>
          <w:color w:val="000000" w:themeColor="text1"/>
          <w:sz w:val="22"/>
          <w:szCs w:val="22"/>
        </w:rPr>
        <w:t>[32]</w:t>
      </w:r>
      <w:r w:rsidR="003662F1" w:rsidRPr="00332C8B">
        <w:rPr>
          <w:rFonts w:asciiTheme="minorHAnsi" w:eastAsia="Calibri" w:hAnsiTheme="minorHAnsi" w:cstheme="minorHAnsi"/>
          <w:color w:val="000000" w:themeColor="text1"/>
          <w:sz w:val="22"/>
          <w:szCs w:val="22"/>
          <w:vertAlign w:val="superscript"/>
        </w:rPr>
        <w:fldChar w:fldCharType="end"/>
      </w:r>
      <w:r w:rsidRPr="00332C8B">
        <w:rPr>
          <w:rFonts w:asciiTheme="minorHAnsi" w:eastAsia="Calibri" w:hAnsiTheme="minorHAnsi" w:cstheme="minorHAnsi"/>
          <w:color w:val="000000" w:themeColor="text1"/>
          <w:sz w:val="22"/>
          <w:szCs w:val="22"/>
          <w:vertAlign w:val="superscript"/>
        </w:rPr>
        <w:t>,</w:t>
      </w:r>
      <w:r w:rsidR="003662F1" w:rsidRPr="00332C8B">
        <w:rPr>
          <w:rFonts w:asciiTheme="minorHAnsi" w:eastAsia="Calibri" w:hAnsiTheme="minorHAnsi" w:cstheme="minorHAnsi"/>
          <w:color w:val="000000" w:themeColor="text1"/>
          <w:sz w:val="22"/>
          <w:szCs w:val="22"/>
          <w:vertAlign w:val="superscript"/>
        </w:rPr>
        <w:fldChar w:fldCharType="begin" w:fldLock="1"/>
      </w:r>
      <w:r w:rsidR="00F66CFF" w:rsidRPr="00332C8B">
        <w:rPr>
          <w:rFonts w:asciiTheme="minorHAnsi" w:eastAsia="Calibri" w:hAnsiTheme="minorHAnsi" w:cstheme="minorHAnsi"/>
          <w:color w:val="000000" w:themeColor="text1"/>
          <w:sz w:val="22"/>
          <w:szCs w:val="22"/>
          <w:vertAlign w:val="superscript"/>
        </w:rPr>
        <w:instrText>ADDIN CSL_CITATION {"citationItems":[{"id":"ITEM-1","itemData":{"DOI":"http://dx.doi.org/10.1111/jog.12554","ISSN":"1341-8076","abstract":"Abstract Aim This study used the measure of percentage of body fat (%BF) to define obesity and evaluated the effect of percentage of %BF on clinical, surgical and pathological features in women with endometrial cancer. Methods Between 2011 and 2013, bioelectrical impedance analysis and body size measurements of 94 patients whose endometrial biopsy revealed endometrial cancer were obtained. Patients were divided into two groups according to body mass index (BMI) (normal, &lt;30 kg/m2; elevated, &gt;=30 kg/m2), and also classified by %BF (normal, &lt;32%; elevated, &gt;=32%). Results The patients' mean age was 55.0 +/- 10.9 years. Mean %BF and BMI were 40.8% +/- 9.8% and 32.9 +/- 7.5, respectively. Eighty-three (88%) patients were obese according to %BF; 54 (57%) were obese according to BMI. Patients with elevated %BF were more likely to have less than 50% myometrial invasion (P = 0.004). Significantly more para-aortic lymph nodes were retrieved in patients with normal %BF or BMI (P &lt; 0.001, P &lt; 0.001). Patients with elevated %BF had longer operating times (P = 0.043) and were more likely to have stage I disease than patients with normal %BF (P &lt; 0.001). Conclusion Endometrial cancer patients with an elevated %BF are more likely to have stage I disease and less than 50% myometrial invasion than patients with normal %BF. Defining obesity by BF may provide better estimation of obesity prevalence in patients with endometrial cancer and further understanding the relationship between BF with endometrial cancer may give more information about the effects of obesity on endometrial cancer.Copyright © 2014 The Authors.","author":[{"dropping-particle":"","family":"O.","given":"Secilmis Kerimoglu","non-dropping-particle":"","parse-names":false,"suffix":""},{"dropping-particle":"","family":"A.","given":"Pekin","non-dropping-particle":"","parse-names":false,"suffix":""},{"dropping-particle":"","family":"S.A.","given":"Yilmaz","non-dropping-particle":"","parse-names":false,"suffix":""},{"dropping-particle":"","family":"G.","given":"Yavas","non-dropping-particle":"","parse-names":false,"suffix":""},{"dropping-particle":"","family":"F.","given":"Beyhekim","non-dropping-particle":"","parse-names":false,"suffix":""},{"dropping-particle":"","family":"A.A.","given":"Demirtas","non-dropping-particle":"","parse-names":false,"suffix":""},{"dropping-particle":"","family":"N.U.","given":"Dogan","non-dropping-particle":"","parse-names":false,"suffix":""},{"dropping-particle":"","family":"T.T.","given":"Ilhan","non-dropping-particle":"","parse-names":false,"suffix":""}],"container-title":"Journal of Obstetrics and Gynaecology Research","id":"ITEM-1","issue":"3","issued":{"date-parts":[["2015"]]},"page":"449-455","publisher":"Blackwell Publishing (E-mail: info@asia.blackpublishing.com.au)","publisher-place":"O. Secilmis Kerimoglu, Selcuk Universitesi Tip Fakultesi, Kadin Hastaliklari ve Dogum ABD, Kampus, Selcuklu 42000, Turkey","title":"Effect of the percentage of body fat on surgical, clinical and pathological outcomes in women with endometrial cancer","type":"article-journal","volume":"41"},"uris":["http://www.mendeley.com/documents/?uuid=fab9c483-886b-4d5f-9d60-16cb99d77d36"]}],"mendeley":{"formattedCitation":"[38]","plainTextFormattedCitation":"[38]","previouslyFormattedCitation":"[39]"},"properties":{"noteIndex":0},"schema":"https://github.com/citation-style-language/schema/raw/master/csl-citation.json"}</w:instrText>
      </w:r>
      <w:r w:rsidR="003662F1" w:rsidRPr="00332C8B">
        <w:rPr>
          <w:rFonts w:asciiTheme="minorHAnsi" w:eastAsia="Calibri" w:hAnsiTheme="minorHAnsi" w:cstheme="minorHAnsi"/>
          <w:color w:val="000000" w:themeColor="text1"/>
          <w:sz w:val="22"/>
          <w:szCs w:val="22"/>
          <w:vertAlign w:val="superscript"/>
        </w:rPr>
        <w:fldChar w:fldCharType="separate"/>
      </w:r>
      <w:r w:rsidR="00F66CFF" w:rsidRPr="00332C8B">
        <w:rPr>
          <w:rFonts w:asciiTheme="minorHAnsi" w:eastAsia="Calibri" w:hAnsiTheme="minorHAnsi" w:cstheme="minorHAnsi"/>
          <w:noProof/>
          <w:color w:val="000000" w:themeColor="text1"/>
          <w:sz w:val="22"/>
          <w:szCs w:val="22"/>
        </w:rPr>
        <w:t>[38]</w:t>
      </w:r>
      <w:r w:rsidR="003662F1" w:rsidRPr="00332C8B">
        <w:rPr>
          <w:rFonts w:asciiTheme="minorHAnsi" w:eastAsia="Calibri" w:hAnsiTheme="minorHAnsi" w:cstheme="minorHAnsi"/>
          <w:color w:val="000000" w:themeColor="text1"/>
          <w:sz w:val="22"/>
          <w:szCs w:val="22"/>
          <w:vertAlign w:val="superscript"/>
        </w:rPr>
        <w:fldChar w:fldCharType="end"/>
      </w:r>
      <w:r w:rsidRPr="00332C8B">
        <w:rPr>
          <w:rFonts w:asciiTheme="minorHAnsi" w:eastAsia="Calibri" w:hAnsiTheme="minorHAnsi" w:cstheme="minorHAnsi"/>
          <w:color w:val="000000" w:themeColor="text1"/>
          <w:sz w:val="22"/>
          <w:szCs w:val="22"/>
          <w:vertAlign w:val="superscript"/>
        </w:rPr>
        <w:t>,</w:t>
      </w:r>
      <w:r w:rsidR="003662F1" w:rsidRPr="00332C8B">
        <w:rPr>
          <w:rFonts w:asciiTheme="minorHAnsi" w:eastAsia="Calibri" w:hAnsiTheme="minorHAnsi" w:cstheme="minorHAnsi"/>
          <w:color w:val="000000" w:themeColor="text1"/>
          <w:sz w:val="22"/>
          <w:szCs w:val="22"/>
          <w:vertAlign w:val="superscript"/>
        </w:rPr>
        <w:fldChar w:fldCharType="begin" w:fldLock="1"/>
      </w:r>
      <w:r w:rsidR="00F66CFF" w:rsidRPr="00332C8B">
        <w:rPr>
          <w:rFonts w:asciiTheme="minorHAnsi" w:eastAsia="Calibri" w:hAnsiTheme="minorHAnsi" w:cstheme="minorHAnsi"/>
          <w:color w:val="000000" w:themeColor="text1"/>
          <w:sz w:val="22"/>
          <w:szCs w:val="22"/>
          <w:vertAlign w:val="superscript"/>
        </w:rPr>
        <w:instrText>ADDIN CSL_CITATION {"citationItems":[{"id":"ITEM-1","itemData":{"ISSN":"0748-7983","abstract":"The correlation between body composition measured by bioelectrical impedance (BIA) and postoperative complications in 115 patients with gastrointestinal cancer was analysed. A significant increase in severe complications was found independent of lean body mass (LBM). In patients with LBM below the normal range the complication rate proved to be 31% (17/55), whereas patients with normal LBM had a complication rate of 10% (6/60). Other decisive factors, such as sex, age, tumor stage, operative procedure and body height were equally distributed in both groups. The practicability and efficiency of BIA became obvious in this study.","author":[{"dropping-particle":"","family":"T.","given":"Fritz","non-dropping-particle":"","parse-names":false,"suffix":""},{"dropping-particle":"","family":"I.","given":"Hollwarth","non-dropping-particle":"","parse-names":false,"suffix":""},{"dropping-particle":"","family":"M.","given":"Romaschow","non-dropping-particle":"","parse-names":false,"suffix":""}],"container-title":"European Journal of Surgical Oncology","id":"ITEM-1","issue":"4","issued":{"date-parts":[["1990"]]},"page":"326-331","publisher":"W.B. Saunders Ltd (32 Jamestown Road, London NW1 7BY, United Kingdom)","publisher-place":"P. Schlag, Department of Surgery, University of Heidelberg, Im Neuenheimer Feld 110, D-6900 Heidelberg, Germany","title":"The predictive role of bioelectrical impedance analysis (BIA) in postoperative complications of cancer patients","type":"article-journal","volume":"16"},"uris":["http://www.mendeley.com/documents/?uuid=e0444ba5-8fa0-4676-9f2f-5be6618fbef1"]}],"mendeley":{"formattedCitation":"[41]","plainTextFormattedCitation":"[41]","previouslyFormattedCitation":"[42]"},"properties":{"noteIndex":0},"schema":"https://github.com/citation-style-language/schema/raw/master/csl-citation.json"}</w:instrText>
      </w:r>
      <w:r w:rsidR="003662F1" w:rsidRPr="00332C8B">
        <w:rPr>
          <w:rFonts w:asciiTheme="minorHAnsi" w:eastAsia="Calibri" w:hAnsiTheme="minorHAnsi" w:cstheme="minorHAnsi"/>
          <w:color w:val="000000" w:themeColor="text1"/>
          <w:sz w:val="22"/>
          <w:szCs w:val="22"/>
          <w:vertAlign w:val="superscript"/>
        </w:rPr>
        <w:fldChar w:fldCharType="separate"/>
      </w:r>
      <w:r w:rsidR="00F66CFF" w:rsidRPr="00332C8B">
        <w:rPr>
          <w:rFonts w:asciiTheme="minorHAnsi" w:eastAsia="Calibri" w:hAnsiTheme="minorHAnsi" w:cstheme="minorHAnsi"/>
          <w:noProof/>
          <w:color w:val="000000" w:themeColor="text1"/>
          <w:sz w:val="22"/>
          <w:szCs w:val="22"/>
        </w:rPr>
        <w:t>[41]</w:t>
      </w:r>
      <w:r w:rsidR="003662F1" w:rsidRPr="00332C8B">
        <w:rPr>
          <w:rFonts w:asciiTheme="minorHAnsi" w:eastAsia="Calibri" w:hAnsiTheme="minorHAnsi" w:cstheme="minorHAnsi"/>
          <w:color w:val="000000" w:themeColor="text1"/>
          <w:sz w:val="22"/>
          <w:szCs w:val="22"/>
          <w:vertAlign w:val="superscript"/>
        </w:rPr>
        <w:fldChar w:fldCharType="end"/>
      </w:r>
      <w:r w:rsidRPr="00332C8B">
        <w:rPr>
          <w:rFonts w:asciiTheme="minorHAnsi" w:eastAsia="Calibri" w:hAnsiTheme="minorHAnsi" w:cstheme="minorHAnsi"/>
          <w:color w:val="000000" w:themeColor="text1"/>
          <w:sz w:val="22"/>
          <w:szCs w:val="22"/>
        </w:rPr>
        <w:t>.</w:t>
      </w:r>
    </w:p>
    <w:p w14:paraId="67456650" w14:textId="77777777" w:rsidR="007063DD" w:rsidRPr="00332C8B" w:rsidRDefault="007063DD" w:rsidP="00F0414E">
      <w:pPr>
        <w:spacing w:after="160" w:line="480" w:lineRule="auto"/>
        <w:rPr>
          <w:rFonts w:asciiTheme="minorHAnsi" w:eastAsia="Calibri" w:hAnsiTheme="minorHAnsi" w:cstheme="minorHAnsi"/>
          <w:color w:val="000000" w:themeColor="text1"/>
          <w:sz w:val="22"/>
          <w:szCs w:val="22"/>
        </w:rPr>
        <w:sectPr w:rsidR="007063DD" w:rsidRPr="00332C8B" w:rsidSect="006937F2">
          <w:footerReference w:type="even" r:id="rId9"/>
          <w:footerReference w:type="default" r:id="rId10"/>
          <w:pgSz w:w="11906" w:h="16838"/>
          <w:pgMar w:top="1440" w:right="1440" w:bottom="1440" w:left="1440" w:header="709" w:footer="709" w:gutter="0"/>
          <w:cols w:space="720"/>
          <w:docGrid w:linePitch="360"/>
        </w:sectPr>
      </w:pPr>
    </w:p>
    <w:p w14:paraId="6C72F875" w14:textId="77777777" w:rsidR="00D03030" w:rsidRPr="00332C8B" w:rsidRDefault="00D03030" w:rsidP="00F0414E">
      <w:pPr>
        <w:spacing w:line="480" w:lineRule="auto"/>
        <w:rPr>
          <w:rFonts w:asciiTheme="minorHAnsi" w:eastAsia="Calibri" w:hAnsiTheme="minorHAnsi" w:cstheme="minorHAnsi"/>
          <w:b/>
          <w:bCs/>
          <w:color w:val="000000" w:themeColor="text1"/>
          <w:sz w:val="22"/>
          <w:szCs w:val="22"/>
        </w:rPr>
      </w:pPr>
      <w:r w:rsidRPr="00332C8B">
        <w:rPr>
          <w:rFonts w:asciiTheme="minorHAnsi" w:eastAsia="Calibri" w:hAnsiTheme="minorHAnsi" w:cstheme="minorHAnsi"/>
          <w:b/>
          <w:bCs/>
          <w:color w:val="000000" w:themeColor="text1"/>
          <w:sz w:val="22"/>
          <w:szCs w:val="22"/>
        </w:rPr>
        <w:t xml:space="preserve">Table </w:t>
      </w:r>
      <w:r w:rsidR="00F877DC" w:rsidRPr="00332C8B">
        <w:rPr>
          <w:rFonts w:asciiTheme="minorHAnsi" w:eastAsia="Calibri" w:hAnsiTheme="minorHAnsi" w:cstheme="minorHAnsi"/>
          <w:b/>
          <w:bCs/>
          <w:color w:val="000000" w:themeColor="text1"/>
          <w:sz w:val="22"/>
          <w:szCs w:val="22"/>
        </w:rPr>
        <w:t>1</w:t>
      </w:r>
    </w:p>
    <w:p w14:paraId="11B281D7" w14:textId="3B972AC1" w:rsidR="007063DD" w:rsidRPr="00332C8B" w:rsidRDefault="00D03030" w:rsidP="00F0414E">
      <w:pPr>
        <w:spacing w:line="480" w:lineRule="auto"/>
        <w:rPr>
          <w:rFonts w:asciiTheme="minorHAnsi" w:eastAsia="Calibri" w:hAnsiTheme="minorHAnsi" w:cstheme="minorHAnsi"/>
          <w:color w:val="000000" w:themeColor="text1"/>
          <w:sz w:val="22"/>
          <w:szCs w:val="22"/>
        </w:rPr>
      </w:pPr>
      <w:r w:rsidRPr="00332C8B">
        <w:rPr>
          <w:rFonts w:asciiTheme="minorHAnsi" w:eastAsia="Calibri" w:hAnsiTheme="minorHAnsi" w:cstheme="minorHAnsi"/>
          <w:color w:val="000000" w:themeColor="text1"/>
          <w:sz w:val="22"/>
          <w:szCs w:val="22"/>
        </w:rPr>
        <w:t>General characteristics of the included studies</w:t>
      </w:r>
    </w:p>
    <w:p w14:paraId="315006AE" w14:textId="77777777" w:rsidR="00CA30FA" w:rsidRPr="00332C8B" w:rsidRDefault="00CA30FA" w:rsidP="00F0414E">
      <w:pPr>
        <w:spacing w:line="480" w:lineRule="auto"/>
        <w:rPr>
          <w:rFonts w:asciiTheme="minorHAnsi" w:eastAsia="Calibri" w:hAnsiTheme="minorHAnsi" w:cstheme="minorHAnsi"/>
          <w:color w:val="000000" w:themeColor="text1"/>
          <w:sz w:val="22"/>
          <w:szCs w:val="22"/>
        </w:rPr>
      </w:pPr>
    </w:p>
    <w:tbl>
      <w:tblPr>
        <w:tblStyle w:val="ListTable6Colorful1"/>
        <w:tblW w:w="5000" w:type="pct"/>
        <w:jc w:val="center"/>
        <w:tblLook w:val="04A0" w:firstRow="1" w:lastRow="0" w:firstColumn="1" w:lastColumn="0" w:noHBand="0" w:noVBand="1"/>
      </w:tblPr>
      <w:tblGrid>
        <w:gridCol w:w="1217"/>
        <w:gridCol w:w="1736"/>
        <w:gridCol w:w="1736"/>
        <w:gridCol w:w="1786"/>
        <w:gridCol w:w="1446"/>
        <w:gridCol w:w="809"/>
        <w:gridCol w:w="1099"/>
        <w:gridCol w:w="1415"/>
        <w:gridCol w:w="1415"/>
        <w:gridCol w:w="1415"/>
        <w:gridCol w:w="1540"/>
      </w:tblGrid>
      <w:tr w:rsidR="00685F1B" w:rsidRPr="00332C8B" w14:paraId="776CDBC7" w14:textId="77777777" w:rsidTr="00CA30F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 w:type="pct"/>
            <w:tcBorders>
              <w:top w:val="single" w:sz="12" w:space="0" w:color="auto"/>
              <w:bottom w:val="single" w:sz="12" w:space="0" w:color="auto"/>
            </w:tcBorders>
            <w:shd w:val="clear" w:color="auto" w:fill="auto"/>
            <w:vAlign w:val="center"/>
          </w:tcPr>
          <w:p w14:paraId="082BC6C9" w14:textId="7B68E95B" w:rsidR="006E0A6E" w:rsidRPr="00332C8B" w:rsidRDefault="006E0A6E" w:rsidP="00F0414E">
            <w:pPr>
              <w:spacing w:line="480" w:lineRule="auto"/>
              <w:jc w:val="center"/>
              <w:rPr>
                <w:rFonts w:asciiTheme="minorHAnsi" w:eastAsia="Calibri" w:hAnsiTheme="minorHAnsi" w:cstheme="minorHAnsi"/>
                <w:b w:val="0"/>
                <w:bCs w:val="0"/>
                <w:color w:val="000000" w:themeColor="text1"/>
                <w:sz w:val="20"/>
                <w:szCs w:val="20"/>
              </w:rPr>
            </w:pPr>
            <w:r w:rsidRPr="00332C8B">
              <w:rPr>
                <w:rFonts w:asciiTheme="minorHAnsi" w:eastAsia="Calibri" w:hAnsiTheme="minorHAnsi" w:cstheme="minorHAnsi"/>
                <w:color w:val="000000" w:themeColor="text1"/>
                <w:sz w:val="20"/>
                <w:szCs w:val="20"/>
              </w:rPr>
              <w:t>Author,</w:t>
            </w:r>
          </w:p>
          <w:p w14:paraId="1275D0E8" w14:textId="77777777" w:rsidR="006E0A6E" w:rsidRPr="00332C8B" w:rsidRDefault="006E0A6E" w:rsidP="00F0414E">
            <w:pPr>
              <w:spacing w:line="480" w:lineRule="auto"/>
              <w:jc w:val="center"/>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Year</w:t>
            </w:r>
          </w:p>
        </w:tc>
        <w:tc>
          <w:tcPr>
            <w:tcW w:w="556" w:type="pct"/>
            <w:tcBorders>
              <w:top w:val="single" w:sz="12" w:space="0" w:color="auto"/>
              <w:bottom w:val="single" w:sz="12" w:space="0" w:color="auto"/>
            </w:tcBorders>
            <w:shd w:val="clear" w:color="auto" w:fill="auto"/>
            <w:vAlign w:val="center"/>
          </w:tcPr>
          <w:p w14:paraId="43A8749F" w14:textId="106CDE48" w:rsidR="006E0A6E" w:rsidRPr="00332C8B" w:rsidRDefault="006E0A6E" w:rsidP="00F0414E">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Country</w:t>
            </w:r>
          </w:p>
        </w:tc>
        <w:tc>
          <w:tcPr>
            <w:tcW w:w="556" w:type="pct"/>
            <w:tcBorders>
              <w:top w:val="single" w:sz="12" w:space="0" w:color="auto"/>
              <w:bottom w:val="single" w:sz="12" w:space="0" w:color="auto"/>
            </w:tcBorders>
            <w:shd w:val="clear" w:color="auto" w:fill="auto"/>
            <w:vAlign w:val="center"/>
          </w:tcPr>
          <w:p w14:paraId="4CDC1D7C" w14:textId="3EFB2432" w:rsidR="006E0A6E" w:rsidRPr="00332C8B" w:rsidRDefault="006E0A6E" w:rsidP="00F0414E">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Cancer/s</w:t>
            </w:r>
          </w:p>
        </w:tc>
        <w:tc>
          <w:tcPr>
            <w:tcW w:w="572" w:type="pct"/>
            <w:tcBorders>
              <w:top w:val="single" w:sz="12" w:space="0" w:color="auto"/>
              <w:bottom w:val="single" w:sz="12" w:space="0" w:color="auto"/>
            </w:tcBorders>
            <w:shd w:val="clear" w:color="auto" w:fill="auto"/>
            <w:vAlign w:val="center"/>
          </w:tcPr>
          <w:p w14:paraId="336409A5" w14:textId="77777777" w:rsidR="006E0A6E" w:rsidRPr="00332C8B" w:rsidRDefault="006E0A6E" w:rsidP="00F0414E">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Device</w:t>
            </w:r>
          </w:p>
        </w:tc>
        <w:tc>
          <w:tcPr>
            <w:tcW w:w="463" w:type="pct"/>
            <w:tcBorders>
              <w:top w:val="single" w:sz="12" w:space="0" w:color="auto"/>
              <w:bottom w:val="single" w:sz="12" w:space="0" w:color="auto"/>
            </w:tcBorders>
            <w:shd w:val="clear" w:color="auto" w:fill="auto"/>
            <w:vAlign w:val="center"/>
          </w:tcPr>
          <w:p w14:paraId="3465579B" w14:textId="3977715A" w:rsidR="006E0A6E" w:rsidRPr="00332C8B" w:rsidRDefault="006E0A6E" w:rsidP="00F0414E">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Lead configuration</w:t>
            </w:r>
          </w:p>
        </w:tc>
        <w:tc>
          <w:tcPr>
            <w:tcW w:w="259" w:type="pct"/>
            <w:tcBorders>
              <w:top w:val="single" w:sz="12" w:space="0" w:color="auto"/>
              <w:bottom w:val="single" w:sz="12" w:space="0" w:color="auto"/>
            </w:tcBorders>
            <w:shd w:val="clear" w:color="auto" w:fill="auto"/>
            <w:vAlign w:val="center"/>
          </w:tcPr>
          <w:p w14:paraId="1FD2D27D" w14:textId="0A428141" w:rsidR="006E0A6E" w:rsidRPr="00332C8B" w:rsidRDefault="006E0A6E" w:rsidP="00F0414E">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Mode</w:t>
            </w:r>
          </w:p>
        </w:tc>
        <w:tc>
          <w:tcPr>
            <w:tcW w:w="352" w:type="pct"/>
            <w:tcBorders>
              <w:top w:val="single" w:sz="12" w:space="0" w:color="auto"/>
              <w:bottom w:val="single" w:sz="12" w:space="0" w:color="auto"/>
            </w:tcBorders>
            <w:shd w:val="clear" w:color="auto" w:fill="auto"/>
            <w:vAlign w:val="center"/>
          </w:tcPr>
          <w:p w14:paraId="75E1CD30" w14:textId="77777777" w:rsidR="006E0A6E" w:rsidRPr="00332C8B" w:rsidRDefault="006E0A6E" w:rsidP="00F0414E">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Variables</w:t>
            </w:r>
          </w:p>
        </w:tc>
        <w:tc>
          <w:tcPr>
            <w:tcW w:w="453" w:type="pct"/>
            <w:tcBorders>
              <w:top w:val="single" w:sz="12" w:space="0" w:color="auto"/>
              <w:bottom w:val="single" w:sz="12" w:space="0" w:color="auto"/>
            </w:tcBorders>
            <w:shd w:val="clear" w:color="auto" w:fill="auto"/>
            <w:vAlign w:val="center"/>
          </w:tcPr>
          <w:p w14:paraId="6345C358" w14:textId="02CD3B4D" w:rsidR="006E0A6E" w:rsidRPr="00332C8B" w:rsidRDefault="006E0A6E" w:rsidP="00F0414E">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Raw data</w:t>
            </w:r>
          </w:p>
        </w:tc>
        <w:tc>
          <w:tcPr>
            <w:tcW w:w="453" w:type="pct"/>
            <w:tcBorders>
              <w:top w:val="single" w:sz="12" w:space="0" w:color="auto"/>
              <w:bottom w:val="single" w:sz="12" w:space="0" w:color="auto"/>
            </w:tcBorders>
            <w:shd w:val="clear" w:color="auto" w:fill="auto"/>
            <w:vAlign w:val="center"/>
          </w:tcPr>
          <w:p w14:paraId="1278D2DA" w14:textId="118C83AF" w:rsidR="006E0A6E" w:rsidRPr="00332C8B" w:rsidRDefault="00C3306B" w:rsidP="00F0414E">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Reference population</w:t>
            </w:r>
          </w:p>
        </w:tc>
        <w:tc>
          <w:tcPr>
            <w:tcW w:w="453" w:type="pct"/>
            <w:tcBorders>
              <w:top w:val="single" w:sz="12" w:space="0" w:color="auto"/>
              <w:bottom w:val="single" w:sz="12" w:space="0" w:color="auto"/>
            </w:tcBorders>
            <w:shd w:val="clear" w:color="auto" w:fill="auto"/>
            <w:vAlign w:val="center"/>
          </w:tcPr>
          <w:p w14:paraId="7289AB16" w14:textId="2A8A75E0" w:rsidR="006E0A6E" w:rsidRPr="00332C8B" w:rsidRDefault="002F07CA" w:rsidP="00F0414E">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Specific c</w:t>
            </w:r>
            <w:r w:rsidR="006E0A6E" w:rsidRPr="00332C8B">
              <w:rPr>
                <w:rFonts w:asciiTheme="minorHAnsi" w:eastAsia="Calibri" w:hAnsiTheme="minorHAnsi" w:cstheme="minorHAnsi"/>
                <w:color w:val="000000" w:themeColor="text1"/>
                <w:sz w:val="20"/>
                <w:szCs w:val="20"/>
              </w:rPr>
              <w:t>ut-off</w:t>
            </w:r>
          </w:p>
        </w:tc>
        <w:tc>
          <w:tcPr>
            <w:tcW w:w="493" w:type="pct"/>
            <w:tcBorders>
              <w:top w:val="single" w:sz="12" w:space="0" w:color="auto"/>
              <w:bottom w:val="single" w:sz="12" w:space="0" w:color="auto"/>
            </w:tcBorders>
            <w:shd w:val="clear" w:color="auto" w:fill="auto"/>
            <w:vAlign w:val="center"/>
          </w:tcPr>
          <w:p w14:paraId="2675668D" w14:textId="7D4230EF" w:rsidR="006E0A6E" w:rsidRPr="00332C8B" w:rsidRDefault="00CA30FA" w:rsidP="00F0414E">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Complication definition</w:t>
            </w:r>
          </w:p>
        </w:tc>
      </w:tr>
      <w:tr w:rsidR="00685F1B" w:rsidRPr="00332C8B" w14:paraId="0B460C08" w14:textId="77777777" w:rsidTr="00CA30FA">
        <w:trPr>
          <w:cnfStyle w:val="000000100000" w:firstRow="0" w:lastRow="0" w:firstColumn="0" w:lastColumn="0" w:oddVBand="0" w:evenVBand="0" w:oddHBand="1"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390" w:type="pct"/>
            <w:shd w:val="clear" w:color="auto" w:fill="auto"/>
            <w:vAlign w:val="center"/>
          </w:tcPr>
          <w:p w14:paraId="7404EEB5" w14:textId="3E10D735" w:rsidR="00DB746D" w:rsidRPr="00332C8B" w:rsidRDefault="00DB746D" w:rsidP="00F0414E">
            <w:pPr>
              <w:spacing w:line="480" w:lineRule="auto"/>
              <w:jc w:val="center"/>
              <w:rPr>
                <w:rFonts w:asciiTheme="minorHAnsi" w:eastAsia="Calibri" w:hAnsiTheme="minorHAnsi" w:cstheme="minorHAnsi"/>
                <w:b w:val="0"/>
                <w:bCs w:val="0"/>
                <w:color w:val="000000" w:themeColor="text1"/>
                <w:sz w:val="20"/>
                <w:szCs w:val="20"/>
              </w:rPr>
            </w:pPr>
            <w:r w:rsidRPr="00332C8B">
              <w:rPr>
                <w:rFonts w:asciiTheme="minorHAnsi" w:eastAsia="Calibri" w:hAnsiTheme="minorHAnsi" w:cstheme="minorHAnsi"/>
                <w:color w:val="000000" w:themeColor="text1"/>
                <w:sz w:val="20"/>
                <w:szCs w:val="20"/>
              </w:rPr>
              <w:t>Tamura, 2019</w:t>
            </w:r>
            <w:r w:rsidRPr="00332C8B">
              <w:rPr>
                <w:rFonts w:asciiTheme="minorHAnsi" w:eastAsia="Calibri" w:hAnsiTheme="minorHAnsi" w:cstheme="minorHAnsi"/>
                <w:color w:val="000000" w:themeColor="text1"/>
                <w:sz w:val="20"/>
                <w:szCs w:val="20"/>
              </w:rPr>
              <w:fldChar w:fldCharType="begin" w:fldLock="1"/>
            </w:r>
            <w:r w:rsidR="00F66CFF" w:rsidRPr="00332C8B">
              <w:rPr>
                <w:rFonts w:asciiTheme="minorHAnsi" w:eastAsia="Calibri" w:hAnsiTheme="minorHAnsi" w:cstheme="minorHAnsi"/>
                <w:color w:val="000000" w:themeColor="text1"/>
                <w:sz w:val="20"/>
                <w:szCs w:val="20"/>
              </w:rPr>
              <w:instrText>ADDIN CSL_CITATION {"citationItems":[{"id":"ITEM-1","itemData":{"DOI":"10.21873/anticanres.13203","ISSN":"0250-7005","abstract":"Background: Sarcopenia is known to have an important influence on\npostoperative complications in several diseases, and on the prognosis of\npatients with cancer. However, whether sarcopenia is associated with\ncomplications and prognosis after gastrectomy in patients with gastric\ncancer remains controversial. This study evaluated the impact of the\npreoperative muscle mass on postoperative complications of gastric\ncancer surgery. Materials and Methods: The muscle mass of 153 patients\nwho underwent gastrectomy for gastric cancer from January 2014 to August\n2016 was assessed before surgery by a multifrequency bioelectrical\nimpedance analysis (In Body 3.0; Biospace, Tokyo, Japan) and was\nexpressed as the muscle mass index (MMI). Sarcopenia was defined as an\nMMI value of one standard deviation or more below the gender-specific\nmean MMI. Complications of Clavien-Dindo grade 2 or more were defined as\nsignificant postoperative complications. The impact of preoperative\nsarcopenia on postoperative infectious complications was analyzed by\nunivariate and multivariate analyses. Results: A total of 153 patients\nwere analyzed, sarcopenia was present in 24 out of 153 patients\n(15.7%). Thirty (19.6%) patients developed postoperative\ncomplications, 20 (13.1%) of which were infectious complications.\nSarcopenia was significantly associated with age, body mass index, serum\nalbumin, pulmonary disease in comorbidities, operative time, surgical\napproach, and postoperative complications. The univariate analyses\nrevealed that male sex, sarcopenia, total gastrectomy, laparotomy, and\nintraoperative blood loss were associated with postoperative infectious\ncomplications. In the multivariate analyses, sarcopenia and\nintraoperative blood loss &gt;= 400 ml were independently associated with\npostoperative infectious complications. Conclusion: Preoperative\nsarcopenia was found to be an independent risk factor for postoperative\ninfectious complications in gastric cancer patients.","author":[{"dropping-particle":"","family":"Tamura","given":"Tatsuro","non-dropping-particle":"","parse-names":false,"suffix":""},{"dropping-particle":"","family":"Sakurai","given":"Katsunobu","non-dropping-particle":"","parse-names":false,"suffix":""},{"dropping-particle":"","family":"Nambara","given":"Mikio","non-dropping-particle":"","parse-names":false,"suffix":""},{"dropping-particle":"","family":"Miki","given":"Yuichiro","non-dropping-particle":"","parse-names":false,"suffix":""},{"dropping-particle":"","family":"Toyokawa","given":"Takahiro","non-dropping-particle":"","parse-names":false,"suffix":""},{"dropping-particle":"","family":"Kubo","given":"Naoshi","non-dropping-particle":"","parse-names":false,"suffix":""},{"dropping-particle":"","family":"Tanaka","given":"Hiroaki","non-dropping-particle":"","parse-names":false,"suffix":""},{"dropping-particle":"","family":"Muguruma","given":"Kazuya","non-dropping-particle":"","parse-names":false,"suffix":""},{"dropping-particle":"","family":"Yashiro","given":"Masakazu","non-dropping-particle":"","parse-names":false,"suffix":""},{"dropping-particle":"","family":"Ohira","given":"Masaichi","non-dropping-particle":"","parse-names":false,"suffix":""}],"container-title":"ANTICANCER RESEARCH","id":"ITEM-1","issue":"2","issued":{"date-parts":[["2019","2"]]},"page":"987-992","title":"Adverse Effects of Preoperative Sarcopenia on Postoperative Complications of Patients With Gastric Cancer","type":"article-journal","volume":"39"},"uris":["http://www.mendeley.com/documents/?uuid=b0dc6cbe-eae3-4fb0-979a-e02b6496d53b"]}],"mendeley":{"formattedCitation":"[33]","plainTextFormattedCitation":"[33]","previouslyFormattedCitation":"[34]"},"properties":{"noteIndex":0},"schema":"https://github.com/citation-style-language/schema/raw/master/csl-citation.json"}</w:instrText>
            </w:r>
            <w:r w:rsidRPr="00332C8B">
              <w:rPr>
                <w:rFonts w:asciiTheme="minorHAnsi" w:eastAsia="Calibri" w:hAnsiTheme="minorHAnsi" w:cstheme="minorHAnsi"/>
                <w:color w:val="000000" w:themeColor="text1"/>
                <w:sz w:val="20"/>
                <w:szCs w:val="20"/>
              </w:rPr>
              <w:fldChar w:fldCharType="separate"/>
            </w:r>
            <w:r w:rsidR="00F66CFF" w:rsidRPr="00332C8B">
              <w:rPr>
                <w:rFonts w:asciiTheme="minorHAnsi" w:eastAsia="Calibri" w:hAnsiTheme="minorHAnsi" w:cstheme="minorHAnsi"/>
                <w:b w:val="0"/>
                <w:noProof/>
                <w:color w:val="000000" w:themeColor="text1"/>
                <w:sz w:val="20"/>
                <w:szCs w:val="20"/>
              </w:rPr>
              <w:t>[33]</w:t>
            </w:r>
            <w:r w:rsidRPr="00332C8B">
              <w:rPr>
                <w:rFonts w:asciiTheme="minorHAnsi" w:eastAsia="Calibri" w:hAnsiTheme="minorHAnsi" w:cstheme="minorHAnsi"/>
                <w:color w:val="000000" w:themeColor="text1"/>
                <w:sz w:val="20"/>
                <w:szCs w:val="20"/>
              </w:rPr>
              <w:fldChar w:fldCharType="end"/>
            </w:r>
          </w:p>
        </w:tc>
        <w:tc>
          <w:tcPr>
            <w:tcW w:w="556" w:type="pct"/>
            <w:shd w:val="clear" w:color="auto" w:fill="auto"/>
            <w:vAlign w:val="center"/>
          </w:tcPr>
          <w:p w14:paraId="7C4682C5" w14:textId="1CD8DEBB" w:rsidR="00DB746D" w:rsidRPr="00332C8B" w:rsidRDefault="00D111CC"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Japan</w:t>
            </w:r>
          </w:p>
        </w:tc>
        <w:tc>
          <w:tcPr>
            <w:tcW w:w="556" w:type="pct"/>
            <w:shd w:val="clear" w:color="auto" w:fill="auto"/>
            <w:vAlign w:val="center"/>
          </w:tcPr>
          <w:p w14:paraId="3813CADC" w14:textId="1CDA49AC" w:rsidR="00DB746D" w:rsidRPr="00332C8B" w:rsidRDefault="00DB746D"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Gastric (n=153)</w:t>
            </w:r>
          </w:p>
        </w:tc>
        <w:tc>
          <w:tcPr>
            <w:tcW w:w="572" w:type="pct"/>
            <w:shd w:val="clear" w:color="auto" w:fill="auto"/>
            <w:vAlign w:val="center"/>
          </w:tcPr>
          <w:p w14:paraId="6A5A272C" w14:textId="02E75CC5" w:rsidR="00DB746D" w:rsidRPr="00332C8B" w:rsidRDefault="00DB746D"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iCs/>
                <w:color w:val="000000" w:themeColor="text1"/>
                <w:sz w:val="20"/>
                <w:szCs w:val="20"/>
              </w:rPr>
              <w:t>Inbody 3.0</w:t>
            </w:r>
            <w:r w:rsidR="0077514A" w:rsidRPr="00332C8B">
              <w:rPr>
                <w:rFonts w:asciiTheme="minorHAnsi" w:eastAsia="Calibri" w:hAnsiTheme="minorHAnsi" w:cstheme="minorHAnsi"/>
                <w:iCs/>
                <w:color w:val="000000" w:themeColor="text1"/>
                <w:sz w:val="20"/>
                <w:szCs w:val="20"/>
              </w:rPr>
              <w:t>, Biospace, Japan</w:t>
            </w:r>
          </w:p>
        </w:tc>
        <w:tc>
          <w:tcPr>
            <w:tcW w:w="463" w:type="pct"/>
            <w:shd w:val="clear" w:color="auto" w:fill="auto"/>
            <w:vAlign w:val="center"/>
          </w:tcPr>
          <w:p w14:paraId="1F9DA73E" w14:textId="69112ABC" w:rsidR="00DB746D" w:rsidRPr="00332C8B" w:rsidRDefault="00D111CC"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Not reported</w:t>
            </w:r>
          </w:p>
        </w:tc>
        <w:tc>
          <w:tcPr>
            <w:tcW w:w="259" w:type="pct"/>
            <w:shd w:val="clear" w:color="auto" w:fill="auto"/>
            <w:vAlign w:val="center"/>
          </w:tcPr>
          <w:p w14:paraId="7E25AA58" w14:textId="1F4EC891" w:rsidR="00DB746D" w:rsidRPr="00332C8B" w:rsidRDefault="00DB746D"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MF</w:t>
            </w:r>
          </w:p>
        </w:tc>
        <w:tc>
          <w:tcPr>
            <w:tcW w:w="352" w:type="pct"/>
            <w:shd w:val="clear" w:color="auto" w:fill="auto"/>
            <w:vAlign w:val="center"/>
          </w:tcPr>
          <w:p w14:paraId="0604F459" w14:textId="2C711840" w:rsidR="00DB746D" w:rsidRPr="00332C8B" w:rsidRDefault="00DB746D"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MMI</w:t>
            </w:r>
          </w:p>
        </w:tc>
        <w:tc>
          <w:tcPr>
            <w:tcW w:w="453" w:type="pct"/>
            <w:shd w:val="clear" w:color="auto" w:fill="auto"/>
            <w:vAlign w:val="center"/>
          </w:tcPr>
          <w:p w14:paraId="071EAFE9" w14:textId="52A16C2D" w:rsidR="00DB746D" w:rsidRPr="00332C8B" w:rsidRDefault="00D111CC"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Not reported</w:t>
            </w:r>
          </w:p>
        </w:tc>
        <w:tc>
          <w:tcPr>
            <w:tcW w:w="453" w:type="pct"/>
            <w:shd w:val="clear" w:color="auto" w:fill="auto"/>
            <w:vAlign w:val="center"/>
          </w:tcPr>
          <w:p w14:paraId="3F4F2C40" w14:textId="15BFDA2F" w:rsidR="00DB746D" w:rsidRPr="00332C8B" w:rsidRDefault="00D111CC"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N/A</w:t>
            </w:r>
          </w:p>
        </w:tc>
        <w:tc>
          <w:tcPr>
            <w:tcW w:w="453" w:type="pct"/>
            <w:shd w:val="clear" w:color="auto" w:fill="auto"/>
            <w:vAlign w:val="center"/>
          </w:tcPr>
          <w:p w14:paraId="5B616C57" w14:textId="002EE80B" w:rsidR="00DB746D" w:rsidRPr="00332C8B" w:rsidRDefault="00DB746D"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4"/>
                <w:sz w:val="20"/>
                <w:szCs w:val="20"/>
                <w:lang w:eastAsia="en-GB"/>
              </w:rPr>
            </w:pPr>
            <w:r w:rsidRPr="00332C8B">
              <w:rPr>
                <w:rFonts w:asciiTheme="minorHAnsi" w:eastAsia="Calibri" w:hAnsiTheme="minorHAnsi" w:cstheme="minorHAnsi"/>
                <w:color w:val="000000" w:themeColor="text1"/>
                <w:sz w:val="20"/>
                <w:szCs w:val="20"/>
              </w:rPr>
              <w:t xml:space="preserve">MMI &lt; 1 </w:t>
            </w:r>
            <w:r w:rsidRPr="00332C8B">
              <w:rPr>
                <w:rFonts w:asciiTheme="minorHAnsi" w:eastAsia="Calibri" w:hAnsiTheme="minorHAnsi" w:cstheme="minorHAnsi"/>
                <w:color w:val="000000" w:themeColor="text1"/>
                <w:sz w:val="20"/>
                <w:szCs w:val="20"/>
              </w:rPr>
              <w:sym w:font="Symbol" w:char="F073"/>
            </w:r>
            <w:r w:rsidRPr="00332C8B">
              <w:rPr>
                <w:rFonts w:asciiTheme="minorHAnsi" w:eastAsia="Calibri" w:hAnsiTheme="minorHAnsi" w:cstheme="minorHAnsi"/>
                <w:color w:val="000000" w:themeColor="text1"/>
                <w:sz w:val="20"/>
                <w:szCs w:val="20"/>
              </w:rPr>
              <w:t xml:space="preserve"> study group</w:t>
            </w:r>
          </w:p>
        </w:tc>
        <w:tc>
          <w:tcPr>
            <w:tcW w:w="493" w:type="pct"/>
            <w:shd w:val="clear" w:color="auto" w:fill="auto"/>
            <w:vAlign w:val="center"/>
          </w:tcPr>
          <w:p w14:paraId="43861E52" w14:textId="2288A3DF" w:rsidR="00DB746D" w:rsidRPr="00332C8B" w:rsidRDefault="00DB746D"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Clavien-Dindo</w:t>
            </w:r>
          </w:p>
        </w:tc>
      </w:tr>
      <w:tr w:rsidR="00685F1B" w:rsidRPr="00332C8B" w14:paraId="1450A8B0" w14:textId="77777777" w:rsidTr="00CA30FA">
        <w:trPr>
          <w:trHeight w:val="964"/>
          <w:jc w:val="center"/>
        </w:trPr>
        <w:tc>
          <w:tcPr>
            <w:cnfStyle w:val="001000000000" w:firstRow="0" w:lastRow="0" w:firstColumn="1" w:lastColumn="0" w:oddVBand="0" w:evenVBand="0" w:oddHBand="0" w:evenHBand="0" w:firstRowFirstColumn="0" w:firstRowLastColumn="0" w:lastRowFirstColumn="0" w:lastRowLastColumn="0"/>
            <w:tcW w:w="390" w:type="pct"/>
            <w:shd w:val="clear" w:color="auto" w:fill="auto"/>
            <w:vAlign w:val="center"/>
          </w:tcPr>
          <w:p w14:paraId="54EB92AC" w14:textId="3D59278A" w:rsidR="00DB746D" w:rsidRPr="00332C8B" w:rsidRDefault="00DB746D" w:rsidP="00F0414E">
            <w:pPr>
              <w:spacing w:line="480" w:lineRule="auto"/>
              <w:jc w:val="center"/>
              <w:rPr>
                <w:rFonts w:asciiTheme="minorHAnsi" w:eastAsia="Calibri" w:hAnsiTheme="minorHAnsi" w:cstheme="minorHAnsi"/>
                <w:b w:val="0"/>
                <w:bCs w:val="0"/>
                <w:color w:val="000000" w:themeColor="text1"/>
                <w:sz w:val="20"/>
                <w:szCs w:val="20"/>
              </w:rPr>
            </w:pPr>
            <w:r w:rsidRPr="00332C8B">
              <w:rPr>
                <w:rFonts w:asciiTheme="minorHAnsi" w:eastAsia="Calibri" w:hAnsiTheme="minorHAnsi" w:cstheme="minorHAnsi"/>
                <w:color w:val="000000" w:themeColor="text1"/>
                <w:sz w:val="20"/>
                <w:szCs w:val="20"/>
              </w:rPr>
              <w:softHyphen/>
              <w:t>Mauricio, 2018</w:t>
            </w:r>
            <w:r w:rsidRPr="00332C8B">
              <w:rPr>
                <w:rFonts w:asciiTheme="minorHAnsi" w:eastAsia="Calibri" w:hAnsiTheme="minorHAnsi" w:cstheme="minorHAnsi"/>
                <w:color w:val="000000" w:themeColor="text1"/>
                <w:sz w:val="20"/>
                <w:szCs w:val="20"/>
              </w:rPr>
              <w:fldChar w:fldCharType="begin" w:fldLock="1"/>
            </w:r>
            <w:r w:rsidR="00F66CFF" w:rsidRPr="00332C8B">
              <w:rPr>
                <w:rFonts w:asciiTheme="minorHAnsi" w:eastAsia="Calibri" w:hAnsiTheme="minorHAnsi" w:cstheme="minorHAnsi"/>
                <w:color w:val="000000" w:themeColor="text1"/>
                <w:sz w:val="20"/>
                <w:szCs w:val="20"/>
              </w:rPr>
              <w:instrText>ADDIN CSL_CITATION {"citationItems":[{"id":"ITEM-1","itemData":{"DOI":"10.1016/j.clnu.2017.08.026","ISSN":"0261-5614","abstract":"Background &amp; aims: Malnutrition in patients with colorectal cancer contributes to increased postoperative complications. The aim of the study was to evaluate the prognostic value of several nutritional assessment parameters: body mass index versus percentage of weight loss grading system (BMI/%WL); Patient-Generated Subjective Global Assessment (PG-SGA); standardized phase angle (SPA) by BIA; muscle strength by handgrip strength; muscle mass by computerized tomography; and the combination of muscle mass and strength in patients undergoing resection surgery. Methods: Patients diagnosed with cancer of the colon or rectum, who were over 18 years old and were scheduled to undergo surgical treatment were invited to participate. Postoperative complications were assessed from the first day post-surgery until discharge. Complications classified as Grade II or above according to the Clavien-Dindo classification were considered. Chi-square test or Fisher's exact test, bivariate analysis, Poisson regression and receiver operator characteristic (ROC) curve were utilized and p &lt; 0.05 was considered significant. Results: 84 patients were evaluated, with 28 (33.3%) presenting with Grade II postoperative complications. SPA showed no association with postoperative complications (p = 0.199). In multivariate analysis, low skeletal muscle mass showed a relative risk (RR) of 1.80 (CI: 1.02-3.17), BMI/%WL equal or higher than grade 3 had a RR of 1.90 (95% CI: 1.22-3.39). PG-SGA classified as malnutrition showed a RR of 2.08 (95% CI: 1.06-4.06); and low muscle mass plus low muscle strength showed a RR 2.13 (95% CI: 1.23-3.69). Low strength alone was not associated with postoperative complications after controlling for confounding factors (p = 0.16; 95% CI: 0.83-2.77). Low muscle mass in combination with low strength showed the highest predictive power for postoperative complications (AUC: 0.68; CI: 0.56-0.80). Conclusions: BMI/%WL &gt; grade 3, PG-SGA defined malnutrition, low muscle mass and low muscle mass plus low strength were independent risk factors for complications controlling for confounding factors. However, low muscle mass in combination with low muscle strength were the strongest variables associated with complications. Clinical Trials identification number: NCT02901132 (www.clinicaltrials.gov).Copyright © 2017 Elsevier Ltd and European Society for Clinical Nutrition and Metabolism","author":[{"dropping-particle":"","family":"S.F.","given":"Mauricio","non-dropping-particle":"","parse-names":false,"suffix":""},{"dropping-particle":"","family":"J.","given":"Xiao","non-dropping-particle":"","parse-names":false,"suffix":""},{"dropping-particle":"","family":"C.M.","given":"Prado","non-dropping-particle":"","parse-names":false,"suffix":""},{"dropping-particle":"","family":"M.C.","given":"Gonzalez","non-dropping-particle":"","parse-names":false,"suffix":""},{"dropping-particle":"","family":"Maurício","given":"Sílvia Fernandes","non-dropping-particle":"","parse-names":false,"suffix":""},{"dropping-particle":"","family":"Xiao","given":"Jingjie","non-dropping-particle":"","parse-names":false,"suffix":""},{"dropping-particle":"","family":"Prado","given":"Carla M","non-dropping-particle":"","parse-names":false,"suffix":""},{"dropping-particle":"","family":"Gonzalez","given":"Maria Cristina","non-dropping-particle":"","parse-names":false,"suffix":""},{"dropping-particle":"","family":"Correia","given":"Maria Isabel Toulson Davisson","non-dropping-particle":"","parse-names":false,"suffix":""},{"dropping-particle":"","family":"Mauricio","given":"Silvia Fernandes","non-dropping-particle":"","parse-names":false,"suffix":""},{"dropping-particle":"","family":"Xiao","given":"Jingjie","non-dropping-particle":"","parse-names":false,"suffix":""},{"dropping-particle":"","family":"Prado","given":"Carla M","non-dropping-particle":"","parse-names":false,"suffix":""},{"dropping-particle":"","family":"Gonzalez","given":"Maria Cristina","non-dropping-particle":"","parse-names":false,"suffix":""},{"dropping-particle":"","family":"Toulson Davisson Correia","given":"Maria Isabel","non-dropping-particle":"","parse-names":false,"suffix":""}],"container-title":"Clinical Nutrition","id":"ITEM-1","issue":"5","issued":{"date-parts":[["2018","10"]]},"note":"From Duplicate 2 (Different nutritional assessment tools as predictors of postoperative complications in patients undergoing colorectal cancer resection. - Maurício, Sílvia Fernandes; Xiao, Jingjie; Prado, Carla M; Gonzalez, Maria Cristina; Correia, Maria Isabel Toulson Davisson)\n\nAccession Number: 131806549. Language: English. Entry Date: 20180924. Revision Date: 20180924. Publication Type: Article. Journal Subset: Allied Health; Biomedical; Continental Europe; Double Blind Peer Reviewed; Europe; Peer Reviewed. NLM UID: 8309603.","page":"1505-1511","publisher":"Elsevier B.V.","publisher-place":"Post-graduate Program on Surgery and Ophthalmology, Federal University of Minas Gerais, Belo Horizonte, Minas Gerais, Brazil","title":"Different nutritional assessment tools as predictors of postoperative complications in patients undergoing colorectal cancer resection","type":"article-journal","volume":"37"},"uris":["http://www.mendeley.com/documents/?uuid=204f43ab-b662-42ab-a81b-3ef41b0d9664"]}],"mendeley":{"formattedCitation":"[30]","plainTextFormattedCitation":"[30]","previouslyFormattedCitation":"[31]"},"properties":{"noteIndex":0},"schema":"https://github.com/citation-style-language/schema/raw/master/csl-citation.json"}</w:instrText>
            </w:r>
            <w:r w:rsidRPr="00332C8B">
              <w:rPr>
                <w:rFonts w:asciiTheme="minorHAnsi" w:eastAsia="Calibri" w:hAnsiTheme="minorHAnsi" w:cstheme="minorHAnsi"/>
                <w:color w:val="000000" w:themeColor="text1"/>
                <w:sz w:val="20"/>
                <w:szCs w:val="20"/>
              </w:rPr>
              <w:fldChar w:fldCharType="separate"/>
            </w:r>
            <w:r w:rsidR="00F66CFF" w:rsidRPr="00332C8B">
              <w:rPr>
                <w:rFonts w:asciiTheme="minorHAnsi" w:eastAsia="Calibri" w:hAnsiTheme="minorHAnsi" w:cstheme="minorHAnsi"/>
                <w:b w:val="0"/>
                <w:noProof/>
                <w:color w:val="000000" w:themeColor="text1"/>
                <w:sz w:val="20"/>
                <w:szCs w:val="20"/>
              </w:rPr>
              <w:t>[30]</w:t>
            </w:r>
            <w:r w:rsidRPr="00332C8B">
              <w:rPr>
                <w:rFonts w:asciiTheme="minorHAnsi" w:eastAsia="Calibri" w:hAnsiTheme="minorHAnsi" w:cstheme="minorHAnsi"/>
                <w:color w:val="000000" w:themeColor="text1"/>
                <w:sz w:val="20"/>
                <w:szCs w:val="20"/>
              </w:rPr>
              <w:fldChar w:fldCharType="end"/>
            </w:r>
          </w:p>
        </w:tc>
        <w:tc>
          <w:tcPr>
            <w:tcW w:w="556" w:type="pct"/>
            <w:shd w:val="clear" w:color="auto" w:fill="auto"/>
            <w:vAlign w:val="center"/>
          </w:tcPr>
          <w:p w14:paraId="6C66A198" w14:textId="669FCBAA" w:rsidR="00DB746D" w:rsidRPr="00332C8B" w:rsidRDefault="00DB746D"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Brazil</w:t>
            </w:r>
          </w:p>
        </w:tc>
        <w:tc>
          <w:tcPr>
            <w:tcW w:w="556" w:type="pct"/>
            <w:shd w:val="clear" w:color="auto" w:fill="auto"/>
            <w:vAlign w:val="center"/>
          </w:tcPr>
          <w:p w14:paraId="385222EE" w14:textId="1B55300C" w:rsidR="00DB746D" w:rsidRPr="00332C8B" w:rsidRDefault="00DB746D"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Colorectal (n=84)</w:t>
            </w:r>
          </w:p>
        </w:tc>
        <w:tc>
          <w:tcPr>
            <w:tcW w:w="572" w:type="pct"/>
            <w:shd w:val="clear" w:color="auto" w:fill="auto"/>
            <w:vAlign w:val="center"/>
          </w:tcPr>
          <w:p w14:paraId="4212CEB7" w14:textId="78C2CC9E" w:rsidR="00DB746D" w:rsidRPr="00332C8B" w:rsidRDefault="00DB746D"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iCs/>
                <w:color w:val="000000" w:themeColor="text1"/>
                <w:sz w:val="20"/>
                <w:szCs w:val="20"/>
              </w:rPr>
            </w:pPr>
            <w:r w:rsidRPr="00332C8B">
              <w:rPr>
                <w:rFonts w:asciiTheme="minorHAnsi" w:eastAsia="Calibri" w:hAnsiTheme="minorHAnsi" w:cstheme="minorHAnsi"/>
                <w:color w:val="000000" w:themeColor="text1"/>
                <w:sz w:val="20"/>
                <w:szCs w:val="20"/>
              </w:rPr>
              <w:t>Quantum X</w:t>
            </w:r>
            <w:r w:rsidR="000F352A" w:rsidRPr="00332C8B">
              <w:rPr>
                <w:rFonts w:asciiTheme="minorHAnsi" w:eastAsia="Calibri" w:hAnsiTheme="minorHAnsi" w:cstheme="minorHAnsi"/>
                <w:color w:val="000000" w:themeColor="text1"/>
                <w:sz w:val="20"/>
                <w:szCs w:val="20"/>
              </w:rPr>
              <w:t>, RJL Systems, USA</w:t>
            </w:r>
          </w:p>
        </w:tc>
        <w:tc>
          <w:tcPr>
            <w:tcW w:w="463" w:type="pct"/>
            <w:shd w:val="clear" w:color="auto" w:fill="auto"/>
            <w:vAlign w:val="center"/>
          </w:tcPr>
          <w:p w14:paraId="66911C8B" w14:textId="4657A598" w:rsidR="00DB746D" w:rsidRPr="00332C8B" w:rsidRDefault="00F678AE"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Not reported</w:t>
            </w:r>
          </w:p>
        </w:tc>
        <w:tc>
          <w:tcPr>
            <w:tcW w:w="259" w:type="pct"/>
            <w:shd w:val="clear" w:color="auto" w:fill="auto"/>
            <w:vAlign w:val="center"/>
          </w:tcPr>
          <w:p w14:paraId="6800E712" w14:textId="65A04046" w:rsidR="00DB746D" w:rsidRPr="00332C8B" w:rsidRDefault="00DB746D"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Not stated</w:t>
            </w:r>
          </w:p>
        </w:tc>
        <w:tc>
          <w:tcPr>
            <w:tcW w:w="352" w:type="pct"/>
            <w:shd w:val="clear" w:color="auto" w:fill="auto"/>
            <w:vAlign w:val="center"/>
          </w:tcPr>
          <w:p w14:paraId="05AD90EF" w14:textId="4FCEAC9F" w:rsidR="00DB746D" w:rsidRPr="00332C8B" w:rsidRDefault="00DB746D"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SPA</w:t>
            </w:r>
          </w:p>
        </w:tc>
        <w:tc>
          <w:tcPr>
            <w:tcW w:w="453" w:type="pct"/>
            <w:shd w:val="clear" w:color="auto" w:fill="auto"/>
            <w:vAlign w:val="center"/>
          </w:tcPr>
          <w:p w14:paraId="6E9DC9CF" w14:textId="604687CE" w:rsidR="00DB746D" w:rsidRPr="00332C8B" w:rsidRDefault="00F678AE"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Not reported</w:t>
            </w:r>
          </w:p>
        </w:tc>
        <w:tc>
          <w:tcPr>
            <w:tcW w:w="453" w:type="pct"/>
            <w:shd w:val="clear" w:color="auto" w:fill="auto"/>
            <w:vAlign w:val="center"/>
          </w:tcPr>
          <w:p w14:paraId="3653F1C0" w14:textId="48B821AC" w:rsidR="00DB746D" w:rsidRPr="00332C8B" w:rsidRDefault="00DB746D"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Brazil</w:t>
            </w:r>
            <w:r w:rsidR="00A46412" w:rsidRPr="00332C8B">
              <w:rPr>
                <w:rFonts w:asciiTheme="minorHAnsi" w:eastAsia="Calibri" w:hAnsiTheme="minorHAnsi" w:cstheme="minorHAnsi"/>
                <w:color w:val="000000" w:themeColor="text1"/>
                <w:sz w:val="20"/>
                <w:szCs w:val="20"/>
              </w:rPr>
              <w:t>ian</w:t>
            </w:r>
          </w:p>
        </w:tc>
        <w:tc>
          <w:tcPr>
            <w:tcW w:w="453" w:type="pct"/>
            <w:shd w:val="clear" w:color="auto" w:fill="auto"/>
            <w:vAlign w:val="center"/>
          </w:tcPr>
          <w:p w14:paraId="36A6B77C" w14:textId="77777777" w:rsidR="001746BF" w:rsidRPr="00332C8B" w:rsidRDefault="00DB746D"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 xml:space="preserve">SPA </w:t>
            </w:r>
            <w:r w:rsidR="00CA30FA" w:rsidRPr="00332C8B">
              <w:rPr>
                <w:rFonts w:asciiTheme="minorHAnsi" w:hAnsiTheme="minorHAnsi" w:cstheme="minorHAnsi"/>
                <w:kern w:val="24"/>
                <w:sz w:val="20"/>
                <w:szCs w:val="20"/>
                <w:lang w:eastAsia="en-GB"/>
              </w:rPr>
              <w:t>≤</w:t>
            </w:r>
            <w:r w:rsidR="001746BF" w:rsidRPr="00332C8B">
              <w:rPr>
                <w:rFonts w:asciiTheme="minorHAnsi" w:eastAsia="Calibri" w:hAnsiTheme="minorHAnsi" w:cstheme="minorHAnsi"/>
                <w:color w:val="000000" w:themeColor="text1"/>
                <w:sz w:val="20"/>
                <w:szCs w:val="20"/>
              </w:rPr>
              <w:t xml:space="preserve"> or &gt; </w:t>
            </w:r>
          </w:p>
          <w:p w14:paraId="4D6E2DCA" w14:textId="5CF824C0" w:rsidR="00DB746D" w:rsidRPr="00332C8B" w:rsidRDefault="001746BF"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w:t>
            </w:r>
            <w:r w:rsidR="00DB746D" w:rsidRPr="00332C8B">
              <w:rPr>
                <w:rFonts w:asciiTheme="minorHAnsi" w:eastAsia="Calibri" w:hAnsiTheme="minorHAnsi" w:cstheme="minorHAnsi"/>
                <w:color w:val="000000" w:themeColor="text1"/>
                <w:sz w:val="20"/>
                <w:szCs w:val="20"/>
              </w:rPr>
              <w:t>1.65</w:t>
            </w:r>
          </w:p>
        </w:tc>
        <w:tc>
          <w:tcPr>
            <w:tcW w:w="493" w:type="pct"/>
            <w:shd w:val="clear" w:color="auto" w:fill="auto"/>
            <w:vAlign w:val="center"/>
          </w:tcPr>
          <w:p w14:paraId="16DF6C76" w14:textId="4B0A5545" w:rsidR="00DB746D" w:rsidRPr="00332C8B" w:rsidRDefault="00DB746D"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Clavien-Dindo</w:t>
            </w:r>
          </w:p>
        </w:tc>
      </w:tr>
      <w:tr w:rsidR="00685F1B" w:rsidRPr="00332C8B" w14:paraId="3730DAA4" w14:textId="77777777" w:rsidTr="00CA30FA">
        <w:trPr>
          <w:cnfStyle w:val="000000100000" w:firstRow="0" w:lastRow="0" w:firstColumn="0" w:lastColumn="0" w:oddVBand="0" w:evenVBand="0" w:oddHBand="1"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390" w:type="pct"/>
            <w:shd w:val="clear" w:color="auto" w:fill="auto"/>
            <w:vAlign w:val="center"/>
          </w:tcPr>
          <w:p w14:paraId="263860E6" w14:textId="0643D861" w:rsidR="00DB746D" w:rsidRPr="00332C8B" w:rsidRDefault="00DB746D" w:rsidP="00F0414E">
            <w:pPr>
              <w:spacing w:line="480" w:lineRule="auto"/>
              <w:jc w:val="center"/>
              <w:rPr>
                <w:rFonts w:asciiTheme="minorHAnsi" w:eastAsia="Calibri" w:hAnsiTheme="minorHAnsi" w:cstheme="minorHAnsi"/>
                <w:b w:val="0"/>
                <w:bCs w:val="0"/>
                <w:color w:val="000000" w:themeColor="text1"/>
                <w:sz w:val="20"/>
                <w:szCs w:val="20"/>
              </w:rPr>
            </w:pPr>
            <w:r w:rsidRPr="00332C8B">
              <w:rPr>
                <w:rFonts w:asciiTheme="minorHAnsi" w:eastAsia="Calibri" w:hAnsiTheme="minorHAnsi" w:cstheme="minorHAnsi"/>
                <w:color w:val="000000" w:themeColor="text1"/>
                <w:sz w:val="20"/>
                <w:szCs w:val="20"/>
              </w:rPr>
              <w:t>Pena, 2018</w:t>
            </w:r>
            <w:r w:rsidRPr="00332C8B">
              <w:rPr>
                <w:rFonts w:asciiTheme="minorHAnsi" w:eastAsia="Calibri" w:hAnsiTheme="minorHAnsi" w:cstheme="minorHAnsi"/>
                <w:color w:val="000000" w:themeColor="text1"/>
                <w:sz w:val="20"/>
                <w:szCs w:val="20"/>
              </w:rPr>
              <w:fldChar w:fldCharType="begin" w:fldLock="1"/>
            </w:r>
            <w:r w:rsidR="00F66CFF" w:rsidRPr="00332C8B">
              <w:rPr>
                <w:rFonts w:asciiTheme="minorHAnsi" w:eastAsia="Calibri" w:hAnsiTheme="minorHAnsi" w:cstheme="minorHAnsi"/>
                <w:color w:val="000000" w:themeColor="text1"/>
                <w:sz w:val="20"/>
                <w:szCs w:val="20"/>
              </w:rPr>
              <w:instrText>ADDIN CSL_CITATION {"citationItems":[{"id":"ITEM-1","itemData":{"DOI":"https://dx.doi.org/10.1002/ncp.10110","ISSN":"1941-2452","abstract":"BACKGROUND: Different nutrition assessment tools in surgical cancer patients are used in clinical practice, which results in different prevalence rates of malnutrition. This may impact the interpretation of the association between nutrition status and clinical outcomes. Reduced standardized phase angle (SPA) values are associated with adverse outcomes in patients with cancer. Thus, it is important to assess the association of SPA with nutrition status and relate it to postoperative clinical outcomes., METHODS: This prospective observational study included 121 surgical cancer patients. Bioelectrical impedance analysis, subjective global assessment (SGA), anthropometric measurements, and assessment of muscle strength were used to provide nutrition diagnosis 1 day before surgery. The patients were followed for infectious and noninfectious postoperative complications from the first day after the operation until discharge or death., RESULTS: The prevalence of malnutrition was higher according to SGA (63.6%). Patients with an SPA &lt; -1.65 had a greater chance of being diagnosed as malnourished according to the SGA (3.66 [1.35-9.90]), midarm circumference (OR 4.24; CI95%; 1.72-10.43), midarm muscle area (OR 4.38; CI95%; 1.68-11.42), and low handgrip strength (3.84 [1.31-11.25]). Patients with an SPA &lt; -1.65 presented with more infectious complications (OR 4.19; CI95%; 1.52-11.53), but there was no association between SPA and other outcomes or death. SPA was the only significant predictor of infectious complications (AUC, 0.61; 95% CI, 0.51-0.71)., CONCLUSION: SPA was associated with different nutrition status parameters, and it was able to predict postoperative infectious complications.Copyright © 2018 American Society for Parenteral and Enteral Nutrition.","author":[{"dropping-particle":"","family":"Pena","given":"Natalia F","non-dropping-particle":"","parse-names":false,"suffix":""},{"dropping-particle":"","family":"Mauricio","given":"Silvia F","non-dropping-particle":"","parse-names":false,"suffix":""},{"dropping-particle":"","family":"Rodrigues","given":"Ana M S","non-dropping-particle":"","parse-names":false,"suffix":""},{"dropping-particle":"","family":"Carmo","given":"Ariene S","non-dropping-particle":"","parse-names":false,"suffix":""},{"dropping-particle":"","family":"Coury","given":"Nayara C","non-dropping-particle":"","parse-names":false,"suffix":""},{"dropping-particle":"","family":"Correia","given":"Maria I T D","non-dropping-particle":"","parse-names":false,"suffix":""},{"dropping-particle":"V","family":"Generoso","given":"Simone","non-dropping-particle":"","parse-names":false,"suffix":""}],"container-title":"Nutrition in clinical practice : official publication of the American Society for Parenteral and Enteral Nutrition","id":"ITEM-1","issued":{"date-parts":[["2018"]]},"publisher-place":"United States","title":"Association Between Standardized Phase Angle, Nutrition Status, and Clinical Outcomes in Surgical Cancer Patients.","type":"article-journal"},"uris":["http://www.mendeley.com/documents/?uuid=18b543ef-05e9-4a02-ba63-c32674dafbbc"]}],"mendeley":{"formattedCitation":"[39]","plainTextFormattedCitation":"[39]","previouslyFormattedCitation":"[40]"},"properties":{"noteIndex":0},"schema":"https://github.com/citation-style-language/schema/raw/master/csl-citation.json"}</w:instrText>
            </w:r>
            <w:r w:rsidRPr="00332C8B">
              <w:rPr>
                <w:rFonts w:asciiTheme="minorHAnsi" w:eastAsia="Calibri" w:hAnsiTheme="minorHAnsi" w:cstheme="minorHAnsi"/>
                <w:color w:val="000000" w:themeColor="text1"/>
                <w:sz w:val="20"/>
                <w:szCs w:val="20"/>
              </w:rPr>
              <w:fldChar w:fldCharType="separate"/>
            </w:r>
            <w:r w:rsidR="00F66CFF" w:rsidRPr="00332C8B">
              <w:rPr>
                <w:rFonts w:asciiTheme="minorHAnsi" w:eastAsia="Calibri" w:hAnsiTheme="minorHAnsi" w:cstheme="minorHAnsi"/>
                <w:b w:val="0"/>
                <w:noProof/>
                <w:color w:val="000000" w:themeColor="text1"/>
                <w:sz w:val="20"/>
                <w:szCs w:val="20"/>
              </w:rPr>
              <w:t>[39]</w:t>
            </w:r>
            <w:r w:rsidRPr="00332C8B">
              <w:rPr>
                <w:rFonts w:asciiTheme="minorHAnsi" w:eastAsia="Calibri" w:hAnsiTheme="minorHAnsi" w:cstheme="minorHAnsi"/>
                <w:color w:val="000000" w:themeColor="text1"/>
                <w:sz w:val="20"/>
                <w:szCs w:val="20"/>
              </w:rPr>
              <w:fldChar w:fldCharType="end"/>
            </w:r>
          </w:p>
        </w:tc>
        <w:tc>
          <w:tcPr>
            <w:tcW w:w="556" w:type="pct"/>
            <w:shd w:val="clear" w:color="auto" w:fill="auto"/>
            <w:vAlign w:val="center"/>
          </w:tcPr>
          <w:p w14:paraId="702EA815" w14:textId="5117C752" w:rsidR="00DB746D" w:rsidRPr="00332C8B" w:rsidRDefault="00DB746D"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Brazil</w:t>
            </w:r>
          </w:p>
        </w:tc>
        <w:tc>
          <w:tcPr>
            <w:tcW w:w="556" w:type="pct"/>
            <w:shd w:val="clear" w:color="auto" w:fill="auto"/>
            <w:vAlign w:val="center"/>
          </w:tcPr>
          <w:p w14:paraId="5BEA2375" w14:textId="308EC52A" w:rsidR="00DB746D" w:rsidRPr="00332C8B" w:rsidRDefault="00DB746D"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Mixed (n=121)</w:t>
            </w:r>
          </w:p>
          <w:p w14:paraId="405F196B" w14:textId="77777777" w:rsidR="00DB746D" w:rsidRPr="00332C8B" w:rsidRDefault="00DB746D"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(58 Colorectal, 33 UGI, 15 HN, 15 HPB)</w:t>
            </w:r>
          </w:p>
        </w:tc>
        <w:tc>
          <w:tcPr>
            <w:tcW w:w="572" w:type="pct"/>
            <w:shd w:val="clear" w:color="auto" w:fill="auto"/>
            <w:vAlign w:val="center"/>
          </w:tcPr>
          <w:p w14:paraId="1B5EF684" w14:textId="6C0653D4" w:rsidR="00DB746D" w:rsidRPr="00332C8B" w:rsidRDefault="00DB746D"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Quantum X</w:t>
            </w:r>
            <w:r w:rsidR="00766473" w:rsidRPr="00332C8B">
              <w:rPr>
                <w:rFonts w:asciiTheme="minorHAnsi" w:eastAsia="Calibri" w:hAnsiTheme="minorHAnsi" w:cstheme="minorHAnsi"/>
                <w:color w:val="000000" w:themeColor="text1"/>
                <w:sz w:val="20"/>
                <w:szCs w:val="20"/>
              </w:rPr>
              <w:t>, RJL Systems, USA</w:t>
            </w:r>
          </w:p>
        </w:tc>
        <w:tc>
          <w:tcPr>
            <w:tcW w:w="463" w:type="pct"/>
            <w:shd w:val="clear" w:color="auto" w:fill="auto"/>
            <w:vAlign w:val="center"/>
          </w:tcPr>
          <w:p w14:paraId="2F1D600C" w14:textId="35A14877" w:rsidR="00DB746D" w:rsidRPr="00332C8B" w:rsidRDefault="00657330"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Not reported</w:t>
            </w:r>
          </w:p>
        </w:tc>
        <w:tc>
          <w:tcPr>
            <w:tcW w:w="259" w:type="pct"/>
            <w:shd w:val="clear" w:color="auto" w:fill="auto"/>
            <w:vAlign w:val="center"/>
          </w:tcPr>
          <w:p w14:paraId="2523D4DC" w14:textId="2EDEA99B" w:rsidR="00DB746D" w:rsidRPr="00332C8B" w:rsidRDefault="00DB746D"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SF</w:t>
            </w:r>
          </w:p>
        </w:tc>
        <w:tc>
          <w:tcPr>
            <w:tcW w:w="352" w:type="pct"/>
            <w:shd w:val="clear" w:color="auto" w:fill="auto"/>
            <w:vAlign w:val="center"/>
          </w:tcPr>
          <w:p w14:paraId="6AA9CA85" w14:textId="77777777" w:rsidR="00DB746D" w:rsidRPr="00332C8B" w:rsidRDefault="00DB746D"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PA</w:t>
            </w:r>
          </w:p>
          <w:p w14:paraId="0ECB3EEA" w14:textId="77777777" w:rsidR="00DB746D" w:rsidRPr="00332C8B" w:rsidRDefault="00DB746D"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SPA</w:t>
            </w:r>
          </w:p>
        </w:tc>
        <w:tc>
          <w:tcPr>
            <w:tcW w:w="453" w:type="pct"/>
            <w:shd w:val="clear" w:color="auto" w:fill="auto"/>
            <w:vAlign w:val="center"/>
          </w:tcPr>
          <w:p w14:paraId="45F57A59" w14:textId="5CA318E6" w:rsidR="00DB746D" w:rsidRPr="00332C8B" w:rsidRDefault="00657330"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Not reported</w:t>
            </w:r>
          </w:p>
        </w:tc>
        <w:tc>
          <w:tcPr>
            <w:tcW w:w="453" w:type="pct"/>
            <w:shd w:val="clear" w:color="auto" w:fill="auto"/>
            <w:vAlign w:val="center"/>
          </w:tcPr>
          <w:p w14:paraId="18E6FB60" w14:textId="1E37D9C2" w:rsidR="00DB746D" w:rsidRPr="00332C8B" w:rsidRDefault="00DB746D"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4"/>
                <w:sz w:val="20"/>
                <w:szCs w:val="20"/>
                <w:lang w:eastAsia="en-GB"/>
              </w:rPr>
            </w:pPr>
            <w:r w:rsidRPr="00332C8B">
              <w:rPr>
                <w:rFonts w:asciiTheme="minorHAnsi" w:eastAsia="Calibri" w:hAnsiTheme="minorHAnsi" w:cstheme="minorHAnsi"/>
                <w:color w:val="000000" w:themeColor="text1"/>
                <w:sz w:val="20"/>
                <w:szCs w:val="20"/>
              </w:rPr>
              <w:t>Brazil</w:t>
            </w:r>
            <w:r w:rsidR="00657330" w:rsidRPr="00332C8B">
              <w:rPr>
                <w:rFonts w:asciiTheme="minorHAnsi" w:eastAsia="Calibri" w:hAnsiTheme="minorHAnsi" w:cstheme="minorHAnsi"/>
                <w:color w:val="000000" w:themeColor="text1"/>
                <w:sz w:val="20"/>
                <w:szCs w:val="20"/>
              </w:rPr>
              <w:t>ian</w:t>
            </w:r>
            <w:r w:rsidR="00657330" w:rsidRPr="00332C8B">
              <w:rPr>
                <w:rFonts w:asciiTheme="minorHAnsi" w:eastAsia="Calibri" w:hAnsiTheme="minorHAnsi" w:cstheme="minorHAnsi"/>
                <w:color w:val="000000" w:themeColor="text1"/>
                <w:sz w:val="20"/>
                <w:szCs w:val="20"/>
              </w:rPr>
              <w:fldChar w:fldCharType="begin" w:fldLock="1"/>
            </w:r>
            <w:r w:rsidR="00F66CFF" w:rsidRPr="00332C8B">
              <w:rPr>
                <w:rFonts w:asciiTheme="minorHAnsi" w:eastAsia="Calibri" w:hAnsiTheme="minorHAnsi" w:cstheme="minorHAnsi"/>
                <w:color w:val="000000" w:themeColor="text1"/>
                <w:sz w:val="20"/>
                <w:szCs w:val="20"/>
              </w:rPr>
              <w:instrText>ADDIN CSL_CITATION {"citationItems":[{"id":"ITEM-1","itemData":{"DOI":"10.1093/ajcn.82.1.49","ISSN":"00029165","PMID":"16002799","abstract":"Background: Phase angle is an indicator based on reactance and resistance obtained from bioelectrical impedance analysis (BIA). Although its biological meaning is still not clear, phase angle appears to have an important prognostic role. Objective: The aim of this study was to estimate population averages and SDs of phase angle that can be used as reference values. Design: BIA and other methods used to evaluate body composition, including hydrodensitometry and total body water, were completed in 1967 healthy adults aged 18-94 y. Phase angle was calculated directly from body resistance and reactance, and fat mass (FM) was estimated from the combination of weight, hydrodensitometry, and total body water by using the 3-compartment Siri equation. Phase angle values were compared across categories of sex, age, body mass index (BMI), and percentage FM. Results: Phase angle was significantly (P &lt; 0.001) smaller in women than in men and was lower with greater age (P &lt; 0.001). Phase angle increased with an increase in BMI and was significantly inversely associated with percentage fat in men. Phase angle was significantly predicted from sex, age, BMI, and percentage FM in multiple regression models. Conclusions: Phase angle differs across categories of sex, age, BMI, and percentage fat. These reference values can serve as a basis for phase angle evaluations in the clinical setting. © 2005 American Society for Clinical.","author":[{"dropping-particle":"","family":"Barbosa-Silva","given":"Maria Cristina G.","non-dropping-particle":"","parse-names":false,"suffix":""},{"dropping-particle":"","family":"Barros","given":"Aluísio J.D.","non-dropping-particle":"","parse-names":false,"suffix":""},{"dropping-particle":"","family":"Wang","given":"Jack","non-dropping-particle":"","parse-names":false,"suffix":""},{"dropping-particle":"","family":"Heymsfield","given":"Steven B.","non-dropping-particle":"","parse-names":false,"suffix":""},{"dropping-particle":"","family":"Pierson","given":"Richard N.","non-dropping-particle":"","parse-names":false,"suffix":""}],"container-title":"American Journal of Clinical Nutrition","id":"ITEM-1","issued":{"date-parts":[["2005"]]},"title":"Bioelectrical impedance analysis: Population reference values for phase angle by age and sex","type":"article-journal"},"uris":["http://www.mendeley.com/documents/?uuid=63409a81-8be5-45e9-a2ca-6e43653b3618"]}],"mendeley":{"formattedCitation":"[42]","plainTextFormattedCitation":"[42]","previouslyFormattedCitation":"[43]"},"properties":{"noteIndex":0},"schema":"https://github.com/citation-style-language/schema/raw/master/csl-citation.json"}</w:instrText>
            </w:r>
            <w:r w:rsidR="00657330" w:rsidRPr="00332C8B">
              <w:rPr>
                <w:rFonts w:asciiTheme="minorHAnsi" w:eastAsia="Calibri" w:hAnsiTheme="minorHAnsi" w:cstheme="minorHAnsi"/>
                <w:color w:val="000000" w:themeColor="text1"/>
                <w:sz w:val="20"/>
                <w:szCs w:val="20"/>
              </w:rPr>
              <w:fldChar w:fldCharType="separate"/>
            </w:r>
            <w:r w:rsidR="00F66CFF" w:rsidRPr="00332C8B">
              <w:rPr>
                <w:rFonts w:asciiTheme="minorHAnsi" w:eastAsia="Calibri" w:hAnsiTheme="minorHAnsi" w:cstheme="minorHAnsi"/>
                <w:noProof/>
                <w:color w:val="000000" w:themeColor="text1"/>
                <w:sz w:val="20"/>
                <w:szCs w:val="20"/>
              </w:rPr>
              <w:t>[42]</w:t>
            </w:r>
            <w:r w:rsidR="00657330" w:rsidRPr="00332C8B">
              <w:rPr>
                <w:rFonts w:asciiTheme="minorHAnsi" w:eastAsia="Calibri" w:hAnsiTheme="minorHAnsi" w:cstheme="minorHAnsi"/>
                <w:color w:val="000000" w:themeColor="text1"/>
                <w:sz w:val="20"/>
                <w:szCs w:val="20"/>
              </w:rPr>
              <w:fldChar w:fldCharType="end"/>
            </w:r>
          </w:p>
        </w:tc>
        <w:tc>
          <w:tcPr>
            <w:tcW w:w="453" w:type="pct"/>
            <w:shd w:val="clear" w:color="auto" w:fill="auto"/>
            <w:vAlign w:val="center"/>
          </w:tcPr>
          <w:p w14:paraId="26394E62" w14:textId="403DAB72" w:rsidR="00DB746D" w:rsidRPr="00332C8B" w:rsidRDefault="00DB746D"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hAnsiTheme="minorHAnsi" w:cstheme="minorHAnsi"/>
                <w:kern w:val="24"/>
                <w:sz w:val="20"/>
                <w:szCs w:val="20"/>
                <w:lang w:eastAsia="en-GB"/>
              </w:rPr>
              <w:t>SPA ≤ or &gt; −1.65</w:t>
            </w:r>
          </w:p>
        </w:tc>
        <w:tc>
          <w:tcPr>
            <w:tcW w:w="493" w:type="pct"/>
            <w:shd w:val="clear" w:color="auto" w:fill="auto"/>
            <w:vAlign w:val="center"/>
          </w:tcPr>
          <w:p w14:paraId="7F80C1FD" w14:textId="77777777" w:rsidR="00DB746D" w:rsidRPr="00332C8B" w:rsidRDefault="00DB746D"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BACS</w:t>
            </w:r>
          </w:p>
        </w:tc>
      </w:tr>
      <w:tr w:rsidR="00685F1B" w:rsidRPr="00332C8B" w14:paraId="6CA3FFFD" w14:textId="77777777" w:rsidTr="00CA30FA">
        <w:trPr>
          <w:trHeight w:val="964"/>
          <w:jc w:val="center"/>
        </w:trPr>
        <w:tc>
          <w:tcPr>
            <w:cnfStyle w:val="001000000000" w:firstRow="0" w:lastRow="0" w:firstColumn="1" w:lastColumn="0" w:oddVBand="0" w:evenVBand="0" w:oddHBand="0" w:evenHBand="0" w:firstRowFirstColumn="0" w:firstRowLastColumn="0" w:lastRowFirstColumn="0" w:lastRowLastColumn="0"/>
            <w:tcW w:w="390" w:type="pct"/>
            <w:shd w:val="clear" w:color="auto" w:fill="auto"/>
            <w:vAlign w:val="center"/>
          </w:tcPr>
          <w:p w14:paraId="6840A0FD" w14:textId="7AA20D76" w:rsidR="00DB746D" w:rsidRPr="00332C8B" w:rsidRDefault="00DB746D" w:rsidP="00F0414E">
            <w:pPr>
              <w:spacing w:line="480" w:lineRule="auto"/>
              <w:jc w:val="center"/>
              <w:rPr>
                <w:rFonts w:asciiTheme="minorHAnsi" w:eastAsia="Calibri" w:hAnsiTheme="minorHAnsi" w:cstheme="minorHAnsi"/>
                <w:b w:val="0"/>
                <w:bCs w:val="0"/>
                <w:color w:val="000000" w:themeColor="text1"/>
                <w:sz w:val="20"/>
                <w:szCs w:val="20"/>
              </w:rPr>
            </w:pPr>
            <w:r w:rsidRPr="00332C8B">
              <w:rPr>
                <w:rFonts w:asciiTheme="minorHAnsi" w:eastAsia="Calibri" w:hAnsiTheme="minorHAnsi" w:cstheme="minorHAnsi"/>
                <w:color w:val="000000" w:themeColor="text1"/>
                <w:sz w:val="20"/>
                <w:szCs w:val="20"/>
              </w:rPr>
              <w:t>Uccella, 2018</w:t>
            </w:r>
            <w:r w:rsidRPr="00332C8B">
              <w:rPr>
                <w:rFonts w:asciiTheme="minorHAnsi" w:eastAsia="Calibri" w:hAnsiTheme="minorHAnsi" w:cstheme="minorHAnsi"/>
                <w:color w:val="000000" w:themeColor="text1"/>
                <w:sz w:val="20"/>
                <w:szCs w:val="20"/>
              </w:rPr>
              <w:fldChar w:fldCharType="begin" w:fldLock="1"/>
            </w:r>
            <w:r w:rsidR="00F66CFF" w:rsidRPr="00332C8B">
              <w:rPr>
                <w:rFonts w:asciiTheme="minorHAnsi" w:eastAsia="Calibri" w:hAnsiTheme="minorHAnsi" w:cstheme="minorHAnsi"/>
                <w:color w:val="000000" w:themeColor="text1"/>
                <w:sz w:val="20"/>
                <w:szCs w:val="20"/>
              </w:rPr>
              <w:instrText>ADDIN CSL_CITATION {"citationItems":[{"id":"ITEM-1","itemData":{"DOI":"http://dx.doi.org/10.1016/j.ygyno.2018.03.044","ISSN":"0090-8258","abstract":"Objective: To investigate whether patients' altered body composition (measured with bioimpedentiometry), due to a poor nutritional status, predicts the incidence of no residual disease at primary debulking and the risk of complications in patients with newly-diagnosed advanced epithelial ovarian cancer (EOC). Methods: Data regarding patients with newly-diagnosed stage IIIC-IV EOC undergoing elective nutritional assessment between December 2016 and March 2017, were prospectively collected. Bioelectrical impedance analysis (BIA) with measurement of BIA-derived phase angle [PhA] at 50 KHz, was accomplished. Only patients with disease which was considered resectable at staging laparoscopy were submitted to open primary cytoreduction. The rate of residual tumor (RT) = 0 and the incidence of complications were assessed. Results: Seventy patients were included. Fifty-two of them were submitted to primary cytoreduction (74.3%) and 48 (68.6% of the entire cohort, 92.3% of those who underwent primary debulking) had RT = 0 at the end of surgery. Median values of PhA were significantly lower in patients with RT &gt; vs. =0 (4.7, range: 3.6-5.8 vs. 5.3, range: 4.2-6.8; p = 0.001). Twenty-four (out of the 52 operated) patients (46.2%) developed at least one complication. PhA was significantly lower in patients with vs. without complications (5, range: 3.6-6.4, vs. 5.4, range 4.5-6.8; p = 0.03). After multivariable analysis, Fagotti score and PhA were the only independent predictors of residual disease (OR:13.56; 95%CI:1.33-137.6; p = 0.027 and 9.24; 1.16-73.43; p = 0.036, respectively) and of any complication (OR:4.9;95%CI:1.17-20.6; p = 0.03 and 7.27; 1.45-36.4; p = 0.01, respectively). Conclusions: Derangement of body composition (likely due to disease-related malnutrition) expressed as a low phase angle, is an independent predictor of residual disease and peri-operative complications at the time of upfront cytoreduction for advanced EOC.Copyright © 2018 Elsevier Inc.","author":[{"dropping-particle":"","family":"S.","given":"Uccella","non-dropping-particle":"","parse-names":false,"suffix":""},{"dropping-particle":"","family":"M.C.","given":"Mele","non-dropping-particle":"","parse-names":false,"suffix":""},{"dropping-particle":"","family":"L.","given":"Quagliozzi","non-dropping-particle":"","parse-names":false,"suffix":""},{"dropping-particle":"","family":"E.","given":"Rinninella","non-dropping-particle":"","parse-names":false,"suffix":""},{"dropping-particle":"","family":"C.","given":"Nero","non-dropping-particle":"","parse-names":false,"suffix":""},{"dropping-particle":"","family":"S.","given":"Cappuccio","non-dropping-particle":"","parse-names":false,"suffix":""},{"dropping-particle":"","family":"M.","given":"Cintoni","non-dropping-particle":"","parse-names":false,"suffix":""},{"dropping-particle":"","family":"A.","given":"Gasbarrini","non-dropping-particle":"","parse-names":false,"suffix":""},{"dropping-particle":"","family":"G.","given":"Scambia","non-dropping-particle":"","parse-names":false,"suffix":""},{"dropping-particle":"","family":"Fagotti A.  AO  - Uccella  Marco; ORCID: http://orcid.org/0000-0002-9610-0748 AO  - Nero, Camilla; ORCID: http://orcid.org/0000-0002-4442-4046","given":"Stefano; ORCID: http://orcid.org/0000-0002-4456-0822 A O - Cintoni","non-dropping-particle":"","parse-names":false,"suffix":""}],"container-title":"Gynecologic Oncology","id":"ITEM-1","issue":"2","issued":{"date-parts":[["2018"]]},"page":"263-269","publisher":"Academic Press Inc. (E-mail: apjcs@harcourt.com)","publisher-place":"S. Uccella, Department of Woman and Child Health, Fondazione Policlinico Agostino Gemelli, Rome, Italy. E-mail: stefucc@libero.it","title":"Assessment of preoperative nutritional status using BIA-derived phase angle (PhA) in patients with advanced ovarian cancer: Correlation with the extent of cytoreduction and complications","type":"article-journal","volume":"149"},"uris":["http://www.mendeley.com/documents/?uuid=740bc537-bfc4-43b1-b3c3-2ed9e7133df6"]}],"mendeley":{"formattedCitation":"[36]","plainTextFormattedCitation":"[36]","previouslyFormattedCitation":"[37]"},"properties":{"noteIndex":0},"schema":"https://github.com/citation-style-language/schema/raw/master/csl-citation.json"}</w:instrText>
            </w:r>
            <w:r w:rsidRPr="00332C8B">
              <w:rPr>
                <w:rFonts w:asciiTheme="minorHAnsi" w:eastAsia="Calibri" w:hAnsiTheme="minorHAnsi" w:cstheme="minorHAnsi"/>
                <w:color w:val="000000" w:themeColor="text1"/>
                <w:sz w:val="20"/>
                <w:szCs w:val="20"/>
              </w:rPr>
              <w:fldChar w:fldCharType="separate"/>
            </w:r>
            <w:r w:rsidR="00F66CFF" w:rsidRPr="00332C8B">
              <w:rPr>
                <w:rFonts w:asciiTheme="minorHAnsi" w:eastAsia="Calibri" w:hAnsiTheme="minorHAnsi" w:cstheme="minorHAnsi"/>
                <w:b w:val="0"/>
                <w:noProof/>
                <w:color w:val="000000" w:themeColor="text1"/>
                <w:sz w:val="20"/>
                <w:szCs w:val="20"/>
              </w:rPr>
              <w:t>[36]</w:t>
            </w:r>
            <w:r w:rsidRPr="00332C8B">
              <w:rPr>
                <w:rFonts w:asciiTheme="minorHAnsi" w:eastAsia="Calibri" w:hAnsiTheme="minorHAnsi" w:cstheme="minorHAnsi"/>
                <w:color w:val="000000" w:themeColor="text1"/>
                <w:sz w:val="20"/>
                <w:szCs w:val="20"/>
              </w:rPr>
              <w:fldChar w:fldCharType="end"/>
            </w:r>
          </w:p>
        </w:tc>
        <w:tc>
          <w:tcPr>
            <w:tcW w:w="556" w:type="pct"/>
            <w:shd w:val="clear" w:color="auto" w:fill="auto"/>
            <w:vAlign w:val="center"/>
          </w:tcPr>
          <w:p w14:paraId="3329A206" w14:textId="05BBFE89" w:rsidR="00DB746D" w:rsidRPr="00332C8B" w:rsidRDefault="00EE71DE"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Italy</w:t>
            </w:r>
          </w:p>
        </w:tc>
        <w:tc>
          <w:tcPr>
            <w:tcW w:w="556" w:type="pct"/>
            <w:shd w:val="clear" w:color="auto" w:fill="auto"/>
            <w:vAlign w:val="center"/>
          </w:tcPr>
          <w:p w14:paraId="126CFAD5" w14:textId="48F326F0" w:rsidR="00DB746D" w:rsidRPr="00332C8B" w:rsidRDefault="00DB746D"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Ovarian (n=52)</w:t>
            </w:r>
          </w:p>
        </w:tc>
        <w:tc>
          <w:tcPr>
            <w:tcW w:w="572" w:type="pct"/>
            <w:shd w:val="clear" w:color="auto" w:fill="auto"/>
            <w:vAlign w:val="center"/>
          </w:tcPr>
          <w:p w14:paraId="79DF6696" w14:textId="0A9EDB10" w:rsidR="00DB746D" w:rsidRPr="00332C8B" w:rsidRDefault="00DB746D"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101 Anniversary Analyser</w:t>
            </w:r>
            <w:r w:rsidR="002F07CA" w:rsidRPr="00332C8B">
              <w:rPr>
                <w:rFonts w:asciiTheme="minorHAnsi" w:eastAsia="Calibri" w:hAnsiTheme="minorHAnsi" w:cstheme="minorHAnsi"/>
                <w:color w:val="000000" w:themeColor="text1"/>
                <w:sz w:val="20"/>
                <w:szCs w:val="20"/>
              </w:rPr>
              <w:t>, Zurich Instruments, Switzerland</w:t>
            </w:r>
          </w:p>
        </w:tc>
        <w:tc>
          <w:tcPr>
            <w:tcW w:w="463" w:type="pct"/>
            <w:shd w:val="clear" w:color="auto" w:fill="auto"/>
            <w:vAlign w:val="center"/>
          </w:tcPr>
          <w:p w14:paraId="699F2856" w14:textId="5A564E0E" w:rsidR="00DB746D" w:rsidRPr="00332C8B" w:rsidRDefault="00D07E9F"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Hand-Foot</w:t>
            </w:r>
          </w:p>
        </w:tc>
        <w:tc>
          <w:tcPr>
            <w:tcW w:w="259" w:type="pct"/>
            <w:shd w:val="clear" w:color="auto" w:fill="auto"/>
            <w:vAlign w:val="center"/>
          </w:tcPr>
          <w:p w14:paraId="0A6F84F4" w14:textId="589B4982" w:rsidR="00DB746D" w:rsidRPr="00332C8B" w:rsidRDefault="00DB746D"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SF</w:t>
            </w:r>
          </w:p>
        </w:tc>
        <w:tc>
          <w:tcPr>
            <w:tcW w:w="352" w:type="pct"/>
            <w:shd w:val="clear" w:color="auto" w:fill="auto"/>
            <w:vAlign w:val="center"/>
          </w:tcPr>
          <w:p w14:paraId="734C2CE0" w14:textId="77777777" w:rsidR="00DB746D" w:rsidRPr="00332C8B" w:rsidRDefault="00DB746D"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PA</w:t>
            </w:r>
          </w:p>
        </w:tc>
        <w:tc>
          <w:tcPr>
            <w:tcW w:w="453" w:type="pct"/>
            <w:shd w:val="clear" w:color="auto" w:fill="auto"/>
            <w:vAlign w:val="center"/>
          </w:tcPr>
          <w:p w14:paraId="03E1F68B" w14:textId="345E656B" w:rsidR="00DB746D" w:rsidRPr="00332C8B" w:rsidRDefault="00D07E9F"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Not reported</w:t>
            </w:r>
          </w:p>
        </w:tc>
        <w:tc>
          <w:tcPr>
            <w:tcW w:w="453" w:type="pct"/>
            <w:shd w:val="clear" w:color="auto" w:fill="auto"/>
            <w:vAlign w:val="center"/>
          </w:tcPr>
          <w:p w14:paraId="52F37E76" w14:textId="67D6F699" w:rsidR="00DB746D" w:rsidRPr="00332C8B" w:rsidRDefault="00D07E9F"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N/A</w:t>
            </w:r>
          </w:p>
        </w:tc>
        <w:tc>
          <w:tcPr>
            <w:tcW w:w="453" w:type="pct"/>
            <w:shd w:val="clear" w:color="auto" w:fill="auto"/>
            <w:vAlign w:val="center"/>
          </w:tcPr>
          <w:p w14:paraId="4C627BF8" w14:textId="704645DF" w:rsidR="00DB746D" w:rsidRPr="00332C8B" w:rsidRDefault="00DB746D"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w:t>
            </w:r>
          </w:p>
        </w:tc>
        <w:tc>
          <w:tcPr>
            <w:tcW w:w="493" w:type="pct"/>
            <w:shd w:val="clear" w:color="auto" w:fill="auto"/>
            <w:vAlign w:val="center"/>
          </w:tcPr>
          <w:p w14:paraId="793AB6D3" w14:textId="77777777" w:rsidR="00DB746D" w:rsidRPr="00332C8B" w:rsidRDefault="00DB746D"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MSKCC</w:t>
            </w:r>
          </w:p>
        </w:tc>
      </w:tr>
      <w:tr w:rsidR="00685F1B" w:rsidRPr="00332C8B" w14:paraId="5B30C9A5" w14:textId="77777777" w:rsidTr="00CA30FA">
        <w:trPr>
          <w:cnfStyle w:val="000000100000" w:firstRow="0" w:lastRow="0" w:firstColumn="0" w:lastColumn="0" w:oddVBand="0" w:evenVBand="0" w:oddHBand="1"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390" w:type="pct"/>
            <w:shd w:val="clear" w:color="auto" w:fill="auto"/>
            <w:vAlign w:val="center"/>
          </w:tcPr>
          <w:p w14:paraId="0F169477" w14:textId="55FC385B" w:rsidR="00DB746D" w:rsidRPr="00332C8B" w:rsidRDefault="00DB746D" w:rsidP="00F0414E">
            <w:pPr>
              <w:spacing w:line="480" w:lineRule="auto"/>
              <w:jc w:val="center"/>
              <w:rPr>
                <w:rFonts w:asciiTheme="minorHAnsi" w:eastAsia="Calibri" w:hAnsiTheme="minorHAnsi" w:cstheme="minorHAnsi"/>
                <w:b w:val="0"/>
                <w:bCs w:val="0"/>
                <w:color w:val="000000" w:themeColor="text1"/>
                <w:sz w:val="20"/>
                <w:szCs w:val="20"/>
              </w:rPr>
            </w:pPr>
            <w:r w:rsidRPr="00332C8B">
              <w:rPr>
                <w:rFonts w:asciiTheme="minorHAnsi" w:eastAsia="Calibri" w:hAnsiTheme="minorHAnsi" w:cstheme="minorHAnsi"/>
                <w:color w:val="000000" w:themeColor="text1"/>
                <w:sz w:val="20"/>
                <w:szCs w:val="20"/>
              </w:rPr>
              <w:t>Cardoso, 2017</w:t>
            </w:r>
            <w:r w:rsidRPr="00332C8B">
              <w:rPr>
                <w:rFonts w:asciiTheme="minorHAnsi" w:eastAsia="Calibri" w:hAnsiTheme="minorHAnsi" w:cstheme="minorHAnsi"/>
                <w:color w:val="000000" w:themeColor="text1"/>
                <w:sz w:val="20"/>
                <w:szCs w:val="20"/>
              </w:rPr>
              <w:fldChar w:fldCharType="begin" w:fldLock="1"/>
            </w:r>
            <w:r w:rsidR="00F66CFF" w:rsidRPr="00332C8B">
              <w:rPr>
                <w:rFonts w:asciiTheme="minorHAnsi" w:eastAsia="Calibri" w:hAnsiTheme="minorHAnsi" w:cstheme="minorHAnsi"/>
                <w:color w:val="000000" w:themeColor="text1"/>
                <w:sz w:val="20"/>
                <w:szCs w:val="20"/>
              </w:rPr>
              <w:instrText>ADDIN CSL_CITATION {"citationItems":[{"id":"ITEM-1","itemData":{"DOI":"http://dx.doi.org/10.1038/ejcn.2017.115","ISSN":"0954-3007","abstract":"BACKGROUND/OBJECTIVES: Bioelectrical impedance vector analysis (BIVA) has been considered a promising technique in monitoring the nutritional and hydration status of patients with different types of diseases. The aim of this study was to assess the nutritional status provided by direct parameters of bioelectrical impedance analysis (BIA), BIVA and phase angle (PA), in patients with cervical and endometrial cancer undergoing surgical treatment, associating to other parameters of nutritional status and surgical outcomes. SUBJECTS/METHODS: In a prospective cohort, 208 women eligible to surgical treatment, admitted from January to December 2015, were enrolled. Patients were assessed according to the body mass index (BMI), Patient Generated Subjective Global Assessment (PG-SGA) and BIA. The PA was categorized as below and above percentiles 25 and 50 of studied population. RESULTS: According to BMI and PG-SGA, most of them were classified as obese (69%) and well nourished (84%), respectively. PA was significantly lower in patients with endometrial cancer, PG-SGA B or C, and in those who remained longer in hospital. PA below 25th percentile was also associated with surgical complications. Comparison of BIVA detachment of our population with a reference population showed significant impedance vector displacement, characterized by decreased reactance value and increased resistance value in our group of patients. CONCLUSIONS: PA was associated with other parameters of nutritional status and surgical outcomes. BIVA was associated with nutritional status and length of hospital, but did not present significant result for surgical complications.Copyright © 2017 Macmillan Publishers Limited, part of Springer Nature.","author":[{"dropping-particle":"","family":"I.C.R.","given":"Cardoso","non-dropping-particle":"","parse-names":false,"suffix":""},{"dropping-particle":"","family":"M.A.","given":"Aredes","non-dropping-particle":"","parse-names":false,"suffix":""}],"container-title":"European Journal of Clinical Nutrition","id":"ITEM-1","issue":"11","issued":{"date-parts":[["2017"]]},"page":"1278-1284","publisher":"Nature Publishing Group (Houndmills, Basingstoke, Hampshire RG21 6XS, United Kingdom)","publisher-place":"G.V. Chaves, Department of Nutrition and Dietetics, Brazilian National Cancer Institute-INCA, Rua Equador, 831, Santo Cristo, Rio de Janeiro 22010-050, Brazil. E-mail: gabrielavc@gmail.com","title":"Applicability of the direct parameters of bioelectrical impedance in assessing nutritional status and surgical complications of women with gynecological cancer","type":"article-journal","volume":"71"},"uris":["http://www.mendeley.com/documents/?uuid=3c95cc9d-eb4a-4292-a54f-67ca3bafefc1"]}],"mendeley":{"formattedCitation":"[37]","plainTextFormattedCitation":"[37]","previouslyFormattedCitation":"[38]"},"properties":{"noteIndex":0},"schema":"https://github.com/citation-style-language/schema/raw/master/csl-citation.json"}</w:instrText>
            </w:r>
            <w:r w:rsidRPr="00332C8B">
              <w:rPr>
                <w:rFonts w:asciiTheme="minorHAnsi" w:eastAsia="Calibri" w:hAnsiTheme="minorHAnsi" w:cstheme="minorHAnsi"/>
                <w:color w:val="000000" w:themeColor="text1"/>
                <w:sz w:val="20"/>
                <w:szCs w:val="20"/>
              </w:rPr>
              <w:fldChar w:fldCharType="separate"/>
            </w:r>
            <w:r w:rsidR="00F66CFF" w:rsidRPr="00332C8B">
              <w:rPr>
                <w:rFonts w:asciiTheme="minorHAnsi" w:eastAsia="Calibri" w:hAnsiTheme="minorHAnsi" w:cstheme="minorHAnsi"/>
                <w:b w:val="0"/>
                <w:noProof/>
                <w:color w:val="000000" w:themeColor="text1"/>
                <w:sz w:val="20"/>
                <w:szCs w:val="20"/>
              </w:rPr>
              <w:t>[37]</w:t>
            </w:r>
            <w:r w:rsidRPr="00332C8B">
              <w:rPr>
                <w:rFonts w:asciiTheme="minorHAnsi" w:eastAsia="Calibri" w:hAnsiTheme="minorHAnsi" w:cstheme="minorHAnsi"/>
                <w:color w:val="000000" w:themeColor="text1"/>
                <w:sz w:val="20"/>
                <w:szCs w:val="20"/>
              </w:rPr>
              <w:fldChar w:fldCharType="end"/>
            </w:r>
          </w:p>
        </w:tc>
        <w:tc>
          <w:tcPr>
            <w:tcW w:w="556" w:type="pct"/>
            <w:shd w:val="clear" w:color="auto" w:fill="auto"/>
            <w:vAlign w:val="center"/>
          </w:tcPr>
          <w:p w14:paraId="704A6342" w14:textId="3EEAADD1" w:rsidR="00DB746D" w:rsidRPr="00332C8B" w:rsidRDefault="00C04CF4"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Brazil</w:t>
            </w:r>
          </w:p>
        </w:tc>
        <w:tc>
          <w:tcPr>
            <w:tcW w:w="556" w:type="pct"/>
            <w:shd w:val="clear" w:color="auto" w:fill="auto"/>
            <w:vAlign w:val="center"/>
          </w:tcPr>
          <w:p w14:paraId="70CEC67F" w14:textId="258FCE04" w:rsidR="00DB746D" w:rsidRPr="00332C8B" w:rsidRDefault="00DB746D"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Endometrial and Cervical (n=208)</w:t>
            </w:r>
          </w:p>
        </w:tc>
        <w:tc>
          <w:tcPr>
            <w:tcW w:w="572" w:type="pct"/>
            <w:shd w:val="clear" w:color="auto" w:fill="auto"/>
            <w:vAlign w:val="center"/>
          </w:tcPr>
          <w:p w14:paraId="47A1E927" w14:textId="0DE763A1" w:rsidR="00DB746D" w:rsidRPr="00332C8B" w:rsidRDefault="00DB746D"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BIA 450</w:t>
            </w:r>
            <w:r w:rsidR="00550451" w:rsidRPr="00332C8B">
              <w:rPr>
                <w:rFonts w:asciiTheme="minorHAnsi" w:eastAsia="Calibri" w:hAnsiTheme="minorHAnsi" w:cstheme="minorHAnsi"/>
                <w:color w:val="000000" w:themeColor="text1"/>
                <w:sz w:val="20"/>
                <w:szCs w:val="20"/>
              </w:rPr>
              <w:t>, Biodynamics, USA</w:t>
            </w:r>
          </w:p>
        </w:tc>
        <w:tc>
          <w:tcPr>
            <w:tcW w:w="463" w:type="pct"/>
            <w:shd w:val="clear" w:color="auto" w:fill="auto"/>
            <w:vAlign w:val="center"/>
          </w:tcPr>
          <w:p w14:paraId="297A501E" w14:textId="4C1AF0D5" w:rsidR="00DB746D" w:rsidRPr="00332C8B" w:rsidRDefault="00C04CF4"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Not reported</w:t>
            </w:r>
          </w:p>
        </w:tc>
        <w:tc>
          <w:tcPr>
            <w:tcW w:w="259" w:type="pct"/>
            <w:shd w:val="clear" w:color="auto" w:fill="auto"/>
            <w:vAlign w:val="center"/>
          </w:tcPr>
          <w:p w14:paraId="5460454C" w14:textId="534F94FA" w:rsidR="00DB746D" w:rsidRPr="00332C8B" w:rsidRDefault="00DB746D"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SF</w:t>
            </w:r>
          </w:p>
        </w:tc>
        <w:tc>
          <w:tcPr>
            <w:tcW w:w="352" w:type="pct"/>
            <w:shd w:val="clear" w:color="auto" w:fill="auto"/>
            <w:vAlign w:val="center"/>
          </w:tcPr>
          <w:p w14:paraId="0C4F4982" w14:textId="2F130BAB" w:rsidR="00DB746D" w:rsidRPr="00332C8B" w:rsidRDefault="00DB746D"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PA</w:t>
            </w:r>
          </w:p>
        </w:tc>
        <w:tc>
          <w:tcPr>
            <w:tcW w:w="453" w:type="pct"/>
            <w:shd w:val="clear" w:color="auto" w:fill="auto"/>
            <w:vAlign w:val="center"/>
          </w:tcPr>
          <w:p w14:paraId="58C3ABFC" w14:textId="40960747" w:rsidR="00DB746D" w:rsidRPr="00332C8B" w:rsidRDefault="00C04CF4"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Not reported</w:t>
            </w:r>
          </w:p>
        </w:tc>
        <w:tc>
          <w:tcPr>
            <w:tcW w:w="453" w:type="pct"/>
            <w:shd w:val="clear" w:color="auto" w:fill="auto"/>
            <w:vAlign w:val="center"/>
          </w:tcPr>
          <w:p w14:paraId="65A9BF62" w14:textId="1EAE1D7F" w:rsidR="00DB746D" w:rsidRPr="00332C8B" w:rsidRDefault="00C04CF4"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N/A</w:t>
            </w:r>
          </w:p>
        </w:tc>
        <w:tc>
          <w:tcPr>
            <w:tcW w:w="453" w:type="pct"/>
            <w:shd w:val="clear" w:color="auto" w:fill="auto"/>
            <w:vAlign w:val="center"/>
          </w:tcPr>
          <w:p w14:paraId="3C1FEE77" w14:textId="1ECE816C" w:rsidR="00DB746D" w:rsidRPr="00332C8B" w:rsidRDefault="00C04CF4"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hAnsiTheme="minorHAnsi" w:cstheme="minorHAnsi"/>
                <w:kern w:val="24"/>
                <w:sz w:val="20"/>
                <w:szCs w:val="20"/>
                <w:lang w:eastAsia="en-GB"/>
              </w:rPr>
              <w:t xml:space="preserve">PA </w:t>
            </w:r>
            <w:r w:rsidR="00DB746D" w:rsidRPr="00332C8B">
              <w:rPr>
                <w:rFonts w:asciiTheme="minorHAnsi" w:hAnsiTheme="minorHAnsi" w:cstheme="minorHAnsi"/>
                <w:kern w:val="24"/>
                <w:sz w:val="20"/>
                <w:szCs w:val="20"/>
                <w:lang w:eastAsia="en-GB"/>
              </w:rPr>
              <w:t>≤</w:t>
            </w:r>
            <w:r w:rsidR="00DB746D" w:rsidRPr="00332C8B">
              <w:rPr>
                <w:rFonts w:asciiTheme="minorHAnsi" w:eastAsia="Calibri" w:hAnsiTheme="minorHAnsi" w:cstheme="minorHAnsi"/>
                <w:color w:val="000000" w:themeColor="text1"/>
                <w:sz w:val="20"/>
                <w:szCs w:val="20"/>
              </w:rPr>
              <w:t xml:space="preserve"> 25</w:t>
            </w:r>
            <w:r w:rsidR="00DB746D" w:rsidRPr="00332C8B">
              <w:rPr>
                <w:rFonts w:asciiTheme="minorHAnsi" w:eastAsia="Calibri" w:hAnsiTheme="minorHAnsi" w:cstheme="minorHAnsi"/>
                <w:color w:val="000000" w:themeColor="text1"/>
                <w:sz w:val="20"/>
                <w:szCs w:val="20"/>
                <w:vertAlign w:val="superscript"/>
              </w:rPr>
              <w:t>th</w:t>
            </w:r>
            <w:r w:rsidR="00DB746D" w:rsidRPr="00332C8B">
              <w:rPr>
                <w:rFonts w:asciiTheme="minorHAnsi" w:eastAsia="Calibri" w:hAnsiTheme="minorHAnsi" w:cstheme="minorHAnsi"/>
                <w:color w:val="000000" w:themeColor="text1"/>
                <w:sz w:val="20"/>
                <w:szCs w:val="20"/>
              </w:rPr>
              <w:t xml:space="preserve"> centile</w:t>
            </w:r>
            <w:r w:rsidRPr="00332C8B">
              <w:rPr>
                <w:rFonts w:asciiTheme="minorHAnsi" w:eastAsia="Calibri" w:hAnsiTheme="minorHAnsi" w:cstheme="minorHAnsi"/>
                <w:color w:val="000000" w:themeColor="text1"/>
                <w:sz w:val="20"/>
                <w:szCs w:val="20"/>
              </w:rPr>
              <w:t xml:space="preserve"> study population</w:t>
            </w:r>
          </w:p>
        </w:tc>
        <w:tc>
          <w:tcPr>
            <w:tcW w:w="493" w:type="pct"/>
            <w:shd w:val="clear" w:color="auto" w:fill="auto"/>
            <w:vAlign w:val="center"/>
          </w:tcPr>
          <w:p w14:paraId="300C193B" w14:textId="62733764" w:rsidR="00DB746D" w:rsidRPr="00332C8B" w:rsidRDefault="00DB746D"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Reilly</w:t>
            </w:r>
          </w:p>
        </w:tc>
      </w:tr>
      <w:tr w:rsidR="00685F1B" w:rsidRPr="00332C8B" w14:paraId="56F7B103" w14:textId="77777777" w:rsidTr="00CA30FA">
        <w:trPr>
          <w:trHeight w:val="964"/>
          <w:jc w:val="center"/>
        </w:trPr>
        <w:tc>
          <w:tcPr>
            <w:cnfStyle w:val="001000000000" w:firstRow="0" w:lastRow="0" w:firstColumn="1" w:lastColumn="0" w:oddVBand="0" w:evenVBand="0" w:oddHBand="0" w:evenHBand="0" w:firstRowFirstColumn="0" w:firstRowLastColumn="0" w:lastRowFirstColumn="0" w:lastRowLastColumn="0"/>
            <w:tcW w:w="390" w:type="pct"/>
            <w:shd w:val="clear" w:color="auto" w:fill="auto"/>
            <w:vAlign w:val="center"/>
          </w:tcPr>
          <w:p w14:paraId="2F486C81" w14:textId="22579488" w:rsidR="00DB746D" w:rsidRPr="00332C8B" w:rsidRDefault="00DB746D" w:rsidP="00F0414E">
            <w:pPr>
              <w:spacing w:line="480" w:lineRule="auto"/>
              <w:jc w:val="center"/>
              <w:rPr>
                <w:rFonts w:asciiTheme="minorHAnsi" w:eastAsia="Calibri" w:hAnsiTheme="minorHAnsi" w:cstheme="minorHAnsi"/>
                <w:b w:val="0"/>
                <w:bCs w:val="0"/>
                <w:color w:val="000000" w:themeColor="text1"/>
                <w:sz w:val="20"/>
                <w:szCs w:val="20"/>
              </w:rPr>
            </w:pPr>
            <w:r w:rsidRPr="00332C8B">
              <w:rPr>
                <w:rFonts w:asciiTheme="minorHAnsi" w:eastAsia="Calibri" w:hAnsiTheme="minorHAnsi" w:cstheme="minorHAnsi"/>
                <w:color w:val="000000" w:themeColor="text1"/>
                <w:sz w:val="20"/>
                <w:szCs w:val="20"/>
              </w:rPr>
              <w:t>Tsaousi, 2017</w:t>
            </w:r>
            <w:r w:rsidRPr="00332C8B">
              <w:rPr>
                <w:rFonts w:asciiTheme="minorHAnsi" w:eastAsia="Calibri" w:hAnsiTheme="minorHAnsi" w:cstheme="minorHAnsi"/>
                <w:color w:val="000000" w:themeColor="text1"/>
                <w:sz w:val="20"/>
                <w:szCs w:val="20"/>
              </w:rPr>
              <w:fldChar w:fldCharType="begin" w:fldLock="1"/>
            </w:r>
            <w:r w:rsidR="00F66CFF" w:rsidRPr="00332C8B">
              <w:rPr>
                <w:rFonts w:asciiTheme="minorHAnsi" w:eastAsia="Calibri" w:hAnsiTheme="minorHAnsi" w:cstheme="minorHAnsi"/>
                <w:color w:val="000000" w:themeColor="text1"/>
                <w:sz w:val="20"/>
                <w:szCs w:val="20"/>
              </w:rPr>
              <w:instrText>ADDIN CSL_CITATION {"citationItems":[{"id":"ITEM-1","itemData":{"DOI":"10.1111/ecc.12491","ISSN":"0961-5423","abstract":"We aimed to ascertain the implementation of body composition assessment, by means of fat-free mass index (FFMI), fat mass index (FMI) and presence of sarcopenic obesity, in colorectal cancer population, on the basis of hospital length of stay (LOS) determination and to benchmark their discriminatory performance with other nutrition status algorithms, such as body mass index (BMI) and Malnutrition Universal Screening Tool (MUST). Ninety adult patients with operable colorectal cancer were enrolled. Study parameters included demographic and anthropometric data registration, BMI and MUST calculation and body composition parameters measurement within 24-h post-admission. Hospital LOS constituted the outcome of interest, using 7 days as cut-off point. Fifty-one patients (56.7%) were hospitalised for ≤7 days. The presence of sarcopenic obesity affected adversely hospital LOS (OR, 9.236; 95% CI, 3.278-26.173, P = 0.000). Low FFMI (OR, 7.457; 95% CI, 2.868-19.390, P = 0.000), malnutrition according to MUST (OR, 2.632; 95% CI, 1.280-5.413, P = 0.009) and high FMI (2.133; 95% CI, 1.111-4.094, P = 0.023) were the most powerful discriminators of accelerated hospitalisation. Loss of lean body tissue, gain of adipose tissue and sarcopenic obesity confer noteworthy prognostic value being superior or equivalent to MUST in terms of hospital LOS determination in colorectal cancer resection setting. BMI presents inferior discrimination performance in this field.","author":[{"dropping-particle":"","family":"Tsaousi","given":"G","non-dropping-particle":"","parse-names":false,"suffix":""},{"dropping-particle":"","family":"Kokkota","given":"S","non-dropping-particle":"","parse-names":false,"suffix":""},{"dropping-particle":"","family":"Papakostas","given":"P","non-dropping-particle":"","parse-names":false,"suffix":""},{"dropping-particle":"","family":"Stavrou","given":"G","non-dropping-particle":"","parse-names":false,"suffix":""},{"dropping-particle":"","family":"Doumaki","given":"E","non-dropping-particle":"","parse-names":false,"suffix":""},{"dropping-particle":"","family":"Kotzampassi","given":"K","non-dropping-particle":"","parse-names":false,"suffix":""}],"container-title":"European Journal of Cancer Care","id":"ITEM-1","issue":"6","issued":{"date-parts":[["2017","11"]]},"note":"Accession Number: 126068743. Language: English. Entry Date: 20171111. Revision Date: 20171111. Publication Type: Article; research; tables/charts. Journal Subset: Core Nursing; Europe; Nursing; Peer Reviewed; UK &amp;amp; Ireland. Instrumentation: Malnutrition Universal Screening Tool (MUST). NLM UID: 9301979.","page":"n/a-n/a","publisher":"Wiley-Blackwell","publisher-place":"Department of Anesthesiology and ICU, Faculty of Medicine, Aristotle University of Thessaloniki","title":"Body composition analysis for discrimination of prolonged hospital stay in colorectal cancer surgery patients.","type":"article-journal","volume":"26"},"uris":["http://www.mendeley.com/documents/?uuid=bfe70df8-2fb6-4892-9d8c-a4acc4b94327"]}],"mendeley":{"formattedCitation":"[32]","plainTextFormattedCitation":"[32]","previouslyFormattedCitation":"[33]"},"properties":{"noteIndex":0},"schema":"https://github.com/citation-style-language/schema/raw/master/csl-citation.json"}</w:instrText>
            </w:r>
            <w:r w:rsidRPr="00332C8B">
              <w:rPr>
                <w:rFonts w:asciiTheme="minorHAnsi" w:eastAsia="Calibri" w:hAnsiTheme="minorHAnsi" w:cstheme="minorHAnsi"/>
                <w:color w:val="000000" w:themeColor="text1"/>
                <w:sz w:val="20"/>
                <w:szCs w:val="20"/>
              </w:rPr>
              <w:fldChar w:fldCharType="separate"/>
            </w:r>
            <w:r w:rsidR="00F66CFF" w:rsidRPr="00332C8B">
              <w:rPr>
                <w:rFonts w:asciiTheme="minorHAnsi" w:eastAsia="Calibri" w:hAnsiTheme="minorHAnsi" w:cstheme="minorHAnsi"/>
                <w:b w:val="0"/>
                <w:noProof/>
                <w:color w:val="000000" w:themeColor="text1"/>
                <w:sz w:val="20"/>
                <w:szCs w:val="20"/>
              </w:rPr>
              <w:t>[32]</w:t>
            </w:r>
            <w:r w:rsidRPr="00332C8B">
              <w:rPr>
                <w:rFonts w:asciiTheme="minorHAnsi" w:eastAsia="Calibri" w:hAnsiTheme="minorHAnsi" w:cstheme="minorHAnsi"/>
                <w:color w:val="000000" w:themeColor="text1"/>
                <w:sz w:val="20"/>
                <w:szCs w:val="20"/>
              </w:rPr>
              <w:fldChar w:fldCharType="end"/>
            </w:r>
          </w:p>
        </w:tc>
        <w:tc>
          <w:tcPr>
            <w:tcW w:w="556" w:type="pct"/>
            <w:shd w:val="clear" w:color="auto" w:fill="auto"/>
            <w:vAlign w:val="center"/>
          </w:tcPr>
          <w:p w14:paraId="0877689C" w14:textId="18AE4690" w:rsidR="00DB746D" w:rsidRPr="00332C8B" w:rsidRDefault="001B2090"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Greece</w:t>
            </w:r>
          </w:p>
        </w:tc>
        <w:tc>
          <w:tcPr>
            <w:tcW w:w="556" w:type="pct"/>
            <w:shd w:val="clear" w:color="auto" w:fill="auto"/>
            <w:vAlign w:val="center"/>
          </w:tcPr>
          <w:p w14:paraId="67F4D0AE" w14:textId="70D5C958" w:rsidR="00DB746D" w:rsidRPr="00332C8B" w:rsidRDefault="00DB746D"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Colorectal (n=9</w:t>
            </w:r>
            <w:r w:rsidR="004A7A01" w:rsidRPr="00332C8B">
              <w:rPr>
                <w:rFonts w:asciiTheme="minorHAnsi" w:eastAsia="Calibri" w:hAnsiTheme="minorHAnsi" w:cstheme="minorHAnsi"/>
                <w:color w:val="000000" w:themeColor="text1"/>
                <w:sz w:val="20"/>
                <w:szCs w:val="20"/>
              </w:rPr>
              <w:t>0</w:t>
            </w:r>
            <w:r w:rsidRPr="00332C8B">
              <w:rPr>
                <w:rFonts w:asciiTheme="minorHAnsi" w:eastAsia="Calibri" w:hAnsiTheme="minorHAnsi" w:cstheme="minorHAnsi"/>
                <w:color w:val="000000" w:themeColor="text1"/>
                <w:sz w:val="20"/>
                <w:szCs w:val="20"/>
              </w:rPr>
              <w:t>)</w:t>
            </w:r>
          </w:p>
        </w:tc>
        <w:tc>
          <w:tcPr>
            <w:tcW w:w="572" w:type="pct"/>
            <w:shd w:val="clear" w:color="auto" w:fill="auto"/>
            <w:vAlign w:val="center"/>
          </w:tcPr>
          <w:p w14:paraId="35F6A344" w14:textId="100AE75C" w:rsidR="00DB746D" w:rsidRPr="00332C8B" w:rsidRDefault="00DB746D"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Bodyscout</w:t>
            </w:r>
            <w:r w:rsidR="004A7A01" w:rsidRPr="00332C8B">
              <w:rPr>
                <w:rFonts w:asciiTheme="minorHAnsi" w:eastAsia="Calibri" w:hAnsiTheme="minorHAnsi" w:cstheme="minorHAnsi"/>
                <w:color w:val="000000" w:themeColor="text1"/>
                <w:sz w:val="20"/>
                <w:szCs w:val="20"/>
              </w:rPr>
              <w:t>, Fresnius Kabi, Germany</w:t>
            </w:r>
          </w:p>
        </w:tc>
        <w:tc>
          <w:tcPr>
            <w:tcW w:w="463" w:type="pct"/>
            <w:shd w:val="clear" w:color="auto" w:fill="auto"/>
            <w:vAlign w:val="center"/>
          </w:tcPr>
          <w:p w14:paraId="51E22B70" w14:textId="549A164D" w:rsidR="00DB746D" w:rsidRPr="00332C8B" w:rsidRDefault="001B2090"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Hand-Foot</w:t>
            </w:r>
          </w:p>
        </w:tc>
        <w:tc>
          <w:tcPr>
            <w:tcW w:w="259" w:type="pct"/>
            <w:shd w:val="clear" w:color="auto" w:fill="auto"/>
            <w:vAlign w:val="center"/>
          </w:tcPr>
          <w:p w14:paraId="31DDB888" w14:textId="77777777" w:rsidR="00DB746D" w:rsidRPr="00332C8B" w:rsidRDefault="00DB746D"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SF</w:t>
            </w:r>
          </w:p>
          <w:p w14:paraId="6CA94951" w14:textId="21FD0277" w:rsidR="00DB746D" w:rsidRPr="00332C8B" w:rsidRDefault="00DB746D"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MF</w:t>
            </w:r>
          </w:p>
        </w:tc>
        <w:tc>
          <w:tcPr>
            <w:tcW w:w="352" w:type="pct"/>
            <w:shd w:val="clear" w:color="auto" w:fill="auto"/>
            <w:vAlign w:val="center"/>
          </w:tcPr>
          <w:p w14:paraId="02544688" w14:textId="77777777" w:rsidR="00DB746D" w:rsidRPr="00332C8B" w:rsidRDefault="00DB746D"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FFMI</w:t>
            </w:r>
          </w:p>
          <w:p w14:paraId="356E9C44" w14:textId="762284D4" w:rsidR="00DB746D" w:rsidRPr="00332C8B" w:rsidRDefault="00DB746D"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FMI</w:t>
            </w:r>
          </w:p>
        </w:tc>
        <w:tc>
          <w:tcPr>
            <w:tcW w:w="453" w:type="pct"/>
            <w:shd w:val="clear" w:color="auto" w:fill="auto"/>
            <w:vAlign w:val="center"/>
          </w:tcPr>
          <w:p w14:paraId="6F6DAFA5" w14:textId="36566004" w:rsidR="00DB746D" w:rsidRPr="00332C8B" w:rsidRDefault="001B2090"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Not reported</w:t>
            </w:r>
          </w:p>
        </w:tc>
        <w:tc>
          <w:tcPr>
            <w:tcW w:w="453" w:type="pct"/>
            <w:shd w:val="clear" w:color="auto" w:fill="auto"/>
            <w:vAlign w:val="center"/>
          </w:tcPr>
          <w:p w14:paraId="5DF85010" w14:textId="185861AD" w:rsidR="00DB746D" w:rsidRPr="00332C8B" w:rsidRDefault="00685F1B"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Swiss</w:t>
            </w:r>
            <w:r w:rsidRPr="00332C8B">
              <w:rPr>
                <w:rFonts w:asciiTheme="minorHAnsi" w:eastAsia="Calibri" w:hAnsiTheme="minorHAnsi" w:cstheme="minorHAnsi"/>
                <w:color w:val="000000" w:themeColor="text1"/>
                <w:sz w:val="20"/>
                <w:szCs w:val="20"/>
              </w:rPr>
              <w:fldChar w:fldCharType="begin" w:fldLock="1"/>
            </w:r>
            <w:r w:rsidR="00F66CFF" w:rsidRPr="00332C8B">
              <w:rPr>
                <w:rFonts w:asciiTheme="minorHAnsi" w:eastAsia="Calibri" w:hAnsiTheme="minorHAnsi" w:cstheme="minorHAnsi"/>
                <w:color w:val="000000" w:themeColor="text1"/>
                <w:sz w:val="20"/>
                <w:szCs w:val="20"/>
              </w:rPr>
              <w:instrText>ADDIN CSL_CITATION {"citationItems":[{"id":"ITEM-1","itemData":{"DOI":"10.1159/000052821","ISSN":"0304324X","PMID":"11721145","abstract":"Background: Changes of body composition occur with aging and influence health status. Thus accurate methods for measuring fat-free mass (FFM) in the elderly are essential. Objective: The purpose of this study was to compare FFM obtained by three bioelectrical impedance analysis (BIA) published formulas specific for the elderly and one equation intended for all age groups, with FFM derived from dual-energy X-ray absorptiometry (FFMDXA), in healthy elderly subjects. Methods: Healthy Caucasian subjects over 65 years (106 women, age 75 ± 6.2, body mass index 25.2 ± 4.1 and 100 men, age 74.6 ± 6.6, body mass index 25.8 ± 3.0) were measured by DXA (Hologic QDR-4500) and BIA (Xitron, 50 kHz). FFMBIA was calculated by the published formulas of Deurenberg, Baumgartner, Roubenoff and Kyle and compared to FFMDXA by a Bland-Altman analysis. Results: The Deurenberg and Roubenoff BIA formulas underestimated FFM compared to DXA by -7.1 and -2.9 kg in women and -6.7 and -2.3 kg in men, respectively. The Baumgartner formula overestimated FFM by 4.3 kg in women and 1.4 kg in men. The Kyle formula showed differences of 0.0 kg in women and 0.2 kg in men, and the limits of agreement of FFMBIA(Kyle) relative to FFMDXA were -3.3 and +3.3 kg for women and -3.8 and +4.3 kg for men. Conclusion: The Kyle BIA formula accurately predicts FFM in elderly Swiss subjects between 65 and 94 years, with a body mass index of 17 to 34.9 kg/m2. The other BIA formulas developed especially for the elderly are not valid in this population. Copyright © 2001 S. Karger AG, Basel.","author":[{"dropping-particle":"","family":"Genton","given":"Laurence","non-dropping-particle":"","parse-names":false,"suffix":""},{"dropping-particle":"","family":"Karsegard","given":"Véronique L.","non-dropping-particle":"","parse-names":false,"suffix":""},{"dropping-particle":"","family":"Kyle","given":"Ursula G.","non-dropping-particle":"","parse-names":false,"suffix":""},{"dropping-particle":"","family":"Hans","given":"Didier B.","non-dropping-particle":"","parse-names":false,"suffix":""},{"dropping-particle":"","family":"Michel","given":"Jean Pierre","non-dropping-particle":"","parse-names":false,"suffix":""},{"dropping-particle":"","family":"Pichard","given":"Claude","non-dropping-particle":"","parse-names":false,"suffix":""}],"container-title":"Gerontology","id":"ITEM-1","issued":{"date-parts":[["2001"]]},"title":"Comparison of four bioelectrical impedance analysis formulas in healthy elderly subjects","type":"article-journal"},"uris":["http://www.mendeley.com/documents/?uuid=0c4f2282-d29d-4ec4-9397-8d247cee9679"]}],"mendeley":{"formattedCitation":"[43]","plainTextFormattedCitation":"[43]","previouslyFormattedCitation":"[44]"},"properties":{"noteIndex":0},"schema":"https://github.com/citation-style-language/schema/raw/master/csl-citation.json"}</w:instrText>
            </w:r>
            <w:r w:rsidRPr="00332C8B">
              <w:rPr>
                <w:rFonts w:asciiTheme="minorHAnsi" w:eastAsia="Calibri" w:hAnsiTheme="minorHAnsi" w:cstheme="minorHAnsi"/>
                <w:color w:val="000000" w:themeColor="text1"/>
                <w:sz w:val="20"/>
                <w:szCs w:val="20"/>
              </w:rPr>
              <w:fldChar w:fldCharType="separate"/>
            </w:r>
            <w:r w:rsidR="00F66CFF" w:rsidRPr="00332C8B">
              <w:rPr>
                <w:rFonts w:asciiTheme="minorHAnsi" w:eastAsia="Calibri" w:hAnsiTheme="minorHAnsi" w:cstheme="minorHAnsi"/>
                <w:noProof/>
                <w:color w:val="000000" w:themeColor="text1"/>
                <w:sz w:val="20"/>
                <w:szCs w:val="20"/>
              </w:rPr>
              <w:t>[43]</w:t>
            </w:r>
            <w:r w:rsidRPr="00332C8B">
              <w:rPr>
                <w:rFonts w:asciiTheme="minorHAnsi" w:eastAsia="Calibri" w:hAnsiTheme="minorHAnsi" w:cstheme="minorHAnsi"/>
                <w:color w:val="000000" w:themeColor="text1"/>
                <w:sz w:val="20"/>
                <w:szCs w:val="20"/>
              </w:rPr>
              <w:fldChar w:fldCharType="end"/>
            </w:r>
            <w:r w:rsidRPr="00332C8B">
              <w:rPr>
                <w:rFonts w:asciiTheme="minorHAnsi" w:eastAsia="Calibri" w:hAnsiTheme="minorHAnsi" w:cstheme="minorHAnsi"/>
                <w:color w:val="000000" w:themeColor="text1"/>
                <w:sz w:val="20"/>
                <w:szCs w:val="20"/>
                <w:vertAlign w:val="superscript"/>
              </w:rPr>
              <w:t>,</w:t>
            </w:r>
            <w:r w:rsidRPr="00332C8B">
              <w:rPr>
                <w:rFonts w:asciiTheme="minorHAnsi" w:eastAsia="Calibri" w:hAnsiTheme="minorHAnsi" w:cstheme="minorHAnsi"/>
                <w:color w:val="000000" w:themeColor="text1"/>
                <w:sz w:val="20"/>
                <w:szCs w:val="20"/>
              </w:rPr>
              <w:fldChar w:fldCharType="begin" w:fldLock="1"/>
            </w:r>
            <w:r w:rsidR="00F66CFF" w:rsidRPr="00332C8B">
              <w:rPr>
                <w:rFonts w:asciiTheme="minorHAnsi" w:eastAsia="Calibri" w:hAnsiTheme="minorHAnsi" w:cstheme="minorHAnsi"/>
                <w:color w:val="000000" w:themeColor="text1"/>
                <w:sz w:val="20"/>
                <w:szCs w:val="20"/>
              </w:rPr>
              <w:instrText>ADDIN CSL_CITATION {"citationItems":[{"id":"ITEM-1","itemData":{"DOI":"10.1016/S0899-9007(00)00553-0","ISSN":"08999007","PMID":"11312069","abstract":"Existing equations for bioelectrical impedance analysis (BIA) are of limited use when subjects age or become overweight because these equations were developed in young, normal-weight subjects and are not valid in elderly or overweight people. The purpose of this study was to validate a single BIA equation in healthy white subjects aged 22-94 y with a body mass index between 17.0 and 33.8 kg/m2. Healthy subjects (202 men and 141 women) aged 20-94 y were measured by two methods: fat-free mass (FFM) was measured by dual-energy x-ray absorptiometry (Hologic QDR-4500) and by a bioelectrical impedance analyzer (Xitron 4000B). Validity of BIA was assessed by double cross validation. Because correlations were high (r = 0.986-0.987) and prediction errors low, a single equation was developed using all subjects, as follows: FFM = -4.104 + (0.518 × height2/resistance) + (0.231 × weight) + (0.130 × reactance) + (4.229 × sex: men = 1, women = 0). FFM predicted with dual-energy x-ray absorptiometry was 54.0 ± 10.7 kg. BIA-predicted FFM was 54.0 ± 10.5 kg (r = 0.986, standard error of the estimate = 1.72 kg, technical error = 1.74 kg). In conclusion, the new Geneva BIA equation was valid for prediction of FFM in healthy adults aged 22-94 y with body mass indexes between 17.0 and 33.8 kg/m2. Inclusion of reactance in the single prediction equation appeared to be essential for use of BIA equations in populations with large variations in age or body mass. Copyright © 2001 Elsevier Science Inc.","author":[{"dropping-particle":"","family":"Kyle","given":"Ursula G.","non-dropping-particle":"","parse-names":false,"suffix":""},{"dropping-particle":"","family":"Genton","given":"Laurence","non-dropping-particle":"","parse-names":false,"suffix":""},{"dropping-particle":"","family":"Karsegard","given":"Laurie","non-dropping-particle":"","parse-names":false,"suffix":""},{"dropping-particle":"","family":"Slosman","given":"Daniel O.","non-dropping-particle":"","parse-names":false,"suffix":""},{"dropping-particle":"","family":"Pichard","given":"Claude","non-dropping-particle":"","parse-names":false,"suffix":""}],"container-title":"Nutrition","id":"ITEM-1","issued":{"date-parts":[["2001"]]},"title":"Single prediction equation for bioelectrical impedance analysis in adults aged 20-94 years","type":"article-journal"},"uris":["http://www.mendeley.com/documents/?uuid=28f5a501-76ca-4e2c-a727-9ab431aa48ad"]}],"mendeley":{"formattedCitation":"[44]","plainTextFormattedCitation":"[44]","previouslyFormattedCitation":"[45]"},"properties":{"noteIndex":0},"schema":"https://github.com/citation-style-language/schema/raw/master/csl-citation.json"}</w:instrText>
            </w:r>
            <w:r w:rsidRPr="00332C8B">
              <w:rPr>
                <w:rFonts w:asciiTheme="minorHAnsi" w:eastAsia="Calibri" w:hAnsiTheme="minorHAnsi" w:cstheme="minorHAnsi"/>
                <w:color w:val="000000" w:themeColor="text1"/>
                <w:sz w:val="20"/>
                <w:szCs w:val="20"/>
              </w:rPr>
              <w:fldChar w:fldCharType="separate"/>
            </w:r>
            <w:r w:rsidR="00F66CFF" w:rsidRPr="00332C8B">
              <w:rPr>
                <w:rFonts w:asciiTheme="minorHAnsi" w:eastAsia="Calibri" w:hAnsiTheme="minorHAnsi" w:cstheme="minorHAnsi"/>
                <w:noProof/>
                <w:color w:val="000000" w:themeColor="text1"/>
                <w:sz w:val="20"/>
                <w:szCs w:val="20"/>
              </w:rPr>
              <w:t>[44]</w:t>
            </w:r>
            <w:r w:rsidRPr="00332C8B">
              <w:rPr>
                <w:rFonts w:asciiTheme="minorHAnsi" w:eastAsia="Calibri" w:hAnsiTheme="minorHAnsi" w:cstheme="minorHAnsi"/>
                <w:color w:val="000000" w:themeColor="text1"/>
                <w:sz w:val="20"/>
                <w:szCs w:val="20"/>
              </w:rPr>
              <w:fldChar w:fldCharType="end"/>
            </w:r>
          </w:p>
        </w:tc>
        <w:tc>
          <w:tcPr>
            <w:tcW w:w="453" w:type="pct"/>
            <w:shd w:val="clear" w:color="auto" w:fill="auto"/>
            <w:vAlign w:val="center"/>
          </w:tcPr>
          <w:p w14:paraId="1A247139" w14:textId="6C95D774" w:rsidR="00DB746D" w:rsidRPr="00332C8B" w:rsidRDefault="00DB746D"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4"/>
                <w:sz w:val="20"/>
                <w:szCs w:val="20"/>
                <w:lang w:eastAsia="en-GB"/>
              </w:rPr>
            </w:pPr>
            <w:r w:rsidRPr="00332C8B">
              <w:rPr>
                <w:rFonts w:asciiTheme="minorHAnsi" w:eastAsia="Calibri" w:hAnsiTheme="minorHAnsi" w:cstheme="minorHAnsi"/>
                <w:color w:val="000000" w:themeColor="text1"/>
                <w:sz w:val="20"/>
                <w:szCs w:val="20"/>
              </w:rPr>
              <w:t>LoS</w:t>
            </w:r>
            <w:r w:rsidRPr="00332C8B">
              <w:rPr>
                <w:rFonts w:asciiTheme="minorHAnsi" w:eastAsia="Calibri" w:hAnsiTheme="minorHAnsi" w:cstheme="minorHAnsi"/>
                <w:sz w:val="20"/>
                <w:szCs w:val="20"/>
              </w:rPr>
              <w:t xml:space="preserve"> </w:t>
            </w:r>
            <w:r w:rsidRPr="00332C8B">
              <w:rPr>
                <w:rFonts w:asciiTheme="minorHAnsi" w:hAnsiTheme="minorHAnsi" w:cstheme="minorHAnsi"/>
                <w:kern w:val="24"/>
                <w:sz w:val="20"/>
                <w:szCs w:val="20"/>
                <w:lang w:eastAsia="en-GB"/>
              </w:rPr>
              <w:t>≤</w:t>
            </w:r>
            <w:r w:rsidRPr="00332C8B">
              <w:rPr>
                <w:rFonts w:asciiTheme="minorHAnsi" w:eastAsia="Calibri" w:hAnsiTheme="minorHAnsi" w:cstheme="minorHAnsi"/>
                <w:kern w:val="24"/>
                <w:sz w:val="20"/>
                <w:szCs w:val="20"/>
                <w:lang w:eastAsia="en-GB"/>
              </w:rPr>
              <w:t xml:space="preserve"> 7 days</w:t>
            </w:r>
          </w:p>
        </w:tc>
        <w:tc>
          <w:tcPr>
            <w:tcW w:w="493" w:type="pct"/>
            <w:shd w:val="clear" w:color="auto" w:fill="auto"/>
            <w:vAlign w:val="center"/>
          </w:tcPr>
          <w:p w14:paraId="03185168" w14:textId="4B775D20" w:rsidR="00DB746D" w:rsidRPr="00332C8B" w:rsidRDefault="00DB746D"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LoS</w:t>
            </w:r>
          </w:p>
        </w:tc>
      </w:tr>
      <w:tr w:rsidR="00685F1B" w:rsidRPr="00332C8B" w14:paraId="5A0700AB" w14:textId="77777777" w:rsidTr="00CA30FA">
        <w:trPr>
          <w:cnfStyle w:val="000000100000" w:firstRow="0" w:lastRow="0" w:firstColumn="0" w:lastColumn="0" w:oddVBand="0" w:evenVBand="0" w:oddHBand="1"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390" w:type="pct"/>
            <w:shd w:val="clear" w:color="auto" w:fill="auto"/>
            <w:vAlign w:val="center"/>
          </w:tcPr>
          <w:p w14:paraId="2C920A93" w14:textId="1869A285" w:rsidR="00DB746D" w:rsidRPr="00332C8B" w:rsidRDefault="00DB746D" w:rsidP="00F0414E">
            <w:pPr>
              <w:spacing w:line="480" w:lineRule="auto"/>
              <w:jc w:val="center"/>
              <w:rPr>
                <w:rFonts w:asciiTheme="minorHAnsi" w:eastAsia="Calibri" w:hAnsiTheme="minorHAnsi" w:cstheme="minorHAnsi"/>
                <w:b w:val="0"/>
                <w:bCs w:val="0"/>
                <w:color w:val="000000" w:themeColor="text1"/>
                <w:sz w:val="20"/>
                <w:szCs w:val="20"/>
              </w:rPr>
            </w:pPr>
            <w:r w:rsidRPr="00332C8B">
              <w:rPr>
                <w:rFonts w:asciiTheme="minorHAnsi" w:eastAsia="Calibri" w:hAnsiTheme="minorHAnsi" w:cstheme="minorHAnsi"/>
                <w:color w:val="000000" w:themeColor="text1"/>
                <w:sz w:val="20"/>
                <w:szCs w:val="20"/>
              </w:rPr>
              <w:t>Harter, 2017</w:t>
            </w:r>
            <w:r w:rsidRPr="00332C8B">
              <w:rPr>
                <w:rFonts w:asciiTheme="minorHAnsi" w:eastAsia="Calibri" w:hAnsiTheme="minorHAnsi" w:cstheme="minorHAnsi"/>
                <w:color w:val="000000" w:themeColor="text1"/>
                <w:sz w:val="20"/>
                <w:szCs w:val="20"/>
              </w:rPr>
              <w:fldChar w:fldCharType="begin" w:fldLock="1"/>
            </w:r>
            <w:r w:rsidR="00F66CFF" w:rsidRPr="00332C8B">
              <w:rPr>
                <w:rFonts w:asciiTheme="minorHAnsi" w:eastAsia="Calibri" w:hAnsiTheme="minorHAnsi" w:cstheme="minorHAnsi"/>
                <w:color w:val="000000" w:themeColor="text1"/>
                <w:sz w:val="20"/>
                <w:szCs w:val="20"/>
              </w:rPr>
              <w:instrText>ADDIN CSL_CITATION {"citationItems":[{"id":"ITEM-1","itemData":{"DOI":"10.1007/s00520-017-3661-4","ISSN":"0941-4355","abstract":"Purpose: We evaluated phase angle, sarcopenia, and handgrip strength as prognostic factors of postoperative morbimortality in patients with cancer.Methodology: We conducted a prospective study with 60 oncology patients admitted for elective surgery between November 2015 and May 2016. We calculated the standardized phase angle (SPA) and the skeletal mass index of the subjects based on their bioelectrical impedance tests. Handgrip strength (HGS) was measured using a hydraulic dynamometer. Diagnosis of sarcopenia followed the criteria of the European Working Group on Sarcopenia in Older People. The nutritional status of each subject was evaluated through the Patient-Generated Subjective Global Assessment. Evaluation of postoperative complications followed the Clavien-Dindo classification. We also evaluated the duration of hospital stay. Outcomes were postoperative complications and duration of hospital stay.Results: The prevalence of malnutrition was 28.3%, and the prevalence of sarcopenia was 18.6%. The SPA was significantly lower among those who had severe postoperative complications or long hospital stays, while HGS and sarcopenia showed no relationship with these outcomes. Malnutrition was also related to postoperative outcomes.Conclusion: SPA can be considered a prognostic factor in postoperative morbimortality for patients with cancer.","author":[{"dropping-particle":"","family":"Härter","given":"Jéssica","non-dropping-particle":"","parse-names":false,"suffix":""},{"dropping-particle":"","family":"Orlandi","given":"Silvana","non-dropping-particle":"","parse-names":false,"suffix":""},{"dropping-particle":"","family":"Gonzalez","given":"Maria","non-dropping-particle":"","parse-names":false,"suffix":""},{"dropping-particle":"","family":"Härter","given":"Jéssica","non-dropping-particle":"","parse-names":false,"suffix":""},{"dropping-particle":"","family":"Orlandi","given":"Silvana Paiva","non-dropping-particle":"","parse-names":false,"suffix":""},{"dropping-particle":"","family":"Gonzalez","given":"Maria Cristina","non-dropping-particle":"","parse-names":false,"suffix":""}],"container-title":"Supportive Care in Cancer","id":"ITEM-1","issue":"8","issued":{"date-parts":[["2017","8"]]},"note":"Accession Number: 123716957. Language: English. Entry Date: 20180318. Revision Date: 20180517. Publication Type: journal article. Journal Subset: Biomedical; Continental Europe; Double Blind Peer Reviewed; Editorial Board Reviewed; Europe; Expert Peer Reviewed; Peer Reviewed. NLM UID: 9302957.","page":"2525-2530","publisher":"Springer Science &amp; Business Media B.V.","publisher-place":"Post-graduate Program, Nutrition and Food , Federal University of Pelotas , Rua Gomes Carneiro, 01 Pelotas 96010-610 Brazil","title":"Nutritional and functional factors as prognostic of surgical cancer patients.","type":"article-journal","volume":"25"},"uris":["http://www.mendeley.com/documents/?uuid=c4a486af-4def-4eb8-81fd-1ff9f790eb45"]}],"mendeley":{"formattedCitation":"[40]","plainTextFormattedCitation":"[40]","previouslyFormattedCitation":"[41]"},"properties":{"noteIndex":0},"schema":"https://github.com/citation-style-language/schema/raw/master/csl-citation.json"}</w:instrText>
            </w:r>
            <w:r w:rsidRPr="00332C8B">
              <w:rPr>
                <w:rFonts w:asciiTheme="minorHAnsi" w:eastAsia="Calibri" w:hAnsiTheme="minorHAnsi" w:cstheme="minorHAnsi"/>
                <w:color w:val="000000" w:themeColor="text1"/>
                <w:sz w:val="20"/>
                <w:szCs w:val="20"/>
              </w:rPr>
              <w:fldChar w:fldCharType="separate"/>
            </w:r>
            <w:r w:rsidR="00F66CFF" w:rsidRPr="00332C8B">
              <w:rPr>
                <w:rFonts w:asciiTheme="minorHAnsi" w:eastAsia="Calibri" w:hAnsiTheme="minorHAnsi" w:cstheme="minorHAnsi"/>
                <w:b w:val="0"/>
                <w:noProof/>
                <w:color w:val="000000" w:themeColor="text1"/>
                <w:sz w:val="20"/>
                <w:szCs w:val="20"/>
              </w:rPr>
              <w:t>[40]</w:t>
            </w:r>
            <w:r w:rsidRPr="00332C8B">
              <w:rPr>
                <w:rFonts w:asciiTheme="minorHAnsi" w:eastAsia="Calibri" w:hAnsiTheme="minorHAnsi" w:cstheme="minorHAnsi"/>
                <w:color w:val="000000" w:themeColor="text1"/>
                <w:sz w:val="20"/>
                <w:szCs w:val="20"/>
              </w:rPr>
              <w:fldChar w:fldCharType="end"/>
            </w:r>
          </w:p>
        </w:tc>
        <w:tc>
          <w:tcPr>
            <w:tcW w:w="556" w:type="pct"/>
            <w:shd w:val="clear" w:color="auto" w:fill="auto"/>
            <w:vAlign w:val="center"/>
          </w:tcPr>
          <w:p w14:paraId="39CC9B2C" w14:textId="12D08129" w:rsidR="00DB746D" w:rsidRPr="00332C8B" w:rsidRDefault="00DB746D"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Brazil</w:t>
            </w:r>
          </w:p>
        </w:tc>
        <w:tc>
          <w:tcPr>
            <w:tcW w:w="556" w:type="pct"/>
            <w:shd w:val="clear" w:color="auto" w:fill="auto"/>
            <w:vAlign w:val="center"/>
          </w:tcPr>
          <w:p w14:paraId="79AC63B0" w14:textId="44EC56D9" w:rsidR="00DB746D" w:rsidRPr="00332C8B" w:rsidRDefault="00DB746D"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Mixed (n=60)</w:t>
            </w:r>
          </w:p>
          <w:p w14:paraId="65795BA2" w14:textId="77777777" w:rsidR="00DB746D" w:rsidRPr="00332C8B" w:rsidRDefault="00DB746D"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(20 GI, 17 HN, 11 GU, 6 Breast, 6 Other)</w:t>
            </w:r>
          </w:p>
        </w:tc>
        <w:tc>
          <w:tcPr>
            <w:tcW w:w="572" w:type="pct"/>
            <w:shd w:val="clear" w:color="auto" w:fill="auto"/>
            <w:vAlign w:val="center"/>
          </w:tcPr>
          <w:p w14:paraId="7BBD4A10" w14:textId="400C6E43" w:rsidR="00DB746D" w:rsidRPr="00332C8B" w:rsidRDefault="00DB746D"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Body Bioelectrical Composition Analyser</w:t>
            </w:r>
            <w:r w:rsidR="00615128" w:rsidRPr="00332C8B">
              <w:rPr>
                <w:rFonts w:asciiTheme="minorHAnsi" w:eastAsia="Calibri" w:hAnsiTheme="minorHAnsi" w:cstheme="minorHAnsi"/>
                <w:color w:val="000000" w:themeColor="text1"/>
                <w:sz w:val="20"/>
                <w:szCs w:val="20"/>
              </w:rPr>
              <w:t xml:space="preserve"> Quantum II, RJL Systems, USA</w:t>
            </w:r>
          </w:p>
        </w:tc>
        <w:tc>
          <w:tcPr>
            <w:tcW w:w="463" w:type="pct"/>
            <w:shd w:val="clear" w:color="auto" w:fill="auto"/>
            <w:vAlign w:val="center"/>
          </w:tcPr>
          <w:p w14:paraId="60B94936" w14:textId="7973FBCF" w:rsidR="00DB746D" w:rsidRPr="00332C8B" w:rsidRDefault="00F20D0D"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Not reported</w:t>
            </w:r>
          </w:p>
        </w:tc>
        <w:tc>
          <w:tcPr>
            <w:tcW w:w="259" w:type="pct"/>
            <w:shd w:val="clear" w:color="auto" w:fill="auto"/>
            <w:vAlign w:val="center"/>
          </w:tcPr>
          <w:p w14:paraId="27CF3D74" w14:textId="609F7786" w:rsidR="00DB746D" w:rsidRPr="00332C8B" w:rsidRDefault="00DB746D"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SF</w:t>
            </w:r>
          </w:p>
        </w:tc>
        <w:tc>
          <w:tcPr>
            <w:tcW w:w="352" w:type="pct"/>
            <w:shd w:val="clear" w:color="auto" w:fill="auto"/>
            <w:vAlign w:val="center"/>
          </w:tcPr>
          <w:p w14:paraId="54754582" w14:textId="77777777" w:rsidR="00DB746D" w:rsidRPr="00332C8B" w:rsidRDefault="00DB746D"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PA</w:t>
            </w:r>
          </w:p>
          <w:p w14:paraId="31F8792C" w14:textId="77777777" w:rsidR="00DB746D" w:rsidRPr="00332C8B" w:rsidRDefault="00DB746D"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SPA</w:t>
            </w:r>
          </w:p>
        </w:tc>
        <w:tc>
          <w:tcPr>
            <w:tcW w:w="453" w:type="pct"/>
            <w:shd w:val="clear" w:color="auto" w:fill="auto"/>
            <w:vAlign w:val="center"/>
          </w:tcPr>
          <w:p w14:paraId="79A99F65" w14:textId="71901FCB" w:rsidR="00DB746D" w:rsidRPr="00332C8B" w:rsidRDefault="00F20D0D"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Not reported</w:t>
            </w:r>
          </w:p>
        </w:tc>
        <w:tc>
          <w:tcPr>
            <w:tcW w:w="453" w:type="pct"/>
            <w:shd w:val="clear" w:color="auto" w:fill="auto"/>
            <w:vAlign w:val="center"/>
          </w:tcPr>
          <w:p w14:paraId="649C65DF" w14:textId="4120A8A8" w:rsidR="00DB746D" w:rsidRPr="00332C8B" w:rsidRDefault="00F20D0D"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N/A</w:t>
            </w:r>
          </w:p>
        </w:tc>
        <w:tc>
          <w:tcPr>
            <w:tcW w:w="453" w:type="pct"/>
            <w:shd w:val="clear" w:color="auto" w:fill="auto"/>
            <w:vAlign w:val="center"/>
          </w:tcPr>
          <w:p w14:paraId="244D6ADF" w14:textId="748670A5" w:rsidR="00DB746D" w:rsidRPr="00332C8B" w:rsidRDefault="00DB746D"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w:t>
            </w:r>
          </w:p>
        </w:tc>
        <w:tc>
          <w:tcPr>
            <w:tcW w:w="493" w:type="pct"/>
            <w:shd w:val="clear" w:color="auto" w:fill="auto"/>
            <w:vAlign w:val="center"/>
          </w:tcPr>
          <w:p w14:paraId="4909B757" w14:textId="77777777" w:rsidR="00DB746D" w:rsidRPr="00332C8B" w:rsidRDefault="00DB746D"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Clavien-Dindo</w:t>
            </w:r>
          </w:p>
        </w:tc>
      </w:tr>
      <w:tr w:rsidR="00685F1B" w:rsidRPr="00332C8B" w14:paraId="35622A24" w14:textId="77777777" w:rsidTr="00CA30FA">
        <w:trPr>
          <w:trHeight w:val="964"/>
          <w:jc w:val="center"/>
        </w:trPr>
        <w:tc>
          <w:tcPr>
            <w:cnfStyle w:val="001000000000" w:firstRow="0" w:lastRow="0" w:firstColumn="1" w:lastColumn="0" w:oddVBand="0" w:evenVBand="0" w:oddHBand="0" w:evenHBand="0" w:firstRowFirstColumn="0" w:firstRowLastColumn="0" w:lastRowFirstColumn="0" w:lastRowLastColumn="0"/>
            <w:tcW w:w="390" w:type="pct"/>
            <w:shd w:val="clear" w:color="auto" w:fill="auto"/>
            <w:vAlign w:val="center"/>
          </w:tcPr>
          <w:p w14:paraId="59B193E2" w14:textId="0949A7BD" w:rsidR="00DB746D" w:rsidRPr="00332C8B" w:rsidRDefault="00DB746D" w:rsidP="00F0414E">
            <w:pPr>
              <w:spacing w:line="480" w:lineRule="auto"/>
              <w:jc w:val="center"/>
              <w:rPr>
                <w:rFonts w:asciiTheme="minorHAnsi" w:eastAsia="Calibri" w:hAnsiTheme="minorHAnsi" w:cstheme="minorHAnsi"/>
                <w:b w:val="0"/>
                <w:bCs w:val="0"/>
                <w:color w:val="000000" w:themeColor="text1"/>
                <w:sz w:val="20"/>
                <w:szCs w:val="20"/>
              </w:rPr>
            </w:pPr>
            <w:r w:rsidRPr="00332C8B">
              <w:rPr>
                <w:rFonts w:asciiTheme="minorHAnsi" w:eastAsia="Calibri" w:hAnsiTheme="minorHAnsi" w:cstheme="minorHAnsi"/>
                <w:color w:val="000000" w:themeColor="text1"/>
                <w:sz w:val="20"/>
                <w:szCs w:val="20"/>
              </w:rPr>
              <w:t>Sato, 2016</w:t>
            </w:r>
            <w:r w:rsidRPr="00332C8B">
              <w:rPr>
                <w:rFonts w:asciiTheme="minorHAnsi" w:eastAsia="Calibri" w:hAnsiTheme="minorHAnsi" w:cstheme="minorHAnsi"/>
                <w:color w:val="000000" w:themeColor="text1"/>
                <w:sz w:val="20"/>
                <w:szCs w:val="20"/>
              </w:rPr>
              <w:fldChar w:fldCharType="begin" w:fldLock="1"/>
            </w:r>
            <w:r w:rsidR="00F66CFF" w:rsidRPr="00332C8B">
              <w:rPr>
                <w:rFonts w:asciiTheme="minorHAnsi" w:eastAsia="Calibri" w:hAnsiTheme="minorHAnsi" w:cstheme="minorHAnsi"/>
                <w:color w:val="000000" w:themeColor="text1"/>
                <w:sz w:val="20"/>
                <w:szCs w:val="20"/>
              </w:rPr>
              <w:instrText>ADDIN CSL_CITATION {"citationItems":[{"id":"ITEM-1","itemData":{"DOI":"https://dx.doi.org/10.1007/s10120-015-0554-4","ISSN":"1436-3305","abstract":"BACKGROUND: Sarcopenia is a decrease in both muscle mass and strength. It remains unclear whether sarcopenia is associated with morbidity after gastric cancer surgery. This study evaluated the impact of sarcopenia on the morbidity of gastric cancer surgery., METHODS: A total of 293 gastric cancer patients who underwent curative surgery between May 2011 and June 2013 were retrospectively examined. Patients with performance status 3 or 4 were excluded. Preoperative lean body mass (LBM) was evaluated by bioelectrical impedance analysis and expressed as LBM index. Preoperative muscle function was measured by hand grip strength (HGS). The cutoff values were the gender-specific lowest 20 %. Grade 2 or higher morbidities, as retrospectively evaluated by the Clavien-Dindo classification, were obtained from the patient record. The risk factors for morbidity were examined by univariate and multivariate analyses., RESULTS: Morbidity was observed in 39 patients (13.3 %), including 7 with pancreatic leakage, 12 with anastomotic leakage, and 4 with intraabdominal abscesses, but no mortality was observed. The univariate analysis showed that male gender, total gastrectomy, splenectomy, and a low HGS were significant risk factors for morbidity. A low LBM was not a significant risk factor. A low HGS, male gender, and total gastrectomy remained significant in the multivariate analysis., CONCLUSIONS: A low hand grip strength was a significant risk factor for morbidity after gastric cancer surgery. The importance of the hand grip strength as a risk factor should be examined in future prospective studies.","author":[{"dropping-particle":"","family":"Sato","given":"Tsutomu","non-dropping-particle":"","parse-names":false,"suffix":""},{"dropping-particle":"","family":"Aoyama","given":"Toru","non-dropping-particle":"","parse-names":false,"suffix":""},{"dropping-particle":"","family":"Hayashi","given":"Tsutomu","non-dropping-particle":"","parse-names":false,"suffix":""},{"dropping-particle":"","family":"Segami","given":"Kenki","non-dropping-particle":"","parse-names":false,"suffix":""},{"dropping-particle":"","family":"Kawabe","given":"Taiichi","non-dropping-particle":"","parse-names":false,"suffix":""},{"dropping-particle":"","family":"Fujikawa","given":"Hirohito","non-dropping-particle":"","parse-names":false,"suffix":""},{"dropping-particle":"","family":"Yamada","given":"Takanobu","non-dropping-particle":"","parse-names":false,"suffix":""},{"dropping-particle":"","family":"Yamamoto","given":"Naoto","non-dropping-particle":"","parse-names":false,"suffix":""},{"dropping-particle":"","family":"Oshima","given":"Takashi","non-dropping-particle":"","parse-names":false,"suffix":""},{"dropping-particle":"","family":"Rino","given":"Yasushi","non-dropping-particle":"","parse-names":false,"suffix":""},{"dropping-particle":"","family":"Masuda","given":"Munetaka","non-dropping-particle":"","parse-names":false,"suffix":""},{"dropping-particle":"","family":"Ogata","given":"Takashi","non-dropping-particle":"","parse-names":false,"suffix":""},{"dropping-particle":"","family":"Cho","given":"Haruhiko","non-dropping-particle":"","parse-names":false,"suffix":""},{"dropping-particle":"","family":"Yoshikawa","given":"Takaki","non-dropping-particle":"","parse-names":false,"suffix":""}],"container-title":"Gastric cancer : official journal of the International Gastric Cancer Association and the Japanese Gastric Cancer Association","id":"ITEM-1","issue":"3","issued":{"date-parts":[["2016"]]},"page":"1008-1015","publisher-place":"Japan","title":"Impact of preoperative hand grip strength on morbidity following gastric cancer surgery.","type":"article-journal","volume":"19"},"uris":["http://www.mendeley.com/documents/?uuid=a7720521-e083-46bf-88a1-5a1149d42876"]}],"mendeley":{"formattedCitation":"[34]","plainTextFormattedCitation":"[34]","previouslyFormattedCitation":"[35]"},"properties":{"noteIndex":0},"schema":"https://github.com/citation-style-language/schema/raw/master/csl-citation.json"}</w:instrText>
            </w:r>
            <w:r w:rsidRPr="00332C8B">
              <w:rPr>
                <w:rFonts w:asciiTheme="minorHAnsi" w:eastAsia="Calibri" w:hAnsiTheme="minorHAnsi" w:cstheme="minorHAnsi"/>
                <w:color w:val="000000" w:themeColor="text1"/>
                <w:sz w:val="20"/>
                <w:szCs w:val="20"/>
              </w:rPr>
              <w:fldChar w:fldCharType="separate"/>
            </w:r>
            <w:r w:rsidR="00F66CFF" w:rsidRPr="00332C8B">
              <w:rPr>
                <w:rFonts w:asciiTheme="minorHAnsi" w:eastAsia="Calibri" w:hAnsiTheme="minorHAnsi" w:cstheme="minorHAnsi"/>
                <w:b w:val="0"/>
                <w:noProof/>
                <w:color w:val="000000" w:themeColor="text1"/>
                <w:sz w:val="20"/>
                <w:szCs w:val="20"/>
              </w:rPr>
              <w:t>[34]</w:t>
            </w:r>
            <w:r w:rsidRPr="00332C8B">
              <w:rPr>
                <w:rFonts w:asciiTheme="minorHAnsi" w:eastAsia="Calibri" w:hAnsiTheme="minorHAnsi" w:cstheme="minorHAnsi"/>
                <w:color w:val="000000" w:themeColor="text1"/>
                <w:sz w:val="20"/>
                <w:szCs w:val="20"/>
              </w:rPr>
              <w:fldChar w:fldCharType="end"/>
            </w:r>
          </w:p>
        </w:tc>
        <w:tc>
          <w:tcPr>
            <w:tcW w:w="556" w:type="pct"/>
            <w:shd w:val="clear" w:color="auto" w:fill="auto"/>
            <w:vAlign w:val="center"/>
          </w:tcPr>
          <w:p w14:paraId="69FA461B" w14:textId="1CF2FCE4" w:rsidR="00DB746D" w:rsidRPr="00332C8B" w:rsidRDefault="001C1E66"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Japan</w:t>
            </w:r>
          </w:p>
        </w:tc>
        <w:tc>
          <w:tcPr>
            <w:tcW w:w="556" w:type="pct"/>
            <w:shd w:val="clear" w:color="auto" w:fill="auto"/>
            <w:vAlign w:val="center"/>
          </w:tcPr>
          <w:p w14:paraId="0C83374C" w14:textId="0C4F3042" w:rsidR="00DB746D" w:rsidRPr="00332C8B" w:rsidRDefault="00DB746D"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Gastric (n=293)</w:t>
            </w:r>
          </w:p>
        </w:tc>
        <w:tc>
          <w:tcPr>
            <w:tcW w:w="572" w:type="pct"/>
            <w:shd w:val="clear" w:color="auto" w:fill="auto"/>
            <w:vAlign w:val="center"/>
          </w:tcPr>
          <w:p w14:paraId="20ED0B32" w14:textId="3C593372" w:rsidR="00DB746D" w:rsidRPr="00332C8B" w:rsidRDefault="00DB746D"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MC-180 Body Composition Analyzer</w:t>
            </w:r>
            <w:r w:rsidR="008D4E07" w:rsidRPr="00332C8B">
              <w:rPr>
                <w:rFonts w:asciiTheme="minorHAnsi" w:eastAsia="Calibri" w:hAnsiTheme="minorHAnsi" w:cstheme="minorHAnsi"/>
                <w:color w:val="000000" w:themeColor="text1"/>
                <w:sz w:val="20"/>
                <w:szCs w:val="20"/>
              </w:rPr>
              <w:t>, Tanita, Japan</w:t>
            </w:r>
          </w:p>
        </w:tc>
        <w:tc>
          <w:tcPr>
            <w:tcW w:w="463" w:type="pct"/>
            <w:shd w:val="clear" w:color="auto" w:fill="auto"/>
            <w:vAlign w:val="center"/>
          </w:tcPr>
          <w:p w14:paraId="44714F0D" w14:textId="30DC71B9" w:rsidR="00DB746D" w:rsidRPr="00332C8B" w:rsidRDefault="00AB75FD"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Not reported</w:t>
            </w:r>
          </w:p>
        </w:tc>
        <w:tc>
          <w:tcPr>
            <w:tcW w:w="259" w:type="pct"/>
            <w:shd w:val="clear" w:color="auto" w:fill="auto"/>
            <w:vAlign w:val="center"/>
          </w:tcPr>
          <w:p w14:paraId="40D33390" w14:textId="2D395C6C" w:rsidR="00DB746D" w:rsidRPr="00332C8B" w:rsidRDefault="00DB746D"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Not stated</w:t>
            </w:r>
          </w:p>
        </w:tc>
        <w:tc>
          <w:tcPr>
            <w:tcW w:w="352" w:type="pct"/>
            <w:shd w:val="clear" w:color="auto" w:fill="auto"/>
            <w:vAlign w:val="center"/>
          </w:tcPr>
          <w:p w14:paraId="016DF036" w14:textId="0C9B56BB" w:rsidR="00DB746D" w:rsidRPr="00332C8B" w:rsidRDefault="00DB746D"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LBMI</w:t>
            </w:r>
          </w:p>
        </w:tc>
        <w:tc>
          <w:tcPr>
            <w:tcW w:w="453" w:type="pct"/>
            <w:shd w:val="clear" w:color="auto" w:fill="auto"/>
            <w:vAlign w:val="center"/>
          </w:tcPr>
          <w:p w14:paraId="0354D052" w14:textId="14039735" w:rsidR="00DB746D" w:rsidRPr="00332C8B" w:rsidRDefault="00AB75FD"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Not reported</w:t>
            </w:r>
          </w:p>
        </w:tc>
        <w:tc>
          <w:tcPr>
            <w:tcW w:w="453" w:type="pct"/>
            <w:shd w:val="clear" w:color="auto" w:fill="auto"/>
            <w:vAlign w:val="center"/>
          </w:tcPr>
          <w:p w14:paraId="2BF460E6" w14:textId="68CC8D4A" w:rsidR="00DB746D" w:rsidRPr="00332C8B" w:rsidRDefault="00AB75FD"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4"/>
                <w:sz w:val="20"/>
                <w:szCs w:val="20"/>
                <w:lang w:eastAsia="en-GB"/>
              </w:rPr>
            </w:pPr>
            <w:r w:rsidRPr="00332C8B">
              <w:rPr>
                <w:rFonts w:asciiTheme="minorHAnsi" w:eastAsia="Calibri" w:hAnsiTheme="minorHAnsi" w:cstheme="minorHAnsi"/>
                <w:color w:val="000000" w:themeColor="text1"/>
                <w:sz w:val="20"/>
                <w:szCs w:val="20"/>
              </w:rPr>
              <w:t>N/A</w:t>
            </w:r>
          </w:p>
        </w:tc>
        <w:tc>
          <w:tcPr>
            <w:tcW w:w="453" w:type="pct"/>
            <w:shd w:val="clear" w:color="auto" w:fill="auto"/>
            <w:vAlign w:val="center"/>
          </w:tcPr>
          <w:p w14:paraId="71A4F35F" w14:textId="339B7ADA" w:rsidR="00DB746D" w:rsidRPr="00332C8B" w:rsidRDefault="00DB746D"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&lt; 20</w:t>
            </w:r>
            <w:r w:rsidRPr="00332C8B">
              <w:rPr>
                <w:rFonts w:asciiTheme="minorHAnsi" w:eastAsia="Calibri" w:hAnsiTheme="minorHAnsi" w:cstheme="minorHAnsi"/>
                <w:color w:val="000000" w:themeColor="text1"/>
                <w:sz w:val="20"/>
                <w:szCs w:val="20"/>
                <w:vertAlign w:val="superscript"/>
              </w:rPr>
              <w:t>th</w:t>
            </w:r>
            <w:r w:rsidRPr="00332C8B">
              <w:rPr>
                <w:rFonts w:asciiTheme="minorHAnsi" w:eastAsia="Calibri" w:hAnsiTheme="minorHAnsi" w:cstheme="minorHAnsi"/>
                <w:color w:val="000000" w:themeColor="text1"/>
                <w:sz w:val="20"/>
                <w:szCs w:val="20"/>
              </w:rPr>
              <w:t xml:space="preserve"> centile gender-specific LBMI</w:t>
            </w:r>
          </w:p>
        </w:tc>
        <w:tc>
          <w:tcPr>
            <w:tcW w:w="493" w:type="pct"/>
            <w:shd w:val="clear" w:color="auto" w:fill="auto"/>
            <w:vAlign w:val="center"/>
          </w:tcPr>
          <w:p w14:paraId="601986B6" w14:textId="6EC4CFC4" w:rsidR="00DB746D" w:rsidRPr="00332C8B" w:rsidRDefault="00DB746D"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Clavien-Dindo</w:t>
            </w:r>
          </w:p>
        </w:tc>
      </w:tr>
      <w:tr w:rsidR="00685F1B" w:rsidRPr="00332C8B" w14:paraId="093F2C2C" w14:textId="77777777" w:rsidTr="00CA30FA">
        <w:trPr>
          <w:cnfStyle w:val="000000100000" w:firstRow="0" w:lastRow="0" w:firstColumn="0" w:lastColumn="0" w:oddVBand="0" w:evenVBand="0" w:oddHBand="1"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390" w:type="pct"/>
            <w:shd w:val="clear" w:color="auto" w:fill="auto"/>
            <w:vAlign w:val="center"/>
          </w:tcPr>
          <w:p w14:paraId="3B9CEB25" w14:textId="146261F1" w:rsidR="00DB746D" w:rsidRPr="00332C8B" w:rsidRDefault="00DB746D" w:rsidP="00F0414E">
            <w:pPr>
              <w:spacing w:line="480" w:lineRule="auto"/>
              <w:jc w:val="center"/>
              <w:rPr>
                <w:rFonts w:asciiTheme="minorHAnsi" w:eastAsia="Calibri" w:hAnsiTheme="minorHAnsi" w:cstheme="minorHAnsi"/>
                <w:b w:val="0"/>
                <w:bCs w:val="0"/>
                <w:color w:val="000000" w:themeColor="text1"/>
                <w:sz w:val="20"/>
                <w:szCs w:val="20"/>
              </w:rPr>
            </w:pPr>
            <w:r w:rsidRPr="00332C8B">
              <w:rPr>
                <w:rFonts w:asciiTheme="minorHAnsi" w:eastAsia="Calibri" w:hAnsiTheme="minorHAnsi" w:cstheme="minorHAnsi"/>
                <w:color w:val="000000" w:themeColor="text1"/>
                <w:sz w:val="20"/>
                <w:szCs w:val="20"/>
              </w:rPr>
              <w:t>Ida, 2015</w:t>
            </w:r>
            <w:r w:rsidRPr="00332C8B">
              <w:rPr>
                <w:rFonts w:asciiTheme="minorHAnsi" w:eastAsia="Calibri" w:hAnsiTheme="minorHAnsi" w:cstheme="minorHAnsi"/>
                <w:color w:val="000000" w:themeColor="text1"/>
                <w:sz w:val="20"/>
                <w:szCs w:val="20"/>
              </w:rPr>
              <w:fldChar w:fldCharType="begin" w:fldLock="1"/>
            </w:r>
            <w:r w:rsidR="00F66CFF" w:rsidRPr="00332C8B">
              <w:rPr>
                <w:rFonts w:asciiTheme="minorHAnsi" w:eastAsia="Calibri" w:hAnsiTheme="minorHAnsi" w:cstheme="minorHAnsi"/>
                <w:color w:val="000000" w:themeColor="text1"/>
                <w:sz w:val="20"/>
                <w:szCs w:val="20"/>
              </w:rPr>
              <w:instrText>ADDIN CSL_CITATION {"citationItems":[{"id":"ITEM-1","itemData":{"DOI":"https://dx.doi.org/10.1245/s10434-015-4559-3","ISSN":"1534-4681","abstract":"BACKGROUND: Depletion of skeletal muscle mass (sarcopenia) indicates a poor prognosis for patients with several kinds of cancer, but it remains unclear whether esophageal squamous cell carcinoma (ESCC) is among these cancers. The aim of this study was to clarify the relationship between sarcopenia and postoperative outcome in patients with ESCC treated by esophagectomy., METHODS: Skeletal muscle mass was assessed in 138 patients who underwent esophagectomy from August 2009 to May 2014. A multifrequency bioelectrical impedance analysis (InBody 720; Biospace, Tokyo, Japan) was used to assess skeletal muscle mass just before surgery. Postoperative complications were graded according to the Clavien-Dindo classification, and univariate and multivariate analyses were performed for postoperative respiratory complications., RESULTS: Sarcopenia was determined in 61 patients (44.2 %). Preoperative pulmonary function was significantly lower and the rate of respiratory complications significantly higher in the sarcopenia group than in the non-sarcopenia group (p &lt; 0.01). For other complications, the differences were not significant. Multivariate analysis showed that sarcopenia [odds ratio (OR) 5.82; p = 0.0001] and longer operation time (OR 3.09; p = 0.04) were risk factors for the occurrence of respiratory complications., CONCLUSIONS: Sarcopenia may be a predictor of pulmonary complications after esophagectomy. Further analysis is needed to clarify whether nutritional intervention improves skeletal muscle mass and thus contributes to reducing postoperative respiratory complications in sarcopenic patients.","author":[{"dropping-particle":"","family":"Ida","given":"Satoshi","non-dropping-particle":"","parse-names":false,"suffix":""},{"dropping-particle":"","family":"Watanabe","given":"Masayuki","non-dropping-particle":"","parse-names":false,"suffix":""},{"dropping-particle":"","family":"Yoshida","given":"Naoya","non-dropping-particle":"","parse-names":false,"suffix":""},{"dropping-particle":"","family":"Baba","given":"Yoshifumi","non-dropping-particle":"","parse-names":false,"suffix":""},{"dropping-particle":"","family":"Umezaki","given":"Naoki","non-dropping-particle":"","parse-names":false,"suffix":""},{"dropping-particle":"","family":"Harada","given":"Kazuto","non-dropping-particle":"","parse-names":false,"suffix":""},{"dropping-particle":"","family":"Karashima","given":"Ryuichi","non-dropping-particle":"","parse-names":false,"suffix":""},{"dropping-particle":"","family":"Imamura","given":"Yu","non-dropping-particle":"","parse-names":false,"suffix":""},{"dropping-particle":"","family":"Iwagami","given":"Shiro","non-dropping-particle":"","parse-names":false,"suffix":""},{"dropping-particle":"","family":"Baba","given":"Hideo","non-dropping-particle":"","parse-names":false,"suffix":""}],"container-title":"Annals of surgical oncology","id":"ITEM-1","issue":"13","issued":{"date-parts":[["2015"]]},"page":"4432-4437","publisher-place":"United States","title":"Sarcopenia is a Predictor of Postoperative Respiratory Complications in Patients with Esophageal Cancer.","type":"article-journal","volume":"22"},"uris":["http://www.mendeley.com/documents/?uuid=1f3d9e6a-f97f-44b3-9e01-564de97b3919"]}],"mendeley":{"formattedCitation":"[35]","plainTextFormattedCitation":"[35]","previouslyFormattedCitation":"[36]"},"properties":{"noteIndex":0},"schema":"https://github.com/citation-style-language/schema/raw/master/csl-citation.json"}</w:instrText>
            </w:r>
            <w:r w:rsidRPr="00332C8B">
              <w:rPr>
                <w:rFonts w:asciiTheme="minorHAnsi" w:eastAsia="Calibri" w:hAnsiTheme="minorHAnsi" w:cstheme="minorHAnsi"/>
                <w:color w:val="000000" w:themeColor="text1"/>
                <w:sz w:val="20"/>
                <w:szCs w:val="20"/>
              </w:rPr>
              <w:fldChar w:fldCharType="separate"/>
            </w:r>
            <w:r w:rsidR="00F66CFF" w:rsidRPr="00332C8B">
              <w:rPr>
                <w:rFonts w:asciiTheme="minorHAnsi" w:eastAsia="Calibri" w:hAnsiTheme="minorHAnsi" w:cstheme="minorHAnsi"/>
                <w:b w:val="0"/>
                <w:noProof/>
                <w:color w:val="000000" w:themeColor="text1"/>
                <w:sz w:val="20"/>
                <w:szCs w:val="20"/>
              </w:rPr>
              <w:t>[35]</w:t>
            </w:r>
            <w:r w:rsidRPr="00332C8B">
              <w:rPr>
                <w:rFonts w:asciiTheme="minorHAnsi" w:eastAsia="Calibri" w:hAnsiTheme="minorHAnsi" w:cstheme="minorHAnsi"/>
                <w:color w:val="000000" w:themeColor="text1"/>
                <w:sz w:val="20"/>
                <w:szCs w:val="20"/>
              </w:rPr>
              <w:fldChar w:fldCharType="end"/>
            </w:r>
          </w:p>
        </w:tc>
        <w:tc>
          <w:tcPr>
            <w:tcW w:w="556" w:type="pct"/>
            <w:shd w:val="clear" w:color="auto" w:fill="auto"/>
            <w:vAlign w:val="center"/>
          </w:tcPr>
          <w:p w14:paraId="0DF5B9F2" w14:textId="0A554333" w:rsidR="00DB746D" w:rsidRPr="00332C8B" w:rsidRDefault="00A55E1E"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Japan</w:t>
            </w:r>
          </w:p>
        </w:tc>
        <w:tc>
          <w:tcPr>
            <w:tcW w:w="556" w:type="pct"/>
            <w:shd w:val="clear" w:color="auto" w:fill="auto"/>
            <w:vAlign w:val="center"/>
          </w:tcPr>
          <w:p w14:paraId="26EB21AD" w14:textId="03FFC3E9" w:rsidR="00DB746D" w:rsidRPr="00332C8B" w:rsidRDefault="00DB746D"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Oesophageal (n=</w:t>
            </w:r>
            <w:r w:rsidR="00601884" w:rsidRPr="00332C8B">
              <w:rPr>
                <w:rFonts w:asciiTheme="minorHAnsi" w:eastAsia="Calibri" w:hAnsiTheme="minorHAnsi" w:cstheme="minorHAnsi"/>
                <w:color w:val="000000" w:themeColor="text1"/>
                <w:sz w:val="20"/>
                <w:szCs w:val="20"/>
              </w:rPr>
              <w:t>138</w:t>
            </w:r>
            <w:r w:rsidRPr="00332C8B">
              <w:rPr>
                <w:rFonts w:asciiTheme="minorHAnsi" w:eastAsia="Calibri" w:hAnsiTheme="minorHAnsi" w:cstheme="minorHAnsi"/>
                <w:color w:val="000000" w:themeColor="text1"/>
                <w:sz w:val="20"/>
                <w:szCs w:val="20"/>
              </w:rPr>
              <w:t>)</w:t>
            </w:r>
          </w:p>
        </w:tc>
        <w:tc>
          <w:tcPr>
            <w:tcW w:w="572" w:type="pct"/>
            <w:shd w:val="clear" w:color="auto" w:fill="auto"/>
            <w:vAlign w:val="center"/>
          </w:tcPr>
          <w:p w14:paraId="2577BC7F" w14:textId="2684D625" w:rsidR="00DB746D" w:rsidRPr="00332C8B" w:rsidRDefault="00DB746D"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Inbody</w:t>
            </w:r>
            <w:r w:rsidR="00C54E61" w:rsidRPr="00332C8B">
              <w:rPr>
                <w:rFonts w:asciiTheme="minorHAnsi" w:eastAsia="Calibri" w:hAnsiTheme="minorHAnsi" w:cstheme="minorHAnsi"/>
                <w:color w:val="000000" w:themeColor="text1"/>
                <w:sz w:val="20"/>
                <w:szCs w:val="20"/>
              </w:rPr>
              <w:t xml:space="preserve"> </w:t>
            </w:r>
            <w:r w:rsidRPr="00332C8B">
              <w:rPr>
                <w:rFonts w:asciiTheme="minorHAnsi" w:eastAsia="Calibri" w:hAnsiTheme="minorHAnsi" w:cstheme="minorHAnsi"/>
                <w:color w:val="000000" w:themeColor="text1"/>
                <w:sz w:val="20"/>
                <w:szCs w:val="20"/>
              </w:rPr>
              <w:t>720</w:t>
            </w:r>
            <w:r w:rsidR="00601884" w:rsidRPr="00332C8B">
              <w:rPr>
                <w:rFonts w:asciiTheme="minorHAnsi" w:eastAsia="Calibri" w:hAnsiTheme="minorHAnsi" w:cstheme="minorHAnsi"/>
                <w:color w:val="000000" w:themeColor="text1"/>
                <w:sz w:val="20"/>
                <w:szCs w:val="20"/>
              </w:rPr>
              <w:t>, Biospace, Japan</w:t>
            </w:r>
          </w:p>
        </w:tc>
        <w:tc>
          <w:tcPr>
            <w:tcW w:w="463" w:type="pct"/>
            <w:shd w:val="clear" w:color="auto" w:fill="auto"/>
            <w:vAlign w:val="center"/>
          </w:tcPr>
          <w:p w14:paraId="7D871505" w14:textId="060B86F5" w:rsidR="00DB746D" w:rsidRPr="00332C8B" w:rsidRDefault="003B4129"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Not reported</w:t>
            </w:r>
          </w:p>
        </w:tc>
        <w:tc>
          <w:tcPr>
            <w:tcW w:w="259" w:type="pct"/>
            <w:shd w:val="clear" w:color="auto" w:fill="auto"/>
            <w:vAlign w:val="center"/>
          </w:tcPr>
          <w:p w14:paraId="423E6C8F" w14:textId="72052961" w:rsidR="00DB746D" w:rsidRPr="00332C8B" w:rsidRDefault="00DB746D"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MF</w:t>
            </w:r>
          </w:p>
        </w:tc>
        <w:tc>
          <w:tcPr>
            <w:tcW w:w="352" w:type="pct"/>
            <w:shd w:val="clear" w:color="auto" w:fill="auto"/>
            <w:vAlign w:val="center"/>
          </w:tcPr>
          <w:p w14:paraId="6FD77AA5" w14:textId="03451928" w:rsidR="00DB746D" w:rsidRPr="00332C8B" w:rsidRDefault="00DB746D"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SMM</w:t>
            </w:r>
          </w:p>
        </w:tc>
        <w:tc>
          <w:tcPr>
            <w:tcW w:w="453" w:type="pct"/>
            <w:shd w:val="clear" w:color="auto" w:fill="auto"/>
            <w:vAlign w:val="center"/>
          </w:tcPr>
          <w:p w14:paraId="3888FDD5" w14:textId="0CE2D732" w:rsidR="00DB746D" w:rsidRPr="00332C8B" w:rsidRDefault="00A55E1E"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Not reported</w:t>
            </w:r>
          </w:p>
        </w:tc>
        <w:tc>
          <w:tcPr>
            <w:tcW w:w="453" w:type="pct"/>
            <w:shd w:val="clear" w:color="auto" w:fill="auto"/>
            <w:vAlign w:val="center"/>
          </w:tcPr>
          <w:p w14:paraId="7A7EB1D0" w14:textId="75664D77" w:rsidR="00DB746D" w:rsidRPr="00332C8B" w:rsidRDefault="00A55E1E"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Not reported</w:t>
            </w:r>
          </w:p>
        </w:tc>
        <w:tc>
          <w:tcPr>
            <w:tcW w:w="453" w:type="pct"/>
            <w:shd w:val="clear" w:color="auto" w:fill="auto"/>
            <w:vAlign w:val="center"/>
          </w:tcPr>
          <w:p w14:paraId="697865CE" w14:textId="3BD2FF23" w:rsidR="00DB746D" w:rsidRPr="00332C8B" w:rsidRDefault="00DB746D"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 xml:space="preserve">SMM </w:t>
            </w:r>
            <w:r w:rsidRPr="00332C8B">
              <w:rPr>
                <w:rFonts w:asciiTheme="minorHAnsi" w:hAnsiTheme="minorHAnsi" w:cstheme="minorHAnsi"/>
                <w:kern w:val="24"/>
                <w:sz w:val="20"/>
                <w:szCs w:val="20"/>
                <w:lang w:eastAsia="en-GB"/>
              </w:rPr>
              <w:t>≤ 90% standard SMM</w:t>
            </w:r>
          </w:p>
        </w:tc>
        <w:tc>
          <w:tcPr>
            <w:tcW w:w="493" w:type="pct"/>
            <w:shd w:val="clear" w:color="auto" w:fill="auto"/>
            <w:vAlign w:val="center"/>
          </w:tcPr>
          <w:p w14:paraId="4AE689BE" w14:textId="2892C692" w:rsidR="00DB746D" w:rsidRPr="00332C8B" w:rsidRDefault="00DB746D"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Clavien-Dindo</w:t>
            </w:r>
          </w:p>
        </w:tc>
      </w:tr>
      <w:tr w:rsidR="00685F1B" w:rsidRPr="00332C8B" w14:paraId="1C7444CE" w14:textId="77777777" w:rsidTr="00CA30FA">
        <w:trPr>
          <w:trHeight w:val="964"/>
          <w:jc w:val="center"/>
        </w:trPr>
        <w:tc>
          <w:tcPr>
            <w:cnfStyle w:val="001000000000" w:firstRow="0" w:lastRow="0" w:firstColumn="1" w:lastColumn="0" w:oddVBand="0" w:evenVBand="0" w:oddHBand="0" w:evenHBand="0" w:firstRowFirstColumn="0" w:firstRowLastColumn="0" w:lastRowFirstColumn="0" w:lastRowLastColumn="0"/>
            <w:tcW w:w="390" w:type="pct"/>
            <w:shd w:val="clear" w:color="auto" w:fill="auto"/>
            <w:vAlign w:val="center"/>
          </w:tcPr>
          <w:p w14:paraId="22898A7F" w14:textId="63A653C3" w:rsidR="00DB746D" w:rsidRPr="00332C8B" w:rsidRDefault="00DB746D" w:rsidP="00F0414E">
            <w:pPr>
              <w:spacing w:line="480" w:lineRule="auto"/>
              <w:jc w:val="center"/>
              <w:rPr>
                <w:rFonts w:asciiTheme="minorHAnsi" w:eastAsia="Calibri" w:hAnsiTheme="minorHAnsi" w:cstheme="minorHAnsi"/>
                <w:b w:val="0"/>
                <w:bCs w:val="0"/>
                <w:color w:val="000000" w:themeColor="text1"/>
                <w:sz w:val="20"/>
                <w:szCs w:val="20"/>
              </w:rPr>
            </w:pPr>
            <w:r w:rsidRPr="00332C8B">
              <w:rPr>
                <w:rFonts w:asciiTheme="minorHAnsi" w:eastAsia="Calibri" w:hAnsiTheme="minorHAnsi" w:cstheme="minorHAnsi"/>
                <w:color w:val="000000" w:themeColor="text1"/>
                <w:sz w:val="20"/>
                <w:szCs w:val="20"/>
              </w:rPr>
              <w:t>Kerimoglu, 2015</w:t>
            </w:r>
            <w:r w:rsidRPr="00332C8B">
              <w:rPr>
                <w:rFonts w:asciiTheme="minorHAnsi" w:eastAsia="Calibri" w:hAnsiTheme="minorHAnsi" w:cstheme="minorHAnsi"/>
                <w:color w:val="000000" w:themeColor="text1"/>
                <w:sz w:val="20"/>
                <w:szCs w:val="20"/>
              </w:rPr>
              <w:fldChar w:fldCharType="begin" w:fldLock="1"/>
            </w:r>
            <w:r w:rsidR="00F66CFF" w:rsidRPr="00332C8B">
              <w:rPr>
                <w:rFonts w:asciiTheme="minorHAnsi" w:eastAsia="Calibri" w:hAnsiTheme="minorHAnsi" w:cstheme="minorHAnsi"/>
                <w:color w:val="000000" w:themeColor="text1"/>
                <w:sz w:val="20"/>
                <w:szCs w:val="20"/>
              </w:rPr>
              <w:instrText>ADDIN CSL_CITATION {"citationItems":[{"id":"ITEM-1","itemData":{"DOI":"http://dx.doi.org/10.1111/jog.12554","ISSN":"1341-8076","abstract":"Abstract Aim This study used the measure of percentage of body fat (%BF) to define obesity and evaluated the effect of percentage of %BF on clinical, surgical and pathological features in women with endometrial cancer. Methods Between 2011 and 2013, bioelectrical impedance analysis and body size measurements of 94 patients whose endometrial biopsy revealed endometrial cancer were obtained. Patients were divided into two groups according to body mass index (BMI) (normal, &lt;30 kg/m2; elevated, &gt;=30 kg/m2), and also classified by %BF (normal, &lt;32%; elevated, &gt;=32%). Results The patients' mean age was 55.0 +/- 10.9 years. Mean %BF and BMI were 40.8% +/- 9.8% and 32.9 +/- 7.5, respectively. Eighty-three (88%) patients were obese according to %BF; 54 (57%) were obese according to BMI. Patients with elevated %BF were more likely to have less than 50% myometrial invasion (P = 0.004). Significantly more para-aortic lymph nodes were retrieved in patients with normal %BF or BMI (P &lt; 0.001, P &lt; 0.001). Patients with elevated %BF had longer operating times (P = 0.043) and were more likely to have stage I disease than patients with normal %BF (P &lt; 0.001). Conclusion Endometrial cancer patients with an elevated %BF are more likely to have stage I disease and less than 50% myometrial invasion than patients with normal %BF. Defining obesity by BF may provide better estimation of obesity prevalence in patients with endometrial cancer and further understanding the relationship between BF with endometrial cancer may give more information about the effects of obesity on endometrial cancer.Copyright © 2014 The Authors.","author":[{"dropping-particle":"","family":"O.","given":"Secilmis Kerimoglu","non-dropping-particle":"","parse-names":false,"suffix":""},{"dropping-particle":"","family":"A.","given":"Pekin","non-dropping-particle":"","parse-names":false,"suffix":""},{"dropping-particle":"","family":"S.A.","given":"Yilmaz","non-dropping-particle":"","parse-names":false,"suffix":""},{"dropping-particle":"","family":"G.","given":"Yavas","non-dropping-particle":"","parse-names":false,"suffix":""},{"dropping-particle":"","family":"F.","given":"Beyhekim","non-dropping-particle":"","parse-names":false,"suffix":""},{"dropping-particle":"","family":"A.A.","given":"Demirtas","non-dropping-particle":"","parse-names":false,"suffix":""},{"dropping-particle":"","family":"N.U.","given":"Dogan","non-dropping-particle":"","parse-names":false,"suffix":""},{"dropping-particle":"","family":"T.T.","given":"Ilhan","non-dropping-particle":"","parse-names":false,"suffix":""}],"container-title":"Journal of Obstetrics and Gynaecology Research","id":"ITEM-1","issue":"3","issued":{"date-parts":[["2015"]]},"page":"449-455","publisher":"Blackwell Publishing (E-mail: info@asia.blackpublishing.com.au)","publisher-place":"O. Secilmis Kerimoglu, Selcuk Universitesi Tip Fakultesi, Kadin Hastaliklari ve Dogum ABD, Kampus, Selcuklu 42000, Turkey","title":"Effect of the percentage of body fat on surgical, clinical and pathological outcomes in women with endometrial cancer","type":"article-journal","volume":"41"},"uris":["http://www.mendeley.com/documents/?uuid=fab9c483-886b-4d5f-9d60-16cb99d77d36"]}],"mendeley":{"formattedCitation":"[38]","plainTextFormattedCitation":"[38]","previouslyFormattedCitation":"[39]"},"properties":{"noteIndex":0},"schema":"https://github.com/citation-style-language/schema/raw/master/csl-citation.json"}</w:instrText>
            </w:r>
            <w:r w:rsidRPr="00332C8B">
              <w:rPr>
                <w:rFonts w:asciiTheme="minorHAnsi" w:eastAsia="Calibri" w:hAnsiTheme="minorHAnsi" w:cstheme="minorHAnsi"/>
                <w:color w:val="000000" w:themeColor="text1"/>
                <w:sz w:val="20"/>
                <w:szCs w:val="20"/>
              </w:rPr>
              <w:fldChar w:fldCharType="separate"/>
            </w:r>
            <w:r w:rsidR="00F66CFF" w:rsidRPr="00332C8B">
              <w:rPr>
                <w:rFonts w:asciiTheme="minorHAnsi" w:eastAsia="Calibri" w:hAnsiTheme="minorHAnsi" w:cstheme="minorHAnsi"/>
                <w:b w:val="0"/>
                <w:noProof/>
                <w:color w:val="000000" w:themeColor="text1"/>
                <w:sz w:val="20"/>
                <w:szCs w:val="20"/>
              </w:rPr>
              <w:t>[38]</w:t>
            </w:r>
            <w:r w:rsidRPr="00332C8B">
              <w:rPr>
                <w:rFonts w:asciiTheme="minorHAnsi" w:eastAsia="Calibri" w:hAnsiTheme="minorHAnsi" w:cstheme="minorHAnsi"/>
                <w:color w:val="000000" w:themeColor="text1"/>
                <w:sz w:val="20"/>
                <w:szCs w:val="20"/>
              </w:rPr>
              <w:fldChar w:fldCharType="end"/>
            </w:r>
          </w:p>
        </w:tc>
        <w:tc>
          <w:tcPr>
            <w:tcW w:w="556" w:type="pct"/>
            <w:shd w:val="clear" w:color="auto" w:fill="auto"/>
            <w:vAlign w:val="center"/>
          </w:tcPr>
          <w:p w14:paraId="1192E868" w14:textId="70B6B6D2" w:rsidR="00DB746D" w:rsidRPr="00332C8B" w:rsidRDefault="003B4129"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Turkey</w:t>
            </w:r>
          </w:p>
        </w:tc>
        <w:tc>
          <w:tcPr>
            <w:tcW w:w="556" w:type="pct"/>
            <w:shd w:val="clear" w:color="auto" w:fill="auto"/>
            <w:vAlign w:val="center"/>
          </w:tcPr>
          <w:p w14:paraId="4BEA8F15" w14:textId="08D78D69" w:rsidR="00DB746D" w:rsidRPr="00332C8B" w:rsidRDefault="00DB746D"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Endometrial (n=94)</w:t>
            </w:r>
          </w:p>
        </w:tc>
        <w:tc>
          <w:tcPr>
            <w:tcW w:w="572" w:type="pct"/>
            <w:shd w:val="clear" w:color="auto" w:fill="auto"/>
            <w:vAlign w:val="center"/>
          </w:tcPr>
          <w:p w14:paraId="00800667" w14:textId="7E394BCE" w:rsidR="00DB746D" w:rsidRPr="00332C8B" w:rsidRDefault="00DB746D"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Inbody</w:t>
            </w:r>
            <w:r w:rsidR="00C54E61" w:rsidRPr="00332C8B">
              <w:rPr>
                <w:rFonts w:asciiTheme="minorHAnsi" w:eastAsia="Calibri" w:hAnsiTheme="minorHAnsi" w:cstheme="minorHAnsi"/>
                <w:color w:val="000000" w:themeColor="text1"/>
                <w:sz w:val="20"/>
                <w:szCs w:val="20"/>
              </w:rPr>
              <w:t xml:space="preserve"> </w:t>
            </w:r>
            <w:r w:rsidRPr="00332C8B">
              <w:rPr>
                <w:rFonts w:asciiTheme="minorHAnsi" w:eastAsia="Calibri" w:hAnsiTheme="minorHAnsi" w:cstheme="minorHAnsi"/>
                <w:color w:val="000000" w:themeColor="text1"/>
                <w:sz w:val="20"/>
                <w:szCs w:val="20"/>
              </w:rPr>
              <w:t>720</w:t>
            </w:r>
            <w:r w:rsidR="00C54E61" w:rsidRPr="00332C8B">
              <w:rPr>
                <w:rFonts w:asciiTheme="minorHAnsi" w:eastAsia="Calibri" w:hAnsiTheme="minorHAnsi" w:cstheme="minorHAnsi"/>
                <w:color w:val="000000" w:themeColor="text1"/>
                <w:sz w:val="20"/>
                <w:szCs w:val="20"/>
              </w:rPr>
              <w:t>, Biospace, Korea</w:t>
            </w:r>
          </w:p>
        </w:tc>
        <w:tc>
          <w:tcPr>
            <w:tcW w:w="463" w:type="pct"/>
            <w:shd w:val="clear" w:color="auto" w:fill="auto"/>
            <w:vAlign w:val="center"/>
          </w:tcPr>
          <w:p w14:paraId="4A8254DD" w14:textId="2C9076E0" w:rsidR="00DB746D" w:rsidRPr="00332C8B" w:rsidRDefault="003B4129"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Not reported</w:t>
            </w:r>
          </w:p>
        </w:tc>
        <w:tc>
          <w:tcPr>
            <w:tcW w:w="259" w:type="pct"/>
            <w:shd w:val="clear" w:color="auto" w:fill="auto"/>
            <w:vAlign w:val="center"/>
          </w:tcPr>
          <w:p w14:paraId="04FE8C04" w14:textId="6D5FD840" w:rsidR="00DB746D" w:rsidRPr="00332C8B" w:rsidRDefault="00DB746D"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MF</w:t>
            </w:r>
          </w:p>
        </w:tc>
        <w:tc>
          <w:tcPr>
            <w:tcW w:w="352" w:type="pct"/>
            <w:shd w:val="clear" w:color="auto" w:fill="auto"/>
            <w:vAlign w:val="center"/>
          </w:tcPr>
          <w:p w14:paraId="344E1958" w14:textId="10F806C4" w:rsidR="00DB746D" w:rsidRPr="00332C8B" w:rsidRDefault="00DB746D"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 BF</w:t>
            </w:r>
          </w:p>
        </w:tc>
        <w:tc>
          <w:tcPr>
            <w:tcW w:w="453" w:type="pct"/>
            <w:shd w:val="clear" w:color="auto" w:fill="auto"/>
            <w:vAlign w:val="center"/>
          </w:tcPr>
          <w:p w14:paraId="332F1F09" w14:textId="3D2D2819" w:rsidR="00DB746D" w:rsidRPr="00332C8B" w:rsidRDefault="003B4129"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Not reported</w:t>
            </w:r>
          </w:p>
        </w:tc>
        <w:tc>
          <w:tcPr>
            <w:tcW w:w="453" w:type="pct"/>
            <w:shd w:val="clear" w:color="auto" w:fill="auto"/>
            <w:vAlign w:val="center"/>
          </w:tcPr>
          <w:p w14:paraId="31C65C7C" w14:textId="08680DD1" w:rsidR="00DB746D" w:rsidRPr="00332C8B" w:rsidRDefault="00263B1A"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N/A</w:t>
            </w:r>
          </w:p>
        </w:tc>
        <w:tc>
          <w:tcPr>
            <w:tcW w:w="453" w:type="pct"/>
            <w:shd w:val="clear" w:color="auto" w:fill="auto"/>
            <w:vAlign w:val="center"/>
          </w:tcPr>
          <w:p w14:paraId="21D6CE13" w14:textId="2D7AB195" w:rsidR="00DB746D" w:rsidRPr="00332C8B" w:rsidRDefault="00DB746D"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 xml:space="preserve">BF </w:t>
            </w:r>
            <w:r w:rsidRPr="00332C8B">
              <w:rPr>
                <w:rFonts w:asciiTheme="minorHAnsi" w:eastAsia="Calibri" w:hAnsiTheme="minorHAnsi" w:cstheme="minorHAnsi"/>
                <w:color w:val="000000" w:themeColor="text1"/>
                <w:sz w:val="20"/>
                <w:szCs w:val="20"/>
                <w:lang w:val="en-US"/>
              </w:rPr>
              <w:t>&lt;</w:t>
            </w:r>
            <w:r w:rsidR="001746BF" w:rsidRPr="00332C8B">
              <w:rPr>
                <w:rFonts w:asciiTheme="minorHAnsi" w:eastAsia="Calibri" w:hAnsiTheme="minorHAnsi" w:cstheme="minorHAnsi"/>
                <w:color w:val="000000" w:themeColor="text1"/>
                <w:sz w:val="20"/>
                <w:szCs w:val="20"/>
                <w:lang w:val="en-US"/>
              </w:rPr>
              <w:t xml:space="preserve"> </w:t>
            </w:r>
            <w:r w:rsidRPr="00332C8B">
              <w:rPr>
                <w:rFonts w:asciiTheme="minorHAnsi" w:eastAsia="Calibri" w:hAnsiTheme="minorHAnsi" w:cstheme="minorHAnsi"/>
                <w:color w:val="000000" w:themeColor="text1"/>
                <w:sz w:val="20"/>
                <w:szCs w:val="20"/>
                <w:lang w:val="en-US"/>
              </w:rPr>
              <w:t xml:space="preserve">or </w:t>
            </w:r>
            <w:r w:rsidRPr="00332C8B">
              <w:rPr>
                <w:rFonts w:asciiTheme="minorHAnsi" w:eastAsia="Calibri" w:hAnsiTheme="minorHAnsi" w:cstheme="minorHAnsi"/>
                <w:color w:val="000000" w:themeColor="text1"/>
                <w:sz w:val="20"/>
                <w:szCs w:val="20"/>
                <w:lang w:val="en-US"/>
              </w:rPr>
              <w:sym w:font="Symbol" w:char="F0B3"/>
            </w:r>
            <w:r w:rsidRPr="00332C8B">
              <w:rPr>
                <w:rFonts w:asciiTheme="minorHAnsi" w:eastAsia="Calibri" w:hAnsiTheme="minorHAnsi" w:cstheme="minorHAnsi"/>
                <w:color w:val="000000" w:themeColor="text1"/>
                <w:sz w:val="20"/>
                <w:szCs w:val="20"/>
                <w:lang w:val="en-US"/>
              </w:rPr>
              <w:t xml:space="preserve"> 32%</w:t>
            </w:r>
          </w:p>
        </w:tc>
        <w:tc>
          <w:tcPr>
            <w:tcW w:w="493" w:type="pct"/>
            <w:shd w:val="clear" w:color="auto" w:fill="auto"/>
            <w:vAlign w:val="center"/>
          </w:tcPr>
          <w:p w14:paraId="48AC7E40" w14:textId="53FB51CD" w:rsidR="00DB746D" w:rsidRPr="00332C8B" w:rsidRDefault="00DB746D"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Author defined</w:t>
            </w:r>
          </w:p>
        </w:tc>
      </w:tr>
      <w:tr w:rsidR="00685F1B" w:rsidRPr="00332C8B" w14:paraId="194A1A9B" w14:textId="77777777" w:rsidTr="00CA30FA">
        <w:trPr>
          <w:cnfStyle w:val="000000100000" w:firstRow="0" w:lastRow="0" w:firstColumn="0" w:lastColumn="0" w:oddVBand="0" w:evenVBand="0" w:oddHBand="1"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390" w:type="pct"/>
            <w:shd w:val="clear" w:color="auto" w:fill="auto"/>
            <w:vAlign w:val="center"/>
          </w:tcPr>
          <w:p w14:paraId="11F76B57" w14:textId="4EB2E99F" w:rsidR="00DB746D" w:rsidRPr="00332C8B" w:rsidRDefault="00DB746D" w:rsidP="00F0414E">
            <w:pPr>
              <w:spacing w:line="480" w:lineRule="auto"/>
              <w:jc w:val="center"/>
              <w:rPr>
                <w:rFonts w:asciiTheme="minorHAnsi" w:eastAsia="Calibri" w:hAnsiTheme="minorHAnsi" w:cstheme="minorHAnsi"/>
                <w:b w:val="0"/>
                <w:bCs w:val="0"/>
                <w:color w:val="000000" w:themeColor="text1"/>
                <w:sz w:val="20"/>
                <w:szCs w:val="20"/>
              </w:rPr>
            </w:pPr>
            <w:r w:rsidRPr="00332C8B">
              <w:rPr>
                <w:rFonts w:asciiTheme="minorHAnsi" w:eastAsia="Calibri" w:hAnsiTheme="minorHAnsi" w:cstheme="minorHAnsi"/>
                <w:color w:val="000000" w:themeColor="text1"/>
                <w:sz w:val="20"/>
                <w:szCs w:val="20"/>
              </w:rPr>
              <w:t>Berstad, 2013</w:t>
            </w:r>
            <w:r w:rsidRPr="00332C8B">
              <w:rPr>
                <w:rFonts w:asciiTheme="minorHAnsi" w:eastAsia="Calibri" w:hAnsiTheme="minorHAnsi" w:cstheme="minorHAnsi"/>
                <w:color w:val="000000" w:themeColor="text1"/>
                <w:sz w:val="20"/>
                <w:szCs w:val="20"/>
              </w:rPr>
              <w:fldChar w:fldCharType="begin" w:fldLock="1"/>
            </w:r>
            <w:r w:rsidR="00F66CFF" w:rsidRPr="00332C8B">
              <w:rPr>
                <w:rFonts w:asciiTheme="minorHAnsi" w:eastAsia="Calibri" w:hAnsiTheme="minorHAnsi" w:cstheme="minorHAnsi"/>
                <w:color w:val="000000" w:themeColor="text1"/>
                <w:sz w:val="20"/>
                <w:szCs w:val="20"/>
              </w:rPr>
              <w:instrText>ADDIN CSL_CITATION {"citationItems":[{"id":"ITEM-1","itemData":{"DOI":"10.1111/jhn.12002","ISSN":"0952-3871","abstract":"Background Both malnutrition and obesity are related to worsened post-operative outcomes after colorectal surgery. Obese cancer patients may be malnourished as a result of short-term weight loss. The present study aimed to evaluate preoperative nutritional status, body composition and dietary intake related to post-operative complications ( POC) and post-operative hospital days ( POHD) in elective colorectal cancer ( CRC) patients. Methods Anthropometry, body composition measured by bioelectric spectroscopy and dietary habits assessed by a validated food-frequency questionnaire were examined in 100 newly-diagnosed CRC patients. Data from 30-day POC and POHD were collected from medical records. Nonparametric and chi-squared tests and logistic regression were used to analyse associations between body and dietary variables and post-operative outcome. Results Twenty-nine patients had at least one POC. The median POHD was six. Body size and composition measures and short-term weight loss were no different between patients with and without POC, or between patients with POHD &lt;7 and ≥7. Dietary variables were otherwise no different between patients with and without POC, although the median intake of marine n-3 polyunsaturated fatty acids ( PUFA, the sum of eicosapentaenoic and docosahexaenoic acids) was significantly lower in patients with versus without POC (0.7 versus 1.2 g day−1, P = 0.04). Conclusions We found that preoperative body size, body composition and short-term weight loss were not related to 30-day post-operative outcomes in CRC patients. A high content of marine n-3 PUFA in preoperative habitual diets may protect against POC after CRC surgery.","author":[{"dropping-particle":"","family":"Berstad","given":"P","non-dropping-particle":"","parse-names":false,"suffix":""},{"dropping-particle":"","family":"Haugum","given":"B","non-dropping-particle":"","parse-names":false,"suffix":""},{"dropping-particle":"","family":"Helgeland","given":"M","non-dropping-particle":"","parse-names":false,"suffix":""},{"dropping-particle":"","family":"Bukholm","given":"I","non-dropping-particle":"","parse-names":false,"suffix":""},{"dropping-particle":"","family":"Almendingen","given":"K","non-dropping-particle":"","parse-names":false,"suffix":""}],"container-title":"Journal of Human Nutrition &amp; Dietetics","id":"ITEM-1","issue":"4","issued":{"date-parts":[["2013","8"]]},"note":"Accession Number: 104196215. Language: English. Entry Date: 20130716. Revision Date: 20150820. Publication Type: Journal Article; research; tables/charts. Journal Subset: Allied Health; Biomedical; Europe; Peer Reviewed; UK &amp;amp; Ireland. Special Interest: Nutrition; Oncologic Care; Perioperative Care. Instrumentation: Food Frequency Questionnaire (FFQ). Grant Information: This work was supported by grant no. 2006094 from Eastern Norway Regional Health Authority RHF and grants from Eckbo Foundation and Flatner Foundation.. NLM UID: 8904840.","page":"359-368","publisher":"Wiley-Blackwell","publisher-place":"Research Centre Akershus University Hospital","title":"Preoperative body size and composition, habitual diet, and post-operative complications in elective colorectal cancer patients in Norway.","type":"article-journal","volume":"26"},"uris":["http://www.mendeley.com/documents/?uuid=ed89d092-88dd-471d-99eb-e3ad956371cb"]}],"mendeley":{"formattedCitation":"[31]","plainTextFormattedCitation":"[31]","previouslyFormattedCitation":"[32]"},"properties":{"noteIndex":0},"schema":"https://github.com/citation-style-language/schema/raw/master/csl-citation.json"}</w:instrText>
            </w:r>
            <w:r w:rsidRPr="00332C8B">
              <w:rPr>
                <w:rFonts w:asciiTheme="minorHAnsi" w:eastAsia="Calibri" w:hAnsiTheme="minorHAnsi" w:cstheme="minorHAnsi"/>
                <w:color w:val="000000" w:themeColor="text1"/>
                <w:sz w:val="20"/>
                <w:szCs w:val="20"/>
              </w:rPr>
              <w:fldChar w:fldCharType="separate"/>
            </w:r>
            <w:r w:rsidR="00F66CFF" w:rsidRPr="00332C8B">
              <w:rPr>
                <w:rFonts w:asciiTheme="minorHAnsi" w:eastAsia="Calibri" w:hAnsiTheme="minorHAnsi" w:cstheme="minorHAnsi"/>
                <w:b w:val="0"/>
                <w:noProof/>
                <w:color w:val="000000" w:themeColor="text1"/>
                <w:sz w:val="20"/>
                <w:szCs w:val="20"/>
              </w:rPr>
              <w:t>[31]</w:t>
            </w:r>
            <w:r w:rsidRPr="00332C8B">
              <w:rPr>
                <w:rFonts w:asciiTheme="minorHAnsi" w:eastAsia="Calibri" w:hAnsiTheme="minorHAnsi" w:cstheme="minorHAnsi"/>
                <w:color w:val="000000" w:themeColor="text1"/>
                <w:sz w:val="20"/>
                <w:szCs w:val="20"/>
              </w:rPr>
              <w:fldChar w:fldCharType="end"/>
            </w:r>
          </w:p>
        </w:tc>
        <w:tc>
          <w:tcPr>
            <w:tcW w:w="556" w:type="pct"/>
            <w:shd w:val="clear" w:color="auto" w:fill="auto"/>
            <w:vAlign w:val="center"/>
          </w:tcPr>
          <w:p w14:paraId="2A5B779D" w14:textId="1AE6D063" w:rsidR="00DB746D" w:rsidRPr="00332C8B" w:rsidRDefault="00D4122D"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Norway</w:t>
            </w:r>
          </w:p>
        </w:tc>
        <w:tc>
          <w:tcPr>
            <w:tcW w:w="556" w:type="pct"/>
            <w:shd w:val="clear" w:color="auto" w:fill="auto"/>
            <w:vAlign w:val="center"/>
          </w:tcPr>
          <w:p w14:paraId="5BDDAE4A" w14:textId="416066FB" w:rsidR="00DB746D" w:rsidRPr="00332C8B" w:rsidRDefault="00DB746D"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Colorectal (n=100)</w:t>
            </w:r>
          </w:p>
        </w:tc>
        <w:tc>
          <w:tcPr>
            <w:tcW w:w="572" w:type="pct"/>
            <w:shd w:val="clear" w:color="auto" w:fill="auto"/>
            <w:vAlign w:val="center"/>
          </w:tcPr>
          <w:p w14:paraId="627423DF" w14:textId="37FE6541" w:rsidR="00DB746D" w:rsidRPr="00332C8B" w:rsidRDefault="00DB746D"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Bodyscout</w:t>
            </w:r>
            <w:r w:rsidR="00625179" w:rsidRPr="00332C8B">
              <w:rPr>
                <w:rFonts w:asciiTheme="minorHAnsi" w:eastAsia="Calibri" w:hAnsiTheme="minorHAnsi" w:cstheme="minorHAnsi"/>
                <w:color w:val="000000" w:themeColor="text1"/>
                <w:sz w:val="20"/>
                <w:szCs w:val="20"/>
              </w:rPr>
              <w:t>, Fresnius Kabi, Germany</w:t>
            </w:r>
          </w:p>
        </w:tc>
        <w:tc>
          <w:tcPr>
            <w:tcW w:w="463" w:type="pct"/>
            <w:shd w:val="clear" w:color="auto" w:fill="auto"/>
            <w:vAlign w:val="center"/>
          </w:tcPr>
          <w:p w14:paraId="7617945D" w14:textId="23D5280E" w:rsidR="00DB746D" w:rsidRPr="00332C8B" w:rsidRDefault="00D4122D"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Hand-Foot</w:t>
            </w:r>
          </w:p>
        </w:tc>
        <w:tc>
          <w:tcPr>
            <w:tcW w:w="259" w:type="pct"/>
            <w:shd w:val="clear" w:color="auto" w:fill="auto"/>
            <w:vAlign w:val="center"/>
          </w:tcPr>
          <w:p w14:paraId="1C911DCC" w14:textId="49F278F8" w:rsidR="00DB746D" w:rsidRPr="00332C8B" w:rsidRDefault="00DB746D"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Not stated</w:t>
            </w:r>
          </w:p>
        </w:tc>
        <w:tc>
          <w:tcPr>
            <w:tcW w:w="352" w:type="pct"/>
            <w:shd w:val="clear" w:color="auto" w:fill="auto"/>
            <w:vAlign w:val="center"/>
          </w:tcPr>
          <w:p w14:paraId="0630D149" w14:textId="77777777" w:rsidR="00DB746D" w:rsidRPr="00332C8B" w:rsidRDefault="00DB746D"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PA</w:t>
            </w:r>
          </w:p>
          <w:p w14:paraId="19D99D83" w14:textId="77777777" w:rsidR="00DB746D" w:rsidRPr="00332C8B" w:rsidRDefault="00DB746D"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FM</w:t>
            </w:r>
          </w:p>
          <w:p w14:paraId="4C7C62B6" w14:textId="77777777" w:rsidR="00DB746D" w:rsidRPr="00332C8B" w:rsidRDefault="00DB746D"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FFM</w:t>
            </w:r>
          </w:p>
        </w:tc>
        <w:tc>
          <w:tcPr>
            <w:tcW w:w="453" w:type="pct"/>
            <w:shd w:val="clear" w:color="auto" w:fill="auto"/>
            <w:vAlign w:val="center"/>
          </w:tcPr>
          <w:p w14:paraId="14D1B084" w14:textId="436E5C81" w:rsidR="00DB746D" w:rsidRPr="00332C8B" w:rsidRDefault="001557A2"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Not reported</w:t>
            </w:r>
          </w:p>
        </w:tc>
        <w:tc>
          <w:tcPr>
            <w:tcW w:w="453" w:type="pct"/>
            <w:shd w:val="clear" w:color="auto" w:fill="auto"/>
            <w:vAlign w:val="center"/>
          </w:tcPr>
          <w:p w14:paraId="0EA48648" w14:textId="7BDF9C46" w:rsidR="00DB746D" w:rsidRPr="00332C8B" w:rsidRDefault="001557A2"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N/A</w:t>
            </w:r>
          </w:p>
        </w:tc>
        <w:tc>
          <w:tcPr>
            <w:tcW w:w="453" w:type="pct"/>
            <w:shd w:val="clear" w:color="auto" w:fill="auto"/>
            <w:vAlign w:val="center"/>
          </w:tcPr>
          <w:p w14:paraId="5AE3BBD4" w14:textId="59362E8C" w:rsidR="00DB746D" w:rsidRPr="00332C8B" w:rsidRDefault="00DB746D"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4"/>
                <w:sz w:val="20"/>
                <w:szCs w:val="20"/>
                <w:lang w:eastAsia="en-GB"/>
              </w:rPr>
            </w:pPr>
            <w:r w:rsidRPr="00332C8B">
              <w:rPr>
                <w:rFonts w:asciiTheme="minorHAnsi" w:eastAsia="Calibri" w:hAnsiTheme="minorHAnsi" w:cstheme="minorHAnsi"/>
                <w:color w:val="000000" w:themeColor="text1"/>
                <w:sz w:val="20"/>
                <w:szCs w:val="20"/>
              </w:rPr>
              <w:t>-</w:t>
            </w:r>
          </w:p>
        </w:tc>
        <w:tc>
          <w:tcPr>
            <w:tcW w:w="493" w:type="pct"/>
            <w:shd w:val="clear" w:color="auto" w:fill="auto"/>
            <w:vAlign w:val="center"/>
          </w:tcPr>
          <w:p w14:paraId="6DA99A71" w14:textId="77777777" w:rsidR="00DB746D" w:rsidRPr="00332C8B" w:rsidRDefault="00DB746D"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Author defined</w:t>
            </w:r>
          </w:p>
        </w:tc>
      </w:tr>
      <w:tr w:rsidR="00685F1B" w:rsidRPr="00332C8B" w14:paraId="0692164E" w14:textId="77777777" w:rsidTr="00CA30FA">
        <w:trPr>
          <w:trHeight w:val="964"/>
          <w:jc w:val="center"/>
        </w:trPr>
        <w:tc>
          <w:tcPr>
            <w:cnfStyle w:val="001000000000" w:firstRow="0" w:lastRow="0" w:firstColumn="1" w:lastColumn="0" w:oddVBand="0" w:evenVBand="0" w:oddHBand="0" w:evenHBand="0" w:firstRowFirstColumn="0" w:firstRowLastColumn="0" w:lastRowFirstColumn="0" w:lastRowLastColumn="0"/>
            <w:tcW w:w="390" w:type="pct"/>
            <w:shd w:val="clear" w:color="auto" w:fill="auto"/>
            <w:vAlign w:val="center"/>
          </w:tcPr>
          <w:p w14:paraId="45BF7D6D" w14:textId="2F6BBBBB" w:rsidR="00DB746D" w:rsidRPr="00332C8B" w:rsidRDefault="00DB746D" w:rsidP="00F0414E">
            <w:pPr>
              <w:spacing w:line="480" w:lineRule="auto"/>
              <w:jc w:val="center"/>
              <w:rPr>
                <w:rFonts w:asciiTheme="minorHAnsi" w:eastAsia="Calibri" w:hAnsiTheme="minorHAnsi" w:cstheme="minorHAnsi"/>
                <w:b w:val="0"/>
                <w:bCs w:val="0"/>
                <w:color w:val="000000" w:themeColor="text1"/>
                <w:sz w:val="20"/>
                <w:szCs w:val="20"/>
              </w:rPr>
            </w:pPr>
            <w:r w:rsidRPr="00332C8B">
              <w:rPr>
                <w:rFonts w:asciiTheme="minorHAnsi" w:eastAsia="Calibri" w:hAnsiTheme="minorHAnsi" w:cstheme="minorHAnsi"/>
                <w:color w:val="000000" w:themeColor="text1"/>
                <w:sz w:val="20"/>
                <w:szCs w:val="20"/>
              </w:rPr>
              <w:t>Fritz, 1990</w:t>
            </w:r>
            <w:r w:rsidRPr="00332C8B">
              <w:rPr>
                <w:rFonts w:asciiTheme="minorHAnsi" w:eastAsia="Calibri" w:hAnsiTheme="minorHAnsi" w:cstheme="minorHAnsi"/>
                <w:color w:val="000000" w:themeColor="text1"/>
                <w:sz w:val="20"/>
                <w:szCs w:val="20"/>
              </w:rPr>
              <w:fldChar w:fldCharType="begin" w:fldLock="1"/>
            </w:r>
            <w:r w:rsidR="00F66CFF" w:rsidRPr="00332C8B">
              <w:rPr>
                <w:rFonts w:asciiTheme="minorHAnsi" w:eastAsia="Calibri" w:hAnsiTheme="minorHAnsi" w:cstheme="minorHAnsi"/>
                <w:color w:val="000000" w:themeColor="text1"/>
                <w:sz w:val="20"/>
                <w:szCs w:val="20"/>
              </w:rPr>
              <w:instrText>ADDIN CSL_CITATION {"citationItems":[{"id":"ITEM-1","itemData":{"ISSN":"0748-7983","abstract":"The correlation between body composition measured by bioelectrical impedance (BIA) and postoperative complications in 115 patients with gastrointestinal cancer was analysed. A significant increase in severe complications was found independent of lean body mass (LBM). In patients with LBM below the normal range the complication rate proved to be 31% (17/55), whereas patients with normal LBM had a complication rate of 10% (6/60). Other decisive factors, such as sex, age, tumor stage, operative procedure and body height were equally distributed in both groups. The practicability and efficiency of BIA became obvious in this study.","author":[{"dropping-particle":"","family":"T.","given":"Fritz","non-dropping-particle":"","parse-names":false,"suffix":""},{"dropping-particle":"","family":"I.","given":"Hollwarth","non-dropping-particle":"","parse-names":false,"suffix":""},{"dropping-particle":"","family":"M.","given":"Romaschow","non-dropping-particle":"","parse-names":false,"suffix":""}],"container-title":"European Journal of Surgical Oncology","id":"ITEM-1","issue":"4","issued":{"date-parts":[["1990"]]},"page":"326-331","publisher":"W.B. Saunders Ltd (32 Jamestown Road, London NW1 7BY, United Kingdom)","publisher-place":"P. Schlag, Department of Surgery, University of Heidelberg, Im Neuenheimer Feld 110, D-6900 Heidelberg, Germany","title":"The predictive role of bioelectrical impedance analysis (BIA) in postoperative complications of cancer patients","type":"article-journal","volume":"16"},"uris":["http://www.mendeley.com/documents/?uuid=e0444ba5-8fa0-4676-9f2f-5be6618fbef1"]}],"mendeley":{"formattedCitation":"[41]","plainTextFormattedCitation":"[41]","previouslyFormattedCitation":"[42]"},"properties":{"noteIndex":0},"schema":"https://github.com/citation-style-language/schema/raw/master/csl-citation.json"}</w:instrText>
            </w:r>
            <w:r w:rsidRPr="00332C8B">
              <w:rPr>
                <w:rFonts w:asciiTheme="minorHAnsi" w:eastAsia="Calibri" w:hAnsiTheme="minorHAnsi" w:cstheme="minorHAnsi"/>
                <w:color w:val="000000" w:themeColor="text1"/>
                <w:sz w:val="20"/>
                <w:szCs w:val="20"/>
              </w:rPr>
              <w:fldChar w:fldCharType="separate"/>
            </w:r>
            <w:r w:rsidR="00F66CFF" w:rsidRPr="00332C8B">
              <w:rPr>
                <w:rFonts w:asciiTheme="minorHAnsi" w:eastAsia="Calibri" w:hAnsiTheme="minorHAnsi" w:cstheme="minorHAnsi"/>
                <w:b w:val="0"/>
                <w:noProof/>
                <w:color w:val="000000" w:themeColor="text1"/>
                <w:sz w:val="20"/>
                <w:szCs w:val="20"/>
              </w:rPr>
              <w:t>[41]</w:t>
            </w:r>
            <w:r w:rsidRPr="00332C8B">
              <w:rPr>
                <w:rFonts w:asciiTheme="minorHAnsi" w:eastAsia="Calibri" w:hAnsiTheme="minorHAnsi" w:cstheme="minorHAnsi"/>
                <w:color w:val="000000" w:themeColor="text1"/>
                <w:sz w:val="20"/>
                <w:szCs w:val="20"/>
              </w:rPr>
              <w:fldChar w:fldCharType="end"/>
            </w:r>
          </w:p>
        </w:tc>
        <w:tc>
          <w:tcPr>
            <w:tcW w:w="556" w:type="pct"/>
            <w:shd w:val="clear" w:color="auto" w:fill="auto"/>
            <w:vAlign w:val="center"/>
          </w:tcPr>
          <w:p w14:paraId="09F4653E" w14:textId="4C7B1A59" w:rsidR="00DB746D" w:rsidRPr="00332C8B" w:rsidRDefault="00646960"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Germany</w:t>
            </w:r>
          </w:p>
        </w:tc>
        <w:tc>
          <w:tcPr>
            <w:tcW w:w="556" w:type="pct"/>
            <w:shd w:val="clear" w:color="auto" w:fill="auto"/>
            <w:vAlign w:val="center"/>
          </w:tcPr>
          <w:p w14:paraId="5C236D4C" w14:textId="53917999" w:rsidR="009F0F93" w:rsidRDefault="009F0F93"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Pr>
                <w:rFonts w:asciiTheme="minorHAnsi" w:eastAsia="Calibri" w:hAnsiTheme="minorHAnsi" w:cstheme="minorHAnsi"/>
                <w:color w:val="000000" w:themeColor="text1"/>
                <w:sz w:val="20"/>
                <w:szCs w:val="20"/>
              </w:rPr>
              <w:t>Mixed (n=115)</w:t>
            </w:r>
          </w:p>
          <w:p w14:paraId="5E3B973C" w14:textId="4D334E8D" w:rsidR="00DB746D" w:rsidRPr="00332C8B" w:rsidRDefault="009F0F93">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Pr>
                <w:rFonts w:asciiTheme="minorHAnsi" w:eastAsia="Calibri" w:hAnsiTheme="minorHAnsi" w:cstheme="minorHAnsi"/>
                <w:color w:val="000000" w:themeColor="text1"/>
                <w:sz w:val="20"/>
                <w:szCs w:val="20"/>
              </w:rPr>
              <w:t>(41 U</w:t>
            </w:r>
            <w:r w:rsidR="00DB746D" w:rsidRPr="009F0F93">
              <w:rPr>
                <w:rFonts w:asciiTheme="minorHAnsi" w:eastAsia="Calibri" w:hAnsiTheme="minorHAnsi" w:cstheme="minorHAnsi"/>
                <w:color w:val="000000" w:themeColor="text1"/>
                <w:sz w:val="20"/>
                <w:szCs w:val="20"/>
              </w:rPr>
              <w:t>GI</w:t>
            </w:r>
            <w:r>
              <w:rPr>
                <w:rFonts w:asciiTheme="minorHAnsi" w:eastAsia="Calibri" w:hAnsiTheme="minorHAnsi" w:cstheme="minorHAnsi"/>
                <w:color w:val="000000" w:themeColor="text1"/>
                <w:sz w:val="20"/>
                <w:szCs w:val="20"/>
              </w:rPr>
              <w:t xml:space="preserve">, 38 GI, 23 </w:t>
            </w:r>
            <w:r w:rsidR="00DB746D" w:rsidRPr="009F0F93">
              <w:rPr>
                <w:rFonts w:asciiTheme="minorHAnsi" w:eastAsia="Calibri" w:hAnsiTheme="minorHAnsi" w:cstheme="minorHAnsi"/>
                <w:color w:val="000000" w:themeColor="text1"/>
                <w:sz w:val="20"/>
                <w:szCs w:val="20"/>
              </w:rPr>
              <w:t>HPB</w:t>
            </w:r>
            <w:r>
              <w:rPr>
                <w:rFonts w:asciiTheme="minorHAnsi" w:eastAsia="Calibri" w:hAnsiTheme="minorHAnsi" w:cstheme="minorHAnsi"/>
                <w:color w:val="000000" w:themeColor="text1"/>
                <w:sz w:val="20"/>
                <w:szCs w:val="20"/>
              </w:rPr>
              <w:t>, 13 Other)</w:t>
            </w:r>
          </w:p>
        </w:tc>
        <w:tc>
          <w:tcPr>
            <w:tcW w:w="572" w:type="pct"/>
            <w:shd w:val="clear" w:color="auto" w:fill="auto"/>
            <w:vAlign w:val="center"/>
          </w:tcPr>
          <w:p w14:paraId="2F25D46E" w14:textId="7665CCBD" w:rsidR="00DB746D" w:rsidRPr="00332C8B" w:rsidRDefault="00DB746D"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BIA-103</w:t>
            </w:r>
            <w:r w:rsidR="00E02CEF" w:rsidRPr="00332C8B">
              <w:rPr>
                <w:rFonts w:asciiTheme="minorHAnsi" w:eastAsia="Calibri" w:hAnsiTheme="minorHAnsi" w:cstheme="minorHAnsi"/>
                <w:color w:val="000000" w:themeColor="text1"/>
                <w:sz w:val="20"/>
                <w:szCs w:val="20"/>
              </w:rPr>
              <w:t>, RJL Systems</w:t>
            </w:r>
            <w:r w:rsidR="00E91033" w:rsidRPr="00332C8B">
              <w:rPr>
                <w:rFonts w:asciiTheme="minorHAnsi" w:eastAsia="Calibri" w:hAnsiTheme="minorHAnsi" w:cstheme="minorHAnsi"/>
                <w:color w:val="000000" w:themeColor="text1"/>
                <w:sz w:val="20"/>
                <w:szCs w:val="20"/>
              </w:rPr>
              <w:t>, USA</w:t>
            </w:r>
          </w:p>
        </w:tc>
        <w:tc>
          <w:tcPr>
            <w:tcW w:w="463" w:type="pct"/>
            <w:shd w:val="clear" w:color="auto" w:fill="auto"/>
            <w:vAlign w:val="center"/>
          </w:tcPr>
          <w:p w14:paraId="2AB9EAEC" w14:textId="5121FD03" w:rsidR="00DB746D" w:rsidRPr="00332C8B" w:rsidRDefault="00646960"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Hand-Foot</w:t>
            </w:r>
          </w:p>
        </w:tc>
        <w:tc>
          <w:tcPr>
            <w:tcW w:w="259" w:type="pct"/>
            <w:shd w:val="clear" w:color="auto" w:fill="auto"/>
            <w:vAlign w:val="center"/>
          </w:tcPr>
          <w:p w14:paraId="59534E8F" w14:textId="25C5A78F" w:rsidR="00DB746D" w:rsidRPr="00332C8B" w:rsidRDefault="00DB746D"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SF</w:t>
            </w:r>
          </w:p>
        </w:tc>
        <w:tc>
          <w:tcPr>
            <w:tcW w:w="352" w:type="pct"/>
            <w:shd w:val="clear" w:color="auto" w:fill="auto"/>
            <w:vAlign w:val="center"/>
          </w:tcPr>
          <w:p w14:paraId="65435C3B" w14:textId="2BA7BEF4" w:rsidR="00DB746D" w:rsidRPr="00332C8B" w:rsidRDefault="001746BF"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LBM</w:t>
            </w:r>
          </w:p>
        </w:tc>
        <w:tc>
          <w:tcPr>
            <w:tcW w:w="453" w:type="pct"/>
            <w:shd w:val="clear" w:color="auto" w:fill="auto"/>
            <w:vAlign w:val="center"/>
          </w:tcPr>
          <w:p w14:paraId="0B2AB0F1" w14:textId="4B69DB62" w:rsidR="00DB746D" w:rsidRPr="00332C8B" w:rsidRDefault="00E02CEF"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Not reported</w:t>
            </w:r>
          </w:p>
        </w:tc>
        <w:tc>
          <w:tcPr>
            <w:tcW w:w="453" w:type="pct"/>
            <w:shd w:val="clear" w:color="auto" w:fill="auto"/>
            <w:vAlign w:val="center"/>
          </w:tcPr>
          <w:p w14:paraId="05907731" w14:textId="15E8BA19" w:rsidR="00DB746D" w:rsidRPr="00332C8B" w:rsidRDefault="00E91033"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kern w:val="24"/>
                <w:sz w:val="20"/>
                <w:szCs w:val="20"/>
                <w:lang w:eastAsia="en-GB"/>
              </w:rPr>
            </w:pPr>
            <w:r w:rsidRPr="00332C8B">
              <w:rPr>
                <w:rFonts w:asciiTheme="minorHAnsi" w:eastAsia="Calibri" w:hAnsiTheme="minorHAnsi" w:cstheme="minorHAnsi"/>
                <w:color w:val="000000" w:themeColor="text1"/>
                <w:sz w:val="20"/>
                <w:szCs w:val="20"/>
              </w:rPr>
              <w:t>N/A</w:t>
            </w:r>
          </w:p>
        </w:tc>
        <w:tc>
          <w:tcPr>
            <w:tcW w:w="453" w:type="pct"/>
            <w:shd w:val="clear" w:color="auto" w:fill="auto"/>
            <w:vAlign w:val="center"/>
          </w:tcPr>
          <w:p w14:paraId="64362643" w14:textId="66487A80" w:rsidR="00DB746D" w:rsidRPr="00332C8B" w:rsidRDefault="00DB746D"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kern w:val="24"/>
                <w:sz w:val="20"/>
                <w:szCs w:val="20"/>
                <w:lang w:eastAsia="en-GB"/>
              </w:rPr>
              <w:t>LBM &lt; predicted normal LBM</w:t>
            </w:r>
          </w:p>
        </w:tc>
        <w:tc>
          <w:tcPr>
            <w:tcW w:w="493" w:type="pct"/>
            <w:shd w:val="clear" w:color="auto" w:fill="auto"/>
            <w:vAlign w:val="center"/>
          </w:tcPr>
          <w:p w14:paraId="0C66C896" w14:textId="77777777" w:rsidR="00DB746D" w:rsidRPr="00332C8B" w:rsidRDefault="00DB746D"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Author defined</w:t>
            </w:r>
          </w:p>
        </w:tc>
      </w:tr>
    </w:tbl>
    <w:p w14:paraId="2D6E5321" w14:textId="77777777" w:rsidR="007063DD" w:rsidRPr="00332C8B" w:rsidRDefault="007063DD" w:rsidP="00F0414E">
      <w:pPr>
        <w:spacing w:line="480" w:lineRule="auto"/>
      </w:pPr>
    </w:p>
    <w:p w14:paraId="7C77D394" w14:textId="44595628" w:rsidR="00F11278" w:rsidRPr="00332C8B" w:rsidRDefault="00E50BC6" w:rsidP="00F0414E">
      <w:pPr>
        <w:spacing w:line="480" w:lineRule="auto"/>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Legend: n = Number of s</w:t>
      </w:r>
      <w:r w:rsidR="007063DD" w:rsidRPr="00332C8B">
        <w:rPr>
          <w:rFonts w:asciiTheme="minorHAnsi" w:eastAsia="Calibri" w:hAnsiTheme="minorHAnsi" w:cstheme="minorHAnsi"/>
          <w:color w:val="000000" w:themeColor="text1"/>
          <w:sz w:val="20"/>
          <w:szCs w:val="20"/>
        </w:rPr>
        <w:t>ubjects; UGI = Upper Gastro-intestinal; HN = Head and neck; HPB = Hepato-biliary; GI = Gastro-intestinal; GU = Genito-urinary; SF = Single frequency; MF = Multi-frequency; PA = Phase Angle; SPA = Standardi</w:t>
      </w:r>
      <w:r w:rsidR="004150ED">
        <w:rPr>
          <w:rFonts w:asciiTheme="minorHAnsi" w:eastAsia="Calibri" w:hAnsiTheme="minorHAnsi" w:cstheme="minorHAnsi"/>
          <w:color w:val="000000" w:themeColor="text1"/>
          <w:sz w:val="20"/>
          <w:szCs w:val="20"/>
        </w:rPr>
        <w:t>z</w:t>
      </w:r>
      <w:r w:rsidR="007063DD" w:rsidRPr="00332C8B">
        <w:rPr>
          <w:rFonts w:asciiTheme="minorHAnsi" w:eastAsia="Calibri" w:hAnsiTheme="minorHAnsi" w:cstheme="minorHAnsi"/>
          <w:color w:val="000000" w:themeColor="text1"/>
          <w:sz w:val="20"/>
          <w:szCs w:val="20"/>
        </w:rPr>
        <w:t>ed Phase Angle; MMI =</w:t>
      </w:r>
      <w:r w:rsidRPr="00332C8B">
        <w:rPr>
          <w:rFonts w:asciiTheme="minorHAnsi" w:eastAsia="Calibri" w:hAnsiTheme="minorHAnsi" w:cstheme="minorHAnsi"/>
          <w:color w:val="000000" w:themeColor="text1"/>
          <w:sz w:val="20"/>
          <w:szCs w:val="20"/>
        </w:rPr>
        <w:t xml:space="preserve"> Muscle Mass Index; FFMI = Fat F</w:t>
      </w:r>
      <w:r w:rsidR="007063DD" w:rsidRPr="00332C8B">
        <w:rPr>
          <w:rFonts w:asciiTheme="minorHAnsi" w:eastAsia="Calibri" w:hAnsiTheme="minorHAnsi" w:cstheme="minorHAnsi"/>
          <w:color w:val="000000" w:themeColor="text1"/>
          <w:sz w:val="20"/>
          <w:szCs w:val="20"/>
        </w:rPr>
        <w:t>ree Mass Index; FMI = Fat Mass Index; LBMI = Lean Body Mass Index; SMM = Skeletal Muscle Mas</w:t>
      </w:r>
      <w:r w:rsidRPr="00332C8B">
        <w:rPr>
          <w:rFonts w:asciiTheme="minorHAnsi" w:eastAsia="Calibri" w:hAnsiTheme="minorHAnsi" w:cstheme="minorHAnsi"/>
          <w:color w:val="000000" w:themeColor="text1"/>
          <w:sz w:val="20"/>
          <w:szCs w:val="20"/>
        </w:rPr>
        <w:t>s; FM = Fat Mass; FFM = Fat Free</w:t>
      </w:r>
      <w:r w:rsidR="007063DD" w:rsidRPr="00332C8B">
        <w:rPr>
          <w:rFonts w:asciiTheme="minorHAnsi" w:eastAsia="Calibri" w:hAnsiTheme="minorHAnsi" w:cstheme="minorHAnsi"/>
          <w:color w:val="000000" w:themeColor="text1"/>
          <w:sz w:val="20"/>
          <w:szCs w:val="20"/>
        </w:rPr>
        <w:t xml:space="preserve"> Mass; BF = Body Fat; LBM = Lean Body Mass; </w:t>
      </w:r>
      <w:r w:rsidR="007063DD" w:rsidRPr="00332C8B">
        <w:rPr>
          <w:rFonts w:asciiTheme="minorHAnsi" w:eastAsia="Calibri" w:hAnsiTheme="minorHAnsi" w:cstheme="minorHAnsi"/>
          <w:color w:val="000000" w:themeColor="text1"/>
          <w:sz w:val="20"/>
          <w:szCs w:val="20"/>
        </w:rPr>
        <w:sym w:font="Symbol" w:char="F073"/>
      </w:r>
      <w:r w:rsidR="007063DD" w:rsidRPr="00332C8B">
        <w:rPr>
          <w:rFonts w:asciiTheme="minorHAnsi" w:eastAsia="Calibri" w:hAnsiTheme="minorHAnsi" w:cstheme="minorHAnsi"/>
          <w:color w:val="000000" w:themeColor="text1"/>
          <w:sz w:val="20"/>
          <w:szCs w:val="20"/>
        </w:rPr>
        <w:t xml:space="preserve"> = standard deviation; LoS = Length of Stay</w:t>
      </w:r>
      <w:r w:rsidR="007063DD" w:rsidRPr="00332C8B">
        <w:rPr>
          <w:rFonts w:asciiTheme="minorHAnsi" w:eastAsia="Calibri" w:hAnsiTheme="minorHAnsi" w:cs="Apple Color Emoji"/>
          <w:kern w:val="24"/>
          <w:sz w:val="20"/>
          <w:szCs w:val="20"/>
          <w:lang w:val="en-US" w:eastAsia="en-GB"/>
        </w:rPr>
        <w:t xml:space="preserve">; </w:t>
      </w:r>
      <w:r w:rsidR="007063DD" w:rsidRPr="00332C8B">
        <w:rPr>
          <w:rFonts w:asciiTheme="minorHAnsi" w:eastAsia="Calibri" w:hAnsiTheme="minorHAnsi" w:cstheme="minorHAnsi"/>
          <w:color w:val="000000" w:themeColor="text1"/>
          <w:sz w:val="20"/>
          <w:szCs w:val="20"/>
        </w:rPr>
        <w:t xml:space="preserve">BACS = Bulletin of the American College of Surgeons; </w:t>
      </w:r>
      <w:r w:rsidR="007063DD" w:rsidRPr="00332C8B">
        <w:rPr>
          <w:rFonts w:asciiTheme="minorHAnsi" w:hAnsiTheme="minorHAnsi"/>
          <w:sz w:val="20"/>
          <w:szCs w:val="20"/>
        </w:rPr>
        <w:t xml:space="preserve">MSKCC = </w:t>
      </w:r>
      <w:r w:rsidR="007063DD" w:rsidRPr="00332C8B">
        <w:rPr>
          <w:rFonts w:asciiTheme="minorHAnsi" w:eastAsia="Calibri" w:hAnsiTheme="minorHAnsi" w:cstheme="minorHAnsi"/>
          <w:color w:val="000000" w:themeColor="text1"/>
          <w:sz w:val="20"/>
          <w:szCs w:val="20"/>
        </w:rPr>
        <w:t>Memorial Sloan Kettering Cancer Centre Surgical Secondary Events Grading</w:t>
      </w:r>
    </w:p>
    <w:p w14:paraId="1BFCD69E" w14:textId="77777777" w:rsidR="007063DD" w:rsidRPr="00332C8B" w:rsidRDefault="007063DD" w:rsidP="00F0414E">
      <w:pPr>
        <w:spacing w:after="160" w:line="480" w:lineRule="auto"/>
        <w:rPr>
          <w:rFonts w:asciiTheme="minorHAnsi" w:eastAsia="Calibri" w:hAnsiTheme="minorHAnsi" w:cstheme="minorHAnsi"/>
          <w:color w:val="000000" w:themeColor="text1"/>
          <w:sz w:val="22"/>
          <w:szCs w:val="22"/>
          <w:u w:val="single"/>
        </w:rPr>
      </w:pPr>
    </w:p>
    <w:p w14:paraId="37DF8C1A" w14:textId="77777777" w:rsidR="00E50BC6" w:rsidRPr="00332C8B" w:rsidRDefault="00E50BC6" w:rsidP="00F0414E">
      <w:pPr>
        <w:spacing w:after="160" w:line="480" w:lineRule="auto"/>
        <w:rPr>
          <w:rFonts w:asciiTheme="minorHAnsi" w:eastAsia="Calibri" w:hAnsiTheme="minorHAnsi" w:cstheme="minorHAnsi"/>
          <w:bCs/>
          <w:i/>
          <w:iCs/>
          <w:color w:val="000000" w:themeColor="text1"/>
          <w:sz w:val="22"/>
          <w:szCs w:val="22"/>
        </w:rPr>
      </w:pPr>
    </w:p>
    <w:p w14:paraId="597D1E0A" w14:textId="77777777" w:rsidR="00E50BC6" w:rsidRPr="00332C8B" w:rsidRDefault="00E50BC6" w:rsidP="00F0414E">
      <w:pPr>
        <w:spacing w:after="160" w:line="480" w:lineRule="auto"/>
        <w:rPr>
          <w:rFonts w:asciiTheme="minorHAnsi" w:eastAsia="Calibri" w:hAnsiTheme="minorHAnsi" w:cstheme="minorHAnsi"/>
          <w:bCs/>
          <w:i/>
          <w:iCs/>
          <w:color w:val="000000" w:themeColor="text1"/>
          <w:sz w:val="22"/>
          <w:szCs w:val="22"/>
        </w:rPr>
      </w:pPr>
    </w:p>
    <w:p w14:paraId="6FF40135" w14:textId="77777777" w:rsidR="00E50BC6" w:rsidRPr="00332C8B" w:rsidRDefault="00E50BC6" w:rsidP="00F0414E">
      <w:pPr>
        <w:spacing w:after="160" w:line="480" w:lineRule="auto"/>
        <w:rPr>
          <w:rFonts w:asciiTheme="minorHAnsi" w:eastAsia="Calibri" w:hAnsiTheme="minorHAnsi" w:cstheme="minorHAnsi"/>
          <w:bCs/>
          <w:i/>
          <w:iCs/>
          <w:color w:val="000000" w:themeColor="text1"/>
          <w:sz w:val="22"/>
          <w:szCs w:val="22"/>
        </w:rPr>
      </w:pPr>
    </w:p>
    <w:p w14:paraId="30D063AD" w14:textId="77777777" w:rsidR="00E50BC6" w:rsidRPr="00332C8B" w:rsidRDefault="00E50BC6" w:rsidP="00F0414E">
      <w:pPr>
        <w:spacing w:after="160" w:line="480" w:lineRule="auto"/>
        <w:rPr>
          <w:rFonts w:asciiTheme="minorHAnsi" w:eastAsia="Calibri" w:hAnsiTheme="minorHAnsi" w:cstheme="minorHAnsi"/>
          <w:bCs/>
          <w:i/>
          <w:iCs/>
          <w:color w:val="000000" w:themeColor="text1"/>
          <w:sz w:val="22"/>
          <w:szCs w:val="22"/>
        </w:rPr>
      </w:pPr>
    </w:p>
    <w:p w14:paraId="3E74E951" w14:textId="77777777" w:rsidR="00E50BC6" w:rsidRPr="00332C8B" w:rsidRDefault="00E50BC6" w:rsidP="00F0414E">
      <w:pPr>
        <w:spacing w:after="160" w:line="480" w:lineRule="auto"/>
        <w:rPr>
          <w:rFonts w:asciiTheme="minorHAnsi" w:eastAsia="Calibri" w:hAnsiTheme="minorHAnsi" w:cstheme="minorHAnsi"/>
          <w:bCs/>
          <w:i/>
          <w:iCs/>
          <w:color w:val="000000" w:themeColor="text1"/>
          <w:sz w:val="22"/>
          <w:szCs w:val="22"/>
        </w:rPr>
      </w:pPr>
    </w:p>
    <w:p w14:paraId="7B7C6243" w14:textId="77777777" w:rsidR="00E50BC6" w:rsidRPr="00332C8B" w:rsidRDefault="00E50BC6" w:rsidP="00F0414E">
      <w:pPr>
        <w:spacing w:after="160" w:line="480" w:lineRule="auto"/>
        <w:rPr>
          <w:rFonts w:asciiTheme="minorHAnsi" w:eastAsia="Calibri" w:hAnsiTheme="minorHAnsi" w:cstheme="minorHAnsi"/>
          <w:bCs/>
          <w:i/>
          <w:iCs/>
          <w:color w:val="000000" w:themeColor="text1"/>
          <w:sz w:val="22"/>
          <w:szCs w:val="22"/>
        </w:rPr>
      </w:pPr>
    </w:p>
    <w:p w14:paraId="22EF87A3" w14:textId="77777777" w:rsidR="00E50BC6" w:rsidRPr="00332C8B" w:rsidRDefault="00E50BC6" w:rsidP="00F0414E">
      <w:pPr>
        <w:spacing w:after="160" w:line="480" w:lineRule="auto"/>
        <w:rPr>
          <w:rFonts w:asciiTheme="minorHAnsi" w:eastAsia="Calibri" w:hAnsiTheme="minorHAnsi" w:cstheme="minorHAnsi"/>
          <w:bCs/>
          <w:i/>
          <w:iCs/>
          <w:color w:val="000000" w:themeColor="text1"/>
          <w:sz w:val="22"/>
          <w:szCs w:val="22"/>
        </w:rPr>
      </w:pPr>
    </w:p>
    <w:p w14:paraId="75941AC4" w14:textId="77777777" w:rsidR="007F0C1F" w:rsidRPr="00332C8B" w:rsidRDefault="007F0C1F" w:rsidP="00F0414E">
      <w:pPr>
        <w:spacing w:line="480" w:lineRule="auto"/>
        <w:rPr>
          <w:rFonts w:asciiTheme="minorHAnsi" w:hAnsiTheme="minorHAnsi" w:cstheme="minorHAnsi"/>
          <w:color w:val="000000" w:themeColor="text1"/>
          <w:sz w:val="22"/>
          <w:szCs w:val="22"/>
        </w:rPr>
      </w:pPr>
      <w:r w:rsidRPr="00332C8B">
        <w:rPr>
          <w:rFonts w:asciiTheme="minorHAnsi" w:hAnsiTheme="minorHAnsi" w:cstheme="minorHAnsi"/>
          <w:color w:val="000000" w:themeColor="text1"/>
          <w:sz w:val="22"/>
          <w:szCs w:val="22"/>
        </w:rPr>
        <w:br w:type="page"/>
      </w:r>
    </w:p>
    <w:p w14:paraId="4DD3CA36" w14:textId="77777777" w:rsidR="007F0C1F" w:rsidRPr="00332C8B" w:rsidRDefault="007F0C1F" w:rsidP="00F0414E">
      <w:pPr>
        <w:spacing w:after="160" w:line="480" w:lineRule="auto"/>
        <w:rPr>
          <w:rFonts w:asciiTheme="minorHAnsi" w:eastAsia="Calibri" w:hAnsiTheme="minorHAnsi" w:cstheme="minorHAnsi"/>
          <w:color w:val="000000" w:themeColor="text1"/>
          <w:sz w:val="22"/>
          <w:szCs w:val="22"/>
          <w:u w:val="single"/>
        </w:rPr>
        <w:sectPr w:rsidR="007F0C1F" w:rsidRPr="00332C8B" w:rsidSect="007063DD">
          <w:pgSz w:w="16838" w:h="11906" w:orient="landscape"/>
          <w:pgMar w:top="720" w:right="720" w:bottom="720" w:left="720" w:header="709" w:footer="709" w:gutter="0"/>
          <w:cols w:space="720"/>
          <w:docGrid w:linePitch="360"/>
        </w:sectPr>
      </w:pPr>
    </w:p>
    <w:p w14:paraId="322C5291" w14:textId="77777777" w:rsidR="00E50BC6" w:rsidRPr="00332C8B" w:rsidRDefault="00E50BC6" w:rsidP="00F0414E">
      <w:pPr>
        <w:spacing w:after="160" w:line="480" w:lineRule="auto"/>
        <w:rPr>
          <w:rFonts w:asciiTheme="minorHAnsi" w:eastAsia="Calibri" w:hAnsiTheme="minorHAnsi" w:cstheme="minorHAnsi"/>
          <w:bCs/>
          <w:i/>
          <w:iCs/>
          <w:color w:val="000000" w:themeColor="text1"/>
          <w:sz w:val="22"/>
          <w:szCs w:val="22"/>
        </w:rPr>
      </w:pPr>
      <w:r w:rsidRPr="00332C8B">
        <w:rPr>
          <w:rFonts w:asciiTheme="minorHAnsi" w:eastAsia="Calibri" w:hAnsiTheme="minorHAnsi" w:cstheme="minorHAnsi"/>
          <w:bCs/>
          <w:i/>
          <w:iCs/>
          <w:color w:val="000000" w:themeColor="text1"/>
          <w:sz w:val="22"/>
          <w:szCs w:val="22"/>
        </w:rPr>
        <w:t>3.1 Study quality</w:t>
      </w:r>
    </w:p>
    <w:p w14:paraId="696848A2" w14:textId="0E30D79B" w:rsidR="00E50BC6" w:rsidRPr="00332C8B" w:rsidRDefault="00764BFF" w:rsidP="00F0414E">
      <w:pPr>
        <w:spacing w:after="160" w:line="480" w:lineRule="auto"/>
        <w:rPr>
          <w:rFonts w:asciiTheme="minorHAnsi" w:eastAsia="Calibri" w:hAnsiTheme="minorHAnsi" w:cstheme="minorHAnsi"/>
          <w:color w:val="000000" w:themeColor="text1"/>
          <w:sz w:val="22"/>
          <w:szCs w:val="22"/>
        </w:rPr>
      </w:pPr>
      <w:r w:rsidRPr="00332C8B">
        <w:rPr>
          <w:rFonts w:asciiTheme="minorHAnsi" w:eastAsia="Calibri" w:hAnsiTheme="minorHAnsi" w:cstheme="minorHAnsi"/>
          <w:color w:val="000000" w:themeColor="text1"/>
          <w:sz w:val="22"/>
          <w:szCs w:val="22"/>
        </w:rPr>
        <w:t xml:space="preserve">All included publications were non-randomised observational studies. </w:t>
      </w:r>
      <w:r w:rsidR="00E50BC6" w:rsidRPr="00332C8B">
        <w:rPr>
          <w:rFonts w:asciiTheme="minorHAnsi" w:eastAsia="Calibri" w:hAnsiTheme="minorHAnsi" w:cstheme="minorHAnsi"/>
          <w:color w:val="000000" w:themeColor="text1"/>
          <w:sz w:val="22"/>
          <w:szCs w:val="22"/>
        </w:rPr>
        <w:t xml:space="preserve">The median quality score was 13/28 (range 8 - 16) using a modified version of the Downs and Black quality assessment checklist. </w:t>
      </w:r>
    </w:p>
    <w:p w14:paraId="510160F1" w14:textId="121C01FA" w:rsidR="00D03030" w:rsidRPr="00332C8B" w:rsidRDefault="00764BFF" w:rsidP="00F0414E">
      <w:pPr>
        <w:spacing w:after="160" w:line="480" w:lineRule="auto"/>
        <w:rPr>
          <w:rFonts w:asciiTheme="minorHAnsi" w:eastAsia="Calibri" w:hAnsiTheme="minorHAnsi" w:cstheme="minorHAnsi"/>
          <w:i/>
          <w:color w:val="000000" w:themeColor="text1"/>
          <w:sz w:val="22"/>
          <w:szCs w:val="22"/>
        </w:rPr>
      </w:pPr>
      <w:r w:rsidRPr="00332C8B">
        <w:rPr>
          <w:rFonts w:asciiTheme="minorHAnsi" w:eastAsia="Calibri" w:hAnsiTheme="minorHAnsi" w:cstheme="minorHAnsi"/>
          <w:i/>
          <w:color w:val="000000" w:themeColor="text1"/>
          <w:sz w:val="22"/>
          <w:szCs w:val="22"/>
        </w:rPr>
        <w:t xml:space="preserve">3.2 </w:t>
      </w:r>
      <w:r w:rsidR="00D03030" w:rsidRPr="00332C8B">
        <w:rPr>
          <w:rFonts w:asciiTheme="minorHAnsi" w:eastAsia="Calibri" w:hAnsiTheme="minorHAnsi" w:cstheme="minorHAnsi"/>
          <w:i/>
          <w:color w:val="000000" w:themeColor="text1"/>
          <w:sz w:val="22"/>
          <w:szCs w:val="22"/>
        </w:rPr>
        <w:t>Phase angle and post-operative complications</w:t>
      </w:r>
    </w:p>
    <w:p w14:paraId="0F722A3E" w14:textId="324B1BB1" w:rsidR="00764BFF" w:rsidRPr="00332C8B" w:rsidRDefault="00D03030" w:rsidP="00F0414E">
      <w:pPr>
        <w:spacing w:after="160" w:line="480" w:lineRule="auto"/>
        <w:rPr>
          <w:rFonts w:asciiTheme="minorHAnsi" w:eastAsia="Calibri" w:hAnsiTheme="minorHAnsi" w:cstheme="minorHAnsi"/>
          <w:color w:val="000000" w:themeColor="text1"/>
          <w:sz w:val="22"/>
          <w:szCs w:val="22"/>
        </w:rPr>
      </w:pPr>
      <w:r w:rsidRPr="00332C8B">
        <w:rPr>
          <w:rFonts w:asciiTheme="minorHAnsi" w:eastAsia="Calibri" w:hAnsiTheme="minorHAnsi" w:cstheme="minorHAnsi"/>
          <w:color w:val="000000" w:themeColor="text1"/>
          <w:sz w:val="22"/>
          <w:szCs w:val="22"/>
        </w:rPr>
        <w:t>Of the six papers reporting either phase angle or standardi</w:t>
      </w:r>
      <w:r w:rsidR="004150ED">
        <w:rPr>
          <w:rFonts w:asciiTheme="minorHAnsi" w:eastAsia="Calibri" w:hAnsiTheme="minorHAnsi" w:cstheme="minorHAnsi"/>
          <w:color w:val="000000" w:themeColor="text1"/>
          <w:sz w:val="22"/>
          <w:szCs w:val="22"/>
        </w:rPr>
        <w:t>z</w:t>
      </w:r>
      <w:r w:rsidRPr="00332C8B">
        <w:rPr>
          <w:rFonts w:asciiTheme="minorHAnsi" w:eastAsia="Calibri" w:hAnsiTheme="minorHAnsi" w:cstheme="minorHAnsi"/>
          <w:color w:val="000000" w:themeColor="text1"/>
          <w:sz w:val="22"/>
          <w:szCs w:val="22"/>
        </w:rPr>
        <w:t>ed phase angle four</w:t>
      </w:r>
      <w:r w:rsidR="003662F1" w:rsidRPr="00332C8B">
        <w:rPr>
          <w:rFonts w:asciiTheme="minorHAnsi" w:eastAsia="Calibri" w:hAnsiTheme="minorHAnsi" w:cstheme="minorHAnsi"/>
          <w:color w:val="000000" w:themeColor="text1"/>
          <w:sz w:val="22"/>
          <w:szCs w:val="22"/>
          <w:vertAlign w:val="superscript"/>
        </w:rPr>
        <w:fldChar w:fldCharType="begin" w:fldLock="1"/>
      </w:r>
      <w:r w:rsidR="00F66CFF" w:rsidRPr="00332C8B">
        <w:rPr>
          <w:rFonts w:asciiTheme="minorHAnsi" w:eastAsia="Calibri" w:hAnsiTheme="minorHAnsi" w:cstheme="minorHAnsi"/>
          <w:color w:val="000000" w:themeColor="text1"/>
          <w:sz w:val="22"/>
          <w:szCs w:val="22"/>
          <w:vertAlign w:val="superscript"/>
        </w:rPr>
        <w:instrText>ADDIN CSL_CITATION {"citationItems":[{"id":"ITEM-1","itemData":{"DOI":"http://dx.doi.org/10.1016/j.ygyno.2018.03.044","ISSN":"0090-8258","abstract":"Objective: To investigate whether patients' altered body composition (measured with bioimpedentiometry), due to a poor nutritional status, predicts the incidence of no residual disease at primary debulking and the risk of complications in patients with newly-diagnosed advanced epithelial ovarian cancer (EOC). Methods: Data regarding patients with newly-diagnosed stage IIIC-IV EOC undergoing elective nutritional assessment between December 2016 and March 2017, were prospectively collected. Bioelectrical impedance analysis (BIA) with measurement of BIA-derived phase angle [PhA] at 50 KHz, was accomplished. Only patients with disease which was considered resectable at staging laparoscopy were submitted to open primary cytoreduction. The rate of residual tumor (RT) = 0 and the incidence of complications were assessed. Results: Seventy patients were included. Fifty-two of them were submitted to primary cytoreduction (74.3%) and 48 (68.6% of the entire cohort, 92.3% of those who underwent primary debulking) had RT = 0 at the end of surgery. Median values of PhA were significantly lower in patients with RT &gt; vs. =0 (4.7, range: 3.6-5.8 vs. 5.3, range: 4.2-6.8; p = 0.001). Twenty-four (out of the 52 operated) patients (46.2%) developed at least one complication. PhA was significantly lower in patients with vs. without complications (5, range: 3.6-6.4, vs. 5.4, range 4.5-6.8; p = 0.03). After multivariable analysis, Fagotti score and PhA were the only independent predictors of residual disease (OR:13.56; 95%CI:1.33-137.6; p = 0.027 and 9.24; 1.16-73.43; p = 0.036, respectively) and of any complication (OR:4.9;95%CI:1.17-20.6; p = 0.03 and 7.27; 1.45-36.4; p = 0.01, respectively). Conclusions: Derangement of body composition (likely due to disease-related malnutrition) expressed as a low phase angle, is an independent predictor of residual disease and peri-operative complications at the time of upfront cytoreduction for advanced EOC.Copyright © 2018 Elsevier Inc.","author":[{"dropping-particle":"","family":"S.","given":"Uccella","non-dropping-particle":"","parse-names":false,"suffix":""},{"dropping-particle":"","family":"M.C.","given":"Mele","non-dropping-particle":"","parse-names":false,"suffix":""},{"dropping-particle":"","family":"L.","given":"Quagliozzi","non-dropping-particle":"","parse-names":false,"suffix":""},{"dropping-particle":"","family":"E.","given":"Rinninella","non-dropping-particle":"","parse-names":false,"suffix":""},{"dropping-particle":"","family":"C.","given":"Nero","non-dropping-particle":"","parse-names":false,"suffix":""},{"dropping-particle":"","family":"S.","given":"Cappuccio","non-dropping-particle":"","parse-names":false,"suffix":""},{"dropping-particle":"","family":"M.","given":"Cintoni","non-dropping-particle":"","parse-names":false,"suffix":""},{"dropping-particle":"","family":"A.","given":"Gasbarrini","non-dropping-particle":"","parse-names":false,"suffix":""},{"dropping-particle":"","family":"G.","given":"Scambia","non-dropping-particle":"","parse-names":false,"suffix":""},{"dropping-particle":"","family":"Fagotti A.  AO  - Uccella  Marco; ORCID: http://orcid.org/0000-0002-9610-0748 AO  - Nero, Camilla; ORCID: http://orcid.org/0000-0002-4442-4046","given":"Stefano; ORCID: http://orcid.org/0000-0002-4456-0822 A O - Cintoni","non-dropping-particle":"","parse-names":false,"suffix":""}],"container-title":"Gynecologic Oncology","id":"ITEM-1","issue":"2","issued":{"date-parts":[["2018"]]},"page":"263-269","publisher":"Academic Press Inc. (E-mail: apjcs@harcourt.com)","publisher-place":"S. Uccella, Department of Woman and Child Health, Fondazione Policlinico Agostino Gemelli, Rome, Italy. E-mail: stefucc@libero.it","title":"Assessment of preoperative nutritional status using BIA-derived phase angle (PhA) in patients with advanced ovarian cancer: Correlation with the extent of cytoreduction and complications","type":"article-journal","volume":"149"},"uris":["http://www.mendeley.com/documents/?uuid=740bc537-bfc4-43b1-b3c3-2ed9e7133df6"]}],"mendeley":{"formattedCitation":"[36]","plainTextFormattedCitation":"[36]","previouslyFormattedCitation":"[37]"},"properties":{"noteIndex":0},"schema":"https://github.com/citation-style-language/schema/raw/master/csl-citation.json"}</w:instrText>
      </w:r>
      <w:r w:rsidR="003662F1" w:rsidRPr="00332C8B">
        <w:rPr>
          <w:rFonts w:asciiTheme="minorHAnsi" w:eastAsia="Calibri" w:hAnsiTheme="minorHAnsi" w:cstheme="minorHAnsi"/>
          <w:color w:val="000000" w:themeColor="text1"/>
          <w:sz w:val="22"/>
          <w:szCs w:val="22"/>
          <w:vertAlign w:val="superscript"/>
        </w:rPr>
        <w:fldChar w:fldCharType="separate"/>
      </w:r>
      <w:r w:rsidR="00F66CFF" w:rsidRPr="00332C8B">
        <w:rPr>
          <w:rFonts w:asciiTheme="minorHAnsi" w:eastAsia="Calibri" w:hAnsiTheme="minorHAnsi" w:cstheme="minorHAnsi"/>
          <w:noProof/>
          <w:color w:val="000000" w:themeColor="text1"/>
          <w:sz w:val="22"/>
          <w:szCs w:val="22"/>
        </w:rPr>
        <w:t>[36]</w:t>
      </w:r>
      <w:r w:rsidR="003662F1" w:rsidRPr="00332C8B">
        <w:rPr>
          <w:rFonts w:asciiTheme="minorHAnsi" w:eastAsia="Calibri" w:hAnsiTheme="minorHAnsi" w:cstheme="minorHAnsi"/>
          <w:color w:val="000000" w:themeColor="text1"/>
          <w:sz w:val="22"/>
          <w:szCs w:val="22"/>
          <w:vertAlign w:val="superscript"/>
        </w:rPr>
        <w:fldChar w:fldCharType="end"/>
      </w:r>
      <w:r w:rsidRPr="00332C8B">
        <w:rPr>
          <w:rFonts w:asciiTheme="minorHAnsi" w:eastAsia="Calibri" w:hAnsiTheme="minorHAnsi" w:cstheme="minorHAnsi"/>
          <w:color w:val="000000" w:themeColor="text1"/>
          <w:sz w:val="22"/>
          <w:szCs w:val="22"/>
          <w:vertAlign w:val="superscript"/>
        </w:rPr>
        <w:t>,</w:t>
      </w:r>
      <w:r w:rsidR="003662F1" w:rsidRPr="00332C8B">
        <w:rPr>
          <w:rFonts w:asciiTheme="minorHAnsi" w:eastAsia="Calibri" w:hAnsiTheme="minorHAnsi" w:cstheme="minorHAnsi"/>
          <w:color w:val="000000" w:themeColor="text1"/>
          <w:sz w:val="22"/>
          <w:szCs w:val="22"/>
          <w:vertAlign w:val="superscript"/>
        </w:rPr>
        <w:fldChar w:fldCharType="begin" w:fldLock="1"/>
      </w:r>
      <w:r w:rsidR="00F66CFF" w:rsidRPr="00332C8B">
        <w:rPr>
          <w:rFonts w:asciiTheme="minorHAnsi" w:eastAsia="Calibri" w:hAnsiTheme="minorHAnsi" w:cstheme="minorHAnsi"/>
          <w:color w:val="000000" w:themeColor="text1"/>
          <w:sz w:val="22"/>
          <w:szCs w:val="22"/>
          <w:vertAlign w:val="superscript"/>
        </w:rPr>
        <w:instrText>ADDIN CSL_CITATION {"citationItems":[{"id":"ITEM-1","itemData":{"DOI":"http://dx.doi.org/10.1038/ejcn.2017.115","ISSN":"0954-3007","abstract":"BACKGROUND/OBJECTIVES: Bioelectrical impedance vector analysis (BIVA) has been considered a promising technique in monitoring the nutritional and hydration status of patients with different types of diseases. The aim of this study was to assess the nutritional status provided by direct parameters of bioelectrical impedance analysis (BIA), BIVA and phase angle (PA), in patients with cervical and endometrial cancer undergoing surgical treatment, associating to other parameters of nutritional status and surgical outcomes. SUBJECTS/METHODS: In a prospective cohort, 208 women eligible to surgical treatment, admitted from January to December 2015, were enrolled. Patients were assessed according to the body mass index (BMI), Patient Generated Subjective Global Assessment (PG-SGA) and BIA. The PA was categorized as below and above percentiles 25 and 50 of studied population. RESULTS: According to BMI and PG-SGA, most of them were classified as obese (69%) and well nourished (84%), respectively. PA was significantly lower in patients with endometrial cancer, PG-SGA B or C, and in those who remained longer in hospital. PA below 25th percentile was also associated with surgical complications. Comparison of BIVA detachment of our population with a reference population showed significant impedance vector displacement, characterized by decreased reactance value and increased resistance value in our group of patients. CONCLUSIONS: PA was associated with other parameters of nutritional status and surgical outcomes. BIVA was associated with nutritional status and length of hospital, but did not present significant result for surgical complications.Copyright © 2017 Macmillan Publishers Limited, part of Springer Nature.","author":[{"dropping-particle":"","family":"I.C.R.","given":"Cardoso","non-dropping-particle":"","parse-names":false,"suffix":""},{"dropping-particle":"","family":"M.A.","given":"Aredes","non-dropping-particle":"","parse-names":false,"suffix":""}],"container-title":"European Journal of Clinical Nutrition","id":"ITEM-1","issue":"11","issued":{"date-parts":[["2017"]]},"page":"1278-1284","publisher":"Nature Publishing Group (Houndmills, Basingstoke, Hampshire RG21 6XS, United Kingdom)","publisher-place":"G.V. Chaves, Department of Nutrition and Dietetics, Brazilian National Cancer Institute-INCA, Rua Equador, 831, Santo Cristo, Rio de Janeiro 22010-050, Brazil. E-mail: gabrielavc@gmail.com","title":"Applicability of the direct parameters of bioelectrical impedance in assessing nutritional status and surgical complications of women with gynecological cancer","type":"article-journal","volume":"71"},"uris":["http://www.mendeley.com/documents/?uuid=3c95cc9d-eb4a-4292-a54f-67ca3bafefc1"]}],"mendeley":{"formattedCitation":"[37]","plainTextFormattedCitation":"[37]","previouslyFormattedCitation":"[38]"},"properties":{"noteIndex":0},"schema":"https://github.com/citation-style-language/schema/raw/master/csl-citation.json"}</w:instrText>
      </w:r>
      <w:r w:rsidR="003662F1" w:rsidRPr="00332C8B">
        <w:rPr>
          <w:rFonts w:asciiTheme="minorHAnsi" w:eastAsia="Calibri" w:hAnsiTheme="minorHAnsi" w:cstheme="minorHAnsi"/>
          <w:color w:val="000000" w:themeColor="text1"/>
          <w:sz w:val="22"/>
          <w:szCs w:val="22"/>
          <w:vertAlign w:val="superscript"/>
        </w:rPr>
        <w:fldChar w:fldCharType="separate"/>
      </w:r>
      <w:r w:rsidR="00F66CFF" w:rsidRPr="00332C8B">
        <w:rPr>
          <w:rFonts w:asciiTheme="minorHAnsi" w:eastAsia="Calibri" w:hAnsiTheme="minorHAnsi" w:cstheme="minorHAnsi"/>
          <w:noProof/>
          <w:color w:val="000000" w:themeColor="text1"/>
          <w:sz w:val="22"/>
          <w:szCs w:val="22"/>
        </w:rPr>
        <w:t>[37]</w:t>
      </w:r>
      <w:r w:rsidR="003662F1" w:rsidRPr="00332C8B">
        <w:rPr>
          <w:rFonts w:asciiTheme="minorHAnsi" w:eastAsia="Calibri" w:hAnsiTheme="minorHAnsi" w:cstheme="minorHAnsi"/>
          <w:color w:val="000000" w:themeColor="text1"/>
          <w:sz w:val="22"/>
          <w:szCs w:val="22"/>
          <w:vertAlign w:val="superscript"/>
        </w:rPr>
        <w:fldChar w:fldCharType="end"/>
      </w:r>
      <w:r w:rsidR="006B6875" w:rsidRPr="00332C8B">
        <w:rPr>
          <w:rFonts w:asciiTheme="minorHAnsi" w:eastAsia="Calibri" w:hAnsiTheme="minorHAnsi" w:cstheme="minorHAnsi"/>
          <w:color w:val="000000" w:themeColor="text1"/>
          <w:sz w:val="22"/>
          <w:szCs w:val="22"/>
          <w:vertAlign w:val="superscript"/>
        </w:rPr>
        <w:t>,</w:t>
      </w:r>
      <w:r w:rsidR="003662F1" w:rsidRPr="00332C8B">
        <w:rPr>
          <w:rFonts w:asciiTheme="minorHAnsi" w:eastAsia="Calibri" w:hAnsiTheme="minorHAnsi" w:cstheme="minorHAnsi"/>
          <w:color w:val="000000" w:themeColor="text1"/>
          <w:sz w:val="22"/>
          <w:szCs w:val="22"/>
        </w:rPr>
        <w:fldChar w:fldCharType="begin" w:fldLock="1"/>
      </w:r>
      <w:r w:rsidR="00F66CFF" w:rsidRPr="00332C8B">
        <w:rPr>
          <w:rFonts w:asciiTheme="minorHAnsi" w:eastAsia="Calibri" w:hAnsiTheme="minorHAnsi" w:cstheme="minorHAnsi"/>
          <w:color w:val="000000" w:themeColor="text1"/>
          <w:sz w:val="22"/>
          <w:szCs w:val="22"/>
        </w:rPr>
        <w:instrText>ADDIN CSL_CITATION {"citationItems":[{"id":"ITEM-1","itemData":{"DOI":"https://dx.doi.org/10.1002/ncp.10110","ISSN":"1941-2452","abstract":"BACKGROUND: Different nutrition assessment tools in surgical cancer patients are used in clinical practice, which results in different prevalence rates of malnutrition. This may impact the interpretation of the association between nutrition status and clinical outcomes. Reduced standardized phase angle (SPA) values are associated with adverse outcomes in patients with cancer. Thus, it is important to assess the association of SPA with nutrition status and relate it to postoperative clinical outcomes., METHODS: This prospective observational study included 121 surgical cancer patients. Bioelectrical impedance analysis, subjective global assessment (SGA), anthropometric measurements, and assessment of muscle strength were used to provide nutrition diagnosis 1 day before surgery. The patients were followed for infectious and noninfectious postoperative complications from the first day after the operation until discharge or death., RESULTS: The prevalence of malnutrition was higher according to SGA (63.6%). Patients with an SPA &lt; -1.65 had a greater chance of being diagnosed as malnourished according to the SGA (3.66 [1.35-9.90]), midarm circumference (OR 4.24; CI95%; 1.72-10.43), midarm muscle area (OR 4.38; CI95%; 1.68-11.42), and low handgrip strength (3.84 [1.31-11.25]). Patients with an SPA &lt; -1.65 presented with more infectious complications (OR 4.19; CI95%; 1.52-11.53), but there was no association between SPA and other outcomes or death. SPA was the only significant predictor of infectious complications (AUC, 0.61; 95% CI, 0.51-0.71)., CONCLUSION: SPA was associated with different nutrition status parameters, and it was able to predict postoperative infectious complications.Copyright © 2018 American Society for Parenteral and Enteral Nutrition.","author":[{"dropping-particle":"","family":"Pena","given":"Natalia F","non-dropping-particle":"","parse-names":false,"suffix":""},{"dropping-particle":"","family":"Mauricio","given":"Silvia F","non-dropping-particle":"","parse-names":false,"suffix":""},{"dropping-particle":"","family":"Rodrigues","given":"Ana M S","non-dropping-particle":"","parse-names":false,"suffix":""},{"dropping-particle":"","family":"Carmo","given":"Ariene S","non-dropping-particle":"","parse-names":false,"suffix":""},{"dropping-particle":"","family":"Coury","given":"Nayara C","non-dropping-particle":"","parse-names":false,"suffix":""},{"dropping-particle":"","family":"Correia","given":"Maria I T D","non-dropping-particle":"","parse-names":false,"suffix":""},{"dropping-particle":"V","family":"Generoso","given":"Simone","non-dropping-particle":"","parse-names":false,"suffix":""}],"container-title":"Nutrition in clinical practice : official publication of the American Society for Parenteral and Enteral Nutrition","id":"ITEM-1","issued":{"date-parts":[["2018"]]},"publisher-place":"United States","title":"Association Between Standardized Phase Angle, Nutrition Status, and Clinical Outcomes in Surgical Cancer Patients.","type":"article-journal"},"uris":["http://www.mendeley.com/documents/?uuid=18b543ef-05e9-4a02-ba63-c32674dafbbc"]}],"mendeley":{"formattedCitation":"[39]","plainTextFormattedCitation":"[39]","previouslyFormattedCitation":"[40]"},"properties":{"noteIndex":0},"schema":"https://github.com/citation-style-language/schema/raw/master/csl-citation.json"}</w:instrText>
      </w:r>
      <w:r w:rsidR="003662F1" w:rsidRPr="00332C8B">
        <w:rPr>
          <w:rFonts w:asciiTheme="minorHAnsi" w:eastAsia="Calibri" w:hAnsiTheme="minorHAnsi" w:cstheme="minorHAnsi"/>
          <w:color w:val="000000" w:themeColor="text1"/>
          <w:sz w:val="22"/>
          <w:szCs w:val="22"/>
        </w:rPr>
        <w:fldChar w:fldCharType="separate"/>
      </w:r>
      <w:r w:rsidR="00F66CFF" w:rsidRPr="00332C8B">
        <w:rPr>
          <w:rFonts w:asciiTheme="minorHAnsi" w:eastAsia="Calibri" w:hAnsiTheme="minorHAnsi" w:cstheme="minorHAnsi"/>
          <w:noProof/>
          <w:color w:val="000000" w:themeColor="text1"/>
          <w:sz w:val="22"/>
          <w:szCs w:val="22"/>
        </w:rPr>
        <w:t>[39]</w:t>
      </w:r>
      <w:r w:rsidR="003662F1" w:rsidRPr="00332C8B">
        <w:rPr>
          <w:rFonts w:asciiTheme="minorHAnsi" w:eastAsia="Calibri" w:hAnsiTheme="minorHAnsi" w:cstheme="minorHAnsi"/>
          <w:color w:val="000000" w:themeColor="text1"/>
          <w:sz w:val="22"/>
          <w:szCs w:val="22"/>
        </w:rPr>
        <w:fldChar w:fldCharType="end"/>
      </w:r>
      <w:r w:rsidR="006B6875" w:rsidRPr="00332C8B">
        <w:rPr>
          <w:rFonts w:asciiTheme="minorHAnsi" w:eastAsia="Calibri" w:hAnsiTheme="minorHAnsi" w:cstheme="minorHAnsi"/>
          <w:color w:val="000000" w:themeColor="text1"/>
          <w:sz w:val="22"/>
          <w:szCs w:val="22"/>
          <w:vertAlign w:val="superscript"/>
        </w:rPr>
        <w:t>,</w:t>
      </w:r>
      <w:r w:rsidR="003662F1" w:rsidRPr="00332C8B">
        <w:rPr>
          <w:rFonts w:asciiTheme="minorHAnsi" w:eastAsia="Calibri" w:hAnsiTheme="minorHAnsi" w:cstheme="minorHAnsi"/>
          <w:color w:val="000000" w:themeColor="text1"/>
          <w:sz w:val="22"/>
          <w:szCs w:val="22"/>
          <w:vertAlign w:val="superscript"/>
        </w:rPr>
        <w:fldChar w:fldCharType="begin" w:fldLock="1"/>
      </w:r>
      <w:r w:rsidR="00F66CFF" w:rsidRPr="00332C8B">
        <w:rPr>
          <w:rFonts w:asciiTheme="minorHAnsi" w:eastAsia="Calibri" w:hAnsiTheme="minorHAnsi" w:cstheme="minorHAnsi"/>
          <w:color w:val="000000" w:themeColor="text1"/>
          <w:sz w:val="22"/>
          <w:szCs w:val="22"/>
          <w:vertAlign w:val="superscript"/>
        </w:rPr>
        <w:instrText>ADDIN CSL_CITATION {"citationItems":[{"id":"ITEM-1","itemData":{"DOI":"10.1007/s00520-017-3661-4","ISSN":"0941-4355","abstract":"Purpose: We evaluated phase angle, sarcopenia, and handgrip strength as prognostic factors of postoperative morbimortality in patients with cancer.Methodology: We conducted a prospective study with 60 oncology patients admitted for elective surgery between November 2015 and May 2016. We calculated the standardized phase angle (SPA) and the skeletal mass index of the subjects based on their bioelectrical impedance tests. Handgrip strength (HGS) was measured using a hydraulic dynamometer. Diagnosis of sarcopenia followed the criteria of the European Working Group on Sarcopenia in Older People. The nutritional status of each subject was evaluated through the Patient-Generated Subjective Global Assessment. Evaluation of postoperative complications followed the Clavien-Dindo classification. We also evaluated the duration of hospital stay. Outcomes were postoperative complications and duration of hospital stay.Results: The prevalence of malnutrition was 28.3%, and the prevalence of sarcopenia was 18.6%. The SPA was significantly lower among those who had severe postoperative complications or long hospital stays, while HGS and sarcopenia showed no relationship with these outcomes. Malnutrition was also related to postoperative outcomes.Conclusion: SPA can be considered a prognostic factor in postoperative morbimortality for patients with cancer.","author":[{"dropping-particle":"","family":"Härter","given":"Jéssica","non-dropping-particle":"","parse-names":false,"suffix":""},{"dropping-particle":"","family":"Orlandi","given":"Silvana","non-dropping-particle":"","parse-names":false,"suffix":""},{"dropping-particle":"","family":"Gonzalez","given":"Maria","non-dropping-particle":"","parse-names":false,"suffix":""},{"dropping-particle":"","family":"Härter","given":"Jéssica","non-dropping-particle":"","parse-names":false,"suffix":""},{"dropping-particle":"","family":"Orlandi","given":"Silvana Paiva","non-dropping-particle":"","parse-names":false,"suffix":""},{"dropping-particle":"","family":"Gonzalez","given":"Maria Cristina","non-dropping-particle":"","parse-names":false,"suffix":""}],"container-title":"Supportive Care in Cancer","id":"ITEM-1","issue":"8","issued":{"date-parts":[["2017","8"]]},"note":"Accession Number: 123716957. Language: English. Entry Date: 20180318. Revision Date: 20180517. Publication Type: journal article. Journal Subset: Biomedical; Continental Europe; Double Blind Peer Reviewed; Editorial Board Reviewed; Europe; Expert Peer Reviewed; Peer Reviewed. NLM UID: 9302957.","page":"2525-2530","publisher":"Springer Science &amp; Business Media B.V.","publisher-place":"Post-graduate Program, Nutrition and Food , Federal University of Pelotas , Rua Gomes Carneiro, 01 Pelotas 96010-610 Brazil","title":"Nutritional and functional factors as prognostic of surgical cancer patients.","type":"article-journal","volume":"25"},"uris":["http://www.mendeley.com/documents/?uuid=c4a486af-4def-4eb8-81fd-1ff9f790eb45"]}],"mendeley":{"formattedCitation":"[40]","plainTextFormattedCitation":"[40]","previouslyFormattedCitation":"[41]"},"properties":{"noteIndex":0},"schema":"https://github.com/citation-style-language/schema/raw/master/csl-citation.json"}</w:instrText>
      </w:r>
      <w:r w:rsidR="003662F1" w:rsidRPr="00332C8B">
        <w:rPr>
          <w:rFonts w:asciiTheme="minorHAnsi" w:eastAsia="Calibri" w:hAnsiTheme="minorHAnsi" w:cstheme="minorHAnsi"/>
          <w:color w:val="000000" w:themeColor="text1"/>
          <w:sz w:val="22"/>
          <w:szCs w:val="22"/>
          <w:vertAlign w:val="superscript"/>
        </w:rPr>
        <w:fldChar w:fldCharType="separate"/>
      </w:r>
      <w:r w:rsidR="00F66CFF" w:rsidRPr="00332C8B">
        <w:rPr>
          <w:rFonts w:asciiTheme="minorHAnsi" w:eastAsia="Calibri" w:hAnsiTheme="minorHAnsi" w:cstheme="minorHAnsi"/>
          <w:noProof/>
          <w:color w:val="000000" w:themeColor="text1"/>
          <w:sz w:val="22"/>
          <w:szCs w:val="22"/>
        </w:rPr>
        <w:t>[40]</w:t>
      </w:r>
      <w:r w:rsidR="003662F1" w:rsidRPr="00332C8B">
        <w:rPr>
          <w:rFonts w:asciiTheme="minorHAnsi" w:eastAsia="Calibri" w:hAnsiTheme="minorHAnsi" w:cstheme="minorHAnsi"/>
          <w:color w:val="000000" w:themeColor="text1"/>
          <w:sz w:val="22"/>
          <w:szCs w:val="22"/>
          <w:vertAlign w:val="superscript"/>
        </w:rPr>
        <w:fldChar w:fldCharType="end"/>
      </w:r>
      <w:r w:rsidRPr="00332C8B">
        <w:rPr>
          <w:rFonts w:asciiTheme="minorHAnsi" w:eastAsia="Calibri" w:hAnsiTheme="minorHAnsi" w:cstheme="minorHAnsi"/>
          <w:color w:val="000000" w:themeColor="text1"/>
          <w:sz w:val="22"/>
          <w:szCs w:val="22"/>
        </w:rPr>
        <w:t xml:space="preserve"> (67%) reported an association with post-operative complications, two</w:t>
      </w:r>
      <w:r w:rsidR="003662F1" w:rsidRPr="00332C8B">
        <w:rPr>
          <w:rFonts w:asciiTheme="minorHAnsi" w:eastAsia="Calibri" w:hAnsiTheme="minorHAnsi" w:cstheme="minorHAnsi"/>
          <w:color w:val="000000" w:themeColor="text1"/>
          <w:sz w:val="22"/>
          <w:szCs w:val="22"/>
        </w:rPr>
        <w:fldChar w:fldCharType="begin" w:fldLock="1"/>
      </w:r>
      <w:r w:rsidR="00F66CFF" w:rsidRPr="00332C8B">
        <w:rPr>
          <w:rFonts w:asciiTheme="minorHAnsi" w:eastAsia="Calibri" w:hAnsiTheme="minorHAnsi" w:cstheme="minorHAnsi"/>
          <w:color w:val="000000" w:themeColor="text1"/>
          <w:sz w:val="22"/>
          <w:szCs w:val="22"/>
        </w:rPr>
        <w:instrText>ADDIN CSL_CITATION {"citationItems":[{"id":"ITEM-1","itemData":{"DOI":"10.1016/j.clnu.2017.08.026","ISSN":"0261-5614","abstract":"Background &amp; aims: Malnutrition in patients with colorectal cancer contributes to increased postoperative complications. The aim of the study was to evaluate the prognostic value of several nutritional assessment parameters: body mass index versus percentage of weight loss grading system (BMI/%WL); Patient-Generated Subjective Global Assessment (PG-SGA); standardized phase angle (SPA) by BIA; muscle strength by handgrip strength; muscle mass by computerized tomography; and the combination of muscle mass and strength in patients undergoing resection surgery. Methods: Patients diagnosed with cancer of the colon or rectum, who were over 18 years old and were scheduled to undergo surgical treatment were invited to participate. Postoperative complications were assessed from the first day post-surgery until discharge. Complications classified as Grade II or above according to the Clavien-Dindo classification were considered. Chi-square test or Fisher's exact test, bivariate analysis, Poisson regression and receiver operator characteristic (ROC) curve were utilized and p &lt; 0.05 was considered significant. Results: 84 patients were evaluated, with 28 (33.3%) presenting with Grade II postoperative complications. SPA showed no association with postoperative complications (p = 0.199). In multivariate analysis, low skeletal muscle mass showed a relative risk (RR) of 1.80 (CI: 1.02-3.17), BMI/%WL equal or higher than grade 3 had a RR of 1.90 (95% CI: 1.22-3.39). PG-SGA classified as malnutrition showed a RR of 2.08 (95% CI: 1.06-4.06); and low muscle mass plus low muscle strength showed a RR 2.13 (95% CI: 1.23-3.69). Low strength alone was not associated with postoperative complications after controlling for confounding factors (p = 0.16; 95% CI: 0.83-2.77). Low muscle mass in combination with low strength showed the highest predictive power for postoperative complications (AUC: 0.68; CI: 0.56-0.80). Conclusions: BMI/%WL &gt; grade 3, PG-SGA defined malnutrition, low muscle mass and low muscle mass plus low strength were independent risk factors for complications controlling for confounding factors. However, low muscle mass in combination with low muscle strength were the strongest variables associated with complications. Clinical Trials identification number: NCT02901132 (www.clinicaltrials.gov).Copyright © 2017 Elsevier Ltd and European Society for Clinical Nutrition and Metabolism","author":[{"dropping-particle":"","family":"S.F.","given":"Mauricio","non-dropping-particle":"","parse-names":false,"suffix":""},{"dropping-particle":"","family":"J.","given":"Xiao","non-dropping-particle":"","parse-names":false,"suffix":""},{"dropping-particle":"","family":"C.M.","given":"Prado","non-dropping-particle":"","parse-names":false,"suffix":""},{"dropping-particle":"","family":"M.C.","given":"Gonzalez","non-dropping-particle":"","parse-names":false,"suffix":""},{"dropping-particle":"","family":"Maurício","given":"Sílvia Fernandes","non-dropping-particle":"","parse-names":false,"suffix":""},{"dropping-particle":"","family":"Xiao","given":"Jingjie","non-dropping-particle":"","parse-names":false,"suffix":""},{"dropping-particle":"","family":"Prado","given":"Carla M","non-dropping-particle":"","parse-names":false,"suffix":""},{"dropping-particle":"","family":"Gonzalez","given":"Maria Cristina","non-dropping-particle":"","parse-names":false,"suffix":""},{"dropping-particle":"","family":"Correia","given":"Maria Isabel Toulson Davisson","non-dropping-particle":"","parse-names":false,"suffix":""},{"dropping-particle":"","family":"Mauricio","given":"Silvia Fernandes","non-dropping-particle":"","parse-names":false,"suffix":""},{"dropping-particle":"","family":"Xiao","given":"Jingjie","non-dropping-particle":"","parse-names":false,"suffix":""},{"dropping-particle":"","family":"Prado","given":"Carla M","non-dropping-particle":"","parse-names":false,"suffix":""},{"dropping-particle":"","family":"Gonzalez","given":"Maria Cristina","non-dropping-particle":"","parse-names":false,"suffix":""},{"dropping-particle":"","family":"Toulson Davisson Correia","given":"Maria Isabel","non-dropping-particle":"","parse-names":false,"suffix":""}],"container-title":"Clinical Nutrition","id":"ITEM-1","issue":"5","issued":{"date-parts":[["2018","10"]]},"note":"From Duplicate 2 (Different nutritional assessment tools as predictors of postoperative complications in patients undergoing colorectal cancer resection. - Maurício, Sílvia Fernandes; Xiao, Jingjie; Prado, Carla M; Gonzalez, Maria Cristina; Correia, Maria Isabel Toulson Davisson)\n\nAccession Number: 131806549. Language: English. Entry Date: 20180924. Revision Date: 20180924. Publication Type: Article. Journal Subset: Allied Health; Biomedical; Continental Europe; Double Blind Peer Reviewed; Europe; Peer Reviewed. NLM UID: 8309603.","page":"1505-1511","publisher":"Elsevier B.V.","publisher-place":"Post-graduate Program on Surgery and Ophthalmology, Federal University of Minas Gerais, Belo Horizonte, Minas Gerais, Brazil","title":"Different nutritional assessment tools as predictors of postoperative complications in patients undergoing colorectal cancer resection","type":"article-journal","volume":"37"},"uris":["http://www.mendeley.com/documents/?uuid=204f43ab-b662-42ab-a81b-3ef41b0d9664"]}],"mendeley":{"formattedCitation":"[30]","plainTextFormattedCitation":"[30]","previouslyFormattedCitation":"[31]"},"properties":{"noteIndex":0},"schema":"https://github.com/citation-style-language/schema/raw/master/csl-citation.json"}</w:instrText>
      </w:r>
      <w:r w:rsidR="003662F1" w:rsidRPr="00332C8B">
        <w:rPr>
          <w:rFonts w:asciiTheme="minorHAnsi" w:eastAsia="Calibri" w:hAnsiTheme="minorHAnsi" w:cstheme="minorHAnsi"/>
          <w:color w:val="000000" w:themeColor="text1"/>
          <w:sz w:val="22"/>
          <w:szCs w:val="22"/>
        </w:rPr>
        <w:fldChar w:fldCharType="separate"/>
      </w:r>
      <w:r w:rsidR="00F66CFF" w:rsidRPr="00332C8B">
        <w:rPr>
          <w:rFonts w:asciiTheme="minorHAnsi" w:eastAsia="Calibri" w:hAnsiTheme="minorHAnsi" w:cstheme="minorHAnsi"/>
          <w:noProof/>
          <w:color w:val="000000" w:themeColor="text1"/>
          <w:sz w:val="22"/>
          <w:szCs w:val="22"/>
        </w:rPr>
        <w:t>[30]</w:t>
      </w:r>
      <w:r w:rsidR="003662F1" w:rsidRPr="00332C8B">
        <w:rPr>
          <w:rFonts w:asciiTheme="minorHAnsi" w:eastAsia="Calibri" w:hAnsiTheme="minorHAnsi" w:cstheme="minorHAnsi"/>
          <w:color w:val="000000" w:themeColor="text1"/>
          <w:sz w:val="22"/>
          <w:szCs w:val="22"/>
        </w:rPr>
        <w:fldChar w:fldCharType="end"/>
      </w:r>
      <w:r w:rsidRPr="00332C8B">
        <w:rPr>
          <w:rFonts w:asciiTheme="minorHAnsi" w:eastAsia="Calibri" w:hAnsiTheme="minorHAnsi" w:cstheme="minorHAnsi"/>
          <w:color w:val="000000" w:themeColor="text1"/>
          <w:sz w:val="22"/>
          <w:szCs w:val="22"/>
          <w:vertAlign w:val="superscript"/>
        </w:rPr>
        <w:t>,</w:t>
      </w:r>
      <w:r w:rsidR="003662F1" w:rsidRPr="00332C8B">
        <w:rPr>
          <w:rFonts w:asciiTheme="minorHAnsi" w:eastAsia="Calibri" w:hAnsiTheme="minorHAnsi" w:cstheme="minorHAnsi"/>
          <w:color w:val="000000" w:themeColor="text1"/>
          <w:sz w:val="22"/>
          <w:szCs w:val="22"/>
          <w:vertAlign w:val="superscript"/>
        </w:rPr>
        <w:fldChar w:fldCharType="begin" w:fldLock="1"/>
      </w:r>
      <w:r w:rsidR="00F66CFF" w:rsidRPr="00332C8B">
        <w:rPr>
          <w:rFonts w:asciiTheme="minorHAnsi" w:eastAsia="Calibri" w:hAnsiTheme="minorHAnsi" w:cstheme="minorHAnsi"/>
          <w:color w:val="000000" w:themeColor="text1"/>
          <w:sz w:val="22"/>
          <w:szCs w:val="22"/>
          <w:vertAlign w:val="superscript"/>
        </w:rPr>
        <w:instrText>ADDIN CSL_CITATION {"citationItems":[{"id":"ITEM-1","itemData":{"DOI":"10.1111/jhn.12002","ISSN":"0952-3871","abstract":"Background Both malnutrition and obesity are related to worsened post-operative outcomes after colorectal surgery. Obese cancer patients may be malnourished as a result of short-term weight loss. The present study aimed to evaluate preoperative nutritional status, body composition and dietary intake related to post-operative complications ( POC) and post-operative hospital days ( POHD) in elective colorectal cancer ( CRC) patients. Methods Anthropometry, body composition measured by bioelectric spectroscopy and dietary habits assessed by a validated food-frequency questionnaire were examined in 100 newly-diagnosed CRC patients. Data from 30-day POC and POHD were collected from medical records. Nonparametric and chi-squared tests and logistic regression were used to analyse associations between body and dietary variables and post-operative outcome. Results Twenty-nine patients had at least one POC. The median POHD was six. Body size and composition measures and short-term weight loss were no different between patients with and without POC, or between patients with POHD &lt;7 and ≥7. Dietary variables were otherwise no different between patients with and without POC, although the median intake of marine n-3 polyunsaturated fatty acids ( PUFA, the sum of eicosapentaenoic and docosahexaenoic acids) was significantly lower in patients with versus without POC (0.7 versus 1.2 g day−1, P = 0.04). Conclusions We found that preoperative body size, body composition and short-term weight loss were not related to 30-day post-operative outcomes in CRC patients. A high content of marine n-3 PUFA in preoperative habitual diets may protect against POC after CRC surgery.","author":[{"dropping-particle":"","family":"Berstad","given":"P","non-dropping-particle":"","parse-names":false,"suffix":""},{"dropping-particle":"","family":"Haugum","given":"B","non-dropping-particle":"","parse-names":false,"suffix":""},{"dropping-particle":"","family":"Helgeland","given":"M","non-dropping-particle":"","parse-names":false,"suffix":""},{"dropping-particle":"","family":"Bukholm","given":"I","non-dropping-particle":"","parse-names":false,"suffix":""},{"dropping-particle":"","family":"Almendingen","given":"K","non-dropping-particle":"","parse-names":false,"suffix":""}],"container-title":"Journal of Human Nutrition &amp; Dietetics","id":"ITEM-1","issue":"4","issued":{"date-parts":[["2013","8"]]},"note":"Accession Number: 104196215. Language: English. Entry Date: 20130716. Revision Date: 20150820. Publication Type: Journal Article; research; tables/charts. Journal Subset: Allied Health; Biomedical; Europe; Peer Reviewed; UK &amp;amp; Ireland. Special Interest: Nutrition; Oncologic Care; Perioperative Care. Instrumentation: Food Frequency Questionnaire (FFQ). Grant Information: This work was supported by grant no. 2006094 from Eastern Norway Regional Health Authority RHF and grants from Eckbo Foundation and Flatner Foundation.. NLM UID: 8904840.","page":"359-368","publisher":"Wiley-Blackwell","publisher-place":"Research Centre Akershus University Hospital","title":"Preoperative body size and composition, habitual diet, and post-operative complications in elective colorectal cancer patients in Norway.","type":"article-journal","volume":"26"},"uris":["http://www.mendeley.com/documents/?uuid=ed89d092-88dd-471d-99eb-e3ad956371cb"]}],"mendeley":{"formattedCitation":"[31]","plainTextFormattedCitation":"[31]","previouslyFormattedCitation":"[32]"},"properties":{"noteIndex":0},"schema":"https://github.com/citation-style-language/schema/raw/master/csl-citation.json"}</w:instrText>
      </w:r>
      <w:r w:rsidR="003662F1" w:rsidRPr="00332C8B">
        <w:rPr>
          <w:rFonts w:asciiTheme="minorHAnsi" w:eastAsia="Calibri" w:hAnsiTheme="minorHAnsi" w:cstheme="minorHAnsi"/>
          <w:color w:val="000000" w:themeColor="text1"/>
          <w:sz w:val="22"/>
          <w:szCs w:val="22"/>
          <w:vertAlign w:val="superscript"/>
        </w:rPr>
        <w:fldChar w:fldCharType="separate"/>
      </w:r>
      <w:r w:rsidR="00F66CFF" w:rsidRPr="00332C8B">
        <w:rPr>
          <w:rFonts w:asciiTheme="minorHAnsi" w:eastAsia="Calibri" w:hAnsiTheme="minorHAnsi" w:cstheme="minorHAnsi"/>
          <w:noProof/>
          <w:color w:val="000000" w:themeColor="text1"/>
          <w:sz w:val="22"/>
          <w:szCs w:val="22"/>
        </w:rPr>
        <w:t>[31]</w:t>
      </w:r>
      <w:r w:rsidR="003662F1" w:rsidRPr="00332C8B">
        <w:rPr>
          <w:rFonts w:asciiTheme="minorHAnsi" w:eastAsia="Calibri" w:hAnsiTheme="minorHAnsi" w:cstheme="minorHAnsi"/>
          <w:color w:val="000000" w:themeColor="text1"/>
          <w:sz w:val="22"/>
          <w:szCs w:val="22"/>
          <w:vertAlign w:val="superscript"/>
        </w:rPr>
        <w:fldChar w:fldCharType="end"/>
      </w:r>
      <w:r w:rsidRPr="00332C8B">
        <w:rPr>
          <w:rFonts w:asciiTheme="minorHAnsi" w:eastAsia="Calibri" w:hAnsiTheme="minorHAnsi" w:cstheme="minorHAnsi"/>
          <w:color w:val="000000" w:themeColor="text1"/>
          <w:sz w:val="22"/>
          <w:szCs w:val="22"/>
        </w:rPr>
        <w:t xml:space="preserve"> did not (33%).</w:t>
      </w:r>
      <w:r w:rsidR="009D3C8E" w:rsidRPr="00332C8B">
        <w:rPr>
          <w:rFonts w:asciiTheme="minorHAnsi" w:eastAsia="Calibri" w:hAnsiTheme="minorHAnsi" w:cstheme="minorHAnsi"/>
          <w:color w:val="000000" w:themeColor="text1"/>
          <w:sz w:val="22"/>
          <w:szCs w:val="22"/>
        </w:rPr>
        <w:t xml:space="preserve"> (Table 2)</w:t>
      </w:r>
    </w:p>
    <w:p w14:paraId="4F135969" w14:textId="793BFD4F" w:rsidR="009D7EA6" w:rsidRPr="00332C8B" w:rsidRDefault="009D7EA6" w:rsidP="00F0414E">
      <w:pPr>
        <w:spacing w:after="160" w:line="480" w:lineRule="auto"/>
        <w:rPr>
          <w:rFonts w:asciiTheme="minorHAnsi" w:eastAsia="Calibri" w:hAnsiTheme="minorHAnsi" w:cstheme="minorHAnsi"/>
          <w:bCs/>
          <w:color w:val="000000" w:themeColor="text1"/>
          <w:sz w:val="22"/>
          <w:szCs w:val="22"/>
        </w:rPr>
      </w:pPr>
      <w:r w:rsidRPr="00332C8B">
        <w:rPr>
          <w:rFonts w:asciiTheme="minorHAnsi" w:eastAsia="Calibri" w:hAnsiTheme="minorHAnsi" w:cstheme="minorHAnsi"/>
          <w:bCs/>
          <w:color w:val="000000" w:themeColor="text1"/>
          <w:sz w:val="22"/>
          <w:szCs w:val="22"/>
        </w:rPr>
        <w:t>Mauricio et al</w:t>
      </w:r>
      <w:r w:rsidRPr="00332C8B">
        <w:rPr>
          <w:rFonts w:asciiTheme="minorHAnsi" w:eastAsia="Calibri" w:hAnsiTheme="minorHAnsi" w:cstheme="minorHAnsi"/>
          <w:bCs/>
          <w:color w:val="000000" w:themeColor="text1"/>
          <w:sz w:val="22"/>
          <w:szCs w:val="22"/>
        </w:rPr>
        <w:fldChar w:fldCharType="begin" w:fldLock="1"/>
      </w:r>
      <w:r w:rsidR="00F66CFF" w:rsidRPr="00332C8B">
        <w:rPr>
          <w:rFonts w:asciiTheme="minorHAnsi" w:eastAsia="Calibri" w:hAnsiTheme="minorHAnsi" w:cstheme="minorHAnsi"/>
          <w:bCs/>
          <w:color w:val="000000" w:themeColor="text1"/>
          <w:sz w:val="22"/>
          <w:szCs w:val="22"/>
        </w:rPr>
        <w:instrText>ADDIN CSL_CITATION {"citationItems":[{"id":"ITEM-1","itemData":{"DOI":"10.1016/j.clnu.2017.08.026","ISSN":"0261-5614","abstract":"Background &amp; aims: Malnutrition in patients with colorectal cancer contributes to increased postoperative complications. The aim of the study was to evaluate the prognostic value of several nutritional assessment parameters: body mass index versus percentage of weight loss grading system (BMI/%WL); Patient-Generated Subjective Global Assessment (PG-SGA); standardized phase angle (SPA) by BIA; muscle strength by handgrip strength; muscle mass by computerized tomography; and the combination of muscle mass and strength in patients undergoing resection surgery. Methods: Patients diagnosed with cancer of the colon or rectum, who were over 18 years old and were scheduled to undergo surgical treatment were invited to participate. Postoperative complications were assessed from the first day post-surgery until discharge. Complications classified as Grade II or above according to the Clavien-Dindo classification were considered. Chi-square test or Fisher's exact test, bivariate analysis, Poisson regression and receiver operator characteristic (ROC) curve were utilized and p &lt; 0.05 was considered significant. Results: 84 patients were evaluated, with 28 (33.3%) presenting with Grade II postoperative complications. SPA showed no association with postoperative complications (p = 0.199). In multivariate analysis, low skeletal muscle mass showed a relative risk (RR) of 1.80 (CI: 1.02-3.17), BMI/%WL equal or higher than grade 3 had a RR of 1.90 (95% CI: 1.22-3.39). PG-SGA classified as malnutrition showed a RR of 2.08 (95% CI: 1.06-4.06); and low muscle mass plus low muscle strength showed a RR 2.13 (95% CI: 1.23-3.69). Low strength alone was not associated with postoperative complications after controlling for confounding factors (p = 0.16; 95% CI: 0.83-2.77). Low muscle mass in combination with low strength showed the highest predictive power for postoperative complications (AUC: 0.68; CI: 0.56-0.80). Conclusions: BMI/%WL &gt; grade 3, PG-SGA defined malnutrition, low muscle mass and low muscle mass plus low strength were independent risk factors for complications controlling for confounding factors. However, low muscle mass in combination with low muscle strength were the strongest variables associated with complications. Clinical Trials identification number: NCT02901132 (www.clinicaltrials.gov).Copyright © 2017 Elsevier Ltd and European Society for Clinical Nutrition and Metabolism","author":[{"dropping-particle":"","family":"S.F.","given":"Mauricio","non-dropping-particle":"","parse-names":false,"suffix":""},{"dropping-particle":"","family":"J.","given":"Xiao","non-dropping-particle":"","parse-names":false,"suffix":""},{"dropping-particle":"","family":"C.M.","given":"Prado","non-dropping-particle":"","parse-names":false,"suffix":""},{"dropping-particle":"","family":"M.C.","given":"Gonzalez","non-dropping-particle":"","parse-names":false,"suffix":""},{"dropping-particle":"","family":"Maurício","given":"Sílvia Fernandes","non-dropping-particle":"","parse-names":false,"suffix":""},{"dropping-particle":"","family":"Xiao","given":"Jingjie","non-dropping-particle":"","parse-names":false,"suffix":""},{"dropping-particle":"","family":"Prado","given":"Carla M","non-dropping-particle":"","parse-names":false,"suffix":""},{"dropping-particle":"","family":"Gonzalez","given":"Maria Cristina","non-dropping-particle":"","parse-names":false,"suffix":""},{"dropping-particle":"","family":"Correia","given":"Maria Isabel Toulson Davisson","non-dropping-particle":"","parse-names":false,"suffix":""},{"dropping-particle":"","family":"Mauricio","given":"Silvia Fernandes","non-dropping-particle":"","parse-names":false,"suffix":""},{"dropping-particle":"","family":"Xiao","given":"Jingjie","non-dropping-particle":"","parse-names":false,"suffix":""},{"dropping-particle":"","family":"Prado","given":"Carla M","non-dropping-particle":"","parse-names":false,"suffix":""},{"dropping-particle":"","family":"Gonzalez","given":"Maria Cristina","non-dropping-particle":"","parse-names":false,"suffix":""},{"dropping-particle":"","family":"Toulson Davisson Correia","given":"Maria Isabel","non-dropping-particle":"","parse-names":false,"suffix":""}],"container-title":"Clinical Nutrition","id":"ITEM-1","issue":"5","issued":{"date-parts":[["2018","10"]]},"note":"From Duplicate 2 (Different nutritional assessment tools as predictors of postoperative complications in patients undergoing colorectal cancer resection. - Maurício, Sílvia Fernandes; Xiao, Jingjie; Prado, Carla M; Gonzalez, Maria Cristina; Correia, Maria Isabel Toulson Davisson)\n\nAccession Number: 131806549. Language: English. Entry Date: 20180924. Revision Date: 20180924. Publication Type: Article. Journal Subset: Allied Health; Biomedical; Continental Europe; Double Blind Peer Reviewed; Europe; Peer Reviewed. NLM UID: 8309603.","page":"1505-1511","publisher":"Elsevier B.V.","publisher-place":"Post-graduate Program on Surgery and Ophthalmology, Federal University of Minas Gerais, Belo Horizonte, Minas Gerais, Brazil","title":"Different nutritional assessment tools as predictors of postoperative complications in patients undergoing colorectal cancer resection","type":"article-journal","volume":"37"},"uris":["http://www.mendeley.com/documents/?uuid=204f43ab-b662-42ab-a81b-3ef41b0d9664"]}],"mendeley":{"formattedCitation":"[30]","plainTextFormattedCitation":"[30]","previouslyFormattedCitation":"[31]"},"properties":{"noteIndex":0},"schema":"https://github.com/citation-style-language/schema/raw/master/csl-citation.json"}</w:instrText>
      </w:r>
      <w:r w:rsidRPr="00332C8B">
        <w:rPr>
          <w:rFonts w:asciiTheme="minorHAnsi" w:eastAsia="Calibri" w:hAnsiTheme="minorHAnsi" w:cstheme="minorHAnsi"/>
          <w:bCs/>
          <w:color w:val="000000" w:themeColor="text1"/>
          <w:sz w:val="22"/>
          <w:szCs w:val="22"/>
        </w:rPr>
        <w:fldChar w:fldCharType="separate"/>
      </w:r>
      <w:r w:rsidR="00F66CFF" w:rsidRPr="00332C8B">
        <w:rPr>
          <w:rFonts w:asciiTheme="minorHAnsi" w:eastAsia="Calibri" w:hAnsiTheme="minorHAnsi" w:cstheme="minorHAnsi"/>
          <w:bCs/>
          <w:noProof/>
          <w:color w:val="000000" w:themeColor="text1"/>
          <w:sz w:val="22"/>
          <w:szCs w:val="22"/>
        </w:rPr>
        <w:t>[30]</w:t>
      </w:r>
      <w:r w:rsidRPr="00332C8B">
        <w:rPr>
          <w:rFonts w:asciiTheme="minorHAnsi" w:eastAsia="Calibri" w:hAnsiTheme="minorHAnsi" w:cstheme="minorHAnsi"/>
          <w:bCs/>
          <w:color w:val="000000" w:themeColor="text1"/>
          <w:sz w:val="22"/>
          <w:szCs w:val="22"/>
        </w:rPr>
        <w:fldChar w:fldCharType="end"/>
      </w:r>
      <w:r w:rsidRPr="00332C8B">
        <w:rPr>
          <w:rFonts w:asciiTheme="minorHAnsi" w:eastAsia="Calibri" w:hAnsiTheme="minorHAnsi" w:cstheme="minorHAnsi"/>
          <w:bCs/>
          <w:color w:val="000000" w:themeColor="text1"/>
          <w:sz w:val="22"/>
          <w:szCs w:val="22"/>
        </w:rPr>
        <w:t xml:space="preserve"> assessed standardi</w:t>
      </w:r>
      <w:r w:rsidR="004150ED">
        <w:rPr>
          <w:rFonts w:asciiTheme="minorHAnsi" w:eastAsia="Calibri" w:hAnsiTheme="minorHAnsi" w:cstheme="minorHAnsi"/>
          <w:bCs/>
          <w:color w:val="000000" w:themeColor="text1"/>
          <w:sz w:val="22"/>
          <w:szCs w:val="22"/>
        </w:rPr>
        <w:t>z</w:t>
      </w:r>
      <w:r w:rsidRPr="00332C8B">
        <w:rPr>
          <w:rFonts w:asciiTheme="minorHAnsi" w:eastAsia="Calibri" w:hAnsiTheme="minorHAnsi" w:cstheme="minorHAnsi"/>
          <w:bCs/>
          <w:color w:val="000000" w:themeColor="text1"/>
          <w:sz w:val="22"/>
          <w:szCs w:val="22"/>
        </w:rPr>
        <w:t>ed phase angle in 84 patients undergoing surgery for colorectal cancer. This prospective study investigated the ability of standardi</w:t>
      </w:r>
      <w:r w:rsidR="004150ED">
        <w:rPr>
          <w:rFonts w:asciiTheme="minorHAnsi" w:eastAsia="Calibri" w:hAnsiTheme="minorHAnsi" w:cstheme="minorHAnsi"/>
          <w:bCs/>
          <w:color w:val="000000" w:themeColor="text1"/>
          <w:sz w:val="22"/>
          <w:szCs w:val="22"/>
        </w:rPr>
        <w:t>z</w:t>
      </w:r>
      <w:r w:rsidRPr="00332C8B">
        <w:rPr>
          <w:rFonts w:asciiTheme="minorHAnsi" w:eastAsia="Calibri" w:hAnsiTheme="minorHAnsi" w:cstheme="minorHAnsi"/>
          <w:bCs/>
          <w:color w:val="000000" w:themeColor="text1"/>
          <w:sz w:val="22"/>
          <w:szCs w:val="22"/>
        </w:rPr>
        <w:t>ed phase angle to predict post-operative complications, defined by the Clavien-Dindo classification.</w:t>
      </w:r>
      <w:r w:rsidR="006202B9" w:rsidRPr="00332C8B">
        <w:rPr>
          <w:rFonts w:asciiTheme="minorHAnsi" w:eastAsia="Calibri" w:hAnsiTheme="minorHAnsi" w:cstheme="minorHAnsi"/>
          <w:bCs/>
          <w:color w:val="000000" w:themeColor="text1"/>
          <w:sz w:val="22"/>
          <w:szCs w:val="22"/>
        </w:rPr>
        <w:t xml:space="preserve"> </w:t>
      </w:r>
      <w:r w:rsidR="008424B6" w:rsidRPr="00332C8B">
        <w:rPr>
          <w:rFonts w:asciiTheme="minorHAnsi" w:eastAsia="Calibri" w:hAnsiTheme="minorHAnsi" w:cstheme="minorHAnsi"/>
          <w:bCs/>
          <w:color w:val="000000" w:themeColor="text1"/>
          <w:sz w:val="22"/>
          <w:szCs w:val="22"/>
        </w:rPr>
        <w:t xml:space="preserve">Participants were divided into those with an SPA </w:t>
      </w:r>
      <w:r w:rsidR="006B0720" w:rsidRPr="00332C8B">
        <w:rPr>
          <w:rFonts w:asciiTheme="minorHAnsi" w:hAnsiTheme="minorHAnsi" w:cstheme="minorHAnsi"/>
          <w:color w:val="000000" w:themeColor="text1"/>
          <w:kern w:val="24"/>
          <w:sz w:val="22"/>
          <w:szCs w:val="22"/>
          <w:lang w:eastAsia="en-GB"/>
        </w:rPr>
        <w:t>≤</w:t>
      </w:r>
      <w:r w:rsidR="008424B6" w:rsidRPr="00332C8B">
        <w:rPr>
          <w:rFonts w:asciiTheme="minorHAnsi" w:eastAsia="Calibri" w:hAnsiTheme="minorHAnsi" w:cstheme="minorHAnsi"/>
          <w:bCs/>
          <w:color w:val="000000" w:themeColor="text1"/>
          <w:sz w:val="22"/>
          <w:szCs w:val="22"/>
        </w:rPr>
        <w:t xml:space="preserve"> or &gt; -1.65 (</w:t>
      </w:r>
      <w:r w:rsidR="008424B6" w:rsidRPr="00332C8B">
        <w:rPr>
          <w:rFonts w:asciiTheme="minorHAnsi" w:hAnsiTheme="minorHAnsi" w:cstheme="minorHAnsi"/>
          <w:color w:val="000000" w:themeColor="text1"/>
          <w:kern w:val="24"/>
          <w:sz w:val="22"/>
          <w:szCs w:val="22"/>
          <w:lang w:eastAsia="en-GB"/>
        </w:rPr>
        <w:t>the bottom 5</w:t>
      </w:r>
      <w:r w:rsidR="008424B6" w:rsidRPr="00332C8B">
        <w:rPr>
          <w:rFonts w:asciiTheme="minorHAnsi" w:hAnsiTheme="minorHAnsi" w:cstheme="minorHAnsi"/>
          <w:color w:val="000000" w:themeColor="text1"/>
          <w:kern w:val="24"/>
          <w:sz w:val="22"/>
          <w:szCs w:val="22"/>
          <w:vertAlign w:val="superscript"/>
          <w:lang w:eastAsia="en-GB"/>
        </w:rPr>
        <w:t>th</w:t>
      </w:r>
      <w:r w:rsidR="008424B6" w:rsidRPr="00332C8B">
        <w:rPr>
          <w:rFonts w:asciiTheme="minorHAnsi" w:hAnsiTheme="minorHAnsi" w:cstheme="minorHAnsi"/>
          <w:color w:val="000000" w:themeColor="text1"/>
          <w:kern w:val="24"/>
          <w:sz w:val="22"/>
          <w:szCs w:val="22"/>
          <w:lang w:eastAsia="en-GB"/>
        </w:rPr>
        <w:t xml:space="preserve"> centile of a Brazilian reference population). Fifteen participants (17.8%) had an SPA </w:t>
      </w:r>
      <w:r w:rsidR="006B0720" w:rsidRPr="00332C8B">
        <w:rPr>
          <w:rFonts w:asciiTheme="minorHAnsi" w:hAnsiTheme="minorHAnsi" w:cstheme="minorHAnsi"/>
          <w:color w:val="000000" w:themeColor="text1"/>
          <w:kern w:val="24"/>
          <w:sz w:val="22"/>
          <w:szCs w:val="22"/>
          <w:lang w:eastAsia="en-GB"/>
        </w:rPr>
        <w:t>≤</w:t>
      </w:r>
      <w:r w:rsidR="008424B6" w:rsidRPr="00332C8B">
        <w:rPr>
          <w:rFonts w:asciiTheme="minorHAnsi" w:hAnsiTheme="minorHAnsi" w:cstheme="minorHAnsi"/>
          <w:color w:val="000000" w:themeColor="text1"/>
          <w:kern w:val="24"/>
          <w:sz w:val="22"/>
          <w:szCs w:val="22"/>
          <w:lang w:eastAsia="en-GB"/>
        </w:rPr>
        <w:t xml:space="preserve"> -1.65. Seven p</w:t>
      </w:r>
      <w:r w:rsidR="004F7549" w:rsidRPr="00332C8B">
        <w:rPr>
          <w:rFonts w:asciiTheme="minorHAnsi" w:hAnsiTheme="minorHAnsi" w:cstheme="minorHAnsi"/>
          <w:color w:val="000000" w:themeColor="text1"/>
          <w:kern w:val="24"/>
          <w:sz w:val="22"/>
          <w:szCs w:val="22"/>
          <w:lang w:eastAsia="en-GB"/>
        </w:rPr>
        <w:t>articipants in the low SPA group had a post-operative complication compared to 21 of the 69 participants with an SPA &gt; -1.65</w:t>
      </w:r>
      <w:r w:rsidR="004F7549" w:rsidRPr="00332C8B">
        <w:rPr>
          <w:rFonts w:asciiTheme="minorHAnsi" w:hAnsiTheme="minorHAnsi" w:cstheme="minorHAnsi"/>
          <w:bCs/>
          <w:color w:val="000000" w:themeColor="text1"/>
          <w:kern w:val="24"/>
          <w:sz w:val="22"/>
          <w:szCs w:val="22"/>
          <w:lang w:eastAsia="en-GB"/>
        </w:rPr>
        <w:t xml:space="preserve"> </w:t>
      </w:r>
      <w:r w:rsidRPr="00332C8B">
        <w:rPr>
          <w:rFonts w:asciiTheme="minorHAnsi" w:hAnsiTheme="minorHAnsi" w:cstheme="minorHAnsi"/>
          <w:bCs/>
          <w:color w:val="000000" w:themeColor="text1"/>
          <w:kern w:val="24"/>
          <w:sz w:val="22"/>
          <w:szCs w:val="22"/>
          <w:lang w:eastAsia="en-GB"/>
        </w:rPr>
        <w:t>(RR 1.53, 95% CI</w:t>
      </w:r>
      <w:r w:rsidR="00C91633">
        <w:rPr>
          <w:rFonts w:asciiTheme="minorHAnsi" w:hAnsiTheme="minorHAnsi" w:cstheme="minorHAnsi"/>
          <w:bCs/>
          <w:color w:val="000000" w:themeColor="text1"/>
          <w:kern w:val="24"/>
          <w:sz w:val="22"/>
          <w:szCs w:val="22"/>
          <w:lang w:eastAsia="en-GB"/>
        </w:rPr>
        <w:t>:</w:t>
      </w:r>
      <w:r w:rsidRPr="00332C8B">
        <w:rPr>
          <w:rFonts w:asciiTheme="minorHAnsi" w:hAnsiTheme="minorHAnsi" w:cstheme="minorHAnsi"/>
          <w:bCs/>
          <w:color w:val="000000" w:themeColor="text1"/>
          <w:kern w:val="24"/>
          <w:sz w:val="22"/>
          <w:szCs w:val="22"/>
          <w:lang w:eastAsia="en-GB"/>
        </w:rPr>
        <w:t xml:space="preserve"> 0.79-2.92</w:t>
      </w:r>
      <w:r w:rsidR="00C91633">
        <w:rPr>
          <w:rFonts w:asciiTheme="minorHAnsi" w:hAnsiTheme="minorHAnsi" w:cstheme="minorHAnsi"/>
          <w:bCs/>
          <w:color w:val="000000" w:themeColor="text1"/>
          <w:kern w:val="24"/>
          <w:sz w:val="22"/>
          <w:szCs w:val="22"/>
          <w:lang w:eastAsia="en-GB"/>
        </w:rPr>
        <w:t>;</w:t>
      </w:r>
      <w:r w:rsidRPr="00332C8B">
        <w:rPr>
          <w:rFonts w:asciiTheme="minorHAnsi" w:hAnsiTheme="minorHAnsi" w:cstheme="minorHAnsi"/>
          <w:bCs/>
          <w:color w:val="000000" w:themeColor="text1"/>
          <w:kern w:val="24"/>
          <w:sz w:val="22"/>
          <w:szCs w:val="22"/>
          <w:lang w:eastAsia="en-GB"/>
        </w:rPr>
        <w:t xml:space="preserve"> p</w:t>
      </w:r>
      <w:r w:rsidR="00C91633">
        <w:rPr>
          <w:rFonts w:asciiTheme="minorHAnsi" w:hAnsiTheme="minorHAnsi" w:cstheme="minorHAnsi"/>
          <w:bCs/>
          <w:color w:val="000000" w:themeColor="text1"/>
          <w:kern w:val="24"/>
          <w:sz w:val="22"/>
          <w:szCs w:val="22"/>
          <w:lang w:eastAsia="en-GB"/>
        </w:rPr>
        <w:t xml:space="preserve"> </w:t>
      </w:r>
      <w:r w:rsidRPr="00332C8B">
        <w:rPr>
          <w:rFonts w:asciiTheme="minorHAnsi" w:hAnsiTheme="minorHAnsi" w:cstheme="minorHAnsi"/>
          <w:bCs/>
          <w:color w:val="000000" w:themeColor="text1"/>
          <w:kern w:val="24"/>
          <w:sz w:val="22"/>
          <w:szCs w:val="22"/>
          <w:lang w:eastAsia="en-GB"/>
        </w:rPr>
        <w:t>=</w:t>
      </w:r>
      <w:r w:rsidR="00C91633">
        <w:rPr>
          <w:rFonts w:asciiTheme="minorHAnsi" w:hAnsiTheme="minorHAnsi" w:cstheme="minorHAnsi"/>
          <w:bCs/>
          <w:color w:val="000000" w:themeColor="text1"/>
          <w:kern w:val="24"/>
          <w:sz w:val="22"/>
          <w:szCs w:val="22"/>
          <w:lang w:eastAsia="en-GB"/>
        </w:rPr>
        <w:t xml:space="preserve"> </w:t>
      </w:r>
      <w:r w:rsidRPr="00332C8B">
        <w:rPr>
          <w:rFonts w:asciiTheme="minorHAnsi" w:hAnsiTheme="minorHAnsi" w:cstheme="minorHAnsi"/>
          <w:bCs/>
          <w:color w:val="000000" w:themeColor="text1"/>
          <w:kern w:val="24"/>
          <w:sz w:val="22"/>
          <w:szCs w:val="22"/>
          <w:lang w:eastAsia="en-GB"/>
        </w:rPr>
        <w:t xml:space="preserve">0.199). </w:t>
      </w:r>
      <w:r w:rsidRPr="00332C8B">
        <w:rPr>
          <w:rFonts w:asciiTheme="minorHAnsi" w:hAnsiTheme="minorHAnsi" w:cstheme="minorHAnsi"/>
          <w:color w:val="000000" w:themeColor="text1"/>
          <w:sz w:val="22"/>
          <w:szCs w:val="22"/>
        </w:rPr>
        <w:t xml:space="preserve">BMI/% weight loss, Patient Generated Subjective Global Assessment, CT assessed </w:t>
      </w:r>
      <w:r w:rsidR="006202B9" w:rsidRPr="00332C8B">
        <w:rPr>
          <w:rFonts w:asciiTheme="minorHAnsi" w:hAnsiTheme="minorHAnsi" w:cstheme="minorHAnsi"/>
          <w:color w:val="000000" w:themeColor="text1"/>
          <w:sz w:val="22"/>
          <w:szCs w:val="22"/>
        </w:rPr>
        <w:t>skeletal mass index (SMI)</w:t>
      </w:r>
      <w:r w:rsidRPr="00332C8B">
        <w:rPr>
          <w:rFonts w:asciiTheme="minorHAnsi" w:hAnsiTheme="minorHAnsi" w:cstheme="minorHAnsi"/>
          <w:color w:val="000000" w:themeColor="text1"/>
          <w:sz w:val="22"/>
          <w:szCs w:val="22"/>
        </w:rPr>
        <w:t xml:space="preserve"> and SMI plus low strength were found to be independent predictors of complications</w:t>
      </w:r>
      <w:r w:rsidR="006D3BEE" w:rsidRPr="00332C8B">
        <w:rPr>
          <w:rFonts w:asciiTheme="minorHAnsi" w:hAnsiTheme="minorHAnsi" w:cstheme="minorHAnsi"/>
          <w:color w:val="000000" w:themeColor="text1"/>
          <w:sz w:val="22"/>
          <w:szCs w:val="22"/>
        </w:rPr>
        <w:t xml:space="preserve"> in this study</w:t>
      </w:r>
      <w:r w:rsidRPr="00332C8B">
        <w:rPr>
          <w:rFonts w:asciiTheme="minorHAnsi" w:hAnsiTheme="minorHAnsi" w:cstheme="minorHAnsi"/>
          <w:color w:val="000000" w:themeColor="text1"/>
          <w:sz w:val="22"/>
          <w:szCs w:val="22"/>
        </w:rPr>
        <w:t xml:space="preserve">. </w:t>
      </w:r>
    </w:p>
    <w:p w14:paraId="0149E910" w14:textId="73EEB9D0" w:rsidR="00D03030" w:rsidRPr="00332C8B" w:rsidRDefault="00D03030" w:rsidP="00F0414E">
      <w:pPr>
        <w:spacing w:after="160" w:line="480" w:lineRule="auto"/>
        <w:rPr>
          <w:rFonts w:asciiTheme="minorHAnsi" w:eastAsia="Calibri" w:hAnsiTheme="minorHAnsi" w:cstheme="minorHAnsi"/>
          <w:color w:val="000000" w:themeColor="text1"/>
          <w:sz w:val="22"/>
          <w:szCs w:val="22"/>
        </w:rPr>
      </w:pPr>
      <w:r w:rsidRPr="00332C8B">
        <w:rPr>
          <w:rFonts w:asciiTheme="minorHAnsi" w:eastAsia="Calibri" w:hAnsiTheme="minorHAnsi" w:cstheme="minorHAnsi"/>
          <w:color w:val="000000" w:themeColor="text1"/>
          <w:sz w:val="22"/>
          <w:szCs w:val="22"/>
        </w:rPr>
        <w:t>Pena</w:t>
      </w:r>
      <w:r w:rsidR="00A00A65" w:rsidRPr="00332C8B">
        <w:rPr>
          <w:rFonts w:asciiTheme="minorHAnsi" w:eastAsia="Calibri" w:hAnsiTheme="minorHAnsi" w:cstheme="minorHAnsi"/>
          <w:color w:val="000000" w:themeColor="text1"/>
          <w:sz w:val="22"/>
          <w:szCs w:val="22"/>
        </w:rPr>
        <w:t xml:space="preserve"> et al</w:t>
      </w:r>
      <w:r w:rsidR="003662F1" w:rsidRPr="00332C8B">
        <w:rPr>
          <w:rFonts w:asciiTheme="minorHAnsi" w:eastAsia="Calibri" w:hAnsiTheme="minorHAnsi" w:cstheme="minorHAnsi"/>
          <w:color w:val="000000" w:themeColor="text1"/>
          <w:sz w:val="22"/>
          <w:szCs w:val="22"/>
        </w:rPr>
        <w:fldChar w:fldCharType="begin" w:fldLock="1"/>
      </w:r>
      <w:r w:rsidR="00F66CFF" w:rsidRPr="00332C8B">
        <w:rPr>
          <w:rFonts w:asciiTheme="minorHAnsi" w:eastAsia="Calibri" w:hAnsiTheme="minorHAnsi" w:cstheme="minorHAnsi"/>
          <w:color w:val="000000" w:themeColor="text1"/>
          <w:sz w:val="22"/>
          <w:szCs w:val="22"/>
        </w:rPr>
        <w:instrText>ADDIN CSL_CITATION {"citationItems":[{"id":"ITEM-1","itemData":{"DOI":"https://dx.doi.org/10.1002/ncp.10110","ISSN":"1941-2452","abstract":"BACKGROUND: Different nutrition assessment tools in surgical cancer patients are used in clinical practice, which results in different prevalence rates of malnutrition. This may impact the interpretation of the association between nutrition status and clinical outcomes. Reduced standardized phase angle (SPA) values are associated with adverse outcomes in patients with cancer. Thus, it is important to assess the association of SPA with nutrition status and relate it to postoperative clinical outcomes., METHODS: This prospective observational study included 121 surgical cancer patients. Bioelectrical impedance analysis, subjective global assessment (SGA), anthropometric measurements, and assessment of muscle strength were used to provide nutrition diagnosis 1 day before surgery. The patients were followed for infectious and noninfectious postoperative complications from the first day after the operation until discharge or death., RESULTS: The prevalence of malnutrition was higher according to SGA (63.6%). Patients with an SPA &lt; -1.65 had a greater chance of being diagnosed as malnourished according to the SGA (3.66 [1.35-9.90]), midarm circumference (OR 4.24; CI95%; 1.72-10.43), midarm muscle area (OR 4.38; CI95%; 1.68-11.42), and low handgrip strength (3.84 [1.31-11.25]). Patients with an SPA &lt; -1.65 presented with more infectious complications (OR 4.19; CI95%; 1.52-11.53), but there was no association between SPA and other outcomes or death. SPA was the only significant predictor of infectious complications (AUC, 0.61; 95% CI, 0.51-0.71)., CONCLUSION: SPA was associated with different nutrition status parameters, and it was able to predict postoperative infectious complications.Copyright © 2018 American Society for Parenteral and Enteral Nutrition.","author":[{"dropping-particle":"","family":"Pena","given":"Natalia F","non-dropping-particle":"","parse-names":false,"suffix":""},{"dropping-particle":"","family":"Mauricio","given":"Silvia F","non-dropping-particle":"","parse-names":false,"suffix":""},{"dropping-particle":"","family":"Rodrigues","given":"Ana M S","non-dropping-particle":"","parse-names":false,"suffix":""},{"dropping-particle":"","family":"Carmo","given":"Ariene S","non-dropping-particle":"","parse-names":false,"suffix":""},{"dropping-particle":"","family":"Coury","given":"Nayara C","non-dropping-particle":"","parse-names":false,"suffix":""},{"dropping-particle":"","family":"Correia","given":"Maria I T D","non-dropping-particle":"","parse-names":false,"suffix":""},{"dropping-particle":"V","family":"Generoso","given":"Simone","non-dropping-particle":"","parse-names":false,"suffix":""}],"container-title":"Nutrition in clinical practice : official publication of the American Society for Parenteral and Enteral Nutrition","id":"ITEM-1","issued":{"date-parts":[["2018"]]},"publisher-place":"United States","title":"Association Between Standardized Phase Angle, Nutrition Status, and Clinical Outcomes in Surgical Cancer Patients.","type":"article-journal"},"uris":["http://www.mendeley.com/documents/?uuid=18b543ef-05e9-4a02-ba63-c32674dafbbc"]}],"mendeley":{"formattedCitation":"[39]","plainTextFormattedCitation":"[39]","previouslyFormattedCitation":"[40]"},"properties":{"noteIndex":0},"schema":"https://github.com/citation-style-language/schema/raw/master/csl-citation.json"}</w:instrText>
      </w:r>
      <w:r w:rsidR="003662F1" w:rsidRPr="00332C8B">
        <w:rPr>
          <w:rFonts w:asciiTheme="minorHAnsi" w:eastAsia="Calibri" w:hAnsiTheme="minorHAnsi" w:cstheme="minorHAnsi"/>
          <w:color w:val="000000" w:themeColor="text1"/>
          <w:sz w:val="22"/>
          <w:szCs w:val="22"/>
        </w:rPr>
        <w:fldChar w:fldCharType="separate"/>
      </w:r>
      <w:r w:rsidR="00F66CFF" w:rsidRPr="00332C8B">
        <w:rPr>
          <w:rFonts w:asciiTheme="minorHAnsi" w:eastAsia="Calibri" w:hAnsiTheme="minorHAnsi" w:cstheme="minorHAnsi"/>
          <w:noProof/>
          <w:color w:val="000000" w:themeColor="text1"/>
          <w:sz w:val="22"/>
          <w:szCs w:val="22"/>
        </w:rPr>
        <w:t>[39]</w:t>
      </w:r>
      <w:r w:rsidR="003662F1" w:rsidRPr="00332C8B">
        <w:rPr>
          <w:rFonts w:asciiTheme="minorHAnsi" w:eastAsia="Calibri" w:hAnsiTheme="minorHAnsi" w:cstheme="minorHAnsi"/>
          <w:color w:val="000000" w:themeColor="text1"/>
          <w:sz w:val="22"/>
          <w:szCs w:val="22"/>
        </w:rPr>
        <w:fldChar w:fldCharType="end"/>
      </w:r>
      <w:r w:rsidRPr="00332C8B">
        <w:rPr>
          <w:rFonts w:asciiTheme="minorHAnsi" w:eastAsia="Calibri" w:hAnsiTheme="minorHAnsi" w:cstheme="minorHAnsi"/>
          <w:color w:val="000000" w:themeColor="text1"/>
          <w:sz w:val="22"/>
          <w:szCs w:val="22"/>
        </w:rPr>
        <w:t xml:space="preserve"> assessed </w:t>
      </w:r>
      <w:r w:rsidR="003662F1" w:rsidRPr="00332C8B">
        <w:rPr>
          <w:rFonts w:asciiTheme="minorHAnsi" w:eastAsia="Calibri" w:hAnsiTheme="minorHAnsi" w:cstheme="minorHAnsi"/>
          <w:color w:val="000000" w:themeColor="text1"/>
          <w:sz w:val="22"/>
          <w:szCs w:val="22"/>
        </w:rPr>
        <w:t>standardi</w:t>
      </w:r>
      <w:r w:rsidR="004150ED">
        <w:rPr>
          <w:rFonts w:asciiTheme="minorHAnsi" w:eastAsia="Calibri" w:hAnsiTheme="minorHAnsi" w:cstheme="minorHAnsi"/>
          <w:color w:val="000000" w:themeColor="text1"/>
          <w:sz w:val="22"/>
          <w:szCs w:val="22"/>
        </w:rPr>
        <w:t>z</w:t>
      </w:r>
      <w:r w:rsidR="003662F1" w:rsidRPr="00332C8B">
        <w:rPr>
          <w:rFonts w:asciiTheme="minorHAnsi" w:eastAsia="Calibri" w:hAnsiTheme="minorHAnsi" w:cstheme="minorHAnsi"/>
          <w:color w:val="000000" w:themeColor="text1"/>
          <w:sz w:val="22"/>
          <w:szCs w:val="22"/>
        </w:rPr>
        <w:t>ed phase angle</w:t>
      </w:r>
      <w:r w:rsidRPr="00332C8B">
        <w:rPr>
          <w:rFonts w:asciiTheme="minorHAnsi" w:eastAsia="Calibri" w:hAnsiTheme="minorHAnsi" w:cstheme="minorHAnsi"/>
          <w:color w:val="000000" w:themeColor="text1"/>
          <w:sz w:val="22"/>
          <w:szCs w:val="22"/>
        </w:rPr>
        <w:t xml:space="preserve"> in 121 patients undergoing surgery for a heterogenous group of cancers (colorectal, gastric, hepato-biliary, head and neck). This prospective study investigated the ability of standardi</w:t>
      </w:r>
      <w:r w:rsidR="004150ED">
        <w:rPr>
          <w:rFonts w:asciiTheme="minorHAnsi" w:eastAsia="Calibri" w:hAnsiTheme="minorHAnsi" w:cstheme="minorHAnsi"/>
          <w:color w:val="000000" w:themeColor="text1"/>
          <w:sz w:val="22"/>
          <w:szCs w:val="22"/>
        </w:rPr>
        <w:t>z</w:t>
      </w:r>
      <w:r w:rsidRPr="00332C8B">
        <w:rPr>
          <w:rFonts w:asciiTheme="minorHAnsi" w:eastAsia="Calibri" w:hAnsiTheme="minorHAnsi" w:cstheme="minorHAnsi"/>
          <w:color w:val="000000" w:themeColor="text1"/>
          <w:sz w:val="22"/>
          <w:szCs w:val="22"/>
        </w:rPr>
        <w:t xml:space="preserve">ed phase angle to predict post-operative complications, defined by the Bulletin of the American College of Surgeons. </w:t>
      </w:r>
      <w:r w:rsidR="006B0720" w:rsidRPr="00332C8B">
        <w:rPr>
          <w:rFonts w:asciiTheme="minorHAnsi" w:eastAsia="Calibri" w:hAnsiTheme="minorHAnsi" w:cstheme="minorHAnsi"/>
          <w:color w:val="000000" w:themeColor="text1"/>
          <w:sz w:val="22"/>
          <w:szCs w:val="22"/>
        </w:rPr>
        <w:t xml:space="preserve">Thirty-four participants (28.1%) had an SPA </w:t>
      </w:r>
      <w:r w:rsidR="006B0720" w:rsidRPr="00332C8B">
        <w:rPr>
          <w:rFonts w:asciiTheme="minorHAnsi" w:hAnsiTheme="minorHAnsi" w:cstheme="minorHAnsi"/>
          <w:color w:val="000000" w:themeColor="text1"/>
          <w:kern w:val="24"/>
          <w:sz w:val="22"/>
          <w:szCs w:val="22"/>
          <w:lang w:eastAsia="en-GB"/>
        </w:rPr>
        <w:t>≤ −1.65. These participants were</w:t>
      </w:r>
      <w:r w:rsidRPr="00332C8B">
        <w:rPr>
          <w:rFonts w:asciiTheme="minorHAnsi" w:hAnsiTheme="minorHAnsi" w:cstheme="minorHAnsi"/>
          <w:color w:val="000000" w:themeColor="text1"/>
          <w:kern w:val="24"/>
          <w:sz w:val="22"/>
          <w:szCs w:val="22"/>
          <w:lang w:eastAsia="en-GB"/>
        </w:rPr>
        <w:t xml:space="preserve"> more likely to have an infectious complication compared to those with a SPA </w:t>
      </w:r>
      <w:r w:rsidR="00A00A65" w:rsidRPr="00332C8B">
        <w:rPr>
          <w:rFonts w:asciiTheme="minorHAnsi" w:hAnsiTheme="minorHAnsi" w:cstheme="minorHAnsi"/>
          <w:color w:val="000000" w:themeColor="text1"/>
          <w:kern w:val="24"/>
          <w:sz w:val="22"/>
          <w:szCs w:val="22"/>
          <w:lang w:eastAsia="en-GB"/>
        </w:rPr>
        <w:t>&gt;</w:t>
      </w:r>
      <w:r w:rsidRPr="00332C8B">
        <w:rPr>
          <w:rFonts w:asciiTheme="minorHAnsi" w:hAnsiTheme="minorHAnsi" w:cstheme="minorHAnsi"/>
          <w:color w:val="000000" w:themeColor="text1"/>
          <w:kern w:val="24"/>
          <w:sz w:val="22"/>
          <w:szCs w:val="22"/>
          <w:lang w:eastAsia="en-GB"/>
        </w:rPr>
        <w:t xml:space="preserve"> - 1.65</w:t>
      </w:r>
      <w:r w:rsidR="006B0720" w:rsidRPr="00332C8B">
        <w:rPr>
          <w:rFonts w:asciiTheme="minorHAnsi" w:hAnsiTheme="minorHAnsi" w:cstheme="minorHAnsi"/>
          <w:color w:val="000000" w:themeColor="text1"/>
          <w:kern w:val="24"/>
          <w:sz w:val="22"/>
          <w:szCs w:val="22"/>
          <w:lang w:eastAsia="en-GB"/>
        </w:rPr>
        <w:t xml:space="preserve"> </w:t>
      </w:r>
      <w:r w:rsidRPr="00332C8B">
        <w:rPr>
          <w:rFonts w:asciiTheme="minorHAnsi" w:hAnsiTheme="minorHAnsi" w:cstheme="minorHAnsi"/>
          <w:color w:val="000000" w:themeColor="text1"/>
          <w:kern w:val="24"/>
          <w:sz w:val="22"/>
          <w:szCs w:val="22"/>
          <w:lang w:eastAsia="en-GB"/>
        </w:rPr>
        <w:t>(OR 4.19, 95% CI</w:t>
      </w:r>
      <w:r w:rsidR="00C91633">
        <w:rPr>
          <w:rFonts w:asciiTheme="minorHAnsi" w:hAnsiTheme="minorHAnsi" w:cstheme="minorHAnsi"/>
          <w:color w:val="000000" w:themeColor="text1"/>
          <w:kern w:val="24"/>
          <w:sz w:val="22"/>
          <w:szCs w:val="22"/>
          <w:lang w:eastAsia="en-GB"/>
        </w:rPr>
        <w:t>:</w:t>
      </w:r>
      <w:r w:rsidRPr="00332C8B">
        <w:rPr>
          <w:rFonts w:asciiTheme="minorHAnsi" w:hAnsiTheme="minorHAnsi" w:cstheme="minorHAnsi"/>
          <w:color w:val="000000" w:themeColor="text1"/>
          <w:kern w:val="24"/>
          <w:sz w:val="22"/>
          <w:szCs w:val="22"/>
          <w:lang w:eastAsia="en-GB"/>
        </w:rPr>
        <w:t xml:space="preserve"> 1.52-11.53</w:t>
      </w:r>
      <w:r w:rsidR="00C91633">
        <w:rPr>
          <w:rFonts w:asciiTheme="minorHAnsi" w:hAnsiTheme="minorHAnsi" w:cstheme="minorHAnsi"/>
          <w:color w:val="000000" w:themeColor="text1"/>
          <w:kern w:val="24"/>
          <w:sz w:val="22"/>
          <w:szCs w:val="22"/>
          <w:lang w:eastAsia="en-GB"/>
        </w:rPr>
        <w:t>;</w:t>
      </w:r>
      <w:r w:rsidRPr="00332C8B">
        <w:rPr>
          <w:rFonts w:asciiTheme="minorHAnsi" w:hAnsiTheme="minorHAnsi" w:cstheme="minorHAnsi"/>
          <w:color w:val="000000" w:themeColor="text1"/>
          <w:kern w:val="24"/>
          <w:sz w:val="22"/>
          <w:szCs w:val="22"/>
          <w:lang w:eastAsia="en-GB"/>
        </w:rPr>
        <w:t xml:space="preserve"> p</w:t>
      </w:r>
      <w:r w:rsidR="00C91633">
        <w:rPr>
          <w:rFonts w:asciiTheme="minorHAnsi" w:hAnsiTheme="minorHAnsi" w:cstheme="minorHAnsi"/>
          <w:color w:val="000000" w:themeColor="text1"/>
          <w:kern w:val="24"/>
          <w:sz w:val="22"/>
          <w:szCs w:val="22"/>
          <w:lang w:eastAsia="en-GB"/>
        </w:rPr>
        <w:t xml:space="preserve"> </w:t>
      </w:r>
      <w:r w:rsidRPr="00332C8B">
        <w:rPr>
          <w:rFonts w:asciiTheme="minorHAnsi" w:hAnsiTheme="minorHAnsi" w:cstheme="minorHAnsi"/>
          <w:color w:val="000000" w:themeColor="text1"/>
          <w:kern w:val="24"/>
          <w:sz w:val="22"/>
          <w:szCs w:val="22"/>
          <w:lang w:eastAsia="en-GB"/>
        </w:rPr>
        <w:t>=</w:t>
      </w:r>
      <w:r w:rsidR="00C91633">
        <w:rPr>
          <w:rFonts w:asciiTheme="minorHAnsi" w:hAnsiTheme="minorHAnsi" w:cstheme="minorHAnsi"/>
          <w:color w:val="000000" w:themeColor="text1"/>
          <w:kern w:val="24"/>
          <w:sz w:val="22"/>
          <w:szCs w:val="22"/>
          <w:lang w:eastAsia="en-GB"/>
        </w:rPr>
        <w:t xml:space="preserve"> </w:t>
      </w:r>
      <w:r w:rsidRPr="00332C8B">
        <w:rPr>
          <w:rFonts w:asciiTheme="minorHAnsi" w:hAnsiTheme="minorHAnsi" w:cstheme="minorHAnsi"/>
          <w:color w:val="000000" w:themeColor="text1"/>
          <w:kern w:val="24"/>
          <w:sz w:val="22"/>
          <w:szCs w:val="22"/>
          <w:lang w:eastAsia="en-GB"/>
        </w:rPr>
        <w:t>0.006). There was no relationship between non-infectious complications or length-of-stay. Hand-grip strength, midarm circumference and SGA were also examined in the same study but none were found to be predictive of complications.</w:t>
      </w:r>
    </w:p>
    <w:p w14:paraId="0B7EA963" w14:textId="4F1C597A" w:rsidR="00D03030" w:rsidRPr="00332C8B" w:rsidRDefault="00D03030" w:rsidP="00F0414E">
      <w:pPr>
        <w:spacing w:after="160" w:line="480" w:lineRule="auto"/>
        <w:rPr>
          <w:rFonts w:asciiTheme="minorHAnsi" w:eastAsia="Calibri" w:hAnsiTheme="minorHAnsi" w:cstheme="minorHAnsi"/>
          <w:color w:val="000000" w:themeColor="text1"/>
          <w:sz w:val="22"/>
          <w:szCs w:val="22"/>
        </w:rPr>
      </w:pPr>
      <w:r w:rsidRPr="00332C8B">
        <w:rPr>
          <w:rFonts w:asciiTheme="minorHAnsi" w:eastAsia="Calibri" w:hAnsiTheme="minorHAnsi" w:cstheme="minorHAnsi"/>
          <w:color w:val="000000" w:themeColor="text1"/>
          <w:sz w:val="22"/>
          <w:szCs w:val="22"/>
        </w:rPr>
        <w:t>Uccell</w:t>
      </w:r>
      <w:r w:rsidR="006C2695" w:rsidRPr="00332C8B">
        <w:rPr>
          <w:rFonts w:asciiTheme="minorHAnsi" w:eastAsia="Calibri" w:hAnsiTheme="minorHAnsi" w:cstheme="minorHAnsi"/>
          <w:color w:val="000000" w:themeColor="text1"/>
          <w:sz w:val="22"/>
          <w:szCs w:val="22"/>
        </w:rPr>
        <w:t>a</w:t>
      </w:r>
      <w:r w:rsidR="00A00A65" w:rsidRPr="00332C8B">
        <w:rPr>
          <w:rFonts w:asciiTheme="minorHAnsi" w:eastAsia="Calibri" w:hAnsiTheme="minorHAnsi" w:cstheme="minorHAnsi"/>
          <w:color w:val="000000" w:themeColor="text1"/>
          <w:sz w:val="22"/>
          <w:szCs w:val="22"/>
        </w:rPr>
        <w:t xml:space="preserve"> et al</w:t>
      </w:r>
      <w:r w:rsidR="003662F1" w:rsidRPr="00332C8B">
        <w:rPr>
          <w:rFonts w:asciiTheme="minorHAnsi" w:eastAsia="Calibri" w:hAnsiTheme="minorHAnsi" w:cstheme="minorHAnsi"/>
          <w:color w:val="000000" w:themeColor="text1"/>
          <w:sz w:val="22"/>
          <w:szCs w:val="22"/>
        </w:rPr>
        <w:fldChar w:fldCharType="begin" w:fldLock="1"/>
      </w:r>
      <w:r w:rsidR="00F66CFF" w:rsidRPr="00332C8B">
        <w:rPr>
          <w:rFonts w:asciiTheme="minorHAnsi" w:eastAsia="Calibri" w:hAnsiTheme="minorHAnsi" w:cstheme="minorHAnsi"/>
          <w:color w:val="000000" w:themeColor="text1"/>
          <w:sz w:val="22"/>
          <w:szCs w:val="22"/>
        </w:rPr>
        <w:instrText>ADDIN CSL_CITATION {"citationItems":[{"id":"ITEM-1","itemData":{"DOI":"http://dx.doi.org/10.1016/j.ygyno.2018.03.044","ISSN":"0090-8258","abstract":"Objective: To investigate whether patients' altered body composition (measured with bioimpedentiometry), due to a poor nutritional status, predicts the incidence of no residual disease at primary debulking and the risk of complications in patients with newly-diagnosed advanced epithelial ovarian cancer (EOC). Methods: Data regarding patients with newly-diagnosed stage IIIC-IV EOC undergoing elective nutritional assessment between December 2016 and March 2017, were prospectively collected. Bioelectrical impedance analysis (BIA) with measurement of BIA-derived phase angle [PhA] at 50 KHz, was accomplished. Only patients with disease which was considered resectable at staging laparoscopy were submitted to open primary cytoreduction. The rate of residual tumor (RT) = 0 and the incidence of complications were assessed. Results: Seventy patients were included. Fifty-two of them were submitted to primary cytoreduction (74.3%) and 48 (68.6% of the entire cohort, 92.3% of those who underwent primary debulking) had RT = 0 at the end of surgery. Median values of PhA were significantly lower in patients with RT &gt; vs. =0 (4.7, range: 3.6-5.8 vs. 5.3, range: 4.2-6.8; p = 0.001). Twenty-four (out of the 52 operated) patients (46.2%) developed at least one complication. PhA was significantly lower in patients with vs. without complications (5, range: 3.6-6.4, vs. 5.4, range 4.5-6.8; p = 0.03). After multivariable analysis, Fagotti score and PhA were the only independent predictors of residual disease (OR:13.56; 95%CI:1.33-137.6; p = 0.027 and 9.24; 1.16-73.43; p = 0.036, respectively) and of any complication (OR:4.9;95%CI:1.17-20.6; p = 0.03 and 7.27; 1.45-36.4; p = 0.01, respectively). Conclusions: Derangement of body composition (likely due to disease-related malnutrition) expressed as a low phase angle, is an independent predictor of residual disease and peri-operative complications at the time of upfront cytoreduction for advanced EOC.Copyright © 2018 Elsevier Inc.","author":[{"dropping-particle":"","family":"S.","given":"Uccella","non-dropping-particle":"","parse-names":false,"suffix":""},{"dropping-particle":"","family":"M.C.","given":"Mele","non-dropping-particle":"","parse-names":false,"suffix":""},{"dropping-particle":"","family":"L.","given":"Quagliozzi","non-dropping-particle":"","parse-names":false,"suffix":""},{"dropping-particle":"","family":"E.","given":"Rinninella","non-dropping-particle":"","parse-names":false,"suffix":""},{"dropping-particle":"","family":"C.","given":"Nero","non-dropping-particle":"","parse-names":false,"suffix":""},{"dropping-particle":"","family":"S.","given":"Cappuccio","non-dropping-particle":"","parse-names":false,"suffix":""},{"dropping-particle":"","family":"M.","given":"Cintoni","non-dropping-particle":"","parse-names":false,"suffix":""},{"dropping-particle":"","family":"A.","given":"Gasbarrini","non-dropping-particle":"","parse-names":false,"suffix":""},{"dropping-particle":"","family":"G.","given":"Scambia","non-dropping-particle":"","parse-names":false,"suffix":""},{"dropping-particle":"","family":"Fagotti A.  AO  - Uccella  Marco; ORCID: http://orcid.org/0000-0002-9610-0748 AO  - Nero, Camilla; ORCID: http://orcid.org/0000-0002-4442-4046","given":"Stefano; ORCID: http://orcid.org/0000-0002-4456-0822 A O - Cintoni","non-dropping-particle":"","parse-names":false,"suffix":""}],"container-title":"Gynecologic Oncology","id":"ITEM-1","issue":"2","issued":{"date-parts":[["2018"]]},"page":"263-269","publisher":"Academic Press Inc. (E-mail: apjcs@harcourt.com)","publisher-place":"S. Uccella, Department of Woman and Child Health, Fondazione Policlinico Agostino Gemelli, Rome, Italy. E-mail: stefucc@libero.it","title":"Assessment of preoperative nutritional status using BIA-derived phase angle (PhA) in patients with advanced ovarian cancer: Correlation with the extent of cytoreduction and complications","type":"article-journal","volume":"149"},"uris":["http://www.mendeley.com/documents/?uuid=740bc537-bfc4-43b1-b3c3-2ed9e7133df6"]}],"mendeley":{"formattedCitation":"[36]","plainTextFormattedCitation":"[36]","previouslyFormattedCitation":"[37]"},"properties":{"noteIndex":0},"schema":"https://github.com/citation-style-language/schema/raw/master/csl-citation.json"}</w:instrText>
      </w:r>
      <w:r w:rsidR="003662F1" w:rsidRPr="00332C8B">
        <w:rPr>
          <w:rFonts w:asciiTheme="minorHAnsi" w:eastAsia="Calibri" w:hAnsiTheme="minorHAnsi" w:cstheme="minorHAnsi"/>
          <w:color w:val="000000" w:themeColor="text1"/>
          <w:sz w:val="22"/>
          <w:szCs w:val="22"/>
        </w:rPr>
        <w:fldChar w:fldCharType="separate"/>
      </w:r>
      <w:r w:rsidR="00F66CFF" w:rsidRPr="00332C8B">
        <w:rPr>
          <w:rFonts w:asciiTheme="minorHAnsi" w:eastAsia="Calibri" w:hAnsiTheme="minorHAnsi" w:cstheme="minorHAnsi"/>
          <w:noProof/>
          <w:color w:val="000000" w:themeColor="text1"/>
          <w:sz w:val="22"/>
          <w:szCs w:val="22"/>
        </w:rPr>
        <w:t>[36]</w:t>
      </w:r>
      <w:r w:rsidR="003662F1" w:rsidRPr="00332C8B">
        <w:rPr>
          <w:rFonts w:asciiTheme="minorHAnsi" w:eastAsia="Calibri" w:hAnsiTheme="minorHAnsi" w:cstheme="minorHAnsi"/>
          <w:color w:val="000000" w:themeColor="text1"/>
          <w:sz w:val="22"/>
          <w:szCs w:val="22"/>
        </w:rPr>
        <w:fldChar w:fldCharType="end"/>
      </w:r>
      <w:r w:rsidRPr="00332C8B">
        <w:rPr>
          <w:rFonts w:asciiTheme="minorHAnsi" w:eastAsia="Calibri" w:hAnsiTheme="minorHAnsi" w:cstheme="minorHAnsi"/>
          <w:color w:val="000000" w:themeColor="text1"/>
          <w:sz w:val="22"/>
          <w:szCs w:val="22"/>
        </w:rPr>
        <w:t xml:space="preserve"> assessed phase angle in 52 patients undergoing primary cytoreductive surgery for ovarian cancer. This retrospective analysis explored the association between phase angle and </w:t>
      </w:r>
      <w:r w:rsidR="006D3BEE" w:rsidRPr="00332C8B">
        <w:rPr>
          <w:rFonts w:asciiTheme="minorHAnsi" w:eastAsia="Calibri" w:hAnsiTheme="minorHAnsi" w:cstheme="minorHAnsi"/>
          <w:color w:val="000000" w:themeColor="text1"/>
          <w:sz w:val="22"/>
          <w:szCs w:val="22"/>
        </w:rPr>
        <w:t xml:space="preserve">the </w:t>
      </w:r>
      <w:r w:rsidRPr="00332C8B">
        <w:rPr>
          <w:rFonts w:asciiTheme="minorHAnsi" w:eastAsia="Calibri" w:hAnsiTheme="minorHAnsi" w:cstheme="minorHAnsi"/>
          <w:color w:val="000000" w:themeColor="text1"/>
          <w:sz w:val="22"/>
          <w:szCs w:val="22"/>
        </w:rPr>
        <w:t>risk of post-operative complications, defined by the Memorial Sloan Kettering Cancer Centre secondary events grading scale</w:t>
      </w:r>
      <w:r w:rsidR="003662F1" w:rsidRPr="00332C8B">
        <w:rPr>
          <w:rFonts w:asciiTheme="minorHAnsi" w:eastAsia="Calibri" w:hAnsiTheme="minorHAnsi" w:cstheme="minorHAnsi"/>
          <w:color w:val="000000" w:themeColor="text1"/>
          <w:sz w:val="22"/>
          <w:szCs w:val="22"/>
        </w:rPr>
        <w:fldChar w:fldCharType="begin" w:fldLock="1"/>
      </w:r>
      <w:r w:rsidR="00F66CFF" w:rsidRPr="00332C8B">
        <w:rPr>
          <w:rFonts w:asciiTheme="minorHAnsi" w:eastAsia="Calibri" w:hAnsiTheme="minorHAnsi" w:cstheme="minorHAnsi"/>
          <w:color w:val="000000" w:themeColor="text1"/>
          <w:sz w:val="22"/>
          <w:szCs w:val="22"/>
        </w:rPr>
        <w:instrText>ADDIN CSL_CITATION {"citationItems":[{"id":"ITEM-1","itemData":{"DOI":"10.1245/s10434-014-4141-4","ISSN":"15344681","abstract":"Background: Studying surgical secondary events is an evolving effort with no current established system for database design, standard reporting, or definitions. Using the Clavien–Dindo classification as a guide, in 2001 we developed a Surgical Secondary Events database based on grade of event and required intervention to begin prospectively recording and analyzing all surgical secondary events (SSE). Methods: Events are prospectively entered into the database by attending surgeons, house staff, and research staff. In 2008 we performed a blinded external audit of 1,498 operations that were randomly selected to examine the quality and reliability of the data. Results: Of 4,284 operations, 1,498 were audited during the third quarter of 2008. Of these operations, 79 % (N = 1,180) did not have a secondary event while 21 % (N = 318) had an identified event; 91 % of operations (1,365) were correctly entered into the SSE database. Also 97 % (129 of 133) of missed secondary events were grades I and II. There were 3 grade III (2 %) and 1 grade IV (1 %) secondary event that were missed. There were no missed grade 5 secondary events. Conclusions: Grade III–IV events are more accurately collected than grade I–II events. Robust and accurate secondary events data can be collected by clinicians and research staff, and these data can safely be used for quality improvement projects and research.","author":[{"dropping-particle":"","family":"Strong","given":"Vivian E.","non-dropping-particle":"","parse-names":false,"suffix":""},{"dropping-particle":"V.","family":"Selby","given":"Luke","non-dropping-particle":"","parse-names":false,"suffix":""},{"dropping-particle":"","family":"Sovel","given":"Mindy","non-dropping-particle":"","parse-names":false,"suffix":""},{"dropping-particle":"","family":"Disa","given":"Joseph J.","non-dropping-particle":"","parse-names":false,"suffix":""},{"dropping-particle":"","family":"Hoskins","given":"William","non-dropping-particle":"","parse-names":false,"suffix":""},{"dropping-particle":"","family":"Dematteo","given":"Ronald","non-dropping-particle":"","parse-names":false,"suffix":""},{"dropping-particle":"","family":"Scardino","given":"Peter","non-dropping-particle":"","parse-names":false,"suffix":""},{"dropping-particle":"","family":"Jaques","given":"David P.","non-dropping-particle":"","parse-names":false,"suffix":""}],"container-title":"Annals of Surgical Oncology","id":"ITEM-1","issued":{"date-parts":[["2015"]]},"title":"Development and Assessment of Memorial Sloan Kettering Cancer Center’s Surgical Secondary Events Grading System","type":"article-journal"},"uris":["http://www.mendeley.com/documents/?uuid=2ac089d3-a8df-4fb9-aa85-5649b7960b5d"]}],"mendeley":{"formattedCitation":"[45]","plainTextFormattedCitation":"[45]","previouslyFormattedCitation":"[46]"},"properties":{"noteIndex":0},"schema":"https://github.com/citation-style-language/schema/raw/master/csl-citation.json"}</w:instrText>
      </w:r>
      <w:r w:rsidR="003662F1" w:rsidRPr="00332C8B">
        <w:rPr>
          <w:rFonts w:asciiTheme="minorHAnsi" w:eastAsia="Calibri" w:hAnsiTheme="minorHAnsi" w:cstheme="minorHAnsi"/>
          <w:color w:val="000000" w:themeColor="text1"/>
          <w:sz w:val="22"/>
          <w:szCs w:val="22"/>
        </w:rPr>
        <w:fldChar w:fldCharType="separate"/>
      </w:r>
      <w:r w:rsidR="00F66CFF" w:rsidRPr="00332C8B">
        <w:rPr>
          <w:rFonts w:asciiTheme="minorHAnsi" w:eastAsia="Calibri" w:hAnsiTheme="minorHAnsi" w:cstheme="minorHAnsi"/>
          <w:noProof/>
          <w:color w:val="000000" w:themeColor="text1"/>
          <w:sz w:val="22"/>
          <w:szCs w:val="22"/>
        </w:rPr>
        <w:t>[45]</w:t>
      </w:r>
      <w:r w:rsidR="003662F1" w:rsidRPr="00332C8B">
        <w:rPr>
          <w:rFonts w:asciiTheme="minorHAnsi" w:eastAsia="Calibri" w:hAnsiTheme="minorHAnsi" w:cstheme="minorHAnsi"/>
          <w:color w:val="000000" w:themeColor="text1"/>
          <w:sz w:val="22"/>
          <w:szCs w:val="22"/>
        </w:rPr>
        <w:fldChar w:fldCharType="end"/>
      </w:r>
      <w:r w:rsidRPr="00332C8B">
        <w:rPr>
          <w:rFonts w:asciiTheme="minorHAnsi" w:eastAsia="Calibri" w:hAnsiTheme="minorHAnsi" w:cstheme="minorHAnsi"/>
          <w:color w:val="000000" w:themeColor="text1"/>
          <w:sz w:val="22"/>
          <w:szCs w:val="22"/>
        </w:rPr>
        <w:t xml:space="preserve">. </w:t>
      </w:r>
      <w:r w:rsidR="00F210DB" w:rsidRPr="00332C8B">
        <w:rPr>
          <w:rFonts w:asciiTheme="minorHAnsi" w:eastAsia="Calibri" w:hAnsiTheme="minorHAnsi" w:cstheme="minorHAnsi"/>
          <w:color w:val="000000" w:themeColor="text1"/>
          <w:sz w:val="22"/>
          <w:szCs w:val="22"/>
        </w:rPr>
        <w:t>Twenty-four participants (46.2%) had a post-operative complication</w:t>
      </w:r>
      <w:r w:rsidR="007D125E" w:rsidRPr="00332C8B">
        <w:rPr>
          <w:rFonts w:asciiTheme="minorHAnsi" w:eastAsia="Calibri" w:hAnsiTheme="minorHAnsi" w:cstheme="minorHAnsi"/>
          <w:color w:val="000000" w:themeColor="text1"/>
          <w:kern w:val="24"/>
          <w:sz w:val="22"/>
          <w:szCs w:val="22"/>
          <w:lang w:eastAsia="en-GB"/>
        </w:rPr>
        <w:t xml:space="preserve"> </w:t>
      </w:r>
      <w:r w:rsidR="007D125E" w:rsidRPr="00332C8B">
        <w:rPr>
          <w:rFonts w:asciiTheme="minorHAnsi" w:hAnsiTheme="minorHAnsi" w:cstheme="minorHAnsi"/>
          <w:color w:val="000000" w:themeColor="text1"/>
          <w:kern w:val="24"/>
          <w:sz w:val="22"/>
          <w:szCs w:val="22"/>
          <w:lang w:eastAsia="en-GB"/>
        </w:rPr>
        <w:t>≥ grade 3</w:t>
      </w:r>
      <w:r w:rsidR="00F210DB" w:rsidRPr="00332C8B">
        <w:rPr>
          <w:rFonts w:asciiTheme="minorHAnsi" w:eastAsia="Calibri" w:hAnsiTheme="minorHAnsi" w:cstheme="minorHAnsi"/>
          <w:color w:val="000000" w:themeColor="text1"/>
          <w:sz w:val="22"/>
          <w:szCs w:val="22"/>
        </w:rPr>
        <w:t>.</w:t>
      </w:r>
      <w:r w:rsidR="007D125E" w:rsidRPr="00332C8B">
        <w:rPr>
          <w:rFonts w:asciiTheme="minorHAnsi" w:eastAsia="Calibri" w:hAnsiTheme="minorHAnsi" w:cstheme="minorHAnsi"/>
          <w:color w:val="000000" w:themeColor="text1"/>
          <w:sz w:val="22"/>
          <w:szCs w:val="22"/>
        </w:rPr>
        <w:t xml:space="preserve"> The authors found phase angle to be lower in the participants experiencing a post-operative complication</w:t>
      </w:r>
      <w:r w:rsidR="00E6513F" w:rsidRPr="00332C8B">
        <w:rPr>
          <w:rFonts w:asciiTheme="minorHAnsi" w:hAnsiTheme="minorHAnsi" w:cstheme="minorHAnsi"/>
          <w:color w:val="000000" w:themeColor="text1"/>
          <w:kern w:val="24"/>
          <w:sz w:val="22"/>
          <w:szCs w:val="22"/>
          <w:lang w:eastAsia="en-GB"/>
        </w:rPr>
        <w:t xml:space="preserve"> </w:t>
      </w:r>
      <w:r w:rsidRPr="00332C8B">
        <w:rPr>
          <w:rFonts w:asciiTheme="minorHAnsi" w:eastAsia="Calibri" w:hAnsiTheme="minorHAnsi" w:cstheme="minorHAnsi"/>
          <w:color w:val="000000" w:themeColor="text1"/>
          <w:kern w:val="24"/>
          <w:sz w:val="22"/>
          <w:szCs w:val="22"/>
          <w:lang w:eastAsia="en-GB"/>
        </w:rPr>
        <w:t>compared to those who did not</w:t>
      </w:r>
      <w:r w:rsidR="00E6513F" w:rsidRPr="00332C8B">
        <w:rPr>
          <w:rFonts w:asciiTheme="minorHAnsi" w:eastAsia="Calibri" w:hAnsiTheme="minorHAnsi" w:cstheme="minorHAnsi"/>
          <w:color w:val="000000" w:themeColor="text1"/>
          <w:kern w:val="24"/>
          <w:sz w:val="22"/>
          <w:szCs w:val="22"/>
          <w:lang w:eastAsia="en-GB"/>
        </w:rPr>
        <w:t xml:space="preserve"> </w:t>
      </w:r>
      <w:r w:rsidRPr="00332C8B">
        <w:rPr>
          <w:rFonts w:asciiTheme="minorHAnsi" w:eastAsia="Calibri" w:hAnsiTheme="minorHAnsi" w:cstheme="minorHAnsi"/>
          <w:color w:val="000000" w:themeColor="text1"/>
          <w:kern w:val="24"/>
          <w:sz w:val="22"/>
          <w:szCs w:val="22"/>
          <w:lang w:eastAsia="en-GB"/>
        </w:rPr>
        <w:t>(</w:t>
      </w:r>
      <w:r w:rsidRPr="00332C8B">
        <w:rPr>
          <w:rFonts w:asciiTheme="minorHAnsi" w:hAnsiTheme="minorHAnsi" w:cstheme="minorHAnsi"/>
          <w:color w:val="000000" w:themeColor="text1"/>
          <w:kern w:val="24"/>
          <w:sz w:val="22"/>
          <w:szCs w:val="22"/>
          <w:lang w:eastAsia="en-GB"/>
        </w:rPr>
        <w:t>5°</w:t>
      </w:r>
      <w:r w:rsidR="005079C5">
        <w:rPr>
          <w:rFonts w:asciiTheme="minorHAnsi" w:hAnsiTheme="minorHAnsi" w:cstheme="minorHAnsi"/>
          <w:color w:val="000000" w:themeColor="text1"/>
          <w:kern w:val="24"/>
          <w:sz w:val="22"/>
          <w:szCs w:val="22"/>
          <w:lang w:eastAsia="en-GB"/>
        </w:rPr>
        <w:t xml:space="preserve"> </w:t>
      </w:r>
      <w:r w:rsidRPr="00332C8B">
        <w:rPr>
          <w:rFonts w:asciiTheme="minorHAnsi" w:hAnsiTheme="minorHAnsi" w:cstheme="minorHAnsi"/>
          <w:color w:val="000000" w:themeColor="text1"/>
          <w:kern w:val="24"/>
          <w:sz w:val="22"/>
          <w:szCs w:val="22"/>
          <w:lang w:eastAsia="en-GB"/>
        </w:rPr>
        <w:t>vs</w:t>
      </w:r>
      <w:r w:rsidR="00504796">
        <w:rPr>
          <w:rFonts w:asciiTheme="minorHAnsi" w:hAnsiTheme="minorHAnsi" w:cstheme="minorHAnsi"/>
          <w:color w:val="000000" w:themeColor="text1"/>
          <w:kern w:val="24"/>
          <w:sz w:val="22"/>
          <w:szCs w:val="22"/>
          <w:lang w:eastAsia="en-GB"/>
        </w:rPr>
        <w:t>.</w:t>
      </w:r>
      <w:r w:rsidRPr="00332C8B">
        <w:rPr>
          <w:rFonts w:asciiTheme="minorHAnsi" w:hAnsiTheme="minorHAnsi" w:cstheme="minorHAnsi"/>
          <w:color w:val="000000" w:themeColor="text1"/>
          <w:kern w:val="24"/>
          <w:sz w:val="22"/>
          <w:szCs w:val="22"/>
          <w:lang w:eastAsia="en-GB"/>
        </w:rPr>
        <w:t xml:space="preserve"> 5.4°, p</w:t>
      </w:r>
      <w:r w:rsidR="005079C5">
        <w:rPr>
          <w:rFonts w:asciiTheme="minorHAnsi" w:hAnsiTheme="minorHAnsi" w:cstheme="minorHAnsi"/>
          <w:color w:val="000000" w:themeColor="text1"/>
          <w:kern w:val="24"/>
          <w:sz w:val="22"/>
          <w:szCs w:val="22"/>
          <w:lang w:eastAsia="en-GB"/>
        </w:rPr>
        <w:t xml:space="preserve"> </w:t>
      </w:r>
      <w:r w:rsidRPr="00332C8B">
        <w:rPr>
          <w:rFonts w:asciiTheme="minorHAnsi" w:hAnsiTheme="minorHAnsi" w:cstheme="minorHAnsi"/>
          <w:color w:val="000000" w:themeColor="text1"/>
          <w:kern w:val="24"/>
          <w:sz w:val="22"/>
          <w:szCs w:val="22"/>
          <w:lang w:eastAsia="en-GB"/>
        </w:rPr>
        <w:t>=</w:t>
      </w:r>
      <w:r w:rsidR="005079C5">
        <w:rPr>
          <w:rFonts w:asciiTheme="minorHAnsi" w:hAnsiTheme="minorHAnsi" w:cstheme="minorHAnsi"/>
          <w:color w:val="000000" w:themeColor="text1"/>
          <w:kern w:val="24"/>
          <w:sz w:val="22"/>
          <w:szCs w:val="22"/>
          <w:lang w:eastAsia="en-GB"/>
        </w:rPr>
        <w:t xml:space="preserve"> </w:t>
      </w:r>
      <w:r w:rsidRPr="00332C8B">
        <w:rPr>
          <w:rFonts w:asciiTheme="minorHAnsi" w:hAnsiTheme="minorHAnsi" w:cstheme="minorHAnsi"/>
          <w:color w:val="000000" w:themeColor="text1"/>
          <w:kern w:val="24"/>
          <w:sz w:val="22"/>
          <w:szCs w:val="22"/>
          <w:lang w:eastAsia="en-GB"/>
        </w:rPr>
        <w:t xml:space="preserve">0.03). </w:t>
      </w:r>
      <w:r w:rsidRPr="00332C8B">
        <w:rPr>
          <w:rFonts w:asciiTheme="minorHAnsi" w:eastAsia="Calibri" w:hAnsiTheme="minorHAnsi" w:cstheme="minorHAnsi"/>
          <w:color w:val="000000" w:themeColor="text1"/>
          <w:sz w:val="22"/>
          <w:szCs w:val="22"/>
        </w:rPr>
        <w:t>Receiver operating characteristic curve</w:t>
      </w:r>
      <w:r w:rsidR="006D3BEE" w:rsidRPr="00332C8B">
        <w:rPr>
          <w:rFonts w:asciiTheme="minorHAnsi" w:eastAsia="Calibri" w:hAnsiTheme="minorHAnsi" w:cstheme="minorHAnsi"/>
          <w:color w:val="000000" w:themeColor="text1"/>
          <w:sz w:val="22"/>
          <w:szCs w:val="22"/>
        </w:rPr>
        <w:t xml:space="preserve"> analysis</w:t>
      </w:r>
      <w:r w:rsidRPr="00332C8B">
        <w:rPr>
          <w:rFonts w:asciiTheme="minorHAnsi" w:eastAsia="Calibri" w:hAnsiTheme="minorHAnsi" w:cstheme="minorHAnsi"/>
          <w:color w:val="000000" w:themeColor="text1"/>
          <w:sz w:val="22"/>
          <w:szCs w:val="22"/>
        </w:rPr>
        <w:t xml:space="preserve"> identified a phase angle of 4.95</w:t>
      </w:r>
      <w:r w:rsidRPr="00332C8B">
        <w:rPr>
          <w:rFonts w:asciiTheme="minorHAnsi" w:hAnsiTheme="minorHAnsi" w:cstheme="minorHAnsi"/>
          <w:color w:val="000000" w:themeColor="text1"/>
          <w:kern w:val="24"/>
          <w:sz w:val="22"/>
          <w:szCs w:val="22"/>
          <w:lang w:eastAsia="en-GB"/>
        </w:rPr>
        <w:t>°</w:t>
      </w:r>
      <w:r w:rsidRPr="00332C8B">
        <w:rPr>
          <w:rFonts w:asciiTheme="minorHAnsi" w:eastAsia="Calibri" w:hAnsiTheme="minorHAnsi" w:cstheme="minorHAnsi"/>
          <w:color w:val="000000" w:themeColor="text1"/>
          <w:sz w:val="22"/>
          <w:szCs w:val="22"/>
        </w:rPr>
        <w:t xml:space="preserve"> as the optimal threshold value for predicting complications (</w:t>
      </w:r>
      <w:r w:rsidR="00E6513F" w:rsidRPr="00332C8B">
        <w:rPr>
          <w:rFonts w:asciiTheme="minorHAnsi" w:eastAsia="Calibri" w:hAnsiTheme="minorHAnsi" w:cstheme="minorHAnsi"/>
          <w:color w:val="000000" w:themeColor="text1"/>
          <w:sz w:val="22"/>
          <w:szCs w:val="22"/>
        </w:rPr>
        <w:t xml:space="preserve">sensitivity 89.3%, specificity 50%, </w:t>
      </w:r>
      <w:r w:rsidRPr="00332C8B">
        <w:rPr>
          <w:rFonts w:asciiTheme="minorHAnsi" w:eastAsia="Calibri" w:hAnsiTheme="minorHAnsi" w:cstheme="minorHAnsi"/>
          <w:color w:val="000000" w:themeColor="text1"/>
          <w:sz w:val="22"/>
          <w:szCs w:val="22"/>
        </w:rPr>
        <w:t>AUC = 0.7).</w:t>
      </w:r>
      <w:r w:rsidRPr="00332C8B">
        <w:rPr>
          <w:rFonts w:asciiTheme="minorHAnsi" w:hAnsiTheme="minorHAnsi" w:cstheme="minorHAnsi"/>
          <w:color w:val="000000" w:themeColor="text1"/>
          <w:kern w:val="24"/>
          <w:sz w:val="22"/>
          <w:szCs w:val="22"/>
          <w:lang w:eastAsia="en-GB"/>
        </w:rPr>
        <w:t xml:space="preserve"> The authors noted that the majority of complications were due to infection or breakdown of anastomosis.</w:t>
      </w:r>
    </w:p>
    <w:p w14:paraId="2CA2D93C" w14:textId="0DA1840D" w:rsidR="009D7EA6" w:rsidRPr="00332C8B" w:rsidRDefault="009D7EA6" w:rsidP="00F0414E">
      <w:pPr>
        <w:spacing w:after="160" w:line="480" w:lineRule="auto"/>
        <w:rPr>
          <w:rFonts w:asciiTheme="minorHAnsi" w:eastAsia="Calibri" w:hAnsiTheme="minorHAnsi" w:cstheme="minorHAnsi"/>
          <w:color w:val="000000" w:themeColor="text1"/>
          <w:sz w:val="22"/>
          <w:szCs w:val="22"/>
        </w:rPr>
      </w:pPr>
      <w:r w:rsidRPr="00332C8B">
        <w:rPr>
          <w:rFonts w:asciiTheme="minorHAnsi" w:eastAsia="Calibri" w:hAnsiTheme="minorHAnsi" w:cstheme="minorHAnsi"/>
          <w:color w:val="000000" w:themeColor="text1"/>
          <w:sz w:val="22"/>
          <w:szCs w:val="22"/>
        </w:rPr>
        <w:t>Cardoso et al</w:t>
      </w:r>
      <w:r w:rsidRPr="00332C8B">
        <w:rPr>
          <w:rFonts w:asciiTheme="minorHAnsi" w:eastAsia="Calibri" w:hAnsiTheme="minorHAnsi" w:cstheme="minorHAnsi"/>
          <w:color w:val="000000" w:themeColor="text1"/>
          <w:sz w:val="22"/>
          <w:szCs w:val="22"/>
        </w:rPr>
        <w:fldChar w:fldCharType="begin" w:fldLock="1"/>
      </w:r>
      <w:r w:rsidR="00F66CFF" w:rsidRPr="00332C8B">
        <w:rPr>
          <w:rFonts w:asciiTheme="minorHAnsi" w:eastAsia="Calibri" w:hAnsiTheme="minorHAnsi" w:cstheme="minorHAnsi"/>
          <w:color w:val="000000" w:themeColor="text1"/>
          <w:sz w:val="22"/>
          <w:szCs w:val="22"/>
        </w:rPr>
        <w:instrText>ADDIN CSL_CITATION {"citationItems":[{"id":"ITEM-1","itemData":{"DOI":"http://dx.doi.org/10.1038/ejcn.2017.115","ISSN":"0954-3007","abstract":"BACKGROUND/OBJECTIVES: Bioelectrical impedance vector analysis (BIVA) has been considered a promising technique in monitoring the nutritional and hydration status of patients with different types of diseases. The aim of this study was to assess the nutritional status provided by direct parameters of bioelectrical impedance analysis (BIA), BIVA and phase angle (PA), in patients with cervical and endometrial cancer undergoing surgical treatment, associating to other parameters of nutritional status and surgical outcomes. SUBJECTS/METHODS: In a prospective cohort, 208 women eligible to surgical treatment, admitted from January to December 2015, were enrolled. Patients were assessed according to the body mass index (BMI), Patient Generated Subjective Global Assessment (PG-SGA) and BIA. The PA was categorized as below and above percentiles 25 and 50 of studied population. RESULTS: According to BMI and PG-SGA, most of them were classified as obese (69%) and well nourished (84%), respectively. PA was significantly lower in patients with endometrial cancer, PG-SGA B or C, and in those who remained longer in hospital. PA below 25th percentile was also associated with surgical complications. Comparison of BIVA detachment of our population with a reference population showed significant impedance vector displacement, characterized by decreased reactance value and increased resistance value in our group of patients. CONCLUSIONS: PA was associated with other parameters of nutritional status and surgical outcomes. BIVA was associated with nutritional status and length of hospital, but did not present significant result for surgical complications.Copyright © 2017 Macmillan Publishers Limited, part of Springer Nature.","author":[{"dropping-particle":"","family":"I.C.R.","given":"Cardoso","non-dropping-particle":"","parse-names":false,"suffix":""},{"dropping-particle":"","family":"M.A.","given":"Aredes","non-dropping-particle":"","parse-names":false,"suffix":""}],"container-title":"European Journal of Clinical Nutrition","id":"ITEM-1","issue":"11","issued":{"date-parts":[["2017"]]},"page":"1278-1284","publisher":"Nature Publishing Group (Houndmills, Basingstoke, Hampshire RG21 6XS, United Kingdom)","publisher-place":"G.V. Chaves, Department of Nutrition and Dietetics, Brazilian National Cancer Institute-INCA, Rua Equador, 831, Santo Cristo, Rio de Janeiro 22010-050, Brazil. E-mail: gabrielavc@gmail.com","title":"Applicability of the direct parameters of bioelectrical impedance in assessing nutritional status and surgical complications of women with gynecological cancer","type":"article-journal","volume":"71"},"uris":["http://www.mendeley.com/documents/?uuid=3c95cc9d-eb4a-4292-a54f-67ca3bafefc1"]}],"mendeley":{"formattedCitation":"[37]","plainTextFormattedCitation":"[37]","previouslyFormattedCitation":"[38]"},"properties":{"noteIndex":0},"schema":"https://github.com/citation-style-language/schema/raw/master/csl-citation.json"}</w:instrText>
      </w:r>
      <w:r w:rsidRPr="00332C8B">
        <w:rPr>
          <w:rFonts w:asciiTheme="minorHAnsi" w:eastAsia="Calibri" w:hAnsiTheme="minorHAnsi" w:cstheme="minorHAnsi"/>
          <w:color w:val="000000" w:themeColor="text1"/>
          <w:sz w:val="22"/>
          <w:szCs w:val="22"/>
        </w:rPr>
        <w:fldChar w:fldCharType="separate"/>
      </w:r>
      <w:r w:rsidR="00F66CFF" w:rsidRPr="00332C8B">
        <w:rPr>
          <w:rFonts w:asciiTheme="minorHAnsi" w:eastAsia="Calibri" w:hAnsiTheme="minorHAnsi" w:cstheme="minorHAnsi"/>
          <w:noProof/>
          <w:color w:val="000000" w:themeColor="text1"/>
          <w:sz w:val="22"/>
          <w:szCs w:val="22"/>
        </w:rPr>
        <w:t>[37]</w:t>
      </w:r>
      <w:r w:rsidRPr="00332C8B">
        <w:rPr>
          <w:rFonts w:asciiTheme="minorHAnsi" w:eastAsia="Calibri" w:hAnsiTheme="minorHAnsi" w:cstheme="minorHAnsi"/>
          <w:color w:val="000000" w:themeColor="text1"/>
          <w:sz w:val="22"/>
          <w:szCs w:val="22"/>
        </w:rPr>
        <w:fldChar w:fldCharType="end"/>
      </w:r>
      <w:r w:rsidRPr="00332C8B">
        <w:rPr>
          <w:rFonts w:asciiTheme="minorHAnsi" w:eastAsia="Calibri" w:hAnsiTheme="minorHAnsi" w:cstheme="minorHAnsi"/>
          <w:color w:val="000000" w:themeColor="text1"/>
          <w:sz w:val="22"/>
          <w:szCs w:val="22"/>
        </w:rPr>
        <w:t xml:space="preserve"> used phase angle to assess nutritional status in 208 women undergoing surgery for either endometrial or cervical cancer. This prospective study evaluated associations between phase angle and post-operative complications, defined by the Reilly classification</w:t>
      </w:r>
      <w:r w:rsidRPr="00332C8B">
        <w:rPr>
          <w:rFonts w:asciiTheme="minorHAnsi" w:eastAsia="Calibri" w:hAnsiTheme="minorHAnsi" w:cstheme="minorHAnsi"/>
          <w:color w:val="000000" w:themeColor="text1"/>
          <w:sz w:val="22"/>
          <w:szCs w:val="22"/>
        </w:rPr>
        <w:fldChar w:fldCharType="begin" w:fldLock="1"/>
      </w:r>
      <w:r w:rsidR="00F66CFF" w:rsidRPr="00332C8B">
        <w:rPr>
          <w:rFonts w:asciiTheme="minorHAnsi" w:eastAsia="Calibri" w:hAnsiTheme="minorHAnsi" w:cstheme="minorHAnsi"/>
          <w:color w:val="000000" w:themeColor="text1"/>
          <w:sz w:val="22"/>
          <w:szCs w:val="22"/>
        </w:rPr>
        <w:instrText>ADDIN CSL_CITATION {"citationItems":[{"id":"ITEM-1","itemData":{"DOI":"10.1177/0148607188012004371","ISSN":"01486071","abstract":"A retrospective review of 771 patients' charts in two acute care hospitals was performed to determine likelihood of malnutrition (LOM) admission and to assess the effect of LOM on costs and charges. Using accepted criteria, LOM was present in 59 and 48% of medical and surgical patients, respectively. Patients with LOM were 2.6 or 3.4 times as likely to have a predefined minor or major complication, respectively; and 3.8 times as likely to die as patients with LOM (all p &lt; 0.001). In every diagnosis-related group, the mean length of stay was longer for LOM patients (range 1.1-12.8 excess days). Accountants converted charges to direct variable costs using departmental cost-to-charge ratios. LOM status increased excess costs and charges per patient by $1738 and $3557, respectively (P &lt; 0.0001). When complications occurred, LOM patients incurred $2996 or $6157 excess costs and charges per patient (P &lt; 0.01). Serum albumin was the strongest clinical predictor of cost. The hospital's cost of providing enteral or parenteral nutrition support was $18 or $102 per day, respectively. Too few patients received early nutrition support to assess efficacy. Nonetheless, the costs associated with malnutrition warrant early detection and aggressive treatment.","author":[{"dropping-particle":"","family":"Reilly","given":"J. J.","non-dropping-particle":"","parse-names":false,"suffix":""},{"dropping-particle":"","family":"Hull","given":"S. F.","non-dropping-particle":"","parse-names":false,"suffix":""},{"dropping-particle":"","family":"Albert","given":"N.","non-dropping-particle":"","parse-names":false,"suffix":""},{"dropping-particle":"","family":"Waller","given":"A.","non-dropping-particle":"","parse-names":false,"suffix":""},{"dropping-particle":"","family":"Bringardener","given":"S.","non-dropping-particle":"","parse-names":false,"suffix":""}],"container-title":"Journal of Parenteral and Enteral Nutrition","id":"ITEM-1","issued":{"date-parts":[["1988"]]},"title":"Economic impact of malnutrition: A model system for hospitalized patients","type":"article-journal"},"uris":["http://www.mendeley.com/documents/?uuid=b4ad97b5-e580-4172-b719-4067f94ef369"]}],"mendeley":{"formattedCitation":"[46]","plainTextFormattedCitation":"[46]","previouslyFormattedCitation":"[47]"},"properties":{"noteIndex":0},"schema":"https://github.com/citation-style-language/schema/raw/master/csl-citation.json"}</w:instrText>
      </w:r>
      <w:r w:rsidRPr="00332C8B">
        <w:rPr>
          <w:rFonts w:asciiTheme="minorHAnsi" w:eastAsia="Calibri" w:hAnsiTheme="minorHAnsi" w:cstheme="minorHAnsi"/>
          <w:color w:val="000000" w:themeColor="text1"/>
          <w:sz w:val="22"/>
          <w:szCs w:val="22"/>
        </w:rPr>
        <w:fldChar w:fldCharType="separate"/>
      </w:r>
      <w:r w:rsidR="00F66CFF" w:rsidRPr="00332C8B">
        <w:rPr>
          <w:rFonts w:asciiTheme="minorHAnsi" w:eastAsia="Calibri" w:hAnsiTheme="minorHAnsi" w:cstheme="minorHAnsi"/>
          <w:noProof/>
          <w:color w:val="000000" w:themeColor="text1"/>
          <w:sz w:val="22"/>
          <w:szCs w:val="22"/>
        </w:rPr>
        <w:t>[46]</w:t>
      </w:r>
      <w:r w:rsidRPr="00332C8B">
        <w:rPr>
          <w:rFonts w:asciiTheme="minorHAnsi" w:eastAsia="Calibri" w:hAnsiTheme="minorHAnsi" w:cstheme="minorHAnsi"/>
          <w:color w:val="000000" w:themeColor="text1"/>
          <w:sz w:val="22"/>
          <w:szCs w:val="22"/>
        </w:rPr>
        <w:fldChar w:fldCharType="end"/>
      </w:r>
      <w:r w:rsidRPr="00332C8B">
        <w:rPr>
          <w:rFonts w:asciiTheme="minorHAnsi" w:eastAsia="Calibri" w:hAnsiTheme="minorHAnsi" w:cstheme="minorHAnsi"/>
          <w:color w:val="000000" w:themeColor="text1"/>
          <w:sz w:val="22"/>
          <w:szCs w:val="22"/>
        </w:rPr>
        <w:t xml:space="preserve">. </w:t>
      </w:r>
      <w:r w:rsidR="00C103DC" w:rsidRPr="00332C8B">
        <w:rPr>
          <w:rFonts w:asciiTheme="minorHAnsi" w:eastAsia="Calibri" w:hAnsiTheme="minorHAnsi" w:cstheme="minorHAnsi"/>
          <w:color w:val="000000" w:themeColor="text1"/>
          <w:sz w:val="22"/>
          <w:szCs w:val="22"/>
        </w:rPr>
        <w:t>In total 36</w:t>
      </w:r>
      <w:r w:rsidR="005C4A95" w:rsidRPr="00332C8B">
        <w:rPr>
          <w:rFonts w:asciiTheme="minorHAnsi" w:eastAsia="Calibri" w:hAnsiTheme="minorHAnsi" w:cstheme="minorHAnsi"/>
          <w:color w:val="000000" w:themeColor="text1"/>
          <w:sz w:val="22"/>
          <w:szCs w:val="22"/>
        </w:rPr>
        <w:t xml:space="preserve"> had a</w:t>
      </w:r>
      <w:r w:rsidR="00E80C5B" w:rsidRPr="00332C8B">
        <w:rPr>
          <w:rFonts w:asciiTheme="minorHAnsi" w:eastAsia="Calibri" w:hAnsiTheme="minorHAnsi" w:cstheme="minorHAnsi"/>
          <w:color w:val="000000" w:themeColor="text1"/>
          <w:sz w:val="22"/>
          <w:szCs w:val="22"/>
        </w:rPr>
        <w:t xml:space="preserve"> post-operative</w:t>
      </w:r>
      <w:r w:rsidR="005C4A95" w:rsidRPr="00332C8B">
        <w:rPr>
          <w:rFonts w:asciiTheme="minorHAnsi" w:eastAsia="Calibri" w:hAnsiTheme="minorHAnsi" w:cstheme="minorHAnsi"/>
          <w:color w:val="000000" w:themeColor="text1"/>
          <w:sz w:val="22"/>
          <w:szCs w:val="22"/>
        </w:rPr>
        <w:t xml:space="preserve"> complication (17.3%)</w:t>
      </w:r>
      <w:r w:rsidR="00EA71EE" w:rsidRPr="00332C8B">
        <w:rPr>
          <w:rFonts w:asciiTheme="minorHAnsi" w:eastAsia="Calibri" w:hAnsiTheme="minorHAnsi" w:cstheme="minorHAnsi"/>
          <w:color w:val="000000" w:themeColor="text1"/>
          <w:sz w:val="22"/>
          <w:szCs w:val="22"/>
        </w:rPr>
        <w:t>.</w:t>
      </w:r>
      <w:r w:rsidR="005C4A95" w:rsidRPr="00332C8B">
        <w:rPr>
          <w:rFonts w:asciiTheme="minorHAnsi" w:eastAsia="Calibri" w:hAnsiTheme="minorHAnsi" w:cstheme="minorHAnsi"/>
          <w:color w:val="000000" w:themeColor="text1"/>
          <w:sz w:val="22"/>
          <w:szCs w:val="22"/>
        </w:rPr>
        <w:t xml:space="preserve"> </w:t>
      </w:r>
      <w:r w:rsidR="00E80C5B" w:rsidRPr="00332C8B">
        <w:rPr>
          <w:rFonts w:asciiTheme="minorHAnsi" w:eastAsia="Calibri" w:hAnsiTheme="minorHAnsi" w:cstheme="minorHAnsi"/>
          <w:color w:val="000000" w:themeColor="text1"/>
          <w:sz w:val="22"/>
          <w:szCs w:val="22"/>
        </w:rPr>
        <w:t>Patients in the bottom 25</w:t>
      </w:r>
      <w:r w:rsidR="00E80C5B" w:rsidRPr="00332C8B">
        <w:rPr>
          <w:rFonts w:asciiTheme="minorHAnsi" w:eastAsia="Calibri" w:hAnsiTheme="minorHAnsi" w:cstheme="minorHAnsi"/>
          <w:color w:val="000000" w:themeColor="text1"/>
          <w:sz w:val="22"/>
          <w:szCs w:val="22"/>
          <w:vertAlign w:val="superscript"/>
        </w:rPr>
        <w:t>th</w:t>
      </w:r>
      <w:r w:rsidR="00E80C5B" w:rsidRPr="00332C8B">
        <w:rPr>
          <w:rFonts w:asciiTheme="minorHAnsi" w:eastAsia="Calibri" w:hAnsiTheme="minorHAnsi" w:cstheme="minorHAnsi"/>
          <w:color w:val="000000" w:themeColor="text1"/>
          <w:sz w:val="22"/>
          <w:szCs w:val="22"/>
        </w:rPr>
        <w:t xml:space="preserve"> centile had a higher rate of post-operative complications compared to those above the 25</w:t>
      </w:r>
      <w:r w:rsidR="00E80C5B" w:rsidRPr="00332C8B">
        <w:rPr>
          <w:rFonts w:asciiTheme="minorHAnsi" w:eastAsia="Calibri" w:hAnsiTheme="minorHAnsi" w:cstheme="minorHAnsi"/>
          <w:color w:val="000000" w:themeColor="text1"/>
          <w:sz w:val="22"/>
          <w:szCs w:val="22"/>
          <w:vertAlign w:val="superscript"/>
        </w:rPr>
        <w:t>th</w:t>
      </w:r>
      <w:r w:rsidR="00E80C5B" w:rsidRPr="00332C8B">
        <w:rPr>
          <w:rFonts w:asciiTheme="minorHAnsi" w:eastAsia="Calibri" w:hAnsiTheme="minorHAnsi" w:cstheme="minorHAnsi"/>
          <w:color w:val="000000" w:themeColor="text1"/>
          <w:sz w:val="22"/>
          <w:szCs w:val="22"/>
        </w:rPr>
        <w:t xml:space="preserve"> centile (</w:t>
      </w:r>
      <w:r w:rsidR="00C103DC" w:rsidRPr="00332C8B">
        <w:rPr>
          <w:rFonts w:asciiTheme="minorHAnsi" w:eastAsia="Calibri" w:hAnsiTheme="minorHAnsi" w:cstheme="minorHAnsi"/>
          <w:color w:val="000000" w:themeColor="text1"/>
          <w:sz w:val="22"/>
          <w:szCs w:val="22"/>
        </w:rPr>
        <w:t>25.9</w:t>
      </w:r>
      <w:r w:rsidR="00E80C5B" w:rsidRPr="00332C8B">
        <w:rPr>
          <w:rFonts w:asciiTheme="minorHAnsi" w:eastAsia="Calibri" w:hAnsiTheme="minorHAnsi" w:cstheme="minorHAnsi"/>
          <w:color w:val="000000" w:themeColor="text1"/>
          <w:sz w:val="22"/>
          <w:szCs w:val="22"/>
        </w:rPr>
        <w:t>% vs</w:t>
      </w:r>
      <w:r w:rsidR="00504796">
        <w:rPr>
          <w:rFonts w:asciiTheme="minorHAnsi" w:eastAsia="Calibri" w:hAnsiTheme="minorHAnsi" w:cstheme="minorHAnsi"/>
          <w:color w:val="000000" w:themeColor="text1"/>
          <w:sz w:val="22"/>
          <w:szCs w:val="22"/>
        </w:rPr>
        <w:t>.</w:t>
      </w:r>
      <w:r w:rsidR="00E80C5B" w:rsidRPr="00332C8B">
        <w:rPr>
          <w:rFonts w:asciiTheme="minorHAnsi" w:eastAsia="Calibri" w:hAnsiTheme="minorHAnsi" w:cstheme="minorHAnsi"/>
          <w:color w:val="000000" w:themeColor="text1"/>
          <w:sz w:val="22"/>
          <w:szCs w:val="22"/>
        </w:rPr>
        <w:t xml:space="preserve"> </w:t>
      </w:r>
      <w:r w:rsidR="00C103DC" w:rsidRPr="00332C8B">
        <w:rPr>
          <w:rFonts w:asciiTheme="minorHAnsi" w:eastAsia="Calibri" w:hAnsiTheme="minorHAnsi" w:cstheme="minorHAnsi"/>
          <w:color w:val="000000" w:themeColor="text1"/>
          <w:sz w:val="22"/>
          <w:szCs w:val="22"/>
        </w:rPr>
        <w:t>14.3%</w:t>
      </w:r>
      <w:r w:rsidR="00E80C5B" w:rsidRPr="00332C8B">
        <w:rPr>
          <w:rFonts w:asciiTheme="minorHAnsi" w:eastAsia="Calibri" w:hAnsiTheme="minorHAnsi" w:cstheme="minorHAnsi"/>
          <w:color w:val="000000" w:themeColor="text1"/>
          <w:sz w:val="22"/>
          <w:szCs w:val="22"/>
        </w:rPr>
        <w:t>, p =</w:t>
      </w:r>
      <w:r w:rsidR="005079C5">
        <w:rPr>
          <w:rFonts w:asciiTheme="minorHAnsi" w:eastAsia="Calibri" w:hAnsiTheme="minorHAnsi" w:cstheme="minorHAnsi"/>
          <w:color w:val="000000" w:themeColor="text1"/>
          <w:sz w:val="22"/>
          <w:szCs w:val="22"/>
        </w:rPr>
        <w:t xml:space="preserve"> </w:t>
      </w:r>
      <w:r w:rsidR="00E80C5B" w:rsidRPr="00332C8B">
        <w:rPr>
          <w:rFonts w:asciiTheme="minorHAnsi" w:eastAsia="Calibri" w:hAnsiTheme="minorHAnsi" w:cstheme="minorHAnsi"/>
          <w:color w:val="000000" w:themeColor="text1"/>
          <w:sz w:val="22"/>
          <w:szCs w:val="22"/>
        </w:rPr>
        <w:t>0.044</w:t>
      </w:r>
      <w:r w:rsidR="00C103DC" w:rsidRPr="00332C8B">
        <w:rPr>
          <w:rFonts w:asciiTheme="minorHAnsi" w:eastAsia="Calibri" w:hAnsiTheme="minorHAnsi" w:cstheme="minorHAnsi"/>
          <w:color w:val="000000" w:themeColor="text1"/>
          <w:sz w:val="22"/>
          <w:szCs w:val="22"/>
        </w:rPr>
        <w:t>)</w:t>
      </w:r>
      <w:r w:rsidR="00EA71EE" w:rsidRPr="00332C8B">
        <w:rPr>
          <w:rFonts w:asciiTheme="minorHAnsi" w:eastAsia="Calibri" w:hAnsiTheme="minorHAnsi" w:cstheme="minorHAnsi"/>
          <w:color w:val="000000" w:themeColor="text1"/>
          <w:sz w:val="22"/>
          <w:szCs w:val="22"/>
        </w:rPr>
        <w:t xml:space="preserve">. </w:t>
      </w:r>
      <w:r w:rsidRPr="00332C8B">
        <w:rPr>
          <w:rFonts w:asciiTheme="minorHAnsi" w:eastAsia="Calibri" w:hAnsiTheme="minorHAnsi" w:cstheme="minorHAnsi"/>
          <w:color w:val="000000" w:themeColor="text1"/>
          <w:sz w:val="22"/>
          <w:szCs w:val="22"/>
        </w:rPr>
        <w:t>Notably, nearly all of the patients (94%) in th</w:t>
      </w:r>
      <w:r w:rsidR="00C103DC" w:rsidRPr="00332C8B">
        <w:rPr>
          <w:rFonts w:asciiTheme="minorHAnsi" w:eastAsia="Calibri" w:hAnsiTheme="minorHAnsi" w:cstheme="minorHAnsi"/>
          <w:color w:val="000000" w:themeColor="text1"/>
          <w:sz w:val="22"/>
          <w:szCs w:val="22"/>
        </w:rPr>
        <w:t>e bottom 25</w:t>
      </w:r>
      <w:r w:rsidR="00C103DC" w:rsidRPr="00332C8B">
        <w:rPr>
          <w:rFonts w:asciiTheme="minorHAnsi" w:eastAsia="Calibri" w:hAnsiTheme="minorHAnsi" w:cstheme="minorHAnsi"/>
          <w:color w:val="000000" w:themeColor="text1"/>
          <w:sz w:val="22"/>
          <w:szCs w:val="22"/>
          <w:vertAlign w:val="superscript"/>
        </w:rPr>
        <w:t>th</w:t>
      </w:r>
      <w:r w:rsidRPr="00332C8B">
        <w:rPr>
          <w:rFonts w:asciiTheme="minorHAnsi" w:eastAsia="Calibri" w:hAnsiTheme="minorHAnsi" w:cstheme="minorHAnsi"/>
          <w:color w:val="000000" w:themeColor="text1"/>
          <w:sz w:val="22"/>
          <w:szCs w:val="22"/>
        </w:rPr>
        <w:t xml:space="preserve"> centile had endometrial cancer.</w:t>
      </w:r>
    </w:p>
    <w:p w14:paraId="1534F2A4" w14:textId="60028948" w:rsidR="00D03030" w:rsidRPr="00332C8B" w:rsidRDefault="00D03030" w:rsidP="00F0414E">
      <w:pPr>
        <w:spacing w:after="160" w:line="480" w:lineRule="auto"/>
        <w:rPr>
          <w:rFonts w:asciiTheme="minorHAnsi" w:eastAsia="Calibri" w:hAnsiTheme="minorHAnsi" w:cstheme="minorHAnsi"/>
          <w:color w:val="000000" w:themeColor="text1"/>
          <w:sz w:val="22"/>
          <w:szCs w:val="22"/>
        </w:rPr>
      </w:pPr>
      <w:r w:rsidRPr="00332C8B">
        <w:rPr>
          <w:rFonts w:asciiTheme="minorHAnsi" w:eastAsia="Calibri" w:hAnsiTheme="minorHAnsi" w:cstheme="minorHAnsi"/>
          <w:color w:val="000000" w:themeColor="text1"/>
          <w:sz w:val="22"/>
          <w:szCs w:val="22"/>
        </w:rPr>
        <w:t>Harter</w:t>
      </w:r>
      <w:r w:rsidR="00A00A65" w:rsidRPr="00332C8B">
        <w:rPr>
          <w:rFonts w:asciiTheme="minorHAnsi" w:eastAsia="Calibri" w:hAnsiTheme="minorHAnsi" w:cstheme="minorHAnsi"/>
          <w:color w:val="000000" w:themeColor="text1"/>
          <w:sz w:val="22"/>
          <w:szCs w:val="22"/>
        </w:rPr>
        <w:t xml:space="preserve"> et al</w:t>
      </w:r>
      <w:r w:rsidR="003662F1" w:rsidRPr="00332C8B">
        <w:rPr>
          <w:rFonts w:asciiTheme="minorHAnsi" w:eastAsia="Calibri" w:hAnsiTheme="minorHAnsi" w:cstheme="minorHAnsi"/>
          <w:color w:val="000000" w:themeColor="text1"/>
          <w:sz w:val="22"/>
          <w:szCs w:val="22"/>
        </w:rPr>
        <w:fldChar w:fldCharType="begin" w:fldLock="1"/>
      </w:r>
      <w:r w:rsidR="00F66CFF" w:rsidRPr="00332C8B">
        <w:rPr>
          <w:rFonts w:asciiTheme="minorHAnsi" w:eastAsia="Calibri" w:hAnsiTheme="minorHAnsi" w:cstheme="minorHAnsi"/>
          <w:color w:val="000000" w:themeColor="text1"/>
          <w:sz w:val="22"/>
          <w:szCs w:val="22"/>
        </w:rPr>
        <w:instrText>ADDIN CSL_CITATION {"citationItems":[{"id":"ITEM-1","itemData":{"DOI":"10.1007/s00520-017-3661-4","ISSN":"0941-4355","abstract":"Purpose: We evaluated phase angle, sarcopenia, and handgrip strength as prognostic factors of postoperative morbimortality in patients with cancer.Methodology: We conducted a prospective study with 60 oncology patients admitted for elective surgery between November 2015 and May 2016. We calculated the standardized phase angle (SPA) and the skeletal mass index of the subjects based on their bioelectrical impedance tests. Handgrip strength (HGS) was measured using a hydraulic dynamometer. Diagnosis of sarcopenia followed the criteria of the European Working Group on Sarcopenia in Older People. The nutritional status of each subject was evaluated through the Patient-Generated Subjective Global Assessment. Evaluation of postoperative complications followed the Clavien-Dindo classification. We also evaluated the duration of hospital stay. Outcomes were postoperative complications and duration of hospital stay.Results: The prevalence of malnutrition was 28.3%, and the prevalence of sarcopenia was 18.6%. The SPA was significantly lower among those who had severe postoperative complications or long hospital stays, while HGS and sarcopenia showed no relationship with these outcomes. Malnutrition was also related to postoperative outcomes.Conclusion: SPA can be considered a prognostic factor in postoperative morbimortality for patients with cancer.","author":[{"dropping-particle":"","family":"Härter","given":"Jéssica","non-dropping-particle":"","parse-names":false,"suffix":""},{"dropping-particle":"","family":"Orlandi","given":"Silvana","non-dropping-particle":"","parse-names":false,"suffix":""},{"dropping-particle":"","family":"Gonzalez","given":"Maria","non-dropping-particle":"","parse-names":false,"suffix":""},{"dropping-particle":"","family":"Härter","given":"Jéssica","non-dropping-particle":"","parse-names":false,"suffix":""},{"dropping-particle":"","family":"Orlandi","given":"Silvana Paiva","non-dropping-particle":"","parse-names":false,"suffix":""},{"dropping-particle":"","family":"Gonzalez","given":"Maria Cristina","non-dropping-particle":"","parse-names":false,"suffix":""}],"container-title":"Supportive Care in Cancer","id":"ITEM-1","issue":"8","issued":{"date-parts":[["2017","8"]]},"note":"Accession Number: 123716957. Language: English. Entry Date: 20180318. Revision Date: 20180517. Publication Type: journal article. Journal Subset: Biomedical; Continental Europe; Double Blind Peer Reviewed; Editorial Board Reviewed; Europe; Expert Peer Reviewed; Peer Reviewed. NLM UID: 9302957.","page":"2525-2530","publisher":"Springer Science &amp; Business Media B.V.","publisher-place":"Post-graduate Program, Nutrition and Food , Federal University of Pelotas , Rua Gomes Carneiro, 01 Pelotas 96010-610 Brazil","title":"Nutritional and functional factors as prognostic of surgical cancer patients.","type":"article-journal","volume":"25"},"uris":["http://www.mendeley.com/documents/?uuid=c4a486af-4def-4eb8-81fd-1ff9f790eb45"]}],"mendeley":{"formattedCitation":"[40]","plainTextFormattedCitation":"[40]","previouslyFormattedCitation":"[41]"},"properties":{"noteIndex":0},"schema":"https://github.com/citation-style-language/schema/raw/master/csl-citation.json"}</w:instrText>
      </w:r>
      <w:r w:rsidR="003662F1" w:rsidRPr="00332C8B">
        <w:rPr>
          <w:rFonts w:asciiTheme="minorHAnsi" w:eastAsia="Calibri" w:hAnsiTheme="minorHAnsi" w:cstheme="minorHAnsi"/>
          <w:color w:val="000000" w:themeColor="text1"/>
          <w:sz w:val="22"/>
          <w:szCs w:val="22"/>
        </w:rPr>
        <w:fldChar w:fldCharType="separate"/>
      </w:r>
      <w:r w:rsidR="00F66CFF" w:rsidRPr="00332C8B">
        <w:rPr>
          <w:rFonts w:asciiTheme="minorHAnsi" w:eastAsia="Calibri" w:hAnsiTheme="minorHAnsi" w:cstheme="minorHAnsi"/>
          <w:noProof/>
          <w:color w:val="000000" w:themeColor="text1"/>
          <w:sz w:val="22"/>
          <w:szCs w:val="22"/>
        </w:rPr>
        <w:t>[40]</w:t>
      </w:r>
      <w:r w:rsidR="003662F1" w:rsidRPr="00332C8B">
        <w:rPr>
          <w:rFonts w:asciiTheme="minorHAnsi" w:eastAsia="Calibri" w:hAnsiTheme="minorHAnsi" w:cstheme="minorHAnsi"/>
          <w:color w:val="000000" w:themeColor="text1"/>
          <w:sz w:val="22"/>
          <w:szCs w:val="22"/>
        </w:rPr>
        <w:fldChar w:fldCharType="end"/>
      </w:r>
      <w:r w:rsidRPr="00332C8B">
        <w:rPr>
          <w:rFonts w:asciiTheme="minorHAnsi" w:eastAsia="Calibri" w:hAnsiTheme="minorHAnsi" w:cstheme="minorHAnsi"/>
          <w:color w:val="000000" w:themeColor="text1"/>
          <w:sz w:val="22"/>
          <w:szCs w:val="22"/>
        </w:rPr>
        <w:t xml:space="preserve"> assessed pre-operative phase angle in </w:t>
      </w:r>
      <w:r w:rsidR="00886AC2" w:rsidRPr="00332C8B">
        <w:rPr>
          <w:rFonts w:asciiTheme="minorHAnsi" w:eastAsia="Calibri" w:hAnsiTheme="minorHAnsi" w:cstheme="minorHAnsi"/>
          <w:color w:val="000000" w:themeColor="text1"/>
          <w:sz w:val="22"/>
          <w:szCs w:val="22"/>
        </w:rPr>
        <w:t>60</w:t>
      </w:r>
      <w:r w:rsidRPr="00332C8B">
        <w:rPr>
          <w:rFonts w:asciiTheme="minorHAnsi" w:eastAsia="Calibri" w:hAnsiTheme="minorHAnsi" w:cstheme="minorHAnsi"/>
          <w:color w:val="000000" w:themeColor="text1"/>
          <w:sz w:val="22"/>
          <w:szCs w:val="22"/>
        </w:rPr>
        <w:t xml:space="preserve"> patients undergoing surgery for a heterogenous group of malignancies, including gastro-intestinal, head and neck and genito-urinary cancers. This prospective study explored the </w:t>
      </w:r>
      <w:r w:rsidR="003662F1" w:rsidRPr="00332C8B">
        <w:rPr>
          <w:rFonts w:asciiTheme="minorHAnsi" w:eastAsia="Calibri" w:hAnsiTheme="minorHAnsi" w:cstheme="minorHAnsi"/>
          <w:color w:val="000000" w:themeColor="text1"/>
          <w:sz w:val="22"/>
          <w:szCs w:val="22"/>
        </w:rPr>
        <w:t>standardi</w:t>
      </w:r>
      <w:r w:rsidR="004150ED">
        <w:rPr>
          <w:rFonts w:asciiTheme="minorHAnsi" w:eastAsia="Calibri" w:hAnsiTheme="minorHAnsi" w:cstheme="minorHAnsi"/>
          <w:color w:val="000000" w:themeColor="text1"/>
          <w:sz w:val="22"/>
          <w:szCs w:val="22"/>
        </w:rPr>
        <w:t>z</w:t>
      </w:r>
      <w:r w:rsidR="003662F1" w:rsidRPr="00332C8B">
        <w:rPr>
          <w:rFonts w:asciiTheme="minorHAnsi" w:eastAsia="Calibri" w:hAnsiTheme="minorHAnsi" w:cstheme="minorHAnsi"/>
          <w:color w:val="000000" w:themeColor="text1"/>
          <w:sz w:val="22"/>
          <w:szCs w:val="22"/>
        </w:rPr>
        <w:t>ed phase angle</w:t>
      </w:r>
      <w:r w:rsidR="007274B7" w:rsidRPr="00332C8B">
        <w:rPr>
          <w:rFonts w:asciiTheme="minorHAnsi" w:eastAsia="Calibri" w:hAnsiTheme="minorHAnsi" w:cstheme="minorHAnsi"/>
          <w:color w:val="000000" w:themeColor="text1"/>
          <w:sz w:val="22"/>
          <w:szCs w:val="22"/>
        </w:rPr>
        <w:t xml:space="preserve"> </w:t>
      </w:r>
      <w:r w:rsidRPr="00332C8B">
        <w:rPr>
          <w:rFonts w:asciiTheme="minorHAnsi" w:eastAsia="Calibri" w:hAnsiTheme="minorHAnsi" w:cstheme="minorHAnsi"/>
          <w:color w:val="000000" w:themeColor="text1"/>
          <w:sz w:val="22"/>
          <w:szCs w:val="22"/>
        </w:rPr>
        <w:t>as a predictor of post-operative complications, defined by the Clavien-Dindo classification</w:t>
      </w:r>
      <w:r w:rsidR="003662F1" w:rsidRPr="00332C8B">
        <w:rPr>
          <w:rFonts w:asciiTheme="minorHAnsi" w:eastAsia="Calibri" w:hAnsiTheme="minorHAnsi" w:cstheme="minorHAnsi"/>
          <w:color w:val="000000" w:themeColor="text1"/>
          <w:sz w:val="22"/>
          <w:szCs w:val="22"/>
        </w:rPr>
        <w:fldChar w:fldCharType="begin" w:fldLock="1"/>
      </w:r>
      <w:r w:rsidR="00F66CFF" w:rsidRPr="00332C8B">
        <w:rPr>
          <w:rFonts w:asciiTheme="minorHAnsi" w:eastAsia="Calibri" w:hAnsiTheme="minorHAnsi" w:cstheme="minorHAnsi"/>
          <w:color w:val="000000" w:themeColor="text1"/>
          <w:sz w:val="22"/>
          <w:szCs w:val="22"/>
        </w:rPr>
        <w:instrText>ADDIN CSL_CITATION {"citationItems":[{"id":"ITEM-1","itemData":{"DOI":"10.1097/01.sla.0000133083.54934.ae","ISSN":"00034932","PMID":"15273542","abstract":"Objective: Although quality assessment is gaining increasing attention, there is still no consensus on how to define and grade postoperative complications. This shortcoming hampers comparison of outcome data among different centers and therapies and over time. Patients and Methods: A classification of complications published by one of the authors in 1992 was critically re-evaluated and modified to increase its accuracy and its acceptability in the surgical community. Modifications mainly focused on the manner of reporting life-threatening and permanently disabling complications. The new grading system still mostly relies on the therapy used to treat the complication. The classification was tested in a cohort of 6336 patients who underwent elective general surgery at our institution. The reproducibility and personal judgment of the classification were evaluated through an international survey with 2 questionnaires sent to 10 surgical centers worldwide. Results: The new ranking system significantly correlated with complexity of surgery (P &lt; 0.0001) as well as with the length of the hospital stay (P &lt; 0.0001). A total of 144 surgeons from 10 different centers around the world and at different levels of training returned the survey. Ninety percent of the case presentations were correctly graded. The classification was considered to be simple (92% of the respondents), reproducible (91%), logical (92%), useful (90%), and comprehensive (89%). The answers of both questionnaires were not dependent on the origin of the reply and the level of training of the surgeons. Conclusions: The new complication classification appears reliable and may represent a compelling tool for quality assessment in surgery in all parts of the world.","author":[{"dropping-particle":"","family":"Dindo","given":"Daniel","non-dropping-particle":"","parse-names":false,"suffix":""},{"dropping-particle":"","family":"Demartines","given":"Nicolas","non-dropping-particle":"","parse-names":false,"suffix":""},{"dropping-particle":"","family":"Clavien","given":"Pierre Alain","non-dropping-particle":"","parse-names":false,"suffix":""}],"container-title":"Annals of Surgery","id":"ITEM-1","issued":{"date-parts":[["2004"]]},"title":"Classification of surgical complications: A new proposal with evaluation in a cohort of 6336 patients and results of a survey","type":"article"},"uris":["http://www.mendeley.com/documents/?uuid=118baf83-f682-41cd-a047-2d462b3229c4"]}],"mendeley":{"formattedCitation":"[47]","plainTextFormattedCitation":"[47]","previouslyFormattedCitation":"[48]"},"properties":{"noteIndex":0},"schema":"https://github.com/citation-style-language/schema/raw/master/csl-citation.json"}</w:instrText>
      </w:r>
      <w:r w:rsidR="003662F1" w:rsidRPr="00332C8B">
        <w:rPr>
          <w:rFonts w:asciiTheme="minorHAnsi" w:eastAsia="Calibri" w:hAnsiTheme="minorHAnsi" w:cstheme="minorHAnsi"/>
          <w:color w:val="000000" w:themeColor="text1"/>
          <w:sz w:val="22"/>
          <w:szCs w:val="22"/>
        </w:rPr>
        <w:fldChar w:fldCharType="separate"/>
      </w:r>
      <w:r w:rsidR="00F66CFF" w:rsidRPr="00332C8B">
        <w:rPr>
          <w:rFonts w:asciiTheme="minorHAnsi" w:eastAsia="Calibri" w:hAnsiTheme="minorHAnsi" w:cstheme="minorHAnsi"/>
          <w:noProof/>
          <w:color w:val="000000" w:themeColor="text1"/>
          <w:sz w:val="22"/>
          <w:szCs w:val="22"/>
        </w:rPr>
        <w:t>[47]</w:t>
      </w:r>
      <w:r w:rsidR="003662F1" w:rsidRPr="00332C8B">
        <w:rPr>
          <w:rFonts w:asciiTheme="minorHAnsi" w:eastAsia="Calibri" w:hAnsiTheme="minorHAnsi" w:cstheme="minorHAnsi"/>
          <w:color w:val="000000" w:themeColor="text1"/>
          <w:sz w:val="22"/>
          <w:szCs w:val="22"/>
        </w:rPr>
        <w:fldChar w:fldCharType="end"/>
      </w:r>
      <w:r w:rsidRPr="00332C8B">
        <w:rPr>
          <w:rFonts w:asciiTheme="minorHAnsi" w:eastAsia="Calibri" w:hAnsiTheme="minorHAnsi" w:cstheme="minorHAnsi"/>
          <w:color w:val="000000" w:themeColor="text1"/>
          <w:sz w:val="22"/>
          <w:szCs w:val="22"/>
        </w:rPr>
        <w:t xml:space="preserve">. </w:t>
      </w:r>
      <w:r w:rsidR="007D125E" w:rsidRPr="00332C8B">
        <w:rPr>
          <w:rFonts w:asciiTheme="minorHAnsi" w:eastAsia="Calibri" w:hAnsiTheme="minorHAnsi" w:cstheme="minorHAnsi"/>
          <w:color w:val="000000" w:themeColor="text1"/>
          <w:sz w:val="22"/>
          <w:szCs w:val="22"/>
        </w:rPr>
        <w:t xml:space="preserve">Nine participants (15.0%) had a </w:t>
      </w:r>
      <w:r w:rsidR="007D125E" w:rsidRPr="00332C8B">
        <w:rPr>
          <w:rFonts w:asciiTheme="minorHAnsi" w:eastAsia="Calibri" w:hAnsiTheme="minorHAnsi" w:cstheme="minorHAnsi"/>
          <w:color w:val="000000" w:themeColor="text1"/>
          <w:kern w:val="24"/>
          <w:sz w:val="22"/>
          <w:szCs w:val="22"/>
          <w:lang w:eastAsia="en-GB"/>
        </w:rPr>
        <w:t xml:space="preserve">post-operative complication grade </w:t>
      </w:r>
      <w:r w:rsidR="007D125E" w:rsidRPr="00332C8B">
        <w:rPr>
          <w:rFonts w:asciiTheme="minorHAnsi" w:hAnsiTheme="minorHAnsi" w:cstheme="minorHAnsi"/>
          <w:color w:val="000000" w:themeColor="text1"/>
          <w:kern w:val="24"/>
          <w:sz w:val="22"/>
          <w:szCs w:val="22"/>
          <w:lang w:eastAsia="en-GB"/>
        </w:rPr>
        <w:t>≥ 3. S</w:t>
      </w:r>
      <w:r w:rsidRPr="00332C8B">
        <w:rPr>
          <w:rFonts w:asciiTheme="minorHAnsi" w:eastAsia="Calibri" w:hAnsiTheme="minorHAnsi" w:cstheme="minorHAnsi"/>
          <w:color w:val="000000" w:themeColor="text1"/>
          <w:sz w:val="22"/>
          <w:szCs w:val="22"/>
        </w:rPr>
        <w:t>tandardi</w:t>
      </w:r>
      <w:r w:rsidR="004150ED">
        <w:rPr>
          <w:rFonts w:asciiTheme="minorHAnsi" w:eastAsia="Calibri" w:hAnsiTheme="minorHAnsi" w:cstheme="minorHAnsi"/>
          <w:color w:val="000000" w:themeColor="text1"/>
          <w:sz w:val="22"/>
          <w:szCs w:val="22"/>
        </w:rPr>
        <w:t>z</w:t>
      </w:r>
      <w:r w:rsidRPr="00332C8B">
        <w:rPr>
          <w:rFonts w:asciiTheme="minorHAnsi" w:eastAsia="Calibri" w:hAnsiTheme="minorHAnsi" w:cstheme="minorHAnsi"/>
          <w:color w:val="000000" w:themeColor="text1"/>
          <w:sz w:val="22"/>
          <w:szCs w:val="22"/>
        </w:rPr>
        <w:t xml:space="preserve">ed </w:t>
      </w:r>
      <w:r w:rsidRPr="00332C8B">
        <w:rPr>
          <w:rFonts w:asciiTheme="minorHAnsi" w:hAnsiTheme="minorHAnsi" w:cstheme="minorHAnsi"/>
          <w:color w:val="000000" w:themeColor="text1"/>
          <w:kern w:val="24"/>
          <w:sz w:val="22"/>
          <w:szCs w:val="22"/>
          <w:lang w:eastAsia="en-GB"/>
        </w:rPr>
        <w:t xml:space="preserve">phase angle </w:t>
      </w:r>
      <w:r w:rsidR="007D125E" w:rsidRPr="00332C8B">
        <w:rPr>
          <w:rFonts w:asciiTheme="minorHAnsi" w:hAnsiTheme="minorHAnsi" w:cstheme="minorHAnsi"/>
          <w:color w:val="000000" w:themeColor="text1"/>
          <w:kern w:val="24"/>
          <w:sz w:val="22"/>
          <w:szCs w:val="22"/>
          <w:lang w:eastAsia="en-GB"/>
        </w:rPr>
        <w:t xml:space="preserve">was </w:t>
      </w:r>
      <w:r w:rsidRPr="00332C8B">
        <w:rPr>
          <w:rFonts w:asciiTheme="minorHAnsi" w:eastAsia="Calibri" w:hAnsiTheme="minorHAnsi" w:cstheme="minorHAnsi"/>
          <w:color w:val="000000" w:themeColor="text1"/>
          <w:kern w:val="24"/>
          <w:sz w:val="22"/>
          <w:szCs w:val="22"/>
          <w:lang w:eastAsia="en-GB"/>
        </w:rPr>
        <w:t xml:space="preserve">lower in patients who had a post-operative complication grade </w:t>
      </w:r>
      <w:bookmarkStart w:id="0" w:name="OLE_LINK1"/>
      <w:bookmarkStart w:id="1" w:name="OLE_LINK2"/>
      <w:r w:rsidRPr="00332C8B">
        <w:rPr>
          <w:rFonts w:asciiTheme="minorHAnsi" w:hAnsiTheme="minorHAnsi" w:cstheme="minorHAnsi"/>
          <w:color w:val="000000" w:themeColor="text1"/>
          <w:kern w:val="24"/>
          <w:sz w:val="22"/>
          <w:szCs w:val="22"/>
          <w:lang w:eastAsia="en-GB"/>
        </w:rPr>
        <w:t xml:space="preserve">≥ 3 </w:t>
      </w:r>
      <w:bookmarkEnd w:id="0"/>
      <w:bookmarkEnd w:id="1"/>
      <w:r w:rsidRPr="00332C8B">
        <w:rPr>
          <w:rFonts w:asciiTheme="minorHAnsi" w:eastAsia="Calibri" w:hAnsiTheme="minorHAnsi" w:cstheme="minorHAnsi"/>
          <w:color w:val="000000" w:themeColor="text1"/>
          <w:kern w:val="24"/>
          <w:sz w:val="22"/>
          <w:szCs w:val="22"/>
          <w:lang w:eastAsia="en-GB"/>
        </w:rPr>
        <w:t>compared to those who did not</w:t>
      </w:r>
      <w:r w:rsidRPr="00332C8B">
        <w:rPr>
          <w:rFonts w:asciiTheme="minorHAnsi" w:eastAsia="Calibri" w:hAnsiTheme="minorHAnsi" w:cstheme="minorHAnsi"/>
          <w:color w:val="000000" w:themeColor="text1"/>
          <w:sz w:val="22"/>
          <w:szCs w:val="22"/>
        </w:rPr>
        <w:t xml:space="preserve"> (-0.71 vs</w:t>
      </w:r>
      <w:r w:rsidR="00504796">
        <w:rPr>
          <w:rFonts w:asciiTheme="minorHAnsi" w:eastAsia="Calibri" w:hAnsiTheme="minorHAnsi" w:cstheme="minorHAnsi"/>
          <w:color w:val="000000" w:themeColor="text1"/>
          <w:sz w:val="22"/>
          <w:szCs w:val="22"/>
        </w:rPr>
        <w:t>.</w:t>
      </w:r>
      <w:r w:rsidRPr="00332C8B">
        <w:rPr>
          <w:rFonts w:asciiTheme="minorHAnsi" w:eastAsia="Calibri" w:hAnsiTheme="minorHAnsi" w:cstheme="minorHAnsi"/>
          <w:color w:val="000000" w:themeColor="text1"/>
          <w:sz w:val="22"/>
          <w:szCs w:val="22"/>
        </w:rPr>
        <w:t xml:space="preserve"> 0.41, p = 0.</w:t>
      </w:r>
      <w:r w:rsidR="00F17FA4" w:rsidRPr="00332C8B">
        <w:rPr>
          <w:rFonts w:asciiTheme="minorHAnsi" w:eastAsia="Calibri" w:hAnsiTheme="minorHAnsi" w:cstheme="minorHAnsi"/>
          <w:color w:val="000000" w:themeColor="text1"/>
          <w:sz w:val="22"/>
          <w:szCs w:val="22"/>
        </w:rPr>
        <w:t>0</w:t>
      </w:r>
      <w:r w:rsidRPr="00332C8B">
        <w:rPr>
          <w:rFonts w:asciiTheme="minorHAnsi" w:eastAsia="Calibri" w:hAnsiTheme="minorHAnsi" w:cstheme="minorHAnsi"/>
          <w:color w:val="000000" w:themeColor="text1"/>
          <w:sz w:val="22"/>
          <w:szCs w:val="22"/>
        </w:rPr>
        <w:t>07). Hand-grip strength and sarcopenia were explored in the same study but were not found to predict complications.</w:t>
      </w:r>
    </w:p>
    <w:p w14:paraId="458B3561" w14:textId="08FB5025" w:rsidR="00D03030" w:rsidRPr="00332C8B" w:rsidRDefault="00D03030" w:rsidP="00F0414E">
      <w:pPr>
        <w:spacing w:after="160" w:line="480" w:lineRule="auto"/>
        <w:rPr>
          <w:rFonts w:asciiTheme="minorHAnsi" w:eastAsia="Calibri" w:hAnsiTheme="minorHAnsi" w:cstheme="minorHAnsi"/>
          <w:color w:val="000000" w:themeColor="text1"/>
          <w:kern w:val="24"/>
          <w:sz w:val="22"/>
          <w:szCs w:val="22"/>
          <w:lang w:eastAsia="en-GB"/>
        </w:rPr>
      </w:pPr>
      <w:r w:rsidRPr="00332C8B">
        <w:rPr>
          <w:rFonts w:asciiTheme="minorHAnsi" w:eastAsia="Calibri" w:hAnsiTheme="minorHAnsi" w:cstheme="minorHAnsi"/>
          <w:color w:val="000000" w:themeColor="text1"/>
          <w:sz w:val="22"/>
          <w:szCs w:val="22"/>
        </w:rPr>
        <w:t>Berstad</w:t>
      </w:r>
      <w:r w:rsidR="00647CE0" w:rsidRPr="00332C8B">
        <w:rPr>
          <w:rFonts w:asciiTheme="minorHAnsi" w:eastAsia="Calibri" w:hAnsiTheme="minorHAnsi" w:cstheme="minorHAnsi"/>
          <w:color w:val="000000" w:themeColor="text1"/>
          <w:sz w:val="22"/>
          <w:szCs w:val="22"/>
        </w:rPr>
        <w:t xml:space="preserve"> et al</w:t>
      </w:r>
      <w:r w:rsidR="003662F1" w:rsidRPr="00332C8B">
        <w:rPr>
          <w:rFonts w:asciiTheme="minorHAnsi" w:eastAsia="Calibri" w:hAnsiTheme="minorHAnsi" w:cstheme="minorHAnsi"/>
          <w:color w:val="000000" w:themeColor="text1"/>
          <w:sz w:val="22"/>
          <w:szCs w:val="22"/>
        </w:rPr>
        <w:fldChar w:fldCharType="begin" w:fldLock="1"/>
      </w:r>
      <w:r w:rsidR="00F66CFF" w:rsidRPr="00332C8B">
        <w:rPr>
          <w:rFonts w:asciiTheme="minorHAnsi" w:eastAsia="Calibri" w:hAnsiTheme="minorHAnsi" w:cstheme="minorHAnsi"/>
          <w:color w:val="000000" w:themeColor="text1"/>
          <w:sz w:val="22"/>
          <w:szCs w:val="22"/>
        </w:rPr>
        <w:instrText>ADDIN CSL_CITATION {"citationItems":[{"id":"ITEM-1","itemData":{"DOI":"10.1111/jhn.12002","ISSN":"0952-3871","abstract":"Background Both malnutrition and obesity are related to worsened post-operative outcomes after colorectal surgery. Obese cancer patients may be malnourished as a result of short-term weight loss. The present study aimed to evaluate preoperative nutritional status, body composition and dietary intake related to post-operative complications ( POC) and post-operative hospital days ( POHD) in elective colorectal cancer ( CRC) patients. Methods Anthropometry, body composition measured by bioelectric spectroscopy and dietary habits assessed by a validated food-frequency questionnaire were examined in 100 newly-diagnosed CRC patients. Data from 30-day POC and POHD were collected from medical records. Nonparametric and chi-squared tests and logistic regression were used to analyse associations between body and dietary variables and post-operative outcome. Results Twenty-nine patients had at least one POC. The median POHD was six. Body size and composition measures and short-term weight loss were no different between patients with and without POC, or between patients with POHD &lt;7 and ≥7. Dietary variables were otherwise no different between patients with and without POC, although the median intake of marine n-3 polyunsaturated fatty acids ( PUFA, the sum of eicosapentaenoic and docosahexaenoic acids) was significantly lower in patients with versus without POC (0.7 versus 1.2 g day−1, P = 0.04). Conclusions We found that preoperative body size, body composition and short-term weight loss were not related to 30-day post-operative outcomes in CRC patients. A high content of marine n-3 PUFA in preoperative habitual diets may protect against POC after CRC surgery.","author":[{"dropping-particle":"","family":"Berstad","given":"P","non-dropping-particle":"","parse-names":false,"suffix":""},{"dropping-particle":"","family":"Haugum","given":"B","non-dropping-particle":"","parse-names":false,"suffix":""},{"dropping-particle":"","family":"Helgeland","given":"M","non-dropping-particle":"","parse-names":false,"suffix":""},{"dropping-particle":"","family":"Bukholm","given":"I","non-dropping-particle":"","parse-names":false,"suffix":""},{"dropping-particle":"","family":"Almendingen","given":"K","non-dropping-particle":"","parse-names":false,"suffix":""}],"container-title":"Journal of Human Nutrition &amp; Dietetics","id":"ITEM-1","issue":"4","issued":{"date-parts":[["2013","8"]]},"note":"Accession Number: 104196215. Language: English. Entry Date: 20130716. Revision Date: 20150820. Publication Type: Journal Article; research; tables/charts. Journal Subset: Allied Health; Biomedical; Europe; Peer Reviewed; UK &amp;amp; Ireland. Special Interest: Nutrition; Oncologic Care; Perioperative Care. Instrumentation: Food Frequency Questionnaire (FFQ). Grant Information: This work was supported by grant no. 2006094 from Eastern Norway Regional Health Authority RHF and grants from Eckbo Foundation and Flatner Foundation.. NLM UID: 8904840.","page":"359-368","publisher":"Wiley-Blackwell","publisher-place":"Research Centre Akershus University Hospital","title":"Preoperative body size and composition, habitual diet, and post-operative complications in elective colorectal cancer patients in Norway.","type":"article-journal","volume":"26"},"uris":["http://www.mendeley.com/documents/?uuid=ed89d092-88dd-471d-99eb-e3ad956371cb"]}],"mendeley":{"formattedCitation":"[31]","plainTextFormattedCitation":"[31]","previouslyFormattedCitation":"[32]"},"properties":{"noteIndex":0},"schema":"https://github.com/citation-style-language/schema/raw/master/csl-citation.json"}</w:instrText>
      </w:r>
      <w:r w:rsidR="003662F1" w:rsidRPr="00332C8B">
        <w:rPr>
          <w:rFonts w:asciiTheme="minorHAnsi" w:eastAsia="Calibri" w:hAnsiTheme="minorHAnsi" w:cstheme="minorHAnsi"/>
          <w:color w:val="000000" w:themeColor="text1"/>
          <w:sz w:val="22"/>
          <w:szCs w:val="22"/>
        </w:rPr>
        <w:fldChar w:fldCharType="separate"/>
      </w:r>
      <w:r w:rsidR="00F66CFF" w:rsidRPr="00332C8B">
        <w:rPr>
          <w:rFonts w:asciiTheme="minorHAnsi" w:eastAsia="Calibri" w:hAnsiTheme="minorHAnsi" w:cstheme="minorHAnsi"/>
          <w:noProof/>
          <w:color w:val="000000" w:themeColor="text1"/>
          <w:sz w:val="22"/>
          <w:szCs w:val="22"/>
        </w:rPr>
        <w:t>[31]</w:t>
      </w:r>
      <w:r w:rsidR="003662F1" w:rsidRPr="00332C8B">
        <w:rPr>
          <w:rFonts w:asciiTheme="minorHAnsi" w:eastAsia="Calibri" w:hAnsiTheme="minorHAnsi" w:cstheme="minorHAnsi"/>
          <w:color w:val="000000" w:themeColor="text1"/>
          <w:sz w:val="22"/>
          <w:szCs w:val="22"/>
        </w:rPr>
        <w:fldChar w:fldCharType="end"/>
      </w:r>
      <w:r w:rsidRPr="00332C8B">
        <w:rPr>
          <w:rFonts w:asciiTheme="minorHAnsi" w:eastAsia="Calibri" w:hAnsiTheme="minorHAnsi" w:cstheme="minorHAnsi"/>
          <w:color w:val="000000" w:themeColor="text1"/>
          <w:sz w:val="22"/>
          <w:szCs w:val="22"/>
        </w:rPr>
        <w:t xml:space="preserve"> assessed phase angle in 100 patients undergoing surgery for colorectal cancer</w:t>
      </w:r>
      <w:r w:rsidR="00CC1327" w:rsidRPr="00332C8B">
        <w:rPr>
          <w:rFonts w:asciiTheme="minorHAnsi" w:eastAsia="Calibri" w:hAnsiTheme="minorHAnsi" w:cstheme="minorHAnsi"/>
          <w:color w:val="000000" w:themeColor="text1"/>
          <w:sz w:val="22"/>
          <w:szCs w:val="22"/>
        </w:rPr>
        <w:t>, of whom 17 had missing bioimpedance data</w:t>
      </w:r>
      <w:r w:rsidRPr="00332C8B">
        <w:rPr>
          <w:rFonts w:asciiTheme="minorHAnsi" w:eastAsia="Calibri" w:hAnsiTheme="minorHAnsi" w:cstheme="minorHAnsi"/>
          <w:color w:val="000000" w:themeColor="text1"/>
          <w:sz w:val="22"/>
          <w:szCs w:val="22"/>
        </w:rPr>
        <w:t xml:space="preserve">. This prospective study evaluated the relationship between phase angle and post-operative complications, defined by </w:t>
      </w:r>
      <w:r w:rsidR="00E43B89" w:rsidRPr="00332C8B">
        <w:rPr>
          <w:rFonts w:asciiTheme="minorHAnsi" w:eastAsia="Calibri" w:hAnsiTheme="minorHAnsi" w:cstheme="minorHAnsi"/>
          <w:color w:val="000000" w:themeColor="text1"/>
          <w:sz w:val="22"/>
          <w:szCs w:val="22"/>
        </w:rPr>
        <w:t xml:space="preserve">the </w:t>
      </w:r>
      <w:r w:rsidRPr="00332C8B">
        <w:rPr>
          <w:rFonts w:asciiTheme="minorHAnsi" w:eastAsia="Calibri" w:hAnsiTheme="minorHAnsi" w:cstheme="minorHAnsi"/>
          <w:color w:val="000000" w:themeColor="text1"/>
          <w:sz w:val="22"/>
          <w:szCs w:val="22"/>
        </w:rPr>
        <w:t xml:space="preserve">authors. </w:t>
      </w:r>
      <w:r w:rsidR="00E43B89" w:rsidRPr="00332C8B">
        <w:rPr>
          <w:rFonts w:asciiTheme="minorHAnsi" w:eastAsia="Calibri" w:hAnsiTheme="minorHAnsi" w:cstheme="minorHAnsi"/>
          <w:color w:val="000000" w:themeColor="text1"/>
          <w:sz w:val="22"/>
          <w:szCs w:val="22"/>
        </w:rPr>
        <w:t>Twenty-four participants (28.9%) experienced a post-operative complication. There was</w:t>
      </w:r>
      <w:r w:rsidRPr="00332C8B">
        <w:rPr>
          <w:rFonts w:asciiTheme="minorHAnsi" w:eastAsia="Calibri" w:hAnsiTheme="minorHAnsi" w:cstheme="minorHAnsi"/>
          <w:color w:val="000000" w:themeColor="text1"/>
          <w:sz w:val="22"/>
          <w:szCs w:val="22"/>
        </w:rPr>
        <w:t xml:space="preserve"> n</w:t>
      </w:r>
      <w:r w:rsidRPr="00332C8B">
        <w:rPr>
          <w:rFonts w:asciiTheme="minorHAnsi" w:eastAsia="Calibri" w:hAnsiTheme="minorHAnsi" w:cstheme="minorHAnsi"/>
          <w:color w:val="000000" w:themeColor="text1"/>
          <w:kern w:val="24"/>
          <w:sz w:val="22"/>
          <w:szCs w:val="22"/>
          <w:lang w:eastAsia="en-GB"/>
        </w:rPr>
        <w:t xml:space="preserve">o difference in </w:t>
      </w:r>
      <w:r w:rsidR="00647CE0" w:rsidRPr="00332C8B">
        <w:rPr>
          <w:rFonts w:asciiTheme="minorHAnsi" w:eastAsia="Calibri" w:hAnsiTheme="minorHAnsi" w:cstheme="minorHAnsi"/>
          <w:color w:val="000000" w:themeColor="text1"/>
          <w:kern w:val="24"/>
          <w:sz w:val="22"/>
          <w:szCs w:val="22"/>
          <w:lang w:eastAsia="en-GB"/>
        </w:rPr>
        <w:t>phase angle</w:t>
      </w:r>
      <w:r w:rsidRPr="00332C8B">
        <w:rPr>
          <w:rFonts w:asciiTheme="minorHAnsi" w:hAnsiTheme="minorHAnsi" w:cstheme="minorHAnsi"/>
          <w:color w:val="000000" w:themeColor="text1"/>
          <w:kern w:val="24"/>
          <w:sz w:val="22"/>
          <w:szCs w:val="22"/>
          <w:lang w:eastAsia="en-GB"/>
        </w:rPr>
        <w:t xml:space="preserve"> </w:t>
      </w:r>
      <w:r w:rsidRPr="00332C8B">
        <w:rPr>
          <w:rFonts w:asciiTheme="minorHAnsi" w:eastAsia="Calibri" w:hAnsiTheme="minorHAnsi" w:cstheme="minorHAnsi"/>
          <w:color w:val="000000" w:themeColor="text1"/>
          <w:kern w:val="24"/>
          <w:sz w:val="22"/>
          <w:szCs w:val="22"/>
          <w:lang w:eastAsia="en-GB"/>
        </w:rPr>
        <w:t>between patients who did or did not</w:t>
      </w:r>
      <w:r w:rsidR="0064542B" w:rsidRPr="00332C8B">
        <w:rPr>
          <w:rFonts w:asciiTheme="minorHAnsi" w:eastAsia="Calibri" w:hAnsiTheme="minorHAnsi" w:cstheme="minorHAnsi"/>
          <w:color w:val="000000" w:themeColor="text1"/>
          <w:kern w:val="24"/>
          <w:sz w:val="22"/>
          <w:szCs w:val="22"/>
          <w:lang w:eastAsia="en-GB"/>
        </w:rPr>
        <w:t xml:space="preserve"> </w:t>
      </w:r>
      <w:r w:rsidRPr="00332C8B">
        <w:rPr>
          <w:rFonts w:asciiTheme="minorHAnsi" w:eastAsia="Calibri" w:hAnsiTheme="minorHAnsi" w:cstheme="minorHAnsi"/>
          <w:color w:val="000000" w:themeColor="text1"/>
          <w:kern w:val="24"/>
          <w:sz w:val="22"/>
          <w:szCs w:val="22"/>
          <w:lang w:eastAsia="en-GB"/>
        </w:rPr>
        <w:t>have post-operative complications (5.5</w:t>
      </w:r>
      <w:r w:rsidRPr="00332C8B">
        <w:rPr>
          <w:rFonts w:asciiTheme="minorHAnsi" w:hAnsiTheme="minorHAnsi" w:cstheme="minorHAnsi"/>
          <w:color w:val="000000" w:themeColor="text1"/>
          <w:kern w:val="24"/>
          <w:sz w:val="22"/>
          <w:szCs w:val="22"/>
          <w:lang w:eastAsia="en-GB"/>
        </w:rPr>
        <w:t>° vs</w:t>
      </w:r>
      <w:r w:rsidR="00C732F4">
        <w:rPr>
          <w:rFonts w:asciiTheme="minorHAnsi" w:hAnsiTheme="minorHAnsi" w:cstheme="minorHAnsi"/>
          <w:color w:val="000000" w:themeColor="text1"/>
          <w:kern w:val="24"/>
          <w:sz w:val="22"/>
          <w:szCs w:val="22"/>
          <w:lang w:eastAsia="en-GB"/>
        </w:rPr>
        <w:t>.</w:t>
      </w:r>
      <w:r w:rsidRPr="00332C8B">
        <w:rPr>
          <w:rFonts w:asciiTheme="minorHAnsi" w:hAnsiTheme="minorHAnsi" w:cstheme="minorHAnsi"/>
          <w:color w:val="000000" w:themeColor="text1"/>
          <w:kern w:val="24"/>
          <w:sz w:val="22"/>
          <w:szCs w:val="22"/>
          <w:lang w:eastAsia="en-GB"/>
        </w:rPr>
        <w:t xml:space="preserve"> </w:t>
      </w:r>
      <w:r w:rsidRPr="00332C8B">
        <w:rPr>
          <w:rFonts w:asciiTheme="minorHAnsi" w:eastAsia="Calibri" w:hAnsiTheme="minorHAnsi" w:cstheme="minorHAnsi"/>
          <w:color w:val="000000" w:themeColor="text1"/>
          <w:kern w:val="24"/>
          <w:sz w:val="22"/>
          <w:szCs w:val="22"/>
          <w:lang w:eastAsia="en-GB"/>
        </w:rPr>
        <w:t>5.4</w:t>
      </w:r>
      <w:r w:rsidRPr="00332C8B">
        <w:rPr>
          <w:rFonts w:asciiTheme="minorHAnsi" w:hAnsiTheme="minorHAnsi" w:cstheme="minorHAnsi"/>
          <w:color w:val="000000" w:themeColor="text1"/>
          <w:kern w:val="24"/>
          <w:sz w:val="22"/>
          <w:szCs w:val="22"/>
          <w:lang w:eastAsia="en-GB"/>
        </w:rPr>
        <w:t>°</w:t>
      </w:r>
      <w:r w:rsidRPr="00332C8B">
        <w:rPr>
          <w:rFonts w:asciiTheme="minorHAnsi" w:eastAsia="Calibri" w:hAnsiTheme="minorHAnsi" w:cstheme="minorHAnsi"/>
          <w:color w:val="000000" w:themeColor="text1"/>
          <w:kern w:val="24"/>
          <w:sz w:val="22"/>
          <w:szCs w:val="22"/>
          <w:lang w:eastAsia="en-GB"/>
        </w:rPr>
        <w:t>, p=0.83). The</w:t>
      </w:r>
      <w:r w:rsidR="00E43B89" w:rsidRPr="00332C8B">
        <w:rPr>
          <w:rFonts w:asciiTheme="minorHAnsi" w:eastAsia="Calibri" w:hAnsiTheme="minorHAnsi" w:cstheme="minorHAnsi"/>
          <w:color w:val="000000" w:themeColor="text1"/>
          <w:kern w:val="24"/>
          <w:sz w:val="22"/>
          <w:szCs w:val="22"/>
          <w:lang w:eastAsia="en-GB"/>
        </w:rPr>
        <w:t xml:space="preserve"> authors</w:t>
      </w:r>
      <w:r w:rsidRPr="00332C8B">
        <w:rPr>
          <w:rFonts w:asciiTheme="minorHAnsi" w:eastAsia="Calibri" w:hAnsiTheme="minorHAnsi" w:cstheme="minorHAnsi"/>
          <w:color w:val="000000" w:themeColor="text1"/>
          <w:kern w:val="24"/>
          <w:sz w:val="22"/>
          <w:szCs w:val="22"/>
          <w:lang w:eastAsia="en-GB"/>
        </w:rPr>
        <w:t xml:space="preserve"> also assessed fat mass and fat</w:t>
      </w:r>
      <w:r w:rsidR="0075032B" w:rsidRPr="00332C8B">
        <w:rPr>
          <w:rFonts w:asciiTheme="minorHAnsi" w:eastAsia="Calibri" w:hAnsiTheme="minorHAnsi" w:cstheme="minorHAnsi"/>
          <w:color w:val="000000" w:themeColor="text1"/>
          <w:kern w:val="24"/>
          <w:sz w:val="22"/>
          <w:szCs w:val="22"/>
          <w:lang w:eastAsia="en-GB"/>
        </w:rPr>
        <w:t xml:space="preserve"> </w:t>
      </w:r>
      <w:r w:rsidRPr="00332C8B">
        <w:rPr>
          <w:rFonts w:asciiTheme="minorHAnsi" w:eastAsia="Calibri" w:hAnsiTheme="minorHAnsi" w:cstheme="minorHAnsi"/>
          <w:color w:val="000000" w:themeColor="text1"/>
          <w:kern w:val="24"/>
          <w:sz w:val="22"/>
          <w:szCs w:val="22"/>
          <w:lang w:eastAsia="en-GB"/>
        </w:rPr>
        <w:t>free mass, the results of which are discussed in the following section.</w:t>
      </w:r>
    </w:p>
    <w:p w14:paraId="14B51A2F" w14:textId="77777777" w:rsidR="00C0428C" w:rsidRPr="00332C8B" w:rsidRDefault="00C0428C" w:rsidP="00F0414E">
      <w:pPr>
        <w:spacing w:line="480" w:lineRule="auto"/>
        <w:rPr>
          <w:rFonts w:asciiTheme="minorHAnsi" w:eastAsia="Calibri" w:hAnsiTheme="minorHAnsi" w:cstheme="minorHAnsi"/>
          <w:b/>
          <w:bCs/>
          <w:color w:val="000000" w:themeColor="text1"/>
          <w:sz w:val="22"/>
          <w:szCs w:val="22"/>
        </w:rPr>
      </w:pPr>
      <w:r w:rsidRPr="00332C8B">
        <w:rPr>
          <w:rFonts w:asciiTheme="minorHAnsi" w:eastAsia="Calibri" w:hAnsiTheme="minorHAnsi" w:cstheme="minorHAnsi"/>
          <w:b/>
          <w:bCs/>
          <w:color w:val="000000" w:themeColor="text1"/>
          <w:sz w:val="22"/>
          <w:szCs w:val="22"/>
        </w:rPr>
        <w:t>Table 2</w:t>
      </w:r>
    </w:p>
    <w:p w14:paraId="02BA3CFE" w14:textId="3D8E66BC" w:rsidR="00C0428C" w:rsidRPr="00332C8B" w:rsidRDefault="00C0428C" w:rsidP="00F0414E">
      <w:pPr>
        <w:spacing w:line="480" w:lineRule="auto"/>
        <w:rPr>
          <w:rFonts w:asciiTheme="minorHAnsi" w:eastAsia="Calibri" w:hAnsiTheme="minorHAnsi" w:cstheme="minorHAnsi"/>
          <w:color w:val="000000" w:themeColor="text1"/>
          <w:sz w:val="22"/>
          <w:szCs w:val="22"/>
        </w:rPr>
      </w:pPr>
      <w:r w:rsidRPr="00332C8B">
        <w:rPr>
          <w:rFonts w:asciiTheme="minorHAnsi" w:eastAsia="Calibri" w:hAnsiTheme="minorHAnsi" w:cstheme="minorHAnsi"/>
          <w:color w:val="000000" w:themeColor="text1"/>
          <w:sz w:val="22"/>
          <w:szCs w:val="22"/>
        </w:rPr>
        <w:t>Phase angle an</w:t>
      </w:r>
      <w:r w:rsidR="001706DA" w:rsidRPr="00332C8B">
        <w:rPr>
          <w:rFonts w:asciiTheme="minorHAnsi" w:eastAsia="Calibri" w:hAnsiTheme="minorHAnsi" w:cstheme="minorHAnsi"/>
          <w:color w:val="000000" w:themeColor="text1"/>
          <w:sz w:val="22"/>
          <w:szCs w:val="22"/>
        </w:rPr>
        <w:t>d</w:t>
      </w:r>
      <w:r w:rsidRPr="00332C8B">
        <w:rPr>
          <w:rFonts w:asciiTheme="minorHAnsi" w:eastAsia="Calibri" w:hAnsiTheme="minorHAnsi" w:cstheme="minorHAnsi"/>
          <w:color w:val="000000" w:themeColor="text1"/>
          <w:sz w:val="22"/>
          <w:szCs w:val="22"/>
        </w:rPr>
        <w:t xml:space="preserve"> post-operative complications</w:t>
      </w:r>
    </w:p>
    <w:p w14:paraId="1B0813C4" w14:textId="77777777" w:rsidR="0075032B" w:rsidRPr="00332C8B" w:rsidRDefault="0075032B" w:rsidP="00F0414E">
      <w:pPr>
        <w:spacing w:line="480" w:lineRule="auto"/>
        <w:rPr>
          <w:rFonts w:asciiTheme="minorHAnsi" w:eastAsia="Calibri" w:hAnsiTheme="minorHAnsi" w:cstheme="minorHAnsi"/>
          <w:color w:val="000000" w:themeColor="text1"/>
          <w:sz w:val="22"/>
          <w:szCs w:val="22"/>
        </w:rPr>
      </w:pPr>
    </w:p>
    <w:tbl>
      <w:tblPr>
        <w:tblStyle w:val="ListTable6Colorful1"/>
        <w:tblW w:w="5000" w:type="pct"/>
        <w:tblLook w:val="04A0" w:firstRow="1" w:lastRow="0" w:firstColumn="1" w:lastColumn="0" w:noHBand="0" w:noVBand="1"/>
      </w:tblPr>
      <w:tblGrid>
        <w:gridCol w:w="1137"/>
        <w:gridCol w:w="1161"/>
        <w:gridCol w:w="1621"/>
        <w:gridCol w:w="5323"/>
      </w:tblGrid>
      <w:tr w:rsidR="006D3BEE" w:rsidRPr="00332C8B" w14:paraId="7EF487CB" w14:textId="77777777" w:rsidTr="0075032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15" w:type="pct"/>
            <w:tcBorders>
              <w:top w:val="single" w:sz="12" w:space="0" w:color="auto"/>
              <w:bottom w:val="single" w:sz="12" w:space="0" w:color="auto"/>
            </w:tcBorders>
            <w:shd w:val="clear" w:color="auto" w:fill="auto"/>
            <w:vAlign w:val="center"/>
          </w:tcPr>
          <w:p w14:paraId="3DC28D6D" w14:textId="77777777" w:rsidR="006D3BEE" w:rsidRPr="00332C8B" w:rsidRDefault="006D3BEE" w:rsidP="00F0414E">
            <w:pPr>
              <w:spacing w:line="480" w:lineRule="auto"/>
              <w:jc w:val="center"/>
              <w:rPr>
                <w:rFonts w:asciiTheme="minorHAnsi" w:eastAsia="Calibri" w:hAnsiTheme="minorHAnsi" w:cstheme="minorHAnsi"/>
                <w:color w:val="000000" w:themeColor="text1"/>
                <w:sz w:val="20"/>
              </w:rPr>
            </w:pPr>
            <w:r w:rsidRPr="00332C8B">
              <w:rPr>
                <w:rFonts w:asciiTheme="minorHAnsi" w:eastAsia="Calibri" w:hAnsiTheme="minorHAnsi" w:cstheme="minorHAnsi"/>
                <w:color w:val="000000" w:themeColor="text1"/>
                <w:sz w:val="20"/>
              </w:rPr>
              <w:t>Author, Year</w:t>
            </w:r>
          </w:p>
        </w:tc>
        <w:tc>
          <w:tcPr>
            <w:tcW w:w="628" w:type="pct"/>
            <w:tcBorders>
              <w:top w:val="single" w:sz="12" w:space="0" w:color="auto"/>
              <w:bottom w:val="single" w:sz="12" w:space="0" w:color="auto"/>
            </w:tcBorders>
            <w:shd w:val="clear" w:color="auto" w:fill="auto"/>
            <w:vAlign w:val="center"/>
          </w:tcPr>
          <w:p w14:paraId="1D716F05" w14:textId="77777777" w:rsidR="006D3BEE" w:rsidRPr="00332C8B" w:rsidRDefault="006D3BEE" w:rsidP="00F0414E">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rPr>
            </w:pPr>
            <w:r w:rsidRPr="00332C8B">
              <w:rPr>
                <w:rFonts w:asciiTheme="minorHAnsi" w:eastAsia="Calibri" w:hAnsiTheme="minorHAnsi" w:cstheme="minorHAnsi"/>
                <w:color w:val="000000" w:themeColor="text1"/>
                <w:sz w:val="20"/>
              </w:rPr>
              <w:t>Specific cut-off</w:t>
            </w:r>
          </w:p>
        </w:tc>
        <w:tc>
          <w:tcPr>
            <w:tcW w:w="877" w:type="pct"/>
            <w:tcBorders>
              <w:top w:val="single" w:sz="12" w:space="0" w:color="auto"/>
              <w:bottom w:val="single" w:sz="12" w:space="0" w:color="auto"/>
            </w:tcBorders>
            <w:shd w:val="clear" w:color="auto" w:fill="auto"/>
            <w:vAlign w:val="center"/>
          </w:tcPr>
          <w:p w14:paraId="76D2EDED" w14:textId="552DA0EE" w:rsidR="006D3BEE" w:rsidRPr="00332C8B" w:rsidRDefault="006D3BEE" w:rsidP="00F0414E">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rPr>
            </w:pPr>
            <w:r w:rsidRPr="00332C8B">
              <w:rPr>
                <w:rFonts w:asciiTheme="minorHAnsi" w:eastAsia="Calibri" w:hAnsiTheme="minorHAnsi" w:cstheme="minorHAnsi"/>
                <w:color w:val="000000" w:themeColor="text1"/>
                <w:sz w:val="20"/>
              </w:rPr>
              <w:t>Association reported</w:t>
            </w:r>
          </w:p>
        </w:tc>
        <w:tc>
          <w:tcPr>
            <w:tcW w:w="2879" w:type="pct"/>
            <w:tcBorders>
              <w:top w:val="single" w:sz="12" w:space="0" w:color="auto"/>
              <w:bottom w:val="single" w:sz="12" w:space="0" w:color="auto"/>
            </w:tcBorders>
            <w:shd w:val="clear" w:color="auto" w:fill="auto"/>
            <w:vAlign w:val="center"/>
          </w:tcPr>
          <w:p w14:paraId="1CFBB251" w14:textId="53BF8EB7" w:rsidR="006D3BEE" w:rsidRPr="00332C8B" w:rsidRDefault="006D3BEE" w:rsidP="00F0414E">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rPr>
            </w:pPr>
            <w:r w:rsidRPr="00332C8B">
              <w:rPr>
                <w:rFonts w:asciiTheme="minorHAnsi" w:eastAsia="Calibri" w:hAnsiTheme="minorHAnsi" w:cstheme="minorHAnsi"/>
                <w:color w:val="000000" w:themeColor="text1"/>
                <w:sz w:val="20"/>
              </w:rPr>
              <w:t>Results</w:t>
            </w:r>
          </w:p>
        </w:tc>
      </w:tr>
      <w:tr w:rsidR="006D3BEE" w:rsidRPr="00332C8B" w14:paraId="71081B1D" w14:textId="77777777" w:rsidTr="0075032B">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615" w:type="pct"/>
            <w:shd w:val="clear" w:color="auto" w:fill="auto"/>
            <w:vAlign w:val="center"/>
          </w:tcPr>
          <w:p w14:paraId="3D00E135" w14:textId="7FF1C040" w:rsidR="006D3BEE" w:rsidRPr="00332C8B" w:rsidRDefault="006D3BEE" w:rsidP="00F0414E">
            <w:pPr>
              <w:spacing w:line="480" w:lineRule="auto"/>
              <w:jc w:val="center"/>
              <w:rPr>
                <w:rFonts w:asciiTheme="minorHAnsi" w:eastAsia="Calibri" w:hAnsiTheme="minorHAnsi" w:cstheme="minorHAnsi"/>
                <w:color w:val="000000" w:themeColor="text1"/>
                <w:sz w:val="20"/>
              </w:rPr>
            </w:pPr>
            <w:r w:rsidRPr="00332C8B">
              <w:rPr>
                <w:rFonts w:asciiTheme="minorHAnsi" w:eastAsia="Calibri" w:hAnsiTheme="minorHAnsi" w:cstheme="minorHAnsi"/>
                <w:color w:val="000000" w:themeColor="text1"/>
                <w:sz w:val="20"/>
              </w:rPr>
              <w:t>Mauricio, 2018</w:t>
            </w:r>
            <w:r w:rsidRPr="00332C8B">
              <w:rPr>
                <w:rFonts w:asciiTheme="minorHAnsi" w:eastAsia="Calibri" w:hAnsiTheme="minorHAnsi" w:cstheme="minorHAnsi"/>
                <w:color w:val="000000" w:themeColor="text1"/>
                <w:sz w:val="20"/>
              </w:rPr>
              <w:fldChar w:fldCharType="begin" w:fldLock="1"/>
            </w:r>
            <w:r w:rsidR="00F66CFF" w:rsidRPr="00332C8B">
              <w:rPr>
                <w:rFonts w:asciiTheme="minorHAnsi" w:eastAsia="Calibri" w:hAnsiTheme="minorHAnsi" w:cstheme="minorHAnsi"/>
                <w:color w:val="000000" w:themeColor="text1"/>
                <w:sz w:val="20"/>
              </w:rPr>
              <w:instrText>ADDIN CSL_CITATION {"citationItems":[{"id":"ITEM-1","itemData":{"DOI":"10.1016/j.clnu.2017.08.026","ISSN":"0261-5614","abstract":"Background &amp; aims: Malnutrition in patients with colorectal cancer contributes to increased postoperative complications. The aim of the study was to evaluate the prognostic value of several nutritional assessment parameters: body mass index versus percentage of weight loss grading system (BMI/%WL); Patient-Generated Subjective Global Assessment (PG-SGA); standardized phase angle (SPA) by BIA; muscle strength by handgrip strength; muscle mass by computerized tomography; and the combination of muscle mass and strength in patients undergoing resection surgery. Methods: Patients diagnosed with cancer of the colon or rectum, who were over 18 years old and were scheduled to undergo surgical treatment were invited to participate. Postoperative complications were assessed from the first day post-surgery until discharge. Complications classified as Grade II or above according to the Clavien-Dindo classification were considered. Chi-square test or Fisher's exact test, bivariate analysis, Poisson regression and receiver operator characteristic (ROC) curve were utilized and p &lt; 0.05 was considered significant. Results: 84 patients were evaluated, with 28 (33.3%) presenting with Grade II postoperative complications. SPA showed no association with postoperative complications (p = 0.199). In multivariate analysis, low skeletal muscle mass showed a relative risk (RR) of 1.80 (CI: 1.02-3.17), BMI/%WL equal or higher than grade 3 had a RR of 1.90 (95% CI: 1.22-3.39). PG-SGA classified as malnutrition showed a RR of 2.08 (95% CI: 1.06-4.06); and low muscle mass plus low muscle strength showed a RR 2.13 (95% CI: 1.23-3.69). Low strength alone was not associated with postoperative complications after controlling for confounding factors (p = 0.16; 95% CI: 0.83-2.77). Low muscle mass in combination with low strength showed the highest predictive power for postoperative complications (AUC: 0.68; CI: 0.56-0.80). Conclusions: BMI/%WL &gt; grade 3, PG-SGA defined malnutrition, low muscle mass and low muscle mass plus low strength were independent risk factors for complications controlling for confounding factors. However, low muscle mass in combination with low muscle strength were the strongest variables associated with complications. Clinical Trials identification number: NCT02901132 (www.clinicaltrials.gov).Copyright © 2017 Elsevier Ltd and European Society for Clinical Nutrition and Metabolism","author":[{"dropping-particle":"","family":"S.F.","given":"Mauricio","non-dropping-particle":"","parse-names":false,"suffix":""},{"dropping-particle":"","family":"J.","given":"Xiao","non-dropping-particle":"","parse-names":false,"suffix":""},{"dropping-particle":"","family":"C.M.","given":"Prado","non-dropping-particle":"","parse-names":false,"suffix":""},{"dropping-particle":"","family":"M.C.","given":"Gonzalez","non-dropping-particle":"","parse-names":false,"suffix":""},{"dropping-particle":"","family":"Maurício","given":"Sílvia Fernandes","non-dropping-particle":"","parse-names":false,"suffix":""},{"dropping-particle":"","family":"Xiao","given":"Jingjie","non-dropping-particle":"","parse-names":false,"suffix":""},{"dropping-particle":"","family":"Prado","given":"Carla M","non-dropping-particle":"","parse-names":false,"suffix":""},{"dropping-particle":"","family":"Gonzalez","given":"Maria Cristina","non-dropping-particle":"","parse-names":false,"suffix":""},{"dropping-particle":"","family":"Correia","given":"Maria Isabel Toulson Davisson","non-dropping-particle":"","parse-names":false,"suffix":""},{"dropping-particle":"","family":"Mauricio","given":"Silvia Fernandes","non-dropping-particle":"","parse-names":false,"suffix":""},{"dropping-particle":"","family":"Xiao","given":"Jingjie","non-dropping-particle":"","parse-names":false,"suffix":""},{"dropping-particle":"","family":"Prado","given":"Carla M","non-dropping-particle":"","parse-names":false,"suffix":""},{"dropping-particle":"","family":"Gonzalez","given":"Maria Cristina","non-dropping-particle":"","parse-names":false,"suffix":""},{"dropping-particle":"","family":"Toulson Davisson Correia","given":"Maria Isabel","non-dropping-particle":"","parse-names":false,"suffix":""}],"container-title":"Clinical Nutrition","id":"ITEM-1","issue":"5","issued":{"date-parts":[["2018","10"]]},"note":"From Duplicate 2 (Different nutritional assessment tools as predictors of postoperative complications in patients undergoing colorectal cancer resection. - Maurício, Sílvia Fernandes; Xiao, Jingjie; Prado, Carla M; Gonzalez, Maria Cristina; Correia, Maria Isabel Toulson Davisson)\n\nAccession Number: 131806549. Language: English. Entry Date: 20180924. Revision Date: 20180924. Publication Type: Article. Journal Subset: Allied Health; Biomedical; Continental Europe; Double Blind Peer Reviewed; Europe; Peer Reviewed. NLM UID: 8309603.","page":"1505-1511","publisher":"Elsevier B.V.","publisher-place":"Post-graduate Program on Surgery and Ophthalmology, Federal University of Minas Gerais, Belo Horizonte, Minas Gerais, Brazil","title":"Different nutritional assessment tools as predictors of postoperative complications in patients undergoing colorectal cancer resection","type":"article-journal","volume":"37"},"uris":["http://www.mendeley.com/documents/?uuid=204f43ab-b662-42ab-a81b-3ef41b0d9664"]}],"mendeley":{"formattedCitation":"[30]","plainTextFormattedCitation":"[30]","previouslyFormattedCitation":"[31]"},"properties":{"noteIndex":0},"schema":"https://github.com/citation-style-language/schema/raw/master/csl-citation.json"}</w:instrText>
            </w:r>
            <w:r w:rsidRPr="00332C8B">
              <w:rPr>
                <w:rFonts w:asciiTheme="minorHAnsi" w:eastAsia="Calibri" w:hAnsiTheme="minorHAnsi" w:cstheme="minorHAnsi"/>
                <w:color w:val="000000" w:themeColor="text1"/>
                <w:sz w:val="20"/>
              </w:rPr>
              <w:fldChar w:fldCharType="separate"/>
            </w:r>
            <w:r w:rsidR="00F66CFF" w:rsidRPr="00332C8B">
              <w:rPr>
                <w:rFonts w:asciiTheme="minorHAnsi" w:eastAsia="Calibri" w:hAnsiTheme="minorHAnsi" w:cstheme="minorHAnsi"/>
                <w:b w:val="0"/>
                <w:noProof/>
                <w:color w:val="000000" w:themeColor="text1"/>
                <w:sz w:val="20"/>
              </w:rPr>
              <w:t>[30]</w:t>
            </w:r>
            <w:r w:rsidRPr="00332C8B">
              <w:rPr>
                <w:rFonts w:asciiTheme="minorHAnsi" w:eastAsia="Calibri" w:hAnsiTheme="minorHAnsi" w:cstheme="minorHAnsi"/>
                <w:color w:val="000000" w:themeColor="text1"/>
                <w:sz w:val="20"/>
              </w:rPr>
              <w:fldChar w:fldCharType="end"/>
            </w:r>
          </w:p>
        </w:tc>
        <w:tc>
          <w:tcPr>
            <w:tcW w:w="628" w:type="pct"/>
            <w:shd w:val="clear" w:color="auto" w:fill="auto"/>
            <w:vAlign w:val="center"/>
          </w:tcPr>
          <w:p w14:paraId="6AEAB259" w14:textId="77777777" w:rsidR="0075032B" w:rsidRPr="00332C8B" w:rsidRDefault="006D3BEE"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rPr>
            </w:pPr>
            <w:r w:rsidRPr="00332C8B">
              <w:rPr>
                <w:rFonts w:asciiTheme="minorHAnsi" w:eastAsia="Calibri" w:hAnsiTheme="minorHAnsi" w:cstheme="minorHAnsi"/>
                <w:color w:val="000000" w:themeColor="text1"/>
                <w:sz w:val="20"/>
              </w:rPr>
              <w:t xml:space="preserve">SPA </w:t>
            </w:r>
            <w:r w:rsidRPr="00332C8B">
              <w:rPr>
                <w:rFonts w:asciiTheme="minorHAnsi" w:hAnsiTheme="minorHAnsi" w:cstheme="minorHAnsi"/>
                <w:kern w:val="24"/>
                <w:sz w:val="20"/>
                <w:lang w:eastAsia="en-GB"/>
              </w:rPr>
              <w:t>≤</w:t>
            </w:r>
            <w:r w:rsidRPr="00332C8B">
              <w:rPr>
                <w:rFonts w:asciiTheme="minorHAnsi" w:eastAsia="Calibri" w:hAnsiTheme="minorHAnsi" w:cstheme="minorHAnsi"/>
                <w:color w:val="000000" w:themeColor="text1"/>
                <w:sz w:val="20"/>
              </w:rPr>
              <w:t xml:space="preserve"> or &gt;</w:t>
            </w:r>
          </w:p>
          <w:p w14:paraId="73400A5F" w14:textId="15092E68" w:rsidR="006D3BEE" w:rsidRPr="00332C8B" w:rsidRDefault="006D3BEE"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4"/>
                <w:sz w:val="20"/>
                <w:lang w:eastAsia="en-GB"/>
              </w:rPr>
            </w:pPr>
            <w:r w:rsidRPr="00332C8B">
              <w:rPr>
                <w:rFonts w:asciiTheme="minorHAnsi" w:eastAsia="Calibri" w:hAnsiTheme="minorHAnsi" w:cstheme="minorHAnsi"/>
                <w:color w:val="000000" w:themeColor="text1"/>
                <w:sz w:val="20"/>
              </w:rPr>
              <w:t>-1.65</w:t>
            </w:r>
          </w:p>
        </w:tc>
        <w:tc>
          <w:tcPr>
            <w:tcW w:w="877" w:type="pct"/>
            <w:shd w:val="clear" w:color="auto" w:fill="auto"/>
            <w:vAlign w:val="center"/>
          </w:tcPr>
          <w:p w14:paraId="03DD47A4" w14:textId="05DA0E51" w:rsidR="006D3BEE" w:rsidRPr="00332C8B" w:rsidRDefault="006D3BEE"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4"/>
                <w:sz w:val="20"/>
                <w:lang w:eastAsia="en-GB"/>
              </w:rPr>
            </w:pPr>
            <w:r w:rsidRPr="00332C8B">
              <w:rPr>
                <w:rFonts w:asciiTheme="minorHAnsi" w:hAnsiTheme="minorHAnsi" w:cstheme="minorHAnsi"/>
                <w:kern w:val="24"/>
                <w:sz w:val="20"/>
                <w:lang w:eastAsia="en-GB"/>
              </w:rPr>
              <w:t>No</w:t>
            </w:r>
          </w:p>
        </w:tc>
        <w:tc>
          <w:tcPr>
            <w:tcW w:w="2879" w:type="pct"/>
            <w:shd w:val="clear" w:color="auto" w:fill="auto"/>
            <w:vAlign w:val="center"/>
          </w:tcPr>
          <w:p w14:paraId="443F87EB" w14:textId="116B05E7" w:rsidR="002D02B9" w:rsidRDefault="00C725ED"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4"/>
                <w:sz w:val="20"/>
                <w:lang w:eastAsia="en-GB"/>
              </w:rPr>
            </w:pPr>
            <w:r w:rsidRPr="00332C8B">
              <w:rPr>
                <w:rFonts w:asciiTheme="minorHAnsi" w:hAnsiTheme="minorHAnsi" w:cstheme="minorHAnsi"/>
                <w:kern w:val="24"/>
                <w:sz w:val="20"/>
                <w:lang w:eastAsia="en-GB"/>
              </w:rPr>
              <w:t>SPA ≤</w:t>
            </w:r>
            <w:r w:rsidR="006D3BEE" w:rsidRPr="00332C8B">
              <w:rPr>
                <w:rFonts w:asciiTheme="minorHAnsi" w:hAnsiTheme="minorHAnsi" w:cstheme="minorHAnsi"/>
                <w:kern w:val="24"/>
                <w:sz w:val="20"/>
                <w:lang w:eastAsia="en-GB"/>
              </w:rPr>
              <w:t xml:space="preserve"> -1.65 not associated with a higher rate of post-operative complications (RR 1.53, 95% CI</w:t>
            </w:r>
            <w:r w:rsidR="002D02B9">
              <w:rPr>
                <w:rFonts w:asciiTheme="minorHAnsi" w:hAnsiTheme="minorHAnsi" w:cstheme="minorHAnsi"/>
                <w:kern w:val="24"/>
                <w:sz w:val="20"/>
                <w:lang w:eastAsia="en-GB"/>
              </w:rPr>
              <w:t>:</w:t>
            </w:r>
            <w:r w:rsidR="006D3BEE" w:rsidRPr="00332C8B">
              <w:rPr>
                <w:rFonts w:asciiTheme="minorHAnsi" w:hAnsiTheme="minorHAnsi" w:cstheme="minorHAnsi"/>
                <w:kern w:val="24"/>
                <w:sz w:val="20"/>
                <w:lang w:eastAsia="en-GB"/>
              </w:rPr>
              <w:t xml:space="preserve"> 0.79-2.92</w:t>
            </w:r>
            <w:r w:rsidR="002D02B9">
              <w:rPr>
                <w:rFonts w:asciiTheme="minorHAnsi" w:hAnsiTheme="minorHAnsi" w:cstheme="minorHAnsi"/>
                <w:kern w:val="24"/>
                <w:sz w:val="20"/>
                <w:lang w:eastAsia="en-GB"/>
              </w:rPr>
              <w:t>;</w:t>
            </w:r>
            <w:r w:rsidR="006D3BEE" w:rsidRPr="00332C8B">
              <w:rPr>
                <w:rFonts w:asciiTheme="minorHAnsi" w:hAnsiTheme="minorHAnsi" w:cstheme="minorHAnsi"/>
                <w:kern w:val="24"/>
                <w:sz w:val="20"/>
                <w:lang w:eastAsia="en-GB"/>
              </w:rPr>
              <w:t xml:space="preserve"> </w:t>
            </w:r>
          </w:p>
          <w:p w14:paraId="35C210B7" w14:textId="3775FB89" w:rsidR="006D3BEE" w:rsidRPr="00332C8B" w:rsidRDefault="006D3BEE"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4"/>
                <w:sz w:val="20"/>
                <w:lang w:eastAsia="en-GB"/>
              </w:rPr>
            </w:pPr>
            <w:r w:rsidRPr="00332C8B">
              <w:rPr>
                <w:rFonts w:asciiTheme="minorHAnsi" w:hAnsiTheme="minorHAnsi" w:cstheme="minorHAnsi"/>
                <w:kern w:val="24"/>
                <w:sz w:val="20"/>
                <w:lang w:eastAsia="en-GB"/>
              </w:rPr>
              <w:t>p</w:t>
            </w:r>
            <w:r w:rsidR="002D02B9">
              <w:rPr>
                <w:rFonts w:asciiTheme="minorHAnsi" w:hAnsiTheme="minorHAnsi" w:cstheme="minorHAnsi"/>
                <w:kern w:val="24"/>
                <w:sz w:val="20"/>
                <w:lang w:eastAsia="en-GB"/>
              </w:rPr>
              <w:t xml:space="preserve"> </w:t>
            </w:r>
            <w:r w:rsidRPr="00332C8B">
              <w:rPr>
                <w:rFonts w:asciiTheme="minorHAnsi" w:hAnsiTheme="minorHAnsi" w:cstheme="minorHAnsi"/>
                <w:kern w:val="24"/>
                <w:sz w:val="20"/>
                <w:lang w:eastAsia="en-GB"/>
              </w:rPr>
              <w:t>=</w:t>
            </w:r>
            <w:r w:rsidR="002D02B9">
              <w:rPr>
                <w:rFonts w:asciiTheme="minorHAnsi" w:hAnsiTheme="minorHAnsi" w:cstheme="minorHAnsi"/>
                <w:kern w:val="24"/>
                <w:sz w:val="20"/>
                <w:lang w:eastAsia="en-GB"/>
              </w:rPr>
              <w:t xml:space="preserve"> </w:t>
            </w:r>
            <w:r w:rsidRPr="00332C8B">
              <w:rPr>
                <w:rFonts w:asciiTheme="minorHAnsi" w:hAnsiTheme="minorHAnsi" w:cstheme="minorHAnsi"/>
                <w:kern w:val="24"/>
                <w:sz w:val="20"/>
                <w:lang w:eastAsia="en-GB"/>
              </w:rPr>
              <w:t>0.199)</w:t>
            </w:r>
          </w:p>
        </w:tc>
      </w:tr>
      <w:tr w:rsidR="006D3BEE" w:rsidRPr="00332C8B" w14:paraId="136DD36A" w14:textId="77777777" w:rsidTr="0075032B">
        <w:trPr>
          <w:trHeight w:val="907"/>
        </w:trPr>
        <w:tc>
          <w:tcPr>
            <w:cnfStyle w:val="001000000000" w:firstRow="0" w:lastRow="0" w:firstColumn="1" w:lastColumn="0" w:oddVBand="0" w:evenVBand="0" w:oddHBand="0" w:evenHBand="0" w:firstRowFirstColumn="0" w:firstRowLastColumn="0" w:lastRowFirstColumn="0" w:lastRowLastColumn="0"/>
            <w:tcW w:w="615" w:type="pct"/>
            <w:shd w:val="clear" w:color="auto" w:fill="auto"/>
            <w:vAlign w:val="center"/>
          </w:tcPr>
          <w:p w14:paraId="060A63B2" w14:textId="61B801D9" w:rsidR="006D3BEE" w:rsidRPr="00332C8B" w:rsidRDefault="006D3BEE" w:rsidP="00F0414E">
            <w:pPr>
              <w:spacing w:line="480" w:lineRule="auto"/>
              <w:jc w:val="center"/>
              <w:rPr>
                <w:rFonts w:asciiTheme="minorHAnsi" w:eastAsia="Calibri" w:hAnsiTheme="minorHAnsi" w:cstheme="minorHAnsi"/>
                <w:color w:val="000000" w:themeColor="text1"/>
                <w:sz w:val="20"/>
              </w:rPr>
            </w:pPr>
            <w:r w:rsidRPr="00332C8B">
              <w:rPr>
                <w:rFonts w:asciiTheme="minorHAnsi" w:eastAsia="Calibri" w:hAnsiTheme="minorHAnsi" w:cstheme="minorHAnsi"/>
                <w:color w:val="000000" w:themeColor="text1"/>
                <w:sz w:val="20"/>
              </w:rPr>
              <w:t>Pena, 2018</w:t>
            </w:r>
            <w:r w:rsidRPr="00332C8B">
              <w:rPr>
                <w:rFonts w:asciiTheme="minorHAnsi" w:eastAsia="Calibri" w:hAnsiTheme="minorHAnsi" w:cstheme="minorHAnsi"/>
                <w:color w:val="000000" w:themeColor="text1"/>
                <w:sz w:val="20"/>
              </w:rPr>
              <w:fldChar w:fldCharType="begin" w:fldLock="1"/>
            </w:r>
            <w:r w:rsidR="00F66CFF" w:rsidRPr="00332C8B">
              <w:rPr>
                <w:rFonts w:asciiTheme="minorHAnsi" w:eastAsia="Calibri" w:hAnsiTheme="minorHAnsi" w:cstheme="minorHAnsi"/>
                <w:color w:val="000000" w:themeColor="text1"/>
                <w:sz w:val="20"/>
              </w:rPr>
              <w:instrText>ADDIN CSL_CITATION {"citationItems":[{"id":"ITEM-1","itemData":{"DOI":"https://dx.doi.org/10.1002/ncp.10110","ISSN":"1941-2452","abstract":"BACKGROUND: Different nutrition assessment tools in surgical cancer patients are used in clinical practice, which results in different prevalence rates of malnutrition. This may impact the interpretation of the association between nutrition status and clinical outcomes. Reduced standardized phase angle (SPA) values are associated with adverse outcomes in patients with cancer. Thus, it is important to assess the association of SPA with nutrition status and relate it to postoperative clinical outcomes., METHODS: This prospective observational study included 121 surgical cancer patients. Bioelectrical impedance analysis, subjective global assessment (SGA), anthropometric measurements, and assessment of muscle strength were used to provide nutrition diagnosis 1 day before surgery. The patients were followed for infectious and noninfectious postoperative complications from the first day after the operation until discharge or death., RESULTS: The prevalence of malnutrition was higher according to SGA (63.6%). Patients with an SPA &lt; -1.65 had a greater chance of being diagnosed as malnourished according to the SGA (3.66 [1.35-9.90]), midarm circumference (OR 4.24; CI95%; 1.72-10.43), midarm muscle area (OR 4.38; CI95%; 1.68-11.42), and low handgrip strength (3.84 [1.31-11.25]). Patients with an SPA &lt; -1.65 presented with more infectious complications (OR 4.19; CI95%; 1.52-11.53), but there was no association between SPA and other outcomes or death. SPA was the only significant predictor of infectious complications (AUC, 0.61; 95% CI, 0.51-0.71)., CONCLUSION: SPA was associated with different nutrition status parameters, and it was able to predict postoperative infectious complications.Copyright © 2018 American Society for Parenteral and Enteral Nutrition.","author":[{"dropping-particle":"","family":"Pena","given":"Natalia F","non-dropping-particle":"","parse-names":false,"suffix":""},{"dropping-particle":"","family":"Mauricio","given":"Silvia F","non-dropping-particle":"","parse-names":false,"suffix":""},{"dropping-particle":"","family":"Rodrigues","given":"Ana M S","non-dropping-particle":"","parse-names":false,"suffix":""},{"dropping-particle":"","family":"Carmo","given":"Ariene S","non-dropping-particle":"","parse-names":false,"suffix":""},{"dropping-particle":"","family":"Coury","given":"Nayara C","non-dropping-particle":"","parse-names":false,"suffix":""},{"dropping-particle":"","family":"Correia","given":"Maria I T D","non-dropping-particle":"","parse-names":false,"suffix":""},{"dropping-particle":"V","family":"Generoso","given":"Simone","non-dropping-particle":"","parse-names":false,"suffix":""}],"container-title":"Nutrition in clinical practice : official publication of the American Society for Parenteral and Enteral Nutrition","id":"ITEM-1","issued":{"date-parts":[["2018"]]},"publisher-place":"United States","title":"Association Between Standardized Phase Angle, Nutrition Status, and Clinical Outcomes in Surgical Cancer Patients.","type":"article-journal"},"uris":["http://www.mendeley.com/documents/?uuid=18b543ef-05e9-4a02-ba63-c32674dafbbc"]}],"mendeley":{"formattedCitation":"[39]","plainTextFormattedCitation":"[39]","previouslyFormattedCitation":"[40]"},"properties":{"noteIndex":0},"schema":"https://github.com/citation-style-language/schema/raw/master/csl-citation.json"}</w:instrText>
            </w:r>
            <w:r w:rsidRPr="00332C8B">
              <w:rPr>
                <w:rFonts w:asciiTheme="minorHAnsi" w:eastAsia="Calibri" w:hAnsiTheme="minorHAnsi" w:cstheme="minorHAnsi"/>
                <w:color w:val="000000" w:themeColor="text1"/>
                <w:sz w:val="20"/>
              </w:rPr>
              <w:fldChar w:fldCharType="separate"/>
            </w:r>
            <w:r w:rsidR="00F66CFF" w:rsidRPr="00332C8B">
              <w:rPr>
                <w:rFonts w:asciiTheme="minorHAnsi" w:eastAsia="Calibri" w:hAnsiTheme="minorHAnsi" w:cstheme="minorHAnsi"/>
                <w:b w:val="0"/>
                <w:noProof/>
                <w:color w:val="000000" w:themeColor="text1"/>
                <w:sz w:val="20"/>
              </w:rPr>
              <w:t>[39]</w:t>
            </w:r>
            <w:r w:rsidRPr="00332C8B">
              <w:rPr>
                <w:rFonts w:asciiTheme="minorHAnsi" w:eastAsia="Calibri" w:hAnsiTheme="minorHAnsi" w:cstheme="minorHAnsi"/>
                <w:color w:val="000000" w:themeColor="text1"/>
                <w:sz w:val="20"/>
              </w:rPr>
              <w:fldChar w:fldCharType="end"/>
            </w:r>
          </w:p>
        </w:tc>
        <w:tc>
          <w:tcPr>
            <w:tcW w:w="628" w:type="pct"/>
            <w:shd w:val="clear" w:color="auto" w:fill="auto"/>
            <w:vAlign w:val="center"/>
          </w:tcPr>
          <w:p w14:paraId="5191AB76" w14:textId="77777777" w:rsidR="0075032B" w:rsidRPr="00332C8B" w:rsidRDefault="006D3BEE"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4"/>
                <w:sz w:val="20"/>
                <w:lang w:eastAsia="en-GB"/>
              </w:rPr>
            </w:pPr>
            <w:r w:rsidRPr="00332C8B">
              <w:rPr>
                <w:rFonts w:asciiTheme="minorHAnsi" w:hAnsiTheme="minorHAnsi" w:cstheme="minorHAnsi"/>
                <w:kern w:val="24"/>
                <w:sz w:val="20"/>
                <w:lang w:eastAsia="en-GB"/>
              </w:rPr>
              <w:t xml:space="preserve">SPA ≤ or </w:t>
            </w:r>
            <w:r w:rsidR="0075032B" w:rsidRPr="00332C8B">
              <w:rPr>
                <w:rFonts w:asciiTheme="minorHAnsi" w:hAnsiTheme="minorHAnsi" w:cstheme="minorHAnsi"/>
                <w:kern w:val="24"/>
                <w:sz w:val="20"/>
                <w:lang w:eastAsia="en-GB"/>
              </w:rPr>
              <w:t>&gt;</w:t>
            </w:r>
          </w:p>
          <w:p w14:paraId="1C88B605" w14:textId="0A02E090" w:rsidR="006D3BEE" w:rsidRPr="00332C8B" w:rsidRDefault="0075032B"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rPr>
            </w:pPr>
            <w:r w:rsidRPr="00332C8B">
              <w:rPr>
                <w:rFonts w:asciiTheme="minorHAnsi" w:hAnsiTheme="minorHAnsi" w:cstheme="minorHAnsi"/>
                <w:kern w:val="24"/>
                <w:sz w:val="20"/>
                <w:lang w:eastAsia="en-GB"/>
              </w:rPr>
              <w:t>-</w:t>
            </w:r>
            <w:r w:rsidR="006D3BEE" w:rsidRPr="00332C8B">
              <w:rPr>
                <w:rFonts w:asciiTheme="minorHAnsi" w:hAnsiTheme="minorHAnsi" w:cstheme="minorHAnsi"/>
                <w:kern w:val="24"/>
                <w:sz w:val="20"/>
                <w:lang w:eastAsia="en-GB"/>
              </w:rPr>
              <w:t>1.65</w:t>
            </w:r>
          </w:p>
        </w:tc>
        <w:tc>
          <w:tcPr>
            <w:tcW w:w="877" w:type="pct"/>
            <w:shd w:val="clear" w:color="auto" w:fill="auto"/>
            <w:vAlign w:val="center"/>
          </w:tcPr>
          <w:p w14:paraId="604B493F" w14:textId="75DB0B3C" w:rsidR="006D3BEE" w:rsidRPr="00332C8B" w:rsidRDefault="006D3BEE"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4"/>
                <w:sz w:val="20"/>
                <w:lang w:eastAsia="en-GB"/>
              </w:rPr>
            </w:pPr>
            <w:r w:rsidRPr="00332C8B">
              <w:rPr>
                <w:rFonts w:asciiTheme="minorHAnsi" w:hAnsiTheme="minorHAnsi" w:cstheme="minorHAnsi"/>
                <w:kern w:val="24"/>
                <w:sz w:val="20"/>
                <w:lang w:eastAsia="en-GB"/>
              </w:rPr>
              <w:t>Yes</w:t>
            </w:r>
          </w:p>
        </w:tc>
        <w:tc>
          <w:tcPr>
            <w:tcW w:w="2879" w:type="pct"/>
            <w:shd w:val="clear" w:color="auto" w:fill="auto"/>
            <w:vAlign w:val="center"/>
          </w:tcPr>
          <w:p w14:paraId="0F290BC1" w14:textId="52F3CF4B" w:rsidR="006D3BEE" w:rsidRPr="00332C8B" w:rsidRDefault="00C725ED"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4"/>
                <w:sz w:val="20"/>
                <w:lang w:eastAsia="en-GB"/>
              </w:rPr>
            </w:pPr>
            <w:r w:rsidRPr="00332C8B">
              <w:rPr>
                <w:rFonts w:asciiTheme="minorHAnsi" w:hAnsiTheme="minorHAnsi" w:cstheme="minorHAnsi"/>
                <w:kern w:val="24"/>
                <w:sz w:val="20"/>
                <w:lang w:eastAsia="en-GB"/>
              </w:rPr>
              <w:t>SPA ≤ -</w:t>
            </w:r>
            <w:r w:rsidR="006D3BEE" w:rsidRPr="00332C8B">
              <w:rPr>
                <w:rFonts w:asciiTheme="minorHAnsi" w:hAnsiTheme="minorHAnsi" w:cstheme="minorHAnsi"/>
                <w:kern w:val="24"/>
                <w:sz w:val="20"/>
                <w:lang w:eastAsia="en-GB"/>
              </w:rPr>
              <w:t>1.65 associated with a higher rate of post-operative complications</w:t>
            </w:r>
          </w:p>
          <w:p w14:paraId="34B4B418" w14:textId="51CE1CB3" w:rsidR="006D3BEE" w:rsidRPr="00332C8B" w:rsidRDefault="006D3BE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rPr>
            </w:pPr>
            <w:r w:rsidRPr="00332C8B">
              <w:rPr>
                <w:rFonts w:asciiTheme="minorHAnsi" w:hAnsiTheme="minorHAnsi" w:cstheme="minorHAnsi"/>
                <w:kern w:val="24"/>
                <w:sz w:val="20"/>
                <w:lang w:eastAsia="en-GB"/>
              </w:rPr>
              <w:t>(OR 4.19, 95% CI</w:t>
            </w:r>
            <w:r w:rsidR="002D02B9">
              <w:rPr>
                <w:rFonts w:asciiTheme="minorHAnsi" w:hAnsiTheme="minorHAnsi" w:cstheme="minorHAnsi"/>
                <w:kern w:val="24"/>
                <w:sz w:val="20"/>
                <w:lang w:eastAsia="en-GB"/>
              </w:rPr>
              <w:t>:</w:t>
            </w:r>
            <w:r w:rsidRPr="00332C8B">
              <w:rPr>
                <w:rFonts w:asciiTheme="minorHAnsi" w:hAnsiTheme="minorHAnsi" w:cstheme="minorHAnsi"/>
                <w:kern w:val="24"/>
                <w:sz w:val="20"/>
                <w:lang w:eastAsia="en-GB"/>
              </w:rPr>
              <w:t xml:space="preserve"> 1.52-11.53</w:t>
            </w:r>
            <w:r w:rsidR="002D02B9">
              <w:rPr>
                <w:rFonts w:asciiTheme="minorHAnsi" w:hAnsiTheme="minorHAnsi" w:cstheme="minorHAnsi"/>
                <w:kern w:val="24"/>
                <w:sz w:val="20"/>
                <w:lang w:eastAsia="en-GB"/>
              </w:rPr>
              <w:t>;</w:t>
            </w:r>
            <w:r w:rsidRPr="00332C8B">
              <w:rPr>
                <w:rFonts w:asciiTheme="minorHAnsi" w:hAnsiTheme="minorHAnsi" w:cstheme="minorHAnsi"/>
                <w:kern w:val="24"/>
                <w:sz w:val="20"/>
                <w:lang w:eastAsia="en-GB"/>
              </w:rPr>
              <w:t xml:space="preserve"> p</w:t>
            </w:r>
            <w:r w:rsidR="002D02B9">
              <w:rPr>
                <w:rFonts w:asciiTheme="minorHAnsi" w:hAnsiTheme="minorHAnsi" w:cstheme="minorHAnsi"/>
                <w:kern w:val="24"/>
                <w:sz w:val="20"/>
                <w:lang w:eastAsia="en-GB"/>
              </w:rPr>
              <w:t xml:space="preserve"> </w:t>
            </w:r>
            <w:r w:rsidRPr="00332C8B">
              <w:rPr>
                <w:rFonts w:asciiTheme="minorHAnsi" w:hAnsiTheme="minorHAnsi" w:cstheme="minorHAnsi"/>
                <w:kern w:val="24"/>
                <w:sz w:val="20"/>
                <w:lang w:eastAsia="en-GB"/>
              </w:rPr>
              <w:t>=</w:t>
            </w:r>
            <w:r w:rsidR="002D02B9">
              <w:rPr>
                <w:rFonts w:asciiTheme="minorHAnsi" w:hAnsiTheme="minorHAnsi" w:cstheme="minorHAnsi"/>
                <w:kern w:val="24"/>
                <w:sz w:val="20"/>
                <w:lang w:eastAsia="en-GB"/>
              </w:rPr>
              <w:t xml:space="preserve"> </w:t>
            </w:r>
            <w:r w:rsidRPr="00332C8B">
              <w:rPr>
                <w:rFonts w:asciiTheme="minorHAnsi" w:hAnsiTheme="minorHAnsi" w:cstheme="minorHAnsi"/>
                <w:kern w:val="24"/>
                <w:sz w:val="20"/>
                <w:lang w:eastAsia="en-GB"/>
              </w:rPr>
              <w:t>0.006)</w:t>
            </w:r>
          </w:p>
        </w:tc>
      </w:tr>
      <w:tr w:rsidR="006D3BEE" w:rsidRPr="00332C8B" w14:paraId="7C575FD0" w14:textId="77777777" w:rsidTr="0075032B">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615" w:type="pct"/>
            <w:shd w:val="clear" w:color="auto" w:fill="auto"/>
            <w:vAlign w:val="center"/>
          </w:tcPr>
          <w:p w14:paraId="7754430D" w14:textId="554B76C2" w:rsidR="006D3BEE" w:rsidRPr="00332C8B" w:rsidRDefault="006D3BEE" w:rsidP="00F0414E">
            <w:pPr>
              <w:spacing w:line="480" w:lineRule="auto"/>
              <w:jc w:val="center"/>
              <w:rPr>
                <w:rFonts w:asciiTheme="minorHAnsi" w:eastAsia="Calibri" w:hAnsiTheme="minorHAnsi" w:cstheme="minorHAnsi"/>
                <w:color w:val="000000" w:themeColor="text1"/>
                <w:sz w:val="20"/>
              </w:rPr>
            </w:pPr>
            <w:r w:rsidRPr="00332C8B">
              <w:rPr>
                <w:rFonts w:asciiTheme="minorHAnsi" w:eastAsia="Calibri" w:hAnsiTheme="minorHAnsi" w:cstheme="minorHAnsi"/>
                <w:color w:val="000000" w:themeColor="text1"/>
                <w:sz w:val="20"/>
              </w:rPr>
              <w:t>Uccella, 2018</w:t>
            </w:r>
            <w:r w:rsidRPr="00332C8B">
              <w:rPr>
                <w:rFonts w:asciiTheme="minorHAnsi" w:eastAsia="Calibri" w:hAnsiTheme="minorHAnsi" w:cstheme="minorHAnsi"/>
                <w:color w:val="000000" w:themeColor="text1"/>
                <w:sz w:val="20"/>
              </w:rPr>
              <w:fldChar w:fldCharType="begin" w:fldLock="1"/>
            </w:r>
            <w:r w:rsidR="00F66CFF" w:rsidRPr="00332C8B">
              <w:rPr>
                <w:rFonts w:asciiTheme="minorHAnsi" w:eastAsia="Calibri" w:hAnsiTheme="minorHAnsi" w:cstheme="minorHAnsi"/>
                <w:color w:val="000000" w:themeColor="text1"/>
                <w:sz w:val="20"/>
              </w:rPr>
              <w:instrText>ADDIN CSL_CITATION {"citationItems":[{"id":"ITEM-1","itemData":{"DOI":"http://dx.doi.org/10.1016/j.ygyno.2018.03.044","ISSN":"0090-8258","abstract":"Objective: To investigate whether patients' altered body composition (measured with bioimpedentiometry), due to a poor nutritional status, predicts the incidence of no residual disease at primary debulking and the risk of complications in patients with newly-diagnosed advanced epithelial ovarian cancer (EOC). Methods: Data regarding patients with newly-diagnosed stage IIIC-IV EOC undergoing elective nutritional assessment between December 2016 and March 2017, were prospectively collected. Bioelectrical impedance analysis (BIA) with measurement of BIA-derived phase angle [PhA] at 50 KHz, was accomplished. Only patients with disease which was considered resectable at staging laparoscopy were submitted to open primary cytoreduction. The rate of residual tumor (RT) = 0 and the incidence of complications were assessed. Results: Seventy patients were included. Fifty-two of them were submitted to primary cytoreduction (74.3%) and 48 (68.6% of the entire cohort, 92.3% of those who underwent primary debulking) had RT = 0 at the end of surgery. Median values of PhA were significantly lower in patients with RT &gt; vs. =0 (4.7, range: 3.6-5.8 vs. 5.3, range: 4.2-6.8; p = 0.001). Twenty-four (out of the 52 operated) patients (46.2%) developed at least one complication. PhA was significantly lower in patients with vs. without complications (5, range: 3.6-6.4, vs. 5.4, range 4.5-6.8; p = 0.03). After multivariable analysis, Fagotti score and PhA were the only independent predictors of residual disease (OR:13.56; 95%CI:1.33-137.6; p = 0.027 and 9.24; 1.16-73.43; p = 0.036, respectively) and of any complication (OR:4.9;95%CI:1.17-20.6; p = 0.03 and 7.27; 1.45-36.4; p = 0.01, respectively). Conclusions: Derangement of body composition (likely due to disease-related malnutrition) expressed as a low phase angle, is an independent predictor of residual disease and peri-operative complications at the time of upfront cytoreduction for advanced EOC.Copyright © 2018 Elsevier Inc.","author":[{"dropping-particle":"","family":"S.","given":"Uccella","non-dropping-particle":"","parse-names":false,"suffix":""},{"dropping-particle":"","family":"M.C.","given":"Mele","non-dropping-particle":"","parse-names":false,"suffix":""},{"dropping-particle":"","family":"L.","given":"Quagliozzi","non-dropping-particle":"","parse-names":false,"suffix":""},{"dropping-particle":"","family":"E.","given":"Rinninella","non-dropping-particle":"","parse-names":false,"suffix":""},{"dropping-particle":"","family":"C.","given":"Nero","non-dropping-particle":"","parse-names":false,"suffix":""},{"dropping-particle":"","family":"S.","given":"Cappuccio","non-dropping-particle":"","parse-names":false,"suffix":""},{"dropping-particle":"","family":"M.","given":"Cintoni","non-dropping-particle":"","parse-names":false,"suffix":""},{"dropping-particle":"","family":"A.","given":"Gasbarrini","non-dropping-particle":"","parse-names":false,"suffix":""},{"dropping-particle":"","family":"G.","given":"Scambia","non-dropping-particle":"","parse-names":false,"suffix":""},{"dropping-particle":"","family":"Fagotti A.  AO  - Uccella  Marco; ORCID: http://orcid.org/0000-0002-9610-0748 AO  - Nero, Camilla; ORCID: http://orcid.org/0000-0002-4442-4046","given":"Stefano; ORCID: http://orcid.org/0000-0002-4456-0822 A O - Cintoni","non-dropping-particle":"","parse-names":false,"suffix":""}],"container-title":"Gynecologic Oncology","id":"ITEM-1","issue":"2","issued":{"date-parts":[["2018"]]},"page":"263-269","publisher":"Academic Press Inc. (E-mail: apjcs@harcourt.com)","publisher-place":"S. Uccella, Department of Woman and Child Health, Fondazione Policlinico Agostino Gemelli, Rome, Italy. E-mail: stefucc@libero.it","title":"Assessment of preoperative nutritional status using BIA-derived phase angle (PhA) in patients with advanced ovarian cancer: Correlation with the extent of cytoreduction and complications","type":"article-journal","volume":"149"},"uris":["http://www.mendeley.com/documents/?uuid=740bc537-bfc4-43b1-b3c3-2ed9e7133df6"]}],"mendeley":{"formattedCitation":"[36]","plainTextFormattedCitation":"[36]","previouslyFormattedCitation":"[37]"},"properties":{"noteIndex":0},"schema":"https://github.com/citation-style-language/schema/raw/master/csl-citation.json"}</w:instrText>
            </w:r>
            <w:r w:rsidRPr="00332C8B">
              <w:rPr>
                <w:rFonts w:asciiTheme="minorHAnsi" w:eastAsia="Calibri" w:hAnsiTheme="minorHAnsi" w:cstheme="minorHAnsi"/>
                <w:color w:val="000000" w:themeColor="text1"/>
                <w:sz w:val="20"/>
              </w:rPr>
              <w:fldChar w:fldCharType="separate"/>
            </w:r>
            <w:r w:rsidR="00F66CFF" w:rsidRPr="00332C8B">
              <w:rPr>
                <w:rFonts w:asciiTheme="minorHAnsi" w:eastAsia="Calibri" w:hAnsiTheme="minorHAnsi" w:cstheme="minorHAnsi"/>
                <w:b w:val="0"/>
                <w:noProof/>
                <w:color w:val="000000" w:themeColor="text1"/>
                <w:sz w:val="20"/>
              </w:rPr>
              <w:t>[36]</w:t>
            </w:r>
            <w:r w:rsidRPr="00332C8B">
              <w:rPr>
                <w:rFonts w:asciiTheme="minorHAnsi" w:eastAsia="Calibri" w:hAnsiTheme="minorHAnsi" w:cstheme="minorHAnsi"/>
                <w:color w:val="000000" w:themeColor="text1"/>
                <w:sz w:val="20"/>
              </w:rPr>
              <w:fldChar w:fldCharType="end"/>
            </w:r>
          </w:p>
        </w:tc>
        <w:tc>
          <w:tcPr>
            <w:tcW w:w="628" w:type="pct"/>
            <w:shd w:val="clear" w:color="auto" w:fill="auto"/>
            <w:vAlign w:val="center"/>
          </w:tcPr>
          <w:p w14:paraId="0849FBF5" w14:textId="008CC41F" w:rsidR="006D3BEE" w:rsidRPr="00332C8B" w:rsidRDefault="006D3BEE"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rPr>
            </w:pPr>
            <w:r w:rsidRPr="00332C8B">
              <w:rPr>
                <w:rFonts w:asciiTheme="minorHAnsi" w:eastAsia="Calibri" w:hAnsiTheme="minorHAnsi" w:cstheme="minorHAnsi"/>
                <w:color w:val="000000" w:themeColor="text1"/>
                <w:sz w:val="20"/>
              </w:rPr>
              <w:t>-</w:t>
            </w:r>
          </w:p>
        </w:tc>
        <w:tc>
          <w:tcPr>
            <w:tcW w:w="877" w:type="pct"/>
            <w:shd w:val="clear" w:color="auto" w:fill="auto"/>
            <w:vAlign w:val="center"/>
          </w:tcPr>
          <w:p w14:paraId="6AB467EB" w14:textId="09A9430C" w:rsidR="006D3BEE" w:rsidRPr="00332C8B" w:rsidRDefault="006D3BEE"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kern w:val="24"/>
                <w:sz w:val="20"/>
                <w:lang w:eastAsia="en-GB"/>
              </w:rPr>
            </w:pPr>
            <w:r w:rsidRPr="00332C8B">
              <w:rPr>
                <w:rFonts w:asciiTheme="minorHAnsi" w:eastAsia="Calibri" w:hAnsiTheme="minorHAnsi" w:cstheme="minorHAnsi"/>
                <w:kern w:val="24"/>
                <w:sz w:val="20"/>
                <w:lang w:eastAsia="en-GB"/>
              </w:rPr>
              <w:t>Yes</w:t>
            </w:r>
          </w:p>
        </w:tc>
        <w:tc>
          <w:tcPr>
            <w:tcW w:w="2879" w:type="pct"/>
            <w:shd w:val="clear" w:color="auto" w:fill="auto"/>
            <w:vAlign w:val="center"/>
          </w:tcPr>
          <w:p w14:paraId="3B9249D5" w14:textId="4B352EF2" w:rsidR="006D3BEE" w:rsidRPr="00332C8B" w:rsidRDefault="00C725ED"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4"/>
                <w:sz w:val="20"/>
                <w:lang w:eastAsia="en-GB"/>
              </w:rPr>
            </w:pPr>
            <w:r w:rsidRPr="00332C8B">
              <w:rPr>
                <w:rFonts w:asciiTheme="minorHAnsi" w:hAnsiTheme="minorHAnsi" w:cstheme="minorHAnsi"/>
                <w:kern w:val="24"/>
                <w:sz w:val="20"/>
                <w:lang w:eastAsia="en-GB"/>
              </w:rPr>
              <w:t xml:space="preserve">PA </w:t>
            </w:r>
            <w:r w:rsidR="006D3BEE" w:rsidRPr="00332C8B">
              <w:rPr>
                <w:rFonts w:asciiTheme="minorHAnsi" w:hAnsiTheme="minorHAnsi" w:cstheme="minorHAnsi"/>
                <w:kern w:val="24"/>
                <w:sz w:val="20"/>
                <w:lang w:eastAsia="en-GB"/>
              </w:rPr>
              <w:t>lower in patients who experience</w:t>
            </w:r>
            <w:r w:rsidRPr="00332C8B">
              <w:rPr>
                <w:rFonts w:asciiTheme="minorHAnsi" w:hAnsiTheme="minorHAnsi" w:cstheme="minorHAnsi"/>
                <w:kern w:val="24"/>
                <w:sz w:val="20"/>
                <w:lang w:eastAsia="en-GB"/>
              </w:rPr>
              <w:t>d</w:t>
            </w:r>
            <w:r w:rsidR="006D3BEE" w:rsidRPr="00332C8B">
              <w:rPr>
                <w:rFonts w:asciiTheme="minorHAnsi" w:hAnsiTheme="minorHAnsi" w:cstheme="minorHAnsi"/>
                <w:kern w:val="24"/>
                <w:sz w:val="20"/>
                <w:lang w:eastAsia="en-GB"/>
              </w:rPr>
              <w:t xml:space="preserve"> a post-operative complication</w:t>
            </w:r>
          </w:p>
          <w:p w14:paraId="3550EB15" w14:textId="2585AF7C" w:rsidR="006D3BEE" w:rsidRPr="00332C8B" w:rsidRDefault="006D3BE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rPr>
            </w:pPr>
            <w:r w:rsidRPr="00332C8B">
              <w:rPr>
                <w:rFonts w:asciiTheme="minorHAnsi" w:eastAsia="Calibri" w:hAnsiTheme="minorHAnsi" w:cstheme="minorHAnsi"/>
                <w:kern w:val="24"/>
                <w:sz w:val="20"/>
                <w:lang w:eastAsia="en-GB"/>
              </w:rPr>
              <w:t>(</w:t>
            </w:r>
            <w:r w:rsidRPr="00332C8B">
              <w:rPr>
                <w:rFonts w:asciiTheme="minorHAnsi" w:hAnsiTheme="minorHAnsi" w:cstheme="minorHAnsi"/>
                <w:kern w:val="24"/>
                <w:sz w:val="20"/>
                <w:lang w:eastAsia="en-GB"/>
              </w:rPr>
              <w:t>5° vs</w:t>
            </w:r>
            <w:r w:rsidR="00C732F4">
              <w:rPr>
                <w:rFonts w:asciiTheme="minorHAnsi" w:hAnsiTheme="minorHAnsi" w:cstheme="minorHAnsi"/>
                <w:kern w:val="24"/>
                <w:sz w:val="20"/>
                <w:lang w:eastAsia="en-GB"/>
              </w:rPr>
              <w:t>.</w:t>
            </w:r>
            <w:r w:rsidRPr="00332C8B">
              <w:rPr>
                <w:rFonts w:asciiTheme="minorHAnsi" w:hAnsiTheme="minorHAnsi" w:cstheme="minorHAnsi"/>
                <w:kern w:val="24"/>
                <w:sz w:val="20"/>
                <w:lang w:eastAsia="en-GB"/>
              </w:rPr>
              <w:t xml:space="preserve"> 5.4°, p</w:t>
            </w:r>
            <w:r w:rsidR="002D02B9">
              <w:rPr>
                <w:rFonts w:asciiTheme="minorHAnsi" w:hAnsiTheme="minorHAnsi" w:cstheme="minorHAnsi"/>
                <w:kern w:val="24"/>
                <w:sz w:val="20"/>
                <w:lang w:eastAsia="en-GB"/>
              </w:rPr>
              <w:t xml:space="preserve"> </w:t>
            </w:r>
            <w:r w:rsidRPr="00332C8B">
              <w:rPr>
                <w:rFonts w:asciiTheme="minorHAnsi" w:hAnsiTheme="minorHAnsi" w:cstheme="minorHAnsi"/>
                <w:kern w:val="24"/>
                <w:sz w:val="20"/>
                <w:lang w:eastAsia="en-GB"/>
              </w:rPr>
              <w:t>=</w:t>
            </w:r>
            <w:r w:rsidR="002D02B9">
              <w:rPr>
                <w:rFonts w:asciiTheme="minorHAnsi" w:hAnsiTheme="minorHAnsi" w:cstheme="minorHAnsi"/>
                <w:kern w:val="24"/>
                <w:sz w:val="20"/>
                <w:lang w:eastAsia="en-GB"/>
              </w:rPr>
              <w:t xml:space="preserve"> </w:t>
            </w:r>
            <w:r w:rsidRPr="00332C8B">
              <w:rPr>
                <w:rFonts w:asciiTheme="minorHAnsi" w:hAnsiTheme="minorHAnsi" w:cstheme="minorHAnsi"/>
                <w:kern w:val="24"/>
                <w:sz w:val="20"/>
                <w:lang w:eastAsia="en-GB"/>
              </w:rPr>
              <w:t>0.03)</w:t>
            </w:r>
          </w:p>
        </w:tc>
      </w:tr>
      <w:tr w:rsidR="006D3BEE" w:rsidRPr="00332C8B" w14:paraId="28EA44BF" w14:textId="77777777" w:rsidTr="0075032B">
        <w:trPr>
          <w:trHeight w:val="907"/>
        </w:trPr>
        <w:tc>
          <w:tcPr>
            <w:cnfStyle w:val="001000000000" w:firstRow="0" w:lastRow="0" w:firstColumn="1" w:lastColumn="0" w:oddVBand="0" w:evenVBand="0" w:oddHBand="0" w:evenHBand="0" w:firstRowFirstColumn="0" w:firstRowLastColumn="0" w:lastRowFirstColumn="0" w:lastRowLastColumn="0"/>
            <w:tcW w:w="615" w:type="pct"/>
            <w:shd w:val="clear" w:color="auto" w:fill="auto"/>
            <w:vAlign w:val="center"/>
          </w:tcPr>
          <w:p w14:paraId="3F03B0F0" w14:textId="7F9A2965" w:rsidR="006D3BEE" w:rsidRPr="00332C8B" w:rsidRDefault="006D3BEE" w:rsidP="00F0414E">
            <w:pPr>
              <w:spacing w:line="480" w:lineRule="auto"/>
              <w:jc w:val="center"/>
              <w:rPr>
                <w:rFonts w:asciiTheme="minorHAnsi" w:eastAsia="Calibri" w:hAnsiTheme="minorHAnsi" w:cstheme="minorHAnsi"/>
                <w:color w:val="000000" w:themeColor="text1"/>
                <w:sz w:val="20"/>
              </w:rPr>
            </w:pPr>
            <w:r w:rsidRPr="00332C8B">
              <w:rPr>
                <w:rFonts w:asciiTheme="minorHAnsi" w:eastAsia="Calibri" w:hAnsiTheme="minorHAnsi" w:cstheme="minorHAnsi"/>
                <w:color w:val="000000" w:themeColor="text1"/>
                <w:sz w:val="20"/>
              </w:rPr>
              <w:t>Cardoso, 2017</w:t>
            </w:r>
            <w:r w:rsidRPr="00332C8B">
              <w:rPr>
                <w:rFonts w:asciiTheme="minorHAnsi" w:eastAsia="Calibri" w:hAnsiTheme="minorHAnsi" w:cstheme="minorHAnsi"/>
                <w:color w:val="000000" w:themeColor="text1"/>
                <w:sz w:val="20"/>
              </w:rPr>
              <w:fldChar w:fldCharType="begin" w:fldLock="1"/>
            </w:r>
            <w:r w:rsidR="00F66CFF" w:rsidRPr="00332C8B">
              <w:rPr>
                <w:rFonts w:asciiTheme="minorHAnsi" w:eastAsia="Calibri" w:hAnsiTheme="minorHAnsi" w:cstheme="minorHAnsi"/>
                <w:color w:val="000000" w:themeColor="text1"/>
                <w:sz w:val="20"/>
              </w:rPr>
              <w:instrText>ADDIN CSL_CITATION {"citationItems":[{"id":"ITEM-1","itemData":{"DOI":"http://dx.doi.org/10.1038/ejcn.2017.115","ISSN":"0954-3007","abstract":"BACKGROUND/OBJECTIVES: Bioelectrical impedance vector analysis (BIVA) has been considered a promising technique in monitoring the nutritional and hydration status of patients with different types of diseases. The aim of this study was to assess the nutritional status provided by direct parameters of bioelectrical impedance analysis (BIA), BIVA and phase angle (PA), in patients with cervical and endometrial cancer undergoing surgical treatment, associating to other parameters of nutritional status and surgical outcomes. SUBJECTS/METHODS: In a prospective cohort, 208 women eligible to surgical treatment, admitted from January to December 2015, were enrolled. Patients were assessed according to the body mass index (BMI), Patient Generated Subjective Global Assessment (PG-SGA) and BIA. The PA was categorized as below and above percentiles 25 and 50 of studied population. RESULTS: According to BMI and PG-SGA, most of them were classified as obese (69%) and well nourished (84%), respectively. PA was significantly lower in patients with endometrial cancer, PG-SGA B or C, and in those who remained longer in hospital. PA below 25th percentile was also associated with surgical complications. Comparison of BIVA detachment of our population with a reference population showed significant impedance vector displacement, characterized by decreased reactance value and increased resistance value in our group of patients. CONCLUSIONS: PA was associated with other parameters of nutritional status and surgical outcomes. BIVA was associated with nutritional status and length of hospital, but did not present significant result for surgical complications.Copyright © 2017 Macmillan Publishers Limited, part of Springer Nature.","author":[{"dropping-particle":"","family":"I.C.R.","given":"Cardoso","non-dropping-particle":"","parse-names":false,"suffix":""},{"dropping-particle":"","family":"M.A.","given":"Aredes","non-dropping-particle":"","parse-names":false,"suffix":""}],"container-title":"European Journal of Clinical Nutrition","id":"ITEM-1","issue":"11","issued":{"date-parts":[["2017"]]},"page":"1278-1284","publisher":"Nature Publishing Group (Houndmills, Basingstoke, Hampshire RG21 6XS, United Kingdom)","publisher-place":"G.V. Chaves, Department of Nutrition and Dietetics, Brazilian National Cancer Institute-INCA, Rua Equador, 831, Santo Cristo, Rio de Janeiro 22010-050, Brazil. E-mail: gabrielavc@gmail.com","title":"Applicability of the direct parameters of bioelectrical impedance in assessing nutritional status and surgical complications of women with gynecological cancer","type":"article-journal","volume":"71"},"uris":["http://www.mendeley.com/documents/?uuid=3c95cc9d-eb4a-4292-a54f-67ca3bafefc1"]}],"mendeley":{"formattedCitation":"[37]","plainTextFormattedCitation":"[37]","previouslyFormattedCitation":"[38]"},"properties":{"noteIndex":0},"schema":"https://github.com/citation-style-language/schema/raw/master/csl-citation.json"}</w:instrText>
            </w:r>
            <w:r w:rsidRPr="00332C8B">
              <w:rPr>
                <w:rFonts w:asciiTheme="minorHAnsi" w:eastAsia="Calibri" w:hAnsiTheme="minorHAnsi" w:cstheme="minorHAnsi"/>
                <w:color w:val="000000" w:themeColor="text1"/>
                <w:sz w:val="20"/>
              </w:rPr>
              <w:fldChar w:fldCharType="separate"/>
            </w:r>
            <w:r w:rsidR="00F66CFF" w:rsidRPr="00332C8B">
              <w:rPr>
                <w:rFonts w:asciiTheme="minorHAnsi" w:eastAsia="Calibri" w:hAnsiTheme="minorHAnsi" w:cstheme="minorHAnsi"/>
                <w:b w:val="0"/>
                <w:noProof/>
                <w:color w:val="000000" w:themeColor="text1"/>
                <w:sz w:val="20"/>
              </w:rPr>
              <w:t>[37]</w:t>
            </w:r>
            <w:r w:rsidRPr="00332C8B">
              <w:rPr>
                <w:rFonts w:asciiTheme="minorHAnsi" w:eastAsia="Calibri" w:hAnsiTheme="minorHAnsi" w:cstheme="minorHAnsi"/>
                <w:color w:val="000000" w:themeColor="text1"/>
                <w:sz w:val="20"/>
              </w:rPr>
              <w:fldChar w:fldCharType="end"/>
            </w:r>
          </w:p>
        </w:tc>
        <w:tc>
          <w:tcPr>
            <w:tcW w:w="628" w:type="pct"/>
            <w:shd w:val="clear" w:color="auto" w:fill="auto"/>
            <w:vAlign w:val="center"/>
          </w:tcPr>
          <w:p w14:paraId="3DF57798" w14:textId="1F652400" w:rsidR="006D3BEE" w:rsidRPr="00332C8B" w:rsidRDefault="006D3BEE"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rPr>
            </w:pPr>
            <w:r w:rsidRPr="00332C8B">
              <w:rPr>
                <w:rFonts w:asciiTheme="minorHAnsi" w:eastAsia="Calibri" w:hAnsiTheme="minorHAnsi" w:cstheme="minorHAnsi"/>
                <w:color w:val="000000" w:themeColor="text1"/>
                <w:sz w:val="20"/>
              </w:rPr>
              <w:t>25</w:t>
            </w:r>
            <w:r w:rsidRPr="00332C8B">
              <w:rPr>
                <w:rFonts w:asciiTheme="minorHAnsi" w:eastAsia="Calibri" w:hAnsiTheme="minorHAnsi" w:cstheme="minorHAnsi"/>
                <w:color w:val="000000" w:themeColor="text1"/>
                <w:sz w:val="20"/>
                <w:vertAlign w:val="superscript"/>
              </w:rPr>
              <w:t>th</w:t>
            </w:r>
            <w:r w:rsidRPr="00332C8B">
              <w:rPr>
                <w:rFonts w:asciiTheme="minorHAnsi" w:eastAsia="Calibri" w:hAnsiTheme="minorHAnsi" w:cstheme="minorHAnsi"/>
                <w:color w:val="000000" w:themeColor="text1"/>
                <w:sz w:val="20"/>
              </w:rPr>
              <w:t xml:space="preserve"> centile of study population</w:t>
            </w:r>
          </w:p>
        </w:tc>
        <w:tc>
          <w:tcPr>
            <w:tcW w:w="877" w:type="pct"/>
            <w:shd w:val="clear" w:color="auto" w:fill="auto"/>
            <w:vAlign w:val="center"/>
          </w:tcPr>
          <w:p w14:paraId="716A36A3" w14:textId="3652B7A9" w:rsidR="006D3BEE" w:rsidRPr="00332C8B" w:rsidRDefault="006D3BEE"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kern w:val="24"/>
                <w:sz w:val="20"/>
                <w:lang w:eastAsia="en-GB"/>
              </w:rPr>
            </w:pPr>
            <w:r w:rsidRPr="00332C8B">
              <w:rPr>
                <w:rFonts w:asciiTheme="minorHAnsi" w:eastAsia="Calibri" w:hAnsiTheme="minorHAnsi" w:cstheme="minorHAnsi"/>
                <w:kern w:val="24"/>
                <w:sz w:val="20"/>
                <w:lang w:eastAsia="en-GB"/>
              </w:rPr>
              <w:t>Yes</w:t>
            </w:r>
          </w:p>
        </w:tc>
        <w:tc>
          <w:tcPr>
            <w:tcW w:w="2879" w:type="pct"/>
            <w:shd w:val="clear" w:color="auto" w:fill="auto"/>
            <w:vAlign w:val="center"/>
          </w:tcPr>
          <w:p w14:paraId="2946DA92" w14:textId="14AA003E" w:rsidR="002D02B9" w:rsidRDefault="006D3BE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rPr>
            </w:pPr>
            <w:r w:rsidRPr="00332C8B">
              <w:rPr>
                <w:rFonts w:asciiTheme="minorHAnsi" w:eastAsia="Calibri" w:hAnsiTheme="minorHAnsi" w:cstheme="minorHAnsi"/>
                <w:kern w:val="24"/>
                <w:sz w:val="20"/>
                <w:lang w:eastAsia="en-GB"/>
              </w:rPr>
              <w:t>PA</w:t>
            </w:r>
            <w:r w:rsidRPr="00332C8B">
              <w:rPr>
                <w:rFonts w:asciiTheme="minorHAnsi" w:hAnsiTheme="minorHAnsi" w:cstheme="minorHAnsi"/>
                <w:kern w:val="24"/>
                <w:sz w:val="20"/>
                <w:lang w:eastAsia="en-GB"/>
              </w:rPr>
              <w:t xml:space="preserve"> ≤ </w:t>
            </w:r>
            <w:r w:rsidRPr="00332C8B">
              <w:rPr>
                <w:rFonts w:asciiTheme="minorHAnsi" w:eastAsia="Calibri" w:hAnsiTheme="minorHAnsi" w:cstheme="minorHAnsi"/>
                <w:kern w:val="24"/>
                <w:sz w:val="20"/>
                <w:lang w:eastAsia="en-GB"/>
              </w:rPr>
              <w:t>25</w:t>
            </w:r>
            <w:r w:rsidRPr="00332C8B">
              <w:rPr>
                <w:rFonts w:asciiTheme="minorHAnsi" w:eastAsia="Calibri" w:hAnsiTheme="minorHAnsi" w:cstheme="minorHAnsi"/>
                <w:kern w:val="24"/>
                <w:position w:val="3"/>
                <w:sz w:val="20"/>
                <w:vertAlign w:val="superscript"/>
                <w:lang w:eastAsia="en-GB"/>
              </w:rPr>
              <w:t>th</w:t>
            </w:r>
            <w:r w:rsidR="00C725ED" w:rsidRPr="00332C8B">
              <w:rPr>
                <w:rFonts w:asciiTheme="minorHAnsi" w:eastAsia="Calibri" w:hAnsiTheme="minorHAnsi" w:cstheme="minorHAnsi"/>
                <w:kern w:val="24"/>
                <w:sz w:val="20"/>
                <w:lang w:eastAsia="en-GB"/>
              </w:rPr>
              <w:t xml:space="preserve"> centile of study population</w:t>
            </w:r>
            <w:r w:rsidR="00C103DC" w:rsidRPr="00332C8B">
              <w:rPr>
                <w:rFonts w:asciiTheme="minorHAnsi" w:eastAsia="Calibri" w:hAnsiTheme="minorHAnsi" w:cstheme="minorHAnsi"/>
                <w:kern w:val="24"/>
                <w:sz w:val="20"/>
                <w:lang w:eastAsia="en-GB"/>
              </w:rPr>
              <w:t xml:space="preserve"> associated with a higher rate of post-operative complications </w:t>
            </w:r>
            <w:r w:rsidR="00C103DC" w:rsidRPr="00332C8B">
              <w:rPr>
                <w:rFonts w:asciiTheme="minorHAnsi" w:eastAsia="Calibri" w:hAnsiTheme="minorHAnsi" w:cstheme="minorHAnsi"/>
                <w:color w:val="000000" w:themeColor="text1"/>
                <w:sz w:val="20"/>
              </w:rPr>
              <w:t>(25.9% vs</w:t>
            </w:r>
            <w:r w:rsidR="00E7623F">
              <w:rPr>
                <w:rFonts w:asciiTheme="minorHAnsi" w:eastAsia="Calibri" w:hAnsiTheme="minorHAnsi" w:cstheme="minorHAnsi"/>
                <w:color w:val="000000" w:themeColor="text1"/>
                <w:sz w:val="20"/>
              </w:rPr>
              <w:t>.</w:t>
            </w:r>
            <w:r w:rsidR="00C103DC" w:rsidRPr="00332C8B">
              <w:rPr>
                <w:rFonts w:asciiTheme="minorHAnsi" w:eastAsia="Calibri" w:hAnsiTheme="minorHAnsi" w:cstheme="minorHAnsi"/>
                <w:color w:val="000000" w:themeColor="text1"/>
                <w:sz w:val="20"/>
              </w:rPr>
              <w:t xml:space="preserve"> 14.3%, </w:t>
            </w:r>
          </w:p>
          <w:p w14:paraId="685F3E6A" w14:textId="72F7D8D8" w:rsidR="006D3BEE" w:rsidRPr="00230D42" w:rsidRDefault="00C103DC">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kern w:val="24"/>
                <w:sz w:val="20"/>
                <w:lang w:eastAsia="en-GB"/>
              </w:rPr>
            </w:pPr>
            <w:r w:rsidRPr="00332C8B">
              <w:rPr>
                <w:rFonts w:asciiTheme="minorHAnsi" w:eastAsia="Calibri" w:hAnsiTheme="minorHAnsi" w:cstheme="minorHAnsi"/>
                <w:color w:val="000000" w:themeColor="text1"/>
                <w:sz w:val="20"/>
              </w:rPr>
              <w:t>p =</w:t>
            </w:r>
            <w:r w:rsidR="002D02B9">
              <w:rPr>
                <w:rFonts w:asciiTheme="minorHAnsi" w:eastAsia="Calibri" w:hAnsiTheme="minorHAnsi" w:cstheme="minorHAnsi"/>
                <w:color w:val="000000" w:themeColor="text1"/>
                <w:sz w:val="20"/>
              </w:rPr>
              <w:t xml:space="preserve"> </w:t>
            </w:r>
            <w:r w:rsidRPr="00332C8B">
              <w:rPr>
                <w:rFonts w:asciiTheme="minorHAnsi" w:eastAsia="Calibri" w:hAnsiTheme="minorHAnsi" w:cstheme="minorHAnsi"/>
                <w:color w:val="000000" w:themeColor="text1"/>
                <w:sz w:val="20"/>
              </w:rPr>
              <w:t>0.044</w:t>
            </w:r>
            <w:r w:rsidRPr="00332C8B">
              <w:rPr>
                <w:rFonts w:asciiTheme="minorHAnsi" w:eastAsia="Calibri" w:hAnsiTheme="minorHAnsi" w:cstheme="minorHAnsi"/>
                <w:kern w:val="24"/>
                <w:sz w:val="20"/>
                <w:lang w:eastAsia="en-GB"/>
              </w:rPr>
              <w:t>)</w:t>
            </w:r>
          </w:p>
        </w:tc>
      </w:tr>
      <w:tr w:rsidR="006D3BEE" w:rsidRPr="00332C8B" w14:paraId="3D5FFD02" w14:textId="77777777" w:rsidTr="0075032B">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615" w:type="pct"/>
            <w:shd w:val="clear" w:color="auto" w:fill="auto"/>
            <w:vAlign w:val="center"/>
          </w:tcPr>
          <w:p w14:paraId="3E5C1DDE" w14:textId="651F1CE2" w:rsidR="006D3BEE" w:rsidRPr="00332C8B" w:rsidRDefault="006D3BEE" w:rsidP="00F0414E">
            <w:pPr>
              <w:spacing w:line="480" w:lineRule="auto"/>
              <w:jc w:val="center"/>
              <w:rPr>
                <w:rFonts w:asciiTheme="minorHAnsi" w:eastAsia="Calibri" w:hAnsiTheme="minorHAnsi" w:cstheme="minorHAnsi"/>
                <w:color w:val="000000" w:themeColor="text1"/>
                <w:sz w:val="20"/>
              </w:rPr>
            </w:pPr>
            <w:r w:rsidRPr="00332C8B">
              <w:rPr>
                <w:rFonts w:asciiTheme="minorHAnsi" w:eastAsia="Calibri" w:hAnsiTheme="minorHAnsi" w:cstheme="minorHAnsi"/>
                <w:color w:val="000000" w:themeColor="text1"/>
                <w:sz w:val="20"/>
              </w:rPr>
              <w:t>Harter, 2017</w:t>
            </w:r>
            <w:r w:rsidRPr="00332C8B">
              <w:rPr>
                <w:rFonts w:asciiTheme="minorHAnsi" w:eastAsia="Calibri" w:hAnsiTheme="minorHAnsi" w:cstheme="minorHAnsi"/>
                <w:color w:val="000000" w:themeColor="text1"/>
                <w:sz w:val="20"/>
              </w:rPr>
              <w:fldChar w:fldCharType="begin" w:fldLock="1"/>
            </w:r>
            <w:r w:rsidR="00F66CFF" w:rsidRPr="00332C8B">
              <w:rPr>
                <w:rFonts w:asciiTheme="minorHAnsi" w:eastAsia="Calibri" w:hAnsiTheme="minorHAnsi" w:cstheme="minorHAnsi"/>
                <w:color w:val="000000" w:themeColor="text1"/>
                <w:sz w:val="20"/>
              </w:rPr>
              <w:instrText>ADDIN CSL_CITATION {"citationItems":[{"id":"ITEM-1","itemData":{"DOI":"10.1007/s00520-017-3661-4","ISSN":"0941-4355","abstract":"Purpose: We evaluated phase angle, sarcopenia, and handgrip strength as prognostic factors of postoperative morbimortality in patients with cancer.Methodology: We conducted a prospective study with 60 oncology patients admitted for elective surgery between November 2015 and May 2016. We calculated the standardized phase angle (SPA) and the skeletal mass index of the subjects based on their bioelectrical impedance tests. Handgrip strength (HGS) was measured using a hydraulic dynamometer. Diagnosis of sarcopenia followed the criteria of the European Working Group on Sarcopenia in Older People. The nutritional status of each subject was evaluated through the Patient-Generated Subjective Global Assessment. Evaluation of postoperative complications followed the Clavien-Dindo classification. We also evaluated the duration of hospital stay. Outcomes were postoperative complications and duration of hospital stay.Results: The prevalence of malnutrition was 28.3%, and the prevalence of sarcopenia was 18.6%. The SPA was significantly lower among those who had severe postoperative complications or long hospital stays, while HGS and sarcopenia showed no relationship with these outcomes. Malnutrition was also related to postoperative outcomes.Conclusion: SPA can be considered a prognostic factor in postoperative morbimortality for patients with cancer.","author":[{"dropping-particle":"","family":"Härter","given":"Jéssica","non-dropping-particle":"","parse-names":false,"suffix":""},{"dropping-particle":"","family":"Orlandi","given":"Silvana","non-dropping-particle":"","parse-names":false,"suffix":""},{"dropping-particle":"","family":"Gonzalez","given":"Maria","non-dropping-particle":"","parse-names":false,"suffix":""},{"dropping-particle":"","family":"Härter","given":"Jéssica","non-dropping-particle":"","parse-names":false,"suffix":""},{"dropping-particle":"","family":"Orlandi","given":"Silvana Paiva","non-dropping-particle":"","parse-names":false,"suffix":""},{"dropping-particle":"","family":"Gonzalez","given":"Maria Cristina","non-dropping-particle":"","parse-names":false,"suffix":""}],"container-title":"Supportive Care in Cancer","id":"ITEM-1","issue":"8","issued":{"date-parts":[["2017","8"]]},"note":"Accession Number: 123716957. Language: English. Entry Date: 20180318. Revision Date: 20180517. Publication Type: journal article. Journal Subset: Biomedical; Continental Europe; Double Blind Peer Reviewed; Editorial Board Reviewed; Europe; Expert Peer Reviewed; Peer Reviewed. NLM UID: 9302957.","page":"2525-2530","publisher":"Springer Science &amp; Business Media B.V.","publisher-place":"Post-graduate Program, Nutrition and Food , Federal University of Pelotas , Rua Gomes Carneiro, 01 Pelotas 96010-610 Brazil","title":"Nutritional and functional factors as prognostic of surgical cancer patients.","type":"article-journal","volume":"25"},"uris":["http://www.mendeley.com/documents/?uuid=c4a486af-4def-4eb8-81fd-1ff9f790eb45"]}],"mendeley":{"formattedCitation":"[40]","plainTextFormattedCitation":"[40]","previouslyFormattedCitation":"[41]"},"properties":{"noteIndex":0},"schema":"https://github.com/citation-style-language/schema/raw/master/csl-citation.json"}</w:instrText>
            </w:r>
            <w:r w:rsidRPr="00332C8B">
              <w:rPr>
                <w:rFonts w:asciiTheme="minorHAnsi" w:eastAsia="Calibri" w:hAnsiTheme="minorHAnsi" w:cstheme="minorHAnsi"/>
                <w:color w:val="000000" w:themeColor="text1"/>
                <w:sz w:val="20"/>
              </w:rPr>
              <w:fldChar w:fldCharType="separate"/>
            </w:r>
            <w:r w:rsidR="00F66CFF" w:rsidRPr="00332C8B">
              <w:rPr>
                <w:rFonts w:asciiTheme="minorHAnsi" w:eastAsia="Calibri" w:hAnsiTheme="minorHAnsi" w:cstheme="minorHAnsi"/>
                <w:b w:val="0"/>
                <w:noProof/>
                <w:color w:val="000000" w:themeColor="text1"/>
                <w:sz w:val="20"/>
              </w:rPr>
              <w:t>[40]</w:t>
            </w:r>
            <w:r w:rsidRPr="00332C8B">
              <w:rPr>
                <w:rFonts w:asciiTheme="minorHAnsi" w:eastAsia="Calibri" w:hAnsiTheme="minorHAnsi" w:cstheme="minorHAnsi"/>
                <w:color w:val="000000" w:themeColor="text1"/>
                <w:sz w:val="20"/>
              </w:rPr>
              <w:fldChar w:fldCharType="end"/>
            </w:r>
          </w:p>
        </w:tc>
        <w:tc>
          <w:tcPr>
            <w:tcW w:w="628" w:type="pct"/>
            <w:shd w:val="clear" w:color="auto" w:fill="auto"/>
            <w:vAlign w:val="center"/>
          </w:tcPr>
          <w:p w14:paraId="6C01342A" w14:textId="38188B6B" w:rsidR="006D3BEE" w:rsidRPr="00332C8B" w:rsidRDefault="006D3BEE"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rPr>
            </w:pPr>
            <w:r w:rsidRPr="00332C8B">
              <w:rPr>
                <w:rFonts w:asciiTheme="minorHAnsi" w:eastAsia="Calibri" w:hAnsiTheme="minorHAnsi" w:cstheme="minorHAnsi"/>
                <w:color w:val="000000" w:themeColor="text1"/>
                <w:sz w:val="20"/>
              </w:rPr>
              <w:t>-</w:t>
            </w:r>
          </w:p>
        </w:tc>
        <w:tc>
          <w:tcPr>
            <w:tcW w:w="877" w:type="pct"/>
            <w:shd w:val="clear" w:color="auto" w:fill="auto"/>
            <w:vAlign w:val="center"/>
          </w:tcPr>
          <w:p w14:paraId="437118DC" w14:textId="3A5A58C1" w:rsidR="006D3BEE" w:rsidRPr="00332C8B" w:rsidRDefault="006D3BEE"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4"/>
                <w:sz w:val="20"/>
                <w:lang w:eastAsia="en-GB"/>
              </w:rPr>
            </w:pPr>
            <w:r w:rsidRPr="00332C8B">
              <w:rPr>
                <w:rFonts w:asciiTheme="minorHAnsi" w:hAnsiTheme="minorHAnsi" w:cstheme="minorHAnsi"/>
                <w:kern w:val="24"/>
                <w:sz w:val="20"/>
                <w:lang w:eastAsia="en-GB"/>
              </w:rPr>
              <w:t>Yes</w:t>
            </w:r>
          </w:p>
        </w:tc>
        <w:tc>
          <w:tcPr>
            <w:tcW w:w="2879" w:type="pct"/>
            <w:shd w:val="clear" w:color="auto" w:fill="auto"/>
            <w:vAlign w:val="center"/>
          </w:tcPr>
          <w:p w14:paraId="4773B7D3" w14:textId="70048582" w:rsidR="006D3BEE" w:rsidRPr="00332C8B" w:rsidRDefault="00C725ED">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rPr>
            </w:pPr>
            <w:r w:rsidRPr="00332C8B">
              <w:rPr>
                <w:rFonts w:asciiTheme="minorHAnsi" w:hAnsiTheme="minorHAnsi" w:cstheme="minorHAnsi"/>
                <w:kern w:val="24"/>
                <w:sz w:val="20"/>
                <w:lang w:eastAsia="en-GB"/>
              </w:rPr>
              <w:t>SPA</w:t>
            </w:r>
            <w:r w:rsidR="006D3BEE" w:rsidRPr="00332C8B">
              <w:rPr>
                <w:rFonts w:asciiTheme="minorHAnsi" w:hAnsiTheme="minorHAnsi" w:cstheme="minorHAnsi"/>
                <w:kern w:val="24"/>
                <w:sz w:val="20"/>
                <w:lang w:eastAsia="en-GB"/>
              </w:rPr>
              <w:t xml:space="preserve"> lower in patients </w:t>
            </w:r>
            <w:r w:rsidRPr="00332C8B">
              <w:rPr>
                <w:rFonts w:asciiTheme="minorHAnsi" w:hAnsiTheme="minorHAnsi" w:cstheme="minorHAnsi"/>
                <w:kern w:val="24"/>
                <w:sz w:val="20"/>
                <w:lang w:eastAsia="en-GB"/>
              </w:rPr>
              <w:t xml:space="preserve">who </w:t>
            </w:r>
            <w:r w:rsidR="006D3BEE" w:rsidRPr="00332C8B">
              <w:rPr>
                <w:rFonts w:asciiTheme="minorHAnsi" w:hAnsiTheme="minorHAnsi" w:cstheme="minorHAnsi"/>
                <w:kern w:val="24"/>
                <w:sz w:val="20"/>
                <w:lang w:eastAsia="en-GB"/>
              </w:rPr>
              <w:t>experienced a severe post-operative complication</w:t>
            </w:r>
            <w:r w:rsidR="006D3BEE" w:rsidRPr="00332C8B" w:rsidDel="001C1E66">
              <w:rPr>
                <w:rFonts w:asciiTheme="minorHAnsi" w:hAnsiTheme="minorHAnsi" w:cstheme="minorHAnsi"/>
                <w:kern w:val="24"/>
                <w:sz w:val="20"/>
                <w:lang w:eastAsia="en-GB"/>
              </w:rPr>
              <w:t xml:space="preserve"> </w:t>
            </w:r>
            <w:r w:rsidR="006D3BEE" w:rsidRPr="00332C8B">
              <w:rPr>
                <w:rFonts w:asciiTheme="minorHAnsi" w:hAnsiTheme="minorHAnsi" w:cstheme="minorHAnsi"/>
                <w:kern w:val="24"/>
                <w:sz w:val="20"/>
                <w:lang w:eastAsia="en-GB"/>
              </w:rPr>
              <w:t>(−0.71 vs</w:t>
            </w:r>
            <w:r w:rsidR="00E7623F">
              <w:rPr>
                <w:rFonts w:asciiTheme="minorHAnsi" w:hAnsiTheme="minorHAnsi" w:cstheme="minorHAnsi"/>
                <w:kern w:val="24"/>
                <w:sz w:val="20"/>
                <w:lang w:eastAsia="en-GB"/>
              </w:rPr>
              <w:t>.</w:t>
            </w:r>
            <w:r w:rsidR="006D3BEE" w:rsidRPr="00332C8B">
              <w:rPr>
                <w:rFonts w:asciiTheme="minorHAnsi" w:hAnsiTheme="minorHAnsi" w:cstheme="minorHAnsi"/>
                <w:kern w:val="24"/>
                <w:sz w:val="20"/>
                <w:lang w:eastAsia="en-GB"/>
              </w:rPr>
              <w:t xml:space="preserve"> 0.41, p</w:t>
            </w:r>
            <w:r w:rsidR="002D02B9">
              <w:rPr>
                <w:rFonts w:asciiTheme="minorHAnsi" w:hAnsiTheme="minorHAnsi" w:cstheme="minorHAnsi"/>
                <w:kern w:val="24"/>
                <w:sz w:val="20"/>
                <w:lang w:eastAsia="en-GB"/>
              </w:rPr>
              <w:t xml:space="preserve"> </w:t>
            </w:r>
            <w:r w:rsidR="006D3BEE" w:rsidRPr="00332C8B">
              <w:rPr>
                <w:rFonts w:asciiTheme="minorHAnsi" w:hAnsiTheme="minorHAnsi" w:cstheme="minorHAnsi"/>
                <w:kern w:val="24"/>
                <w:sz w:val="20"/>
                <w:lang w:eastAsia="en-GB"/>
              </w:rPr>
              <w:t>=</w:t>
            </w:r>
            <w:r w:rsidR="002D02B9">
              <w:rPr>
                <w:rFonts w:asciiTheme="minorHAnsi" w:hAnsiTheme="minorHAnsi" w:cstheme="minorHAnsi"/>
                <w:kern w:val="24"/>
                <w:sz w:val="20"/>
                <w:lang w:eastAsia="en-GB"/>
              </w:rPr>
              <w:t xml:space="preserve"> </w:t>
            </w:r>
            <w:r w:rsidR="006D3BEE" w:rsidRPr="00332C8B">
              <w:rPr>
                <w:rFonts w:asciiTheme="minorHAnsi" w:hAnsiTheme="minorHAnsi" w:cstheme="minorHAnsi"/>
                <w:kern w:val="24"/>
                <w:sz w:val="20"/>
                <w:lang w:eastAsia="en-GB"/>
              </w:rPr>
              <w:t>0.007)</w:t>
            </w:r>
          </w:p>
        </w:tc>
      </w:tr>
      <w:tr w:rsidR="006D3BEE" w:rsidRPr="00332C8B" w14:paraId="1ABF33FE" w14:textId="77777777" w:rsidTr="0075032B">
        <w:trPr>
          <w:trHeight w:val="907"/>
        </w:trPr>
        <w:tc>
          <w:tcPr>
            <w:cnfStyle w:val="001000000000" w:firstRow="0" w:lastRow="0" w:firstColumn="1" w:lastColumn="0" w:oddVBand="0" w:evenVBand="0" w:oddHBand="0" w:evenHBand="0" w:firstRowFirstColumn="0" w:firstRowLastColumn="0" w:lastRowFirstColumn="0" w:lastRowLastColumn="0"/>
            <w:tcW w:w="615" w:type="pct"/>
            <w:shd w:val="clear" w:color="auto" w:fill="auto"/>
            <w:vAlign w:val="center"/>
          </w:tcPr>
          <w:p w14:paraId="28B9D1FA" w14:textId="7EFD8DDB" w:rsidR="006D3BEE" w:rsidRPr="00332C8B" w:rsidRDefault="006D3BEE" w:rsidP="00F0414E">
            <w:pPr>
              <w:spacing w:line="480" w:lineRule="auto"/>
              <w:jc w:val="center"/>
              <w:rPr>
                <w:rFonts w:asciiTheme="minorHAnsi" w:eastAsia="Calibri" w:hAnsiTheme="minorHAnsi" w:cstheme="minorHAnsi"/>
                <w:color w:val="000000" w:themeColor="text1"/>
                <w:sz w:val="20"/>
              </w:rPr>
            </w:pPr>
            <w:r w:rsidRPr="00332C8B">
              <w:rPr>
                <w:rFonts w:asciiTheme="minorHAnsi" w:eastAsia="Calibri" w:hAnsiTheme="minorHAnsi" w:cstheme="minorHAnsi"/>
                <w:color w:val="000000" w:themeColor="text1"/>
                <w:sz w:val="20"/>
              </w:rPr>
              <w:t>Berstad, 2013</w:t>
            </w:r>
            <w:r w:rsidRPr="00332C8B">
              <w:rPr>
                <w:rFonts w:asciiTheme="minorHAnsi" w:eastAsia="Calibri" w:hAnsiTheme="minorHAnsi" w:cstheme="minorHAnsi"/>
                <w:color w:val="000000" w:themeColor="text1"/>
                <w:sz w:val="20"/>
              </w:rPr>
              <w:fldChar w:fldCharType="begin" w:fldLock="1"/>
            </w:r>
            <w:r w:rsidR="00F66CFF" w:rsidRPr="00332C8B">
              <w:rPr>
                <w:rFonts w:asciiTheme="minorHAnsi" w:eastAsia="Calibri" w:hAnsiTheme="minorHAnsi" w:cstheme="minorHAnsi"/>
                <w:color w:val="000000" w:themeColor="text1"/>
                <w:sz w:val="20"/>
              </w:rPr>
              <w:instrText>ADDIN CSL_CITATION {"citationItems":[{"id":"ITEM-1","itemData":{"DOI":"10.1111/jhn.12002","ISSN":"0952-3871","abstract":"Background Both malnutrition and obesity are related to worsened post-operative outcomes after colorectal surgery. Obese cancer patients may be malnourished as a result of short-term weight loss. The present study aimed to evaluate preoperative nutritional status, body composition and dietary intake related to post-operative complications ( POC) and post-operative hospital days ( POHD) in elective colorectal cancer ( CRC) patients. Methods Anthropometry, body composition measured by bioelectric spectroscopy and dietary habits assessed by a validated food-frequency questionnaire were examined in 100 newly-diagnosed CRC patients. Data from 30-day POC and POHD were collected from medical records. Nonparametric and chi-squared tests and logistic regression were used to analyse associations between body and dietary variables and post-operative outcome. Results Twenty-nine patients had at least one POC. The median POHD was six. Body size and composition measures and short-term weight loss were no different between patients with and without POC, or between patients with POHD &lt;7 and ≥7. Dietary variables were otherwise no different between patients with and without POC, although the median intake of marine n-3 polyunsaturated fatty acids ( PUFA, the sum of eicosapentaenoic and docosahexaenoic acids) was significantly lower in patients with versus without POC (0.7 versus 1.2 g day−1, P = 0.04). Conclusions We found that preoperative body size, body composition and short-term weight loss were not related to 30-day post-operative outcomes in CRC patients. A high content of marine n-3 PUFA in preoperative habitual diets may protect against POC after CRC surgery.","author":[{"dropping-particle":"","family":"Berstad","given":"P","non-dropping-particle":"","parse-names":false,"suffix":""},{"dropping-particle":"","family":"Haugum","given":"B","non-dropping-particle":"","parse-names":false,"suffix":""},{"dropping-particle":"","family":"Helgeland","given":"M","non-dropping-particle":"","parse-names":false,"suffix":""},{"dropping-particle":"","family":"Bukholm","given":"I","non-dropping-particle":"","parse-names":false,"suffix":""},{"dropping-particle":"","family":"Almendingen","given":"K","non-dropping-particle":"","parse-names":false,"suffix":""}],"container-title":"Journal of Human Nutrition &amp; Dietetics","id":"ITEM-1","issue":"4","issued":{"date-parts":[["2013","8"]]},"note":"Accession Number: 104196215. Language: English. Entry Date: 20130716. Revision Date: 20150820. Publication Type: Journal Article; research; tables/charts. Journal Subset: Allied Health; Biomedical; Europe; Peer Reviewed; UK &amp;amp; Ireland. Special Interest: Nutrition; Oncologic Care; Perioperative Care. Instrumentation: Food Frequency Questionnaire (FFQ). Grant Information: This work was supported by grant no. 2006094 from Eastern Norway Regional Health Authority RHF and grants from Eckbo Foundation and Flatner Foundation.. NLM UID: 8904840.","page":"359-368","publisher":"Wiley-Blackwell","publisher-place":"Research Centre Akershus University Hospital","title":"Preoperative body size and composition, habitual diet, and post-operative complications in elective colorectal cancer patients in Norway.","type":"article-journal","volume":"26"},"uris":["http://www.mendeley.com/documents/?uuid=ed89d092-88dd-471d-99eb-e3ad956371cb"]}],"mendeley":{"formattedCitation":"[31]","plainTextFormattedCitation":"[31]","previouslyFormattedCitation":"[32]"},"properties":{"noteIndex":0},"schema":"https://github.com/citation-style-language/schema/raw/master/csl-citation.json"}</w:instrText>
            </w:r>
            <w:r w:rsidRPr="00332C8B">
              <w:rPr>
                <w:rFonts w:asciiTheme="minorHAnsi" w:eastAsia="Calibri" w:hAnsiTheme="minorHAnsi" w:cstheme="minorHAnsi"/>
                <w:color w:val="000000" w:themeColor="text1"/>
                <w:sz w:val="20"/>
              </w:rPr>
              <w:fldChar w:fldCharType="separate"/>
            </w:r>
            <w:r w:rsidR="00F66CFF" w:rsidRPr="00332C8B">
              <w:rPr>
                <w:rFonts w:asciiTheme="minorHAnsi" w:eastAsia="Calibri" w:hAnsiTheme="minorHAnsi" w:cstheme="minorHAnsi"/>
                <w:b w:val="0"/>
                <w:noProof/>
                <w:color w:val="000000" w:themeColor="text1"/>
                <w:sz w:val="20"/>
              </w:rPr>
              <w:t>[31]</w:t>
            </w:r>
            <w:r w:rsidRPr="00332C8B">
              <w:rPr>
                <w:rFonts w:asciiTheme="minorHAnsi" w:eastAsia="Calibri" w:hAnsiTheme="minorHAnsi" w:cstheme="minorHAnsi"/>
                <w:color w:val="000000" w:themeColor="text1"/>
                <w:sz w:val="20"/>
              </w:rPr>
              <w:fldChar w:fldCharType="end"/>
            </w:r>
          </w:p>
        </w:tc>
        <w:tc>
          <w:tcPr>
            <w:tcW w:w="628" w:type="pct"/>
            <w:shd w:val="clear" w:color="auto" w:fill="auto"/>
            <w:vAlign w:val="center"/>
          </w:tcPr>
          <w:p w14:paraId="3467EB5F" w14:textId="5D93E456" w:rsidR="006D3BEE" w:rsidRPr="00332C8B" w:rsidRDefault="006D3BEE"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rPr>
            </w:pPr>
            <w:r w:rsidRPr="00332C8B">
              <w:rPr>
                <w:rFonts w:asciiTheme="minorHAnsi" w:eastAsia="Calibri" w:hAnsiTheme="minorHAnsi" w:cstheme="minorHAnsi"/>
                <w:color w:val="000000" w:themeColor="text1"/>
                <w:sz w:val="20"/>
              </w:rPr>
              <w:t>-</w:t>
            </w:r>
          </w:p>
        </w:tc>
        <w:tc>
          <w:tcPr>
            <w:tcW w:w="877" w:type="pct"/>
            <w:shd w:val="clear" w:color="auto" w:fill="auto"/>
            <w:vAlign w:val="center"/>
          </w:tcPr>
          <w:p w14:paraId="23BA5F9B" w14:textId="122AC9CC" w:rsidR="006D3BEE" w:rsidRPr="00332C8B" w:rsidRDefault="006D3BEE"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kern w:val="24"/>
                <w:sz w:val="20"/>
                <w:lang w:eastAsia="en-GB"/>
              </w:rPr>
            </w:pPr>
            <w:r w:rsidRPr="00332C8B">
              <w:rPr>
                <w:rFonts w:asciiTheme="minorHAnsi" w:eastAsia="Calibri" w:hAnsiTheme="minorHAnsi" w:cstheme="minorHAnsi"/>
                <w:kern w:val="24"/>
                <w:sz w:val="20"/>
                <w:lang w:eastAsia="en-GB"/>
              </w:rPr>
              <w:t>No</w:t>
            </w:r>
          </w:p>
        </w:tc>
        <w:tc>
          <w:tcPr>
            <w:tcW w:w="2879" w:type="pct"/>
            <w:shd w:val="clear" w:color="auto" w:fill="auto"/>
            <w:vAlign w:val="center"/>
          </w:tcPr>
          <w:p w14:paraId="2C5A2EB9" w14:textId="0AA86809" w:rsidR="006D3BEE" w:rsidRPr="00332C8B" w:rsidRDefault="006D3BE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rPr>
            </w:pPr>
            <w:r w:rsidRPr="00332C8B">
              <w:rPr>
                <w:rFonts w:asciiTheme="minorHAnsi" w:eastAsia="Calibri" w:hAnsiTheme="minorHAnsi" w:cstheme="minorHAnsi"/>
                <w:kern w:val="24"/>
                <w:sz w:val="20"/>
                <w:lang w:eastAsia="en-GB"/>
              </w:rPr>
              <w:t>No difference in PA</w:t>
            </w:r>
            <w:r w:rsidRPr="00332C8B">
              <w:rPr>
                <w:rFonts w:asciiTheme="minorHAnsi" w:hAnsiTheme="minorHAnsi" w:cstheme="minorHAnsi"/>
                <w:kern w:val="24"/>
                <w:sz w:val="20"/>
                <w:lang w:eastAsia="en-GB"/>
              </w:rPr>
              <w:t xml:space="preserve"> </w:t>
            </w:r>
            <w:r w:rsidRPr="00332C8B">
              <w:rPr>
                <w:rFonts w:asciiTheme="minorHAnsi" w:eastAsia="Calibri" w:hAnsiTheme="minorHAnsi" w:cstheme="minorHAnsi"/>
                <w:kern w:val="24"/>
                <w:sz w:val="20"/>
                <w:lang w:eastAsia="en-GB"/>
              </w:rPr>
              <w:t>between patients who did or did not have post-operative complications (5.5</w:t>
            </w:r>
            <w:r w:rsidRPr="00332C8B">
              <w:rPr>
                <w:rFonts w:asciiTheme="minorHAnsi" w:hAnsiTheme="minorHAnsi" w:cstheme="minorHAnsi"/>
                <w:kern w:val="24"/>
                <w:sz w:val="20"/>
                <w:lang w:eastAsia="en-GB"/>
              </w:rPr>
              <w:t xml:space="preserve">° vs </w:t>
            </w:r>
            <w:r w:rsidRPr="00332C8B">
              <w:rPr>
                <w:rFonts w:asciiTheme="minorHAnsi" w:eastAsia="Calibri" w:hAnsiTheme="minorHAnsi" w:cstheme="minorHAnsi"/>
                <w:kern w:val="24"/>
                <w:sz w:val="20"/>
                <w:lang w:eastAsia="en-GB"/>
              </w:rPr>
              <w:t>5.4</w:t>
            </w:r>
            <w:r w:rsidRPr="00332C8B">
              <w:rPr>
                <w:rFonts w:asciiTheme="minorHAnsi" w:hAnsiTheme="minorHAnsi" w:cstheme="minorHAnsi"/>
                <w:kern w:val="24"/>
                <w:sz w:val="20"/>
                <w:lang w:eastAsia="en-GB"/>
              </w:rPr>
              <w:t>°</w:t>
            </w:r>
            <w:r w:rsidRPr="00332C8B">
              <w:rPr>
                <w:rFonts w:asciiTheme="minorHAnsi" w:eastAsia="Calibri" w:hAnsiTheme="minorHAnsi" w:cstheme="minorHAnsi"/>
                <w:kern w:val="24"/>
                <w:sz w:val="20"/>
                <w:lang w:eastAsia="en-GB"/>
              </w:rPr>
              <w:t>, p=0.83)</w:t>
            </w:r>
          </w:p>
        </w:tc>
      </w:tr>
    </w:tbl>
    <w:p w14:paraId="6FF21B6C" w14:textId="507D9004" w:rsidR="00C725ED" w:rsidRPr="00332C8B" w:rsidRDefault="009A58D9" w:rsidP="00F0414E">
      <w:pPr>
        <w:spacing w:line="480" w:lineRule="auto"/>
        <w:rPr>
          <w:rFonts w:asciiTheme="minorHAnsi" w:eastAsia="Calibri" w:hAnsiTheme="minorHAnsi" w:cstheme="minorHAnsi"/>
          <w:color w:val="000000" w:themeColor="text1"/>
          <w:sz w:val="20"/>
          <w:szCs w:val="22"/>
        </w:rPr>
      </w:pPr>
      <w:r w:rsidRPr="00332C8B">
        <w:rPr>
          <w:rFonts w:asciiTheme="minorHAnsi" w:eastAsia="Calibri" w:hAnsiTheme="minorHAnsi" w:cstheme="minorHAnsi"/>
          <w:color w:val="000000" w:themeColor="text1"/>
          <w:sz w:val="20"/>
          <w:szCs w:val="22"/>
        </w:rPr>
        <w:t>Legend: PA = Phase Angle; SPA = Standardi</w:t>
      </w:r>
      <w:r w:rsidR="004150ED">
        <w:rPr>
          <w:rFonts w:asciiTheme="minorHAnsi" w:eastAsia="Calibri" w:hAnsiTheme="minorHAnsi" w:cstheme="minorHAnsi"/>
          <w:color w:val="000000" w:themeColor="text1"/>
          <w:sz w:val="20"/>
          <w:szCs w:val="22"/>
        </w:rPr>
        <w:t>z</w:t>
      </w:r>
      <w:r w:rsidRPr="00332C8B">
        <w:rPr>
          <w:rFonts w:asciiTheme="minorHAnsi" w:eastAsia="Calibri" w:hAnsiTheme="minorHAnsi" w:cstheme="minorHAnsi"/>
          <w:color w:val="000000" w:themeColor="text1"/>
          <w:sz w:val="20"/>
          <w:szCs w:val="22"/>
        </w:rPr>
        <w:t>ed Phase Angle</w:t>
      </w:r>
      <w:r w:rsidR="009A20C6" w:rsidRPr="00332C8B">
        <w:rPr>
          <w:rFonts w:asciiTheme="minorHAnsi" w:eastAsia="Calibri" w:hAnsiTheme="minorHAnsi" w:cstheme="minorHAnsi"/>
          <w:color w:val="000000" w:themeColor="text1"/>
          <w:sz w:val="20"/>
          <w:szCs w:val="22"/>
        </w:rPr>
        <w:t xml:space="preserve">; </w:t>
      </w:r>
      <w:r w:rsidR="00A47C57">
        <w:rPr>
          <w:rFonts w:asciiTheme="minorHAnsi" w:eastAsia="Calibri" w:hAnsiTheme="minorHAnsi" w:cstheme="minorHAnsi"/>
          <w:color w:val="000000" w:themeColor="text1"/>
          <w:sz w:val="20"/>
          <w:szCs w:val="22"/>
        </w:rPr>
        <w:t xml:space="preserve">RR = Relative Risk, </w:t>
      </w:r>
      <w:r w:rsidR="009A20C6" w:rsidRPr="00332C8B">
        <w:rPr>
          <w:rFonts w:asciiTheme="minorHAnsi" w:eastAsia="Calibri" w:hAnsiTheme="minorHAnsi" w:cstheme="minorHAnsi"/>
          <w:color w:val="000000" w:themeColor="text1"/>
          <w:sz w:val="20"/>
          <w:szCs w:val="22"/>
        </w:rPr>
        <w:t>OR = Odds Ratio; CI = Confidence Interval</w:t>
      </w:r>
      <w:r w:rsidR="00C725ED" w:rsidRPr="00332C8B">
        <w:rPr>
          <w:rFonts w:asciiTheme="minorHAnsi" w:eastAsia="Calibri" w:hAnsiTheme="minorHAnsi" w:cstheme="minorHAnsi"/>
          <w:color w:val="000000" w:themeColor="text1"/>
          <w:sz w:val="20"/>
          <w:szCs w:val="22"/>
        </w:rPr>
        <w:t xml:space="preserve">; </w:t>
      </w:r>
    </w:p>
    <w:p w14:paraId="02516FCF" w14:textId="5B12812A" w:rsidR="002A1B16" w:rsidRPr="00332C8B" w:rsidRDefault="002A1B16" w:rsidP="00F0414E">
      <w:pPr>
        <w:spacing w:line="480" w:lineRule="auto"/>
        <w:rPr>
          <w:rFonts w:asciiTheme="minorHAnsi" w:eastAsia="Calibri" w:hAnsiTheme="minorHAnsi" w:cstheme="minorHAnsi"/>
          <w:color w:val="000000" w:themeColor="text1"/>
          <w:sz w:val="20"/>
          <w:szCs w:val="22"/>
        </w:rPr>
      </w:pPr>
      <w:r w:rsidRPr="00332C8B">
        <w:rPr>
          <w:rFonts w:asciiTheme="minorHAnsi" w:eastAsia="Calibri" w:hAnsiTheme="minorHAnsi" w:cstheme="minorHAnsi"/>
          <w:color w:val="000000" w:themeColor="text1"/>
          <w:sz w:val="20"/>
          <w:szCs w:val="22"/>
          <w:vertAlign w:val="superscript"/>
        </w:rPr>
        <w:t>a</w:t>
      </w:r>
      <w:r w:rsidR="00380103" w:rsidRPr="00332C8B">
        <w:rPr>
          <w:rFonts w:asciiTheme="minorHAnsi" w:eastAsia="Calibri" w:hAnsiTheme="minorHAnsi" w:cstheme="minorHAnsi"/>
          <w:color w:val="000000" w:themeColor="text1"/>
          <w:sz w:val="20"/>
          <w:szCs w:val="22"/>
          <w:vertAlign w:val="superscript"/>
        </w:rPr>
        <w:t xml:space="preserve"> </w:t>
      </w:r>
      <w:r w:rsidRPr="00332C8B">
        <w:rPr>
          <w:rFonts w:asciiTheme="minorHAnsi" w:eastAsia="Calibri" w:hAnsiTheme="minorHAnsi" w:cstheme="minorHAnsi"/>
          <w:color w:val="000000" w:themeColor="text1"/>
          <w:sz w:val="20"/>
          <w:szCs w:val="22"/>
        </w:rPr>
        <w:t>Clavien-Dindo grade 3-5</w:t>
      </w:r>
    </w:p>
    <w:p w14:paraId="6DD65ECE" w14:textId="77777777" w:rsidR="002551CD" w:rsidRPr="00332C8B" w:rsidRDefault="002551CD" w:rsidP="00F0414E">
      <w:pPr>
        <w:spacing w:after="160" w:line="480" w:lineRule="auto"/>
        <w:rPr>
          <w:rFonts w:asciiTheme="minorHAnsi" w:eastAsia="Calibri" w:hAnsiTheme="minorHAnsi" w:cstheme="minorHAnsi"/>
          <w:color w:val="000000" w:themeColor="text1"/>
          <w:sz w:val="22"/>
          <w:szCs w:val="22"/>
          <w:u w:val="single"/>
        </w:rPr>
      </w:pPr>
    </w:p>
    <w:p w14:paraId="6AF53109" w14:textId="01AF2986" w:rsidR="00D03030" w:rsidRPr="00332C8B" w:rsidRDefault="00764BFF" w:rsidP="00F0414E">
      <w:pPr>
        <w:spacing w:after="160" w:line="480" w:lineRule="auto"/>
        <w:rPr>
          <w:rFonts w:asciiTheme="minorHAnsi" w:eastAsia="Calibri" w:hAnsiTheme="minorHAnsi" w:cstheme="minorHAnsi"/>
          <w:i/>
          <w:color w:val="000000" w:themeColor="text1"/>
          <w:sz w:val="22"/>
          <w:szCs w:val="22"/>
        </w:rPr>
      </w:pPr>
      <w:r w:rsidRPr="00332C8B">
        <w:rPr>
          <w:rFonts w:asciiTheme="minorHAnsi" w:eastAsia="Calibri" w:hAnsiTheme="minorHAnsi" w:cstheme="minorHAnsi"/>
          <w:i/>
          <w:color w:val="000000" w:themeColor="text1"/>
          <w:sz w:val="22"/>
          <w:szCs w:val="22"/>
        </w:rPr>
        <w:t xml:space="preserve">3.3 </w:t>
      </w:r>
      <w:r w:rsidR="00D03030" w:rsidRPr="00332C8B">
        <w:rPr>
          <w:rFonts w:asciiTheme="minorHAnsi" w:eastAsia="Calibri" w:hAnsiTheme="minorHAnsi" w:cstheme="minorHAnsi"/>
          <w:i/>
          <w:color w:val="000000" w:themeColor="text1"/>
          <w:sz w:val="22"/>
          <w:szCs w:val="22"/>
        </w:rPr>
        <w:t>Derived measures and post-operative complications</w:t>
      </w:r>
    </w:p>
    <w:p w14:paraId="5B672280" w14:textId="2B3BA956" w:rsidR="00D03030" w:rsidRPr="00332C8B" w:rsidRDefault="00D03030" w:rsidP="00F0414E">
      <w:pPr>
        <w:spacing w:after="160" w:line="480" w:lineRule="auto"/>
        <w:rPr>
          <w:rFonts w:asciiTheme="minorHAnsi" w:eastAsia="Calibri" w:hAnsiTheme="minorHAnsi" w:cstheme="minorHAnsi"/>
          <w:color w:val="000000" w:themeColor="text1"/>
          <w:sz w:val="22"/>
          <w:szCs w:val="22"/>
        </w:rPr>
      </w:pPr>
      <w:r w:rsidRPr="00332C8B">
        <w:rPr>
          <w:rFonts w:asciiTheme="minorHAnsi" w:eastAsia="Calibri" w:hAnsiTheme="minorHAnsi" w:cstheme="minorHAnsi"/>
          <w:color w:val="000000" w:themeColor="text1"/>
          <w:sz w:val="22"/>
          <w:szCs w:val="22"/>
        </w:rPr>
        <w:t xml:space="preserve">Of the seven </w:t>
      </w:r>
      <w:r w:rsidR="00647CE0" w:rsidRPr="00332C8B">
        <w:rPr>
          <w:rFonts w:asciiTheme="minorHAnsi" w:eastAsia="Calibri" w:hAnsiTheme="minorHAnsi" w:cstheme="minorHAnsi"/>
          <w:color w:val="000000" w:themeColor="text1"/>
          <w:sz w:val="22"/>
          <w:szCs w:val="22"/>
        </w:rPr>
        <w:t xml:space="preserve">publications </w:t>
      </w:r>
      <w:r w:rsidRPr="00332C8B">
        <w:rPr>
          <w:rFonts w:asciiTheme="minorHAnsi" w:eastAsia="Calibri" w:hAnsiTheme="minorHAnsi" w:cstheme="minorHAnsi"/>
          <w:color w:val="000000" w:themeColor="text1"/>
          <w:sz w:val="22"/>
          <w:szCs w:val="22"/>
        </w:rPr>
        <w:t>report</w:t>
      </w:r>
      <w:r w:rsidR="00647CE0" w:rsidRPr="00332C8B">
        <w:rPr>
          <w:rFonts w:asciiTheme="minorHAnsi" w:eastAsia="Calibri" w:hAnsiTheme="minorHAnsi" w:cstheme="minorHAnsi"/>
          <w:color w:val="000000" w:themeColor="text1"/>
          <w:sz w:val="22"/>
          <w:szCs w:val="22"/>
        </w:rPr>
        <w:t>ing</w:t>
      </w:r>
      <w:r w:rsidRPr="00332C8B">
        <w:rPr>
          <w:rFonts w:asciiTheme="minorHAnsi" w:eastAsia="Calibri" w:hAnsiTheme="minorHAnsi" w:cstheme="minorHAnsi"/>
          <w:color w:val="000000" w:themeColor="text1"/>
          <w:sz w:val="22"/>
          <w:szCs w:val="22"/>
        </w:rPr>
        <w:t xml:space="preserve"> a </w:t>
      </w:r>
      <w:r w:rsidR="009A20C6" w:rsidRPr="00332C8B">
        <w:rPr>
          <w:rFonts w:asciiTheme="minorHAnsi" w:eastAsia="Calibri" w:hAnsiTheme="minorHAnsi" w:cstheme="minorHAnsi"/>
          <w:color w:val="000000" w:themeColor="text1"/>
          <w:sz w:val="22"/>
          <w:szCs w:val="22"/>
        </w:rPr>
        <w:t xml:space="preserve">derived </w:t>
      </w:r>
      <w:r w:rsidRPr="00332C8B">
        <w:rPr>
          <w:rFonts w:asciiTheme="minorHAnsi" w:eastAsia="Calibri" w:hAnsiTheme="minorHAnsi" w:cstheme="minorHAnsi"/>
          <w:color w:val="000000" w:themeColor="text1"/>
          <w:sz w:val="22"/>
          <w:szCs w:val="22"/>
        </w:rPr>
        <w:t>measure of lean mass</w:t>
      </w:r>
      <w:r w:rsidR="007274B7" w:rsidRPr="00332C8B">
        <w:rPr>
          <w:rFonts w:asciiTheme="minorHAnsi" w:eastAsia="Calibri" w:hAnsiTheme="minorHAnsi" w:cstheme="minorHAnsi"/>
          <w:color w:val="000000" w:themeColor="text1"/>
          <w:sz w:val="22"/>
          <w:szCs w:val="22"/>
        </w:rPr>
        <w:t xml:space="preserve"> or percentage body fat</w:t>
      </w:r>
      <w:r w:rsidRPr="00332C8B">
        <w:rPr>
          <w:rFonts w:asciiTheme="minorHAnsi" w:eastAsia="Calibri" w:hAnsiTheme="minorHAnsi" w:cstheme="minorHAnsi"/>
          <w:color w:val="000000" w:themeColor="text1"/>
          <w:sz w:val="22"/>
          <w:szCs w:val="22"/>
        </w:rPr>
        <w:t xml:space="preserve"> four</w:t>
      </w:r>
      <w:r w:rsidR="003662F1" w:rsidRPr="00332C8B">
        <w:rPr>
          <w:rFonts w:asciiTheme="minorHAnsi" w:eastAsia="Calibri" w:hAnsiTheme="minorHAnsi" w:cstheme="minorHAnsi"/>
          <w:color w:val="000000" w:themeColor="text1"/>
          <w:sz w:val="22"/>
          <w:szCs w:val="22"/>
          <w:vertAlign w:val="superscript"/>
        </w:rPr>
        <w:fldChar w:fldCharType="begin" w:fldLock="1"/>
      </w:r>
      <w:r w:rsidR="00F66CFF" w:rsidRPr="00332C8B">
        <w:rPr>
          <w:rFonts w:asciiTheme="minorHAnsi" w:eastAsia="Calibri" w:hAnsiTheme="minorHAnsi" w:cstheme="minorHAnsi"/>
          <w:color w:val="000000" w:themeColor="text1"/>
          <w:sz w:val="22"/>
          <w:szCs w:val="22"/>
          <w:vertAlign w:val="superscript"/>
        </w:rPr>
        <w:instrText>ADDIN CSL_CITATION {"citationItems":[{"id":"ITEM-1","itemData":{"DOI":"10.1111/ecc.12491","ISSN":"0961-5423","abstract":"We aimed to ascertain the implementation of body composition assessment, by means of fat-free mass index (FFMI), fat mass index (FMI) and presence of sarcopenic obesity, in colorectal cancer population, on the basis of hospital length of stay (LOS) determination and to benchmark their discriminatory performance with other nutrition status algorithms, such as body mass index (BMI) and Malnutrition Universal Screening Tool (MUST). Ninety adult patients with operable colorectal cancer were enrolled. Study parameters included demographic and anthropometric data registration, BMI and MUST calculation and body composition parameters measurement within 24-h post-admission. Hospital LOS constituted the outcome of interest, using 7 days as cut-off point. Fifty-one patients (56.7%) were hospitalised for ≤7 days. The presence of sarcopenic obesity affected adversely hospital LOS (OR, 9.236; 95% CI, 3.278-26.173, P = 0.000). Low FFMI (OR, 7.457; 95% CI, 2.868-19.390, P = 0.000), malnutrition according to MUST (OR, 2.632; 95% CI, 1.280-5.413, P = 0.009) and high FMI (2.133; 95% CI, 1.111-4.094, P = 0.023) were the most powerful discriminators of accelerated hospitalisation. Loss of lean body tissue, gain of adipose tissue and sarcopenic obesity confer noteworthy prognostic value being superior or equivalent to MUST in terms of hospital LOS determination in colorectal cancer resection setting. BMI presents inferior discrimination performance in this field.","author":[{"dropping-particle":"","family":"Tsaousi","given":"G","non-dropping-particle":"","parse-names":false,"suffix":""},{"dropping-particle":"","family":"Kokkota","given":"S","non-dropping-particle":"","parse-names":false,"suffix":""},{"dropping-particle":"","family":"Papakostas","given":"P","non-dropping-particle":"","parse-names":false,"suffix":""},{"dropping-particle":"","family":"Stavrou","given":"G","non-dropping-particle":"","parse-names":false,"suffix":""},{"dropping-particle":"","family":"Doumaki","given":"E","non-dropping-particle":"","parse-names":false,"suffix":""},{"dropping-particle":"","family":"Kotzampassi","given":"K","non-dropping-particle":"","parse-names":false,"suffix":""}],"container-title":"European Journal of Cancer Care","id":"ITEM-1","issue":"6","issued":{"date-parts":[["2017","11"]]},"note":"Accession Number: 126068743. Language: English. Entry Date: 20171111. Revision Date: 20171111. Publication Type: Article; research; tables/charts. Journal Subset: Core Nursing; Europe; Nursing; Peer Reviewed; UK &amp;amp; Ireland. Instrumentation: Malnutrition Universal Screening Tool (MUST). NLM UID: 9301979.","page":"n/a-n/a","publisher":"Wiley-Blackwell","publisher-place":"Department of Anesthesiology and ICU, Faculty of Medicine, Aristotle University of Thessaloniki","title":"Body composition analysis for discrimination of prolonged hospital stay in colorectal cancer surgery patients.","type":"article-journal","volume":"26"},"uris":["http://www.mendeley.com/documents/?uuid=bfe70df8-2fb6-4892-9d8c-a4acc4b94327"]}],"mendeley":{"formattedCitation":"[32]","plainTextFormattedCitation":"[32]","previouslyFormattedCitation":"[33]"},"properties":{"noteIndex":0},"schema":"https://github.com/citation-style-language/schema/raw/master/csl-citation.json"}</w:instrText>
      </w:r>
      <w:r w:rsidR="003662F1" w:rsidRPr="00332C8B">
        <w:rPr>
          <w:rFonts w:asciiTheme="minorHAnsi" w:eastAsia="Calibri" w:hAnsiTheme="minorHAnsi" w:cstheme="minorHAnsi"/>
          <w:color w:val="000000" w:themeColor="text1"/>
          <w:sz w:val="22"/>
          <w:szCs w:val="22"/>
          <w:vertAlign w:val="superscript"/>
        </w:rPr>
        <w:fldChar w:fldCharType="separate"/>
      </w:r>
      <w:r w:rsidR="00F66CFF" w:rsidRPr="00332C8B">
        <w:rPr>
          <w:rFonts w:asciiTheme="minorHAnsi" w:eastAsia="Calibri" w:hAnsiTheme="minorHAnsi" w:cstheme="minorHAnsi"/>
          <w:noProof/>
          <w:color w:val="000000" w:themeColor="text1"/>
          <w:sz w:val="22"/>
          <w:szCs w:val="22"/>
        </w:rPr>
        <w:t>[32]</w:t>
      </w:r>
      <w:r w:rsidR="003662F1" w:rsidRPr="00332C8B">
        <w:rPr>
          <w:rFonts w:asciiTheme="minorHAnsi" w:eastAsia="Calibri" w:hAnsiTheme="minorHAnsi" w:cstheme="minorHAnsi"/>
          <w:color w:val="000000" w:themeColor="text1"/>
          <w:sz w:val="22"/>
          <w:szCs w:val="22"/>
          <w:vertAlign w:val="superscript"/>
        </w:rPr>
        <w:fldChar w:fldCharType="end"/>
      </w:r>
      <w:r w:rsidR="00DA6851" w:rsidRPr="00332C8B">
        <w:rPr>
          <w:rFonts w:asciiTheme="minorHAnsi" w:eastAsia="Calibri" w:hAnsiTheme="minorHAnsi" w:cstheme="minorHAnsi"/>
          <w:color w:val="000000" w:themeColor="text1"/>
          <w:sz w:val="22"/>
          <w:szCs w:val="22"/>
          <w:vertAlign w:val="superscript"/>
        </w:rPr>
        <w:t>,</w:t>
      </w:r>
      <w:r w:rsidR="003662F1" w:rsidRPr="00332C8B">
        <w:rPr>
          <w:rFonts w:asciiTheme="minorHAnsi" w:eastAsia="Calibri" w:hAnsiTheme="minorHAnsi" w:cstheme="minorHAnsi"/>
          <w:color w:val="000000" w:themeColor="text1"/>
          <w:sz w:val="22"/>
          <w:szCs w:val="22"/>
        </w:rPr>
        <w:fldChar w:fldCharType="begin" w:fldLock="1"/>
      </w:r>
      <w:r w:rsidR="00F66CFF" w:rsidRPr="00332C8B">
        <w:rPr>
          <w:rFonts w:asciiTheme="minorHAnsi" w:eastAsia="Calibri" w:hAnsiTheme="minorHAnsi" w:cstheme="minorHAnsi"/>
          <w:color w:val="000000" w:themeColor="text1"/>
          <w:sz w:val="22"/>
          <w:szCs w:val="22"/>
        </w:rPr>
        <w:instrText>ADDIN CSL_CITATION {"citationItems":[{"id":"ITEM-1","itemData":{"DOI":"10.21873/anticanres.13203","ISSN":"0250-7005","abstract":"Background: Sarcopenia is known to have an important influence on\npostoperative complications in several diseases, and on the prognosis of\npatients with cancer. However, whether sarcopenia is associated with\ncomplications and prognosis after gastrectomy in patients with gastric\ncancer remains controversial. This study evaluated the impact of the\npreoperative muscle mass on postoperative complications of gastric\ncancer surgery. Materials and Methods: The muscle mass of 153 patients\nwho underwent gastrectomy for gastric cancer from January 2014 to August\n2016 was assessed before surgery by a multifrequency bioelectrical\nimpedance analysis (In Body 3.0; Biospace, Tokyo, Japan) and was\nexpressed as the muscle mass index (MMI). Sarcopenia was defined as an\nMMI value of one standard deviation or more below the gender-specific\nmean MMI. Complications of Clavien-Dindo grade 2 or more were defined as\nsignificant postoperative complications. The impact of preoperative\nsarcopenia on postoperative infectious complications was analyzed by\nunivariate and multivariate analyses. Results: A total of 153 patients\nwere analyzed, sarcopenia was present in 24 out of 153 patients\n(15.7%). Thirty (19.6%) patients developed postoperative\ncomplications, 20 (13.1%) of which were infectious complications.\nSarcopenia was significantly associated with age, body mass index, serum\nalbumin, pulmonary disease in comorbidities, operative time, surgical\napproach, and postoperative complications. The univariate analyses\nrevealed that male sex, sarcopenia, total gastrectomy, laparotomy, and\nintraoperative blood loss were associated with postoperative infectious\ncomplications. In the multivariate analyses, sarcopenia and\nintraoperative blood loss &gt;= 400 ml were independently associated with\npostoperative infectious complications. Conclusion: Preoperative\nsarcopenia was found to be an independent risk factor for postoperative\ninfectious complications in gastric cancer patients.","author":[{"dropping-particle":"","family":"Tamura","given":"Tatsuro","non-dropping-particle":"","parse-names":false,"suffix":""},{"dropping-particle":"","family":"Sakurai","given":"Katsunobu","non-dropping-particle":"","parse-names":false,"suffix":""},{"dropping-particle":"","family":"Nambara","given":"Mikio","non-dropping-particle":"","parse-names":false,"suffix":""},{"dropping-particle":"","family":"Miki","given":"Yuichiro","non-dropping-particle":"","parse-names":false,"suffix":""},{"dropping-particle":"","family":"Toyokawa","given":"Takahiro","non-dropping-particle":"","parse-names":false,"suffix":""},{"dropping-particle":"","family":"Kubo","given":"Naoshi","non-dropping-particle":"","parse-names":false,"suffix":""},{"dropping-particle":"","family":"Tanaka","given":"Hiroaki","non-dropping-particle":"","parse-names":false,"suffix":""},{"dropping-particle":"","family":"Muguruma","given":"Kazuya","non-dropping-particle":"","parse-names":false,"suffix":""},{"dropping-particle":"","family":"Yashiro","given":"Masakazu","non-dropping-particle":"","parse-names":false,"suffix":""},{"dropping-particle":"","family":"Ohira","given":"Masaichi","non-dropping-particle":"","parse-names":false,"suffix":""}],"container-title":"ANTICANCER RESEARCH","id":"ITEM-1","issue":"2","issued":{"date-parts":[["2019","2"]]},"page":"987-992","title":"Adverse Effects of Preoperative Sarcopenia on Postoperative Complications of Patients With Gastric Cancer","type":"article-journal","volume":"39"},"uris":["http://www.mendeley.com/documents/?uuid=b0dc6cbe-eae3-4fb0-979a-e02b6496d53b"]}],"mendeley":{"formattedCitation":"[33]","plainTextFormattedCitation":"[33]","previouslyFormattedCitation":"[34]"},"properties":{"noteIndex":0},"schema":"https://github.com/citation-style-language/schema/raw/master/csl-citation.json"}</w:instrText>
      </w:r>
      <w:r w:rsidR="003662F1" w:rsidRPr="00332C8B">
        <w:rPr>
          <w:rFonts w:asciiTheme="minorHAnsi" w:eastAsia="Calibri" w:hAnsiTheme="minorHAnsi" w:cstheme="minorHAnsi"/>
          <w:color w:val="000000" w:themeColor="text1"/>
          <w:sz w:val="22"/>
          <w:szCs w:val="22"/>
        </w:rPr>
        <w:fldChar w:fldCharType="separate"/>
      </w:r>
      <w:r w:rsidR="00F66CFF" w:rsidRPr="00332C8B">
        <w:rPr>
          <w:rFonts w:asciiTheme="minorHAnsi" w:eastAsia="Calibri" w:hAnsiTheme="minorHAnsi" w:cstheme="minorHAnsi"/>
          <w:noProof/>
          <w:color w:val="000000" w:themeColor="text1"/>
          <w:sz w:val="22"/>
          <w:szCs w:val="22"/>
        </w:rPr>
        <w:t>[33]</w:t>
      </w:r>
      <w:r w:rsidR="003662F1" w:rsidRPr="00332C8B">
        <w:rPr>
          <w:rFonts w:asciiTheme="minorHAnsi" w:eastAsia="Calibri" w:hAnsiTheme="minorHAnsi" w:cstheme="minorHAnsi"/>
          <w:color w:val="000000" w:themeColor="text1"/>
          <w:sz w:val="22"/>
          <w:szCs w:val="22"/>
        </w:rPr>
        <w:fldChar w:fldCharType="end"/>
      </w:r>
      <w:r w:rsidRPr="00332C8B">
        <w:rPr>
          <w:rFonts w:asciiTheme="minorHAnsi" w:eastAsia="Calibri" w:hAnsiTheme="minorHAnsi" w:cstheme="minorHAnsi"/>
          <w:color w:val="000000" w:themeColor="text1"/>
          <w:sz w:val="22"/>
          <w:szCs w:val="22"/>
          <w:vertAlign w:val="superscript"/>
        </w:rPr>
        <w:t>,</w:t>
      </w:r>
      <w:r w:rsidR="003662F1" w:rsidRPr="00332C8B">
        <w:rPr>
          <w:rFonts w:asciiTheme="minorHAnsi" w:eastAsia="Calibri" w:hAnsiTheme="minorHAnsi" w:cstheme="minorHAnsi"/>
          <w:color w:val="000000" w:themeColor="text1"/>
          <w:sz w:val="22"/>
          <w:szCs w:val="22"/>
          <w:vertAlign w:val="superscript"/>
        </w:rPr>
        <w:fldChar w:fldCharType="begin" w:fldLock="1"/>
      </w:r>
      <w:r w:rsidR="00F66CFF" w:rsidRPr="00332C8B">
        <w:rPr>
          <w:rFonts w:asciiTheme="minorHAnsi" w:eastAsia="Calibri" w:hAnsiTheme="minorHAnsi" w:cstheme="minorHAnsi"/>
          <w:color w:val="000000" w:themeColor="text1"/>
          <w:sz w:val="22"/>
          <w:szCs w:val="22"/>
          <w:vertAlign w:val="superscript"/>
        </w:rPr>
        <w:instrText>ADDIN CSL_CITATION {"citationItems":[{"id":"ITEM-1","itemData":{"DOI":"https://dx.doi.org/10.1245/s10434-015-4559-3","ISSN":"1534-4681","abstract":"BACKGROUND: Depletion of skeletal muscle mass (sarcopenia) indicates a poor prognosis for patients with several kinds of cancer, but it remains unclear whether esophageal squamous cell carcinoma (ESCC) is among these cancers. The aim of this study was to clarify the relationship between sarcopenia and postoperative outcome in patients with ESCC treated by esophagectomy., METHODS: Skeletal muscle mass was assessed in 138 patients who underwent esophagectomy from August 2009 to May 2014. A multifrequency bioelectrical impedance analysis (InBody 720; Biospace, Tokyo, Japan) was used to assess skeletal muscle mass just before surgery. Postoperative complications were graded according to the Clavien-Dindo classification, and univariate and multivariate analyses were performed for postoperative respiratory complications., RESULTS: Sarcopenia was determined in 61 patients (44.2 %). Preoperative pulmonary function was significantly lower and the rate of respiratory complications significantly higher in the sarcopenia group than in the non-sarcopenia group (p &lt; 0.01). For other complications, the differences were not significant. Multivariate analysis showed that sarcopenia [odds ratio (OR) 5.82; p = 0.0001] and longer operation time (OR 3.09; p = 0.04) were risk factors for the occurrence of respiratory complications., CONCLUSIONS: Sarcopenia may be a predictor of pulmonary complications after esophagectomy. Further analysis is needed to clarify whether nutritional intervention improves skeletal muscle mass and thus contributes to reducing postoperative respiratory complications in sarcopenic patients.","author":[{"dropping-particle":"","family":"Ida","given":"Satoshi","non-dropping-particle":"","parse-names":false,"suffix":""},{"dropping-particle":"","family":"Watanabe","given":"Masayuki","non-dropping-particle":"","parse-names":false,"suffix":""},{"dropping-particle":"","family":"Yoshida","given":"Naoya","non-dropping-particle":"","parse-names":false,"suffix":""},{"dropping-particle":"","family":"Baba","given":"Yoshifumi","non-dropping-particle":"","parse-names":false,"suffix":""},{"dropping-particle":"","family":"Umezaki","given":"Naoki","non-dropping-particle":"","parse-names":false,"suffix":""},{"dropping-particle":"","family":"Harada","given":"Kazuto","non-dropping-particle":"","parse-names":false,"suffix":""},{"dropping-particle":"","family":"Karashima","given":"Ryuichi","non-dropping-particle":"","parse-names":false,"suffix":""},{"dropping-particle":"","family":"Imamura","given":"Yu","non-dropping-particle":"","parse-names":false,"suffix":""},{"dropping-particle":"","family":"Iwagami","given":"Shiro","non-dropping-particle":"","parse-names":false,"suffix":""},{"dropping-particle":"","family":"Baba","given":"Hideo","non-dropping-particle":"","parse-names":false,"suffix":""}],"container-title":"Annals of surgical oncology","id":"ITEM-1","issue":"13","issued":{"date-parts":[["2015"]]},"page":"4432-4437","publisher-place":"United States","title":"Sarcopenia is a Predictor of Postoperative Respiratory Complications in Patients with Esophageal Cancer.","type":"article-journal","volume":"22"},"uris":["http://www.mendeley.com/documents/?uuid=1f3d9e6a-f97f-44b3-9e01-564de97b3919"]}],"mendeley":{"formattedCitation":"[35]","plainTextFormattedCitation":"[35]","previouslyFormattedCitation":"[36]"},"properties":{"noteIndex":0},"schema":"https://github.com/citation-style-language/schema/raw/master/csl-citation.json"}</w:instrText>
      </w:r>
      <w:r w:rsidR="003662F1" w:rsidRPr="00332C8B">
        <w:rPr>
          <w:rFonts w:asciiTheme="minorHAnsi" w:eastAsia="Calibri" w:hAnsiTheme="minorHAnsi" w:cstheme="minorHAnsi"/>
          <w:color w:val="000000" w:themeColor="text1"/>
          <w:sz w:val="22"/>
          <w:szCs w:val="22"/>
          <w:vertAlign w:val="superscript"/>
        </w:rPr>
        <w:fldChar w:fldCharType="separate"/>
      </w:r>
      <w:r w:rsidR="00F66CFF" w:rsidRPr="00332C8B">
        <w:rPr>
          <w:rFonts w:asciiTheme="minorHAnsi" w:eastAsia="Calibri" w:hAnsiTheme="minorHAnsi" w:cstheme="minorHAnsi"/>
          <w:noProof/>
          <w:color w:val="000000" w:themeColor="text1"/>
          <w:sz w:val="22"/>
          <w:szCs w:val="22"/>
        </w:rPr>
        <w:t>[35]</w:t>
      </w:r>
      <w:r w:rsidR="003662F1" w:rsidRPr="00332C8B">
        <w:rPr>
          <w:rFonts w:asciiTheme="minorHAnsi" w:eastAsia="Calibri" w:hAnsiTheme="minorHAnsi" w:cstheme="minorHAnsi"/>
          <w:color w:val="000000" w:themeColor="text1"/>
          <w:sz w:val="22"/>
          <w:szCs w:val="22"/>
          <w:vertAlign w:val="superscript"/>
        </w:rPr>
        <w:fldChar w:fldCharType="end"/>
      </w:r>
      <w:r w:rsidRPr="00332C8B">
        <w:rPr>
          <w:rFonts w:asciiTheme="minorHAnsi" w:eastAsia="Calibri" w:hAnsiTheme="minorHAnsi" w:cstheme="minorHAnsi"/>
          <w:color w:val="000000" w:themeColor="text1"/>
          <w:sz w:val="22"/>
          <w:szCs w:val="22"/>
          <w:vertAlign w:val="superscript"/>
        </w:rPr>
        <w:t>,</w:t>
      </w:r>
      <w:r w:rsidR="003662F1" w:rsidRPr="00332C8B">
        <w:rPr>
          <w:rFonts w:asciiTheme="minorHAnsi" w:eastAsia="Calibri" w:hAnsiTheme="minorHAnsi" w:cstheme="minorHAnsi"/>
          <w:color w:val="000000" w:themeColor="text1"/>
          <w:sz w:val="22"/>
          <w:szCs w:val="22"/>
          <w:vertAlign w:val="superscript"/>
        </w:rPr>
        <w:fldChar w:fldCharType="begin" w:fldLock="1"/>
      </w:r>
      <w:r w:rsidR="00F66CFF" w:rsidRPr="00332C8B">
        <w:rPr>
          <w:rFonts w:asciiTheme="minorHAnsi" w:eastAsia="Calibri" w:hAnsiTheme="minorHAnsi" w:cstheme="minorHAnsi"/>
          <w:color w:val="000000" w:themeColor="text1"/>
          <w:sz w:val="22"/>
          <w:szCs w:val="22"/>
          <w:vertAlign w:val="superscript"/>
        </w:rPr>
        <w:instrText>ADDIN CSL_CITATION {"citationItems":[{"id":"ITEM-1","itemData":{"ISSN":"0748-7983","abstract":"The correlation between body composition measured by bioelectrical impedance (BIA) and postoperative complications in 115 patients with gastrointestinal cancer was analysed. A significant increase in severe complications was found independent of lean body mass (LBM). In patients with LBM below the normal range the complication rate proved to be 31% (17/55), whereas patients with normal LBM had a complication rate of 10% (6/60). Other decisive factors, such as sex, age, tumor stage, operative procedure and body height were equally distributed in both groups. The practicability and efficiency of BIA became obvious in this study.","author":[{"dropping-particle":"","family":"T.","given":"Fritz","non-dropping-particle":"","parse-names":false,"suffix":""},{"dropping-particle":"","family":"I.","given":"Hollwarth","non-dropping-particle":"","parse-names":false,"suffix":""},{"dropping-particle":"","family":"M.","given":"Romaschow","non-dropping-particle":"","parse-names":false,"suffix":""}],"container-title":"European Journal of Surgical Oncology","id":"ITEM-1","issue":"4","issued":{"date-parts":[["1990"]]},"page":"326-331","publisher":"W.B. Saunders Ltd (32 Jamestown Road, London NW1 7BY, United Kingdom)","publisher-place":"P. Schlag, Department of Surgery, University of Heidelberg, Im Neuenheimer Feld 110, D-6900 Heidelberg, Germany","title":"The predictive role of bioelectrical impedance analysis (BIA) in postoperative complications of cancer patients","type":"article-journal","volume":"16"},"uris":["http://www.mendeley.com/documents/?uuid=e0444ba5-8fa0-4676-9f2f-5be6618fbef1"]}],"mendeley":{"formattedCitation":"[41]","plainTextFormattedCitation":"[41]","previouslyFormattedCitation":"[42]"},"properties":{"noteIndex":0},"schema":"https://github.com/citation-style-language/schema/raw/master/csl-citation.json"}</w:instrText>
      </w:r>
      <w:r w:rsidR="003662F1" w:rsidRPr="00332C8B">
        <w:rPr>
          <w:rFonts w:asciiTheme="minorHAnsi" w:eastAsia="Calibri" w:hAnsiTheme="minorHAnsi" w:cstheme="minorHAnsi"/>
          <w:color w:val="000000" w:themeColor="text1"/>
          <w:sz w:val="22"/>
          <w:szCs w:val="22"/>
          <w:vertAlign w:val="superscript"/>
        </w:rPr>
        <w:fldChar w:fldCharType="separate"/>
      </w:r>
      <w:r w:rsidR="00F66CFF" w:rsidRPr="00332C8B">
        <w:rPr>
          <w:rFonts w:asciiTheme="minorHAnsi" w:eastAsia="Calibri" w:hAnsiTheme="minorHAnsi" w:cstheme="minorHAnsi"/>
          <w:noProof/>
          <w:color w:val="000000" w:themeColor="text1"/>
          <w:sz w:val="22"/>
          <w:szCs w:val="22"/>
        </w:rPr>
        <w:t>[41]</w:t>
      </w:r>
      <w:r w:rsidR="003662F1" w:rsidRPr="00332C8B">
        <w:rPr>
          <w:rFonts w:asciiTheme="minorHAnsi" w:eastAsia="Calibri" w:hAnsiTheme="minorHAnsi" w:cstheme="minorHAnsi"/>
          <w:color w:val="000000" w:themeColor="text1"/>
          <w:sz w:val="22"/>
          <w:szCs w:val="22"/>
          <w:vertAlign w:val="superscript"/>
        </w:rPr>
        <w:fldChar w:fldCharType="end"/>
      </w:r>
      <w:r w:rsidRPr="00332C8B">
        <w:rPr>
          <w:rFonts w:asciiTheme="minorHAnsi" w:eastAsia="Calibri" w:hAnsiTheme="minorHAnsi" w:cstheme="minorHAnsi"/>
          <w:color w:val="000000" w:themeColor="text1"/>
          <w:sz w:val="22"/>
          <w:szCs w:val="22"/>
        </w:rPr>
        <w:t xml:space="preserve"> (57%) demonstrated an association with post-operative complications, three</w:t>
      </w:r>
      <w:r w:rsidR="003662F1" w:rsidRPr="00332C8B">
        <w:rPr>
          <w:rFonts w:asciiTheme="minorHAnsi" w:eastAsia="Calibri" w:hAnsiTheme="minorHAnsi" w:cstheme="minorHAnsi"/>
          <w:color w:val="000000" w:themeColor="text1"/>
          <w:sz w:val="22"/>
          <w:szCs w:val="22"/>
        </w:rPr>
        <w:fldChar w:fldCharType="begin" w:fldLock="1"/>
      </w:r>
      <w:r w:rsidR="00F66CFF" w:rsidRPr="00332C8B">
        <w:rPr>
          <w:rFonts w:asciiTheme="minorHAnsi" w:eastAsia="Calibri" w:hAnsiTheme="minorHAnsi" w:cstheme="minorHAnsi"/>
          <w:color w:val="000000" w:themeColor="text1"/>
          <w:sz w:val="22"/>
          <w:szCs w:val="22"/>
        </w:rPr>
        <w:instrText>ADDIN CSL_CITATION {"citationItems":[{"id":"ITEM-1","itemData":{"DOI":"10.1111/jhn.12002","ISSN":"0952-3871","abstract":"Background Both malnutrition and obesity are related to worsened post-operative outcomes after colorectal surgery. Obese cancer patients may be malnourished as a result of short-term weight loss. The present study aimed to evaluate preoperative nutritional status, body composition and dietary intake related to post-operative complications ( POC) and post-operative hospital days ( POHD) in elective colorectal cancer ( CRC) patients. Methods Anthropometry, body composition measured by bioelectric spectroscopy and dietary habits assessed by a validated food-frequency questionnaire were examined in 100 newly-diagnosed CRC patients. Data from 30-day POC and POHD were collected from medical records. Nonparametric and chi-squared tests and logistic regression were used to analyse associations between body and dietary variables and post-operative outcome. Results Twenty-nine patients had at least one POC. The median POHD was six. Body size and composition measures and short-term weight loss were no different between patients with and without POC, or between patients with POHD &lt;7 and ≥7. Dietary variables were otherwise no different between patients with and without POC, although the median intake of marine n-3 polyunsaturated fatty acids ( PUFA, the sum of eicosapentaenoic and docosahexaenoic acids) was significantly lower in patients with versus without POC (0.7 versus 1.2 g day−1, P = 0.04). Conclusions We found that preoperative body size, body composition and short-term weight loss were not related to 30-day post-operative outcomes in CRC patients. A high content of marine n-3 PUFA in preoperative habitual diets may protect against POC after CRC surgery.","author":[{"dropping-particle":"","family":"Berstad","given":"P","non-dropping-particle":"","parse-names":false,"suffix":""},{"dropping-particle":"","family":"Haugum","given":"B","non-dropping-particle":"","parse-names":false,"suffix":""},{"dropping-particle":"","family":"Helgeland","given":"M","non-dropping-particle":"","parse-names":false,"suffix":""},{"dropping-particle":"","family":"Bukholm","given":"I","non-dropping-particle":"","parse-names":false,"suffix":""},{"dropping-particle":"","family":"Almendingen","given":"K","non-dropping-particle":"","parse-names":false,"suffix":""}],"container-title":"Journal of Human Nutrition &amp; Dietetics","id":"ITEM-1","issue":"4","issued":{"date-parts":[["2013","8"]]},"note":"Accession Number: 104196215. Language: English. Entry Date: 20130716. Revision Date: 20150820. Publication Type: Journal Article; research; tables/charts. Journal Subset: Allied Health; Biomedical; Europe; Peer Reviewed; UK &amp;amp; Ireland. Special Interest: Nutrition; Oncologic Care; Perioperative Care. Instrumentation: Food Frequency Questionnaire (FFQ). Grant Information: This work was supported by grant no. 2006094 from Eastern Norway Regional Health Authority RHF and grants from Eckbo Foundation and Flatner Foundation.. NLM UID: 8904840.","page":"359-368","publisher":"Wiley-Blackwell","publisher-place":"Research Centre Akershus University Hospital","title":"Preoperative body size and composition, habitual diet, and post-operative complications in elective colorectal cancer patients in Norway.","type":"article-journal","volume":"26"},"uris":["http://www.mendeley.com/documents/?uuid=ed89d092-88dd-471d-99eb-e3ad956371cb"]}],"mendeley":{"formattedCitation":"[31]","plainTextFormattedCitation":"[31]","previouslyFormattedCitation":"[32]"},"properties":{"noteIndex":0},"schema":"https://github.com/citation-style-language/schema/raw/master/csl-citation.json"}</w:instrText>
      </w:r>
      <w:r w:rsidR="003662F1" w:rsidRPr="00332C8B">
        <w:rPr>
          <w:rFonts w:asciiTheme="minorHAnsi" w:eastAsia="Calibri" w:hAnsiTheme="minorHAnsi" w:cstheme="minorHAnsi"/>
          <w:color w:val="000000" w:themeColor="text1"/>
          <w:sz w:val="22"/>
          <w:szCs w:val="22"/>
        </w:rPr>
        <w:fldChar w:fldCharType="separate"/>
      </w:r>
      <w:r w:rsidR="00F66CFF" w:rsidRPr="00332C8B">
        <w:rPr>
          <w:rFonts w:asciiTheme="minorHAnsi" w:eastAsia="Calibri" w:hAnsiTheme="minorHAnsi" w:cstheme="minorHAnsi"/>
          <w:noProof/>
          <w:color w:val="000000" w:themeColor="text1"/>
          <w:sz w:val="22"/>
          <w:szCs w:val="22"/>
        </w:rPr>
        <w:t>[31]</w:t>
      </w:r>
      <w:r w:rsidR="003662F1" w:rsidRPr="00332C8B">
        <w:rPr>
          <w:rFonts w:asciiTheme="minorHAnsi" w:eastAsia="Calibri" w:hAnsiTheme="minorHAnsi" w:cstheme="minorHAnsi"/>
          <w:color w:val="000000" w:themeColor="text1"/>
          <w:sz w:val="22"/>
          <w:szCs w:val="22"/>
        </w:rPr>
        <w:fldChar w:fldCharType="end"/>
      </w:r>
      <w:r w:rsidR="008264C1" w:rsidRPr="00332C8B">
        <w:rPr>
          <w:rFonts w:asciiTheme="minorHAnsi" w:eastAsia="Calibri" w:hAnsiTheme="minorHAnsi" w:cstheme="minorHAnsi"/>
          <w:color w:val="000000" w:themeColor="text1"/>
          <w:sz w:val="22"/>
          <w:szCs w:val="22"/>
          <w:vertAlign w:val="superscript"/>
        </w:rPr>
        <w:t>,</w:t>
      </w:r>
      <w:r w:rsidR="003662F1" w:rsidRPr="00332C8B">
        <w:rPr>
          <w:rFonts w:asciiTheme="minorHAnsi" w:eastAsia="Calibri" w:hAnsiTheme="minorHAnsi" w:cstheme="minorHAnsi"/>
          <w:color w:val="000000" w:themeColor="text1"/>
          <w:sz w:val="22"/>
          <w:szCs w:val="22"/>
          <w:vertAlign w:val="superscript"/>
        </w:rPr>
        <w:fldChar w:fldCharType="begin" w:fldLock="1"/>
      </w:r>
      <w:r w:rsidR="00F66CFF" w:rsidRPr="00332C8B">
        <w:rPr>
          <w:rFonts w:asciiTheme="minorHAnsi" w:eastAsia="Calibri" w:hAnsiTheme="minorHAnsi" w:cstheme="minorHAnsi"/>
          <w:color w:val="000000" w:themeColor="text1"/>
          <w:sz w:val="22"/>
          <w:szCs w:val="22"/>
          <w:vertAlign w:val="superscript"/>
        </w:rPr>
        <w:instrText>ADDIN CSL_CITATION {"citationItems":[{"id":"ITEM-1","itemData":{"DOI":"https://dx.doi.org/10.1007/s10120-015-0554-4","ISSN":"1436-3305","abstract":"BACKGROUND: Sarcopenia is a decrease in both muscle mass and strength. It remains unclear whether sarcopenia is associated with morbidity after gastric cancer surgery. This study evaluated the impact of sarcopenia on the morbidity of gastric cancer surgery., METHODS: A total of 293 gastric cancer patients who underwent curative surgery between May 2011 and June 2013 were retrospectively examined. Patients with performance status 3 or 4 were excluded. Preoperative lean body mass (LBM) was evaluated by bioelectrical impedance analysis and expressed as LBM index. Preoperative muscle function was measured by hand grip strength (HGS). The cutoff values were the gender-specific lowest 20 %. Grade 2 or higher morbidities, as retrospectively evaluated by the Clavien-Dindo classification, were obtained from the patient record. The risk factors for morbidity were examined by univariate and multivariate analyses., RESULTS: Morbidity was observed in 39 patients (13.3 %), including 7 with pancreatic leakage, 12 with anastomotic leakage, and 4 with intraabdominal abscesses, but no mortality was observed. The univariate analysis showed that male gender, total gastrectomy, splenectomy, and a low HGS were significant risk factors for morbidity. A low LBM was not a significant risk factor. A low HGS, male gender, and total gastrectomy remained significant in the multivariate analysis., CONCLUSIONS: A low hand grip strength was a significant risk factor for morbidity after gastric cancer surgery. The importance of the hand grip strength as a risk factor should be examined in future prospective studies.","author":[{"dropping-particle":"","family":"Sato","given":"Tsutomu","non-dropping-particle":"","parse-names":false,"suffix":""},{"dropping-particle":"","family":"Aoyama","given":"Toru","non-dropping-particle":"","parse-names":false,"suffix":""},{"dropping-particle":"","family":"Hayashi","given":"Tsutomu","non-dropping-particle":"","parse-names":false,"suffix":""},{"dropping-particle":"","family":"Segami","given":"Kenki","non-dropping-particle":"","parse-names":false,"suffix":""},{"dropping-particle":"","family":"Kawabe","given":"Taiichi","non-dropping-particle":"","parse-names":false,"suffix":""},{"dropping-particle":"","family":"Fujikawa","given":"Hirohito","non-dropping-particle":"","parse-names":false,"suffix":""},{"dropping-particle":"","family":"Yamada","given":"Takanobu","non-dropping-particle":"","parse-names":false,"suffix":""},{"dropping-particle":"","family":"Yamamoto","given":"Naoto","non-dropping-particle":"","parse-names":false,"suffix":""},{"dropping-particle":"","family":"Oshima","given":"Takashi","non-dropping-particle":"","parse-names":false,"suffix":""},{"dropping-particle":"","family":"Rino","given":"Yasushi","non-dropping-particle":"","parse-names":false,"suffix":""},{"dropping-particle":"","family":"Masuda","given":"Munetaka","non-dropping-particle":"","parse-names":false,"suffix":""},{"dropping-particle":"","family":"Ogata","given":"Takashi","non-dropping-particle":"","parse-names":false,"suffix":""},{"dropping-particle":"","family":"Cho","given":"Haruhiko","non-dropping-particle":"","parse-names":false,"suffix":""},{"dropping-particle":"","family":"Yoshikawa","given":"Takaki","non-dropping-particle":"","parse-names":false,"suffix":""}],"container-title":"Gastric cancer : official journal of the International Gastric Cancer Association and the Japanese Gastric Cancer Association","id":"ITEM-1","issue":"3","issued":{"date-parts":[["2016"]]},"page":"1008-1015","publisher-place":"Japan","title":"Impact of preoperative hand grip strength on morbidity following gastric cancer surgery.","type":"article-journal","volume":"19"},"uris":["http://www.mendeley.com/documents/?uuid=a7720521-e083-46bf-88a1-5a1149d42876"]}],"mendeley":{"formattedCitation":"[34]","plainTextFormattedCitation":"[34]","previouslyFormattedCitation":"[35]"},"properties":{"noteIndex":0},"schema":"https://github.com/citation-style-language/schema/raw/master/csl-citation.json"}</w:instrText>
      </w:r>
      <w:r w:rsidR="003662F1" w:rsidRPr="00332C8B">
        <w:rPr>
          <w:rFonts w:asciiTheme="minorHAnsi" w:eastAsia="Calibri" w:hAnsiTheme="minorHAnsi" w:cstheme="minorHAnsi"/>
          <w:color w:val="000000" w:themeColor="text1"/>
          <w:sz w:val="22"/>
          <w:szCs w:val="22"/>
          <w:vertAlign w:val="superscript"/>
        </w:rPr>
        <w:fldChar w:fldCharType="separate"/>
      </w:r>
      <w:r w:rsidR="00F66CFF" w:rsidRPr="00332C8B">
        <w:rPr>
          <w:rFonts w:asciiTheme="minorHAnsi" w:eastAsia="Calibri" w:hAnsiTheme="minorHAnsi" w:cstheme="minorHAnsi"/>
          <w:noProof/>
          <w:color w:val="000000" w:themeColor="text1"/>
          <w:sz w:val="22"/>
          <w:szCs w:val="22"/>
        </w:rPr>
        <w:t>[34]</w:t>
      </w:r>
      <w:r w:rsidR="003662F1" w:rsidRPr="00332C8B">
        <w:rPr>
          <w:rFonts w:asciiTheme="minorHAnsi" w:eastAsia="Calibri" w:hAnsiTheme="minorHAnsi" w:cstheme="minorHAnsi"/>
          <w:color w:val="000000" w:themeColor="text1"/>
          <w:sz w:val="22"/>
          <w:szCs w:val="22"/>
          <w:vertAlign w:val="superscript"/>
        </w:rPr>
        <w:fldChar w:fldCharType="end"/>
      </w:r>
      <w:r w:rsidRPr="00332C8B">
        <w:rPr>
          <w:rFonts w:asciiTheme="minorHAnsi" w:eastAsia="Calibri" w:hAnsiTheme="minorHAnsi" w:cstheme="minorHAnsi"/>
          <w:color w:val="000000" w:themeColor="text1"/>
          <w:sz w:val="22"/>
          <w:szCs w:val="22"/>
          <w:vertAlign w:val="superscript"/>
        </w:rPr>
        <w:t>,</w:t>
      </w:r>
      <w:r w:rsidR="003662F1" w:rsidRPr="00332C8B">
        <w:rPr>
          <w:rFonts w:asciiTheme="minorHAnsi" w:eastAsia="Calibri" w:hAnsiTheme="minorHAnsi" w:cstheme="minorHAnsi"/>
          <w:color w:val="000000" w:themeColor="text1"/>
          <w:sz w:val="22"/>
          <w:szCs w:val="22"/>
          <w:vertAlign w:val="superscript"/>
        </w:rPr>
        <w:fldChar w:fldCharType="begin" w:fldLock="1"/>
      </w:r>
      <w:r w:rsidR="00F66CFF" w:rsidRPr="00332C8B">
        <w:rPr>
          <w:rFonts w:asciiTheme="minorHAnsi" w:eastAsia="Calibri" w:hAnsiTheme="minorHAnsi" w:cstheme="minorHAnsi"/>
          <w:color w:val="000000" w:themeColor="text1"/>
          <w:sz w:val="22"/>
          <w:szCs w:val="22"/>
          <w:vertAlign w:val="superscript"/>
        </w:rPr>
        <w:instrText>ADDIN CSL_CITATION {"citationItems":[{"id":"ITEM-1","itemData":{"DOI":"http://dx.doi.org/10.1111/jog.12554","ISSN":"1341-8076","abstract":"Abstract Aim This study used the measure of percentage of body fat (%BF) to define obesity and evaluated the effect of percentage of %BF on clinical, surgical and pathological features in women with endometrial cancer. Methods Between 2011 and 2013, bioelectrical impedance analysis and body size measurements of 94 patients whose endometrial biopsy revealed endometrial cancer were obtained. Patients were divided into two groups according to body mass index (BMI) (normal, &lt;30 kg/m2; elevated, &gt;=30 kg/m2), and also classified by %BF (normal, &lt;32%; elevated, &gt;=32%). Results The patients' mean age was 55.0 +/- 10.9 years. Mean %BF and BMI were 40.8% +/- 9.8% and 32.9 +/- 7.5, respectively. Eighty-three (88%) patients were obese according to %BF; 54 (57%) were obese according to BMI. Patients with elevated %BF were more likely to have less than 50% myometrial invasion (P = 0.004). Significantly more para-aortic lymph nodes were retrieved in patients with normal %BF or BMI (P &lt; 0.001, P &lt; 0.001). Patients with elevated %BF had longer operating times (P = 0.043) and were more likely to have stage I disease than patients with normal %BF (P &lt; 0.001). Conclusion Endometrial cancer patients with an elevated %BF are more likely to have stage I disease and less than 50% myometrial invasion than patients with normal %BF. Defining obesity by BF may provide better estimation of obesity prevalence in patients with endometrial cancer and further understanding the relationship between BF with endometrial cancer may give more information about the effects of obesity on endometrial cancer.Copyright © 2014 The Authors.","author":[{"dropping-particle":"","family":"O.","given":"Secilmis Kerimoglu","non-dropping-particle":"","parse-names":false,"suffix":""},{"dropping-particle":"","family":"A.","given":"Pekin","non-dropping-particle":"","parse-names":false,"suffix":""},{"dropping-particle":"","family":"S.A.","given":"Yilmaz","non-dropping-particle":"","parse-names":false,"suffix":""},{"dropping-particle":"","family":"G.","given":"Yavas","non-dropping-particle":"","parse-names":false,"suffix":""},{"dropping-particle":"","family":"F.","given":"Beyhekim","non-dropping-particle":"","parse-names":false,"suffix":""},{"dropping-particle":"","family":"A.A.","given":"Demirtas","non-dropping-particle":"","parse-names":false,"suffix":""},{"dropping-particle":"","family":"N.U.","given":"Dogan","non-dropping-particle":"","parse-names":false,"suffix":""},{"dropping-particle":"","family":"T.T.","given":"Ilhan","non-dropping-particle":"","parse-names":false,"suffix":""}],"container-title":"Journal of Obstetrics and Gynaecology Research","id":"ITEM-1","issue":"3","issued":{"date-parts":[["2015"]]},"page":"449-455","publisher":"Blackwell Publishing (E-mail: info@asia.blackpublishing.com.au)","publisher-place":"O. Secilmis Kerimoglu, Selcuk Universitesi Tip Fakultesi, Kadin Hastaliklari ve Dogum ABD, Kampus, Selcuklu 42000, Turkey","title":"Effect of the percentage of body fat on surgical, clinical and pathological outcomes in women with endometrial cancer","type":"article-journal","volume":"41"},"uris":["http://www.mendeley.com/documents/?uuid=fab9c483-886b-4d5f-9d60-16cb99d77d36"]}],"mendeley":{"formattedCitation":"[38]","plainTextFormattedCitation":"[38]","previouslyFormattedCitation":"[39]"},"properties":{"noteIndex":0},"schema":"https://github.com/citation-style-language/schema/raw/master/csl-citation.json"}</w:instrText>
      </w:r>
      <w:r w:rsidR="003662F1" w:rsidRPr="00332C8B">
        <w:rPr>
          <w:rFonts w:asciiTheme="minorHAnsi" w:eastAsia="Calibri" w:hAnsiTheme="minorHAnsi" w:cstheme="minorHAnsi"/>
          <w:color w:val="000000" w:themeColor="text1"/>
          <w:sz w:val="22"/>
          <w:szCs w:val="22"/>
          <w:vertAlign w:val="superscript"/>
        </w:rPr>
        <w:fldChar w:fldCharType="separate"/>
      </w:r>
      <w:r w:rsidR="00F66CFF" w:rsidRPr="00332C8B">
        <w:rPr>
          <w:rFonts w:asciiTheme="minorHAnsi" w:eastAsia="Calibri" w:hAnsiTheme="minorHAnsi" w:cstheme="minorHAnsi"/>
          <w:noProof/>
          <w:color w:val="000000" w:themeColor="text1"/>
          <w:sz w:val="22"/>
          <w:szCs w:val="22"/>
        </w:rPr>
        <w:t>[38]</w:t>
      </w:r>
      <w:r w:rsidR="003662F1" w:rsidRPr="00332C8B">
        <w:rPr>
          <w:rFonts w:asciiTheme="minorHAnsi" w:eastAsia="Calibri" w:hAnsiTheme="minorHAnsi" w:cstheme="minorHAnsi"/>
          <w:color w:val="000000" w:themeColor="text1"/>
          <w:sz w:val="22"/>
          <w:szCs w:val="22"/>
          <w:vertAlign w:val="superscript"/>
        </w:rPr>
        <w:fldChar w:fldCharType="end"/>
      </w:r>
      <w:r w:rsidRPr="00332C8B">
        <w:rPr>
          <w:rFonts w:asciiTheme="minorHAnsi" w:eastAsia="Calibri" w:hAnsiTheme="minorHAnsi" w:cstheme="minorHAnsi"/>
          <w:color w:val="000000" w:themeColor="text1"/>
          <w:sz w:val="22"/>
          <w:szCs w:val="22"/>
        </w:rPr>
        <w:t xml:space="preserve"> (43%) did not. (Table </w:t>
      </w:r>
      <w:r w:rsidR="000751D5" w:rsidRPr="00332C8B">
        <w:rPr>
          <w:rFonts w:asciiTheme="minorHAnsi" w:eastAsia="Calibri" w:hAnsiTheme="minorHAnsi" w:cstheme="minorHAnsi"/>
          <w:color w:val="000000" w:themeColor="text1"/>
          <w:sz w:val="22"/>
          <w:szCs w:val="22"/>
        </w:rPr>
        <w:t>3</w:t>
      </w:r>
      <w:r w:rsidRPr="00332C8B">
        <w:rPr>
          <w:rFonts w:asciiTheme="minorHAnsi" w:eastAsia="Calibri" w:hAnsiTheme="minorHAnsi" w:cstheme="minorHAnsi"/>
          <w:color w:val="000000" w:themeColor="text1"/>
          <w:sz w:val="22"/>
          <w:szCs w:val="22"/>
        </w:rPr>
        <w:t>)</w:t>
      </w:r>
    </w:p>
    <w:p w14:paraId="1EA368A3" w14:textId="42CDB31C" w:rsidR="00D03030" w:rsidRPr="00332C8B" w:rsidRDefault="00D03030" w:rsidP="00F0414E">
      <w:pPr>
        <w:spacing w:after="160" w:line="480" w:lineRule="auto"/>
        <w:rPr>
          <w:rFonts w:asciiTheme="minorHAnsi" w:eastAsia="Calibri" w:hAnsiTheme="minorHAnsi" w:cstheme="minorHAnsi"/>
          <w:color w:val="000000" w:themeColor="text1"/>
          <w:sz w:val="22"/>
          <w:szCs w:val="22"/>
          <w:lang w:val="en-US"/>
        </w:rPr>
      </w:pPr>
      <w:r w:rsidRPr="00332C8B">
        <w:rPr>
          <w:rFonts w:asciiTheme="minorHAnsi" w:eastAsia="Calibri" w:hAnsiTheme="minorHAnsi" w:cstheme="minorHAnsi"/>
          <w:color w:val="000000" w:themeColor="text1"/>
          <w:sz w:val="22"/>
          <w:szCs w:val="22"/>
          <w:lang w:val="en-US"/>
        </w:rPr>
        <w:t>Tamura</w:t>
      </w:r>
      <w:r w:rsidR="00647CE0" w:rsidRPr="00332C8B">
        <w:rPr>
          <w:rFonts w:asciiTheme="minorHAnsi" w:eastAsia="Calibri" w:hAnsiTheme="minorHAnsi" w:cstheme="minorHAnsi"/>
          <w:color w:val="000000" w:themeColor="text1"/>
          <w:sz w:val="22"/>
          <w:szCs w:val="22"/>
          <w:lang w:val="en-US"/>
        </w:rPr>
        <w:t xml:space="preserve"> et al</w:t>
      </w:r>
      <w:r w:rsidR="003662F1" w:rsidRPr="00332C8B">
        <w:rPr>
          <w:rFonts w:asciiTheme="minorHAnsi" w:eastAsia="Calibri" w:hAnsiTheme="minorHAnsi" w:cstheme="minorHAnsi"/>
          <w:color w:val="000000" w:themeColor="text1"/>
          <w:sz w:val="22"/>
          <w:szCs w:val="22"/>
          <w:lang w:val="en-US"/>
        </w:rPr>
        <w:fldChar w:fldCharType="begin" w:fldLock="1"/>
      </w:r>
      <w:r w:rsidR="00F66CFF" w:rsidRPr="00332C8B">
        <w:rPr>
          <w:rFonts w:asciiTheme="minorHAnsi" w:eastAsia="Calibri" w:hAnsiTheme="minorHAnsi" w:cstheme="minorHAnsi"/>
          <w:color w:val="000000" w:themeColor="text1"/>
          <w:sz w:val="22"/>
          <w:szCs w:val="22"/>
          <w:lang w:val="en-US"/>
        </w:rPr>
        <w:instrText>ADDIN CSL_CITATION {"citationItems":[{"id":"ITEM-1","itemData":{"DOI":"10.21873/anticanres.13203","ISSN":"0250-7005","abstract":"Background: Sarcopenia is known to have an important influence on\npostoperative complications in several diseases, and on the prognosis of\npatients with cancer. However, whether sarcopenia is associated with\ncomplications and prognosis after gastrectomy in patients with gastric\ncancer remains controversial. This study evaluated the impact of the\npreoperative muscle mass on postoperative complications of gastric\ncancer surgery. Materials and Methods: The muscle mass of 153 patients\nwho underwent gastrectomy for gastric cancer from January 2014 to August\n2016 was assessed before surgery by a multifrequency bioelectrical\nimpedance analysis (In Body 3.0; Biospace, Tokyo, Japan) and was\nexpressed as the muscle mass index (MMI). Sarcopenia was defined as an\nMMI value of one standard deviation or more below the gender-specific\nmean MMI. Complications of Clavien-Dindo grade 2 or more were defined as\nsignificant postoperative complications. The impact of preoperative\nsarcopenia on postoperative infectious complications was analyzed by\nunivariate and multivariate analyses. Results: A total of 153 patients\nwere analyzed, sarcopenia was present in 24 out of 153 patients\n(15.7%). Thirty (19.6%) patients developed postoperative\ncomplications, 20 (13.1%) of which were infectious complications.\nSarcopenia was significantly associated with age, body mass index, serum\nalbumin, pulmonary disease in comorbidities, operative time, surgical\napproach, and postoperative complications. The univariate analyses\nrevealed that male sex, sarcopenia, total gastrectomy, laparotomy, and\nintraoperative blood loss were associated with postoperative infectious\ncomplications. In the multivariate analyses, sarcopenia and\nintraoperative blood loss &gt;= 400 ml were independently associated with\npostoperative infectious complications. Conclusion: Preoperative\nsarcopenia was found to be an independent risk factor for postoperative\ninfectious complications in gastric cancer patients.","author":[{"dropping-particle":"","family":"Tamura","given":"Tatsuro","non-dropping-particle":"","parse-names":false,"suffix":""},{"dropping-particle":"","family":"Sakurai","given":"Katsunobu","non-dropping-particle":"","parse-names":false,"suffix":""},{"dropping-particle":"","family":"Nambara","given":"Mikio","non-dropping-particle":"","parse-names":false,"suffix":""},{"dropping-particle":"","family":"Miki","given":"Yuichiro","non-dropping-particle":"","parse-names":false,"suffix":""},{"dropping-particle":"","family":"Toyokawa","given":"Takahiro","non-dropping-particle":"","parse-names":false,"suffix":""},{"dropping-particle":"","family":"Kubo","given":"Naoshi","non-dropping-particle":"","parse-names":false,"suffix":""},{"dropping-particle":"","family":"Tanaka","given":"Hiroaki","non-dropping-particle":"","parse-names":false,"suffix":""},{"dropping-particle":"","family":"Muguruma","given":"Kazuya","non-dropping-particle":"","parse-names":false,"suffix":""},{"dropping-particle":"","family":"Yashiro","given":"Masakazu","non-dropping-particle":"","parse-names":false,"suffix":""},{"dropping-particle":"","family":"Ohira","given":"Masaichi","non-dropping-particle":"","parse-names":false,"suffix":""}],"container-title":"ANTICANCER RESEARCH","id":"ITEM-1","issue":"2","issued":{"date-parts":[["2019","2"]]},"page":"987-992","title":"Adverse Effects of Preoperative Sarcopenia on Postoperative Complications of Patients With Gastric Cancer","type":"article-journal","volume":"39"},"uris":["http://www.mendeley.com/documents/?uuid=b0dc6cbe-eae3-4fb0-979a-e02b6496d53b"]}],"mendeley":{"formattedCitation":"[33]","plainTextFormattedCitation":"[33]","previouslyFormattedCitation":"[34]"},"properties":{"noteIndex":0},"schema":"https://github.com/citation-style-language/schema/raw/master/csl-citation.json"}</w:instrText>
      </w:r>
      <w:r w:rsidR="003662F1" w:rsidRPr="00332C8B">
        <w:rPr>
          <w:rFonts w:asciiTheme="minorHAnsi" w:eastAsia="Calibri" w:hAnsiTheme="minorHAnsi" w:cstheme="minorHAnsi"/>
          <w:color w:val="000000" w:themeColor="text1"/>
          <w:sz w:val="22"/>
          <w:szCs w:val="22"/>
          <w:lang w:val="en-US"/>
        </w:rPr>
        <w:fldChar w:fldCharType="separate"/>
      </w:r>
      <w:r w:rsidR="00F66CFF" w:rsidRPr="00332C8B">
        <w:rPr>
          <w:rFonts w:asciiTheme="minorHAnsi" w:eastAsia="Calibri" w:hAnsiTheme="minorHAnsi" w:cstheme="minorHAnsi"/>
          <w:noProof/>
          <w:color w:val="000000" w:themeColor="text1"/>
          <w:sz w:val="22"/>
          <w:szCs w:val="22"/>
          <w:lang w:val="en-US"/>
        </w:rPr>
        <w:t>[33]</w:t>
      </w:r>
      <w:r w:rsidR="003662F1" w:rsidRPr="00332C8B">
        <w:rPr>
          <w:rFonts w:asciiTheme="minorHAnsi" w:eastAsia="Calibri" w:hAnsiTheme="minorHAnsi" w:cstheme="minorHAnsi"/>
          <w:color w:val="000000" w:themeColor="text1"/>
          <w:sz w:val="22"/>
          <w:szCs w:val="22"/>
          <w:lang w:val="en-US"/>
        </w:rPr>
        <w:fldChar w:fldCharType="end"/>
      </w:r>
      <w:r w:rsidRPr="00332C8B">
        <w:rPr>
          <w:rFonts w:asciiTheme="minorHAnsi" w:eastAsia="Calibri" w:hAnsiTheme="minorHAnsi" w:cstheme="minorHAnsi"/>
          <w:color w:val="000000" w:themeColor="text1"/>
          <w:sz w:val="22"/>
          <w:szCs w:val="22"/>
          <w:lang w:val="en-US"/>
        </w:rPr>
        <w:t xml:space="preserve"> </w:t>
      </w:r>
      <w:r w:rsidR="00D66394" w:rsidRPr="00332C8B">
        <w:rPr>
          <w:rFonts w:asciiTheme="minorHAnsi" w:eastAsia="Calibri" w:hAnsiTheme="minorHAnsi" w:cstheme="minorHAnsi"/>
          <w:color w:val="000000" w:themeColor="text1"/>
          <w:sz w:val="22"/>
          <w:szCs w:val="22"/>
          <w:lang w:val="en-US"/>
        </w:rPr>
        <w:t xml:space="preserve">assessed </w:t>
      </w:r>
      <w:r w:rsidRPr="00332C8B">
        <w:rPr>
          <w:rFonts w:asciiTheme="minorHAnsi" w:eastAsia="Calibri" w:hAnsiTheme="minorHAnsi" w:cstheme="minorHAnsi"/>
          <w:color w:val="000000" w:themeColor="text1"/>
          <w:sz w:val="22"/>
          <w:szCs w:val="22"/>
          <w:lang w:val="en-US"/>
        </w:rPr>
        <w:t xml:space="preserve">gender-specific muscle-mass index in 153 patients undergoing gastrectomy for gastric cancer. </w:t>
      </w:r>
      <w:r w:rsidRPr="00332C8B">
        <w:rPr>
          <w:rFonts w:asciiTheme="minorHAnsi" w:eastAsia="Calibri" w:hAnsiTheme="minorHAnsi" w:cstheme="minorHAnsi"/>
          <w:color w:val="000000" w:themeColor="text1"/>
          <w:sz w:val="22"/>
          <w:szCs w:val="22"/>
        </w:rPr>
        <w:t xml:space="preserve">This prospective study explored sarcopenia as a predictor of post-operative complications, defined by the Clavien-Dindo classification. </w:t>
      </w:r>
      <w:r w:rsidR="0024717E" w:rsidRPr="00332C8B">
        <w:rPr>
          <w:rFonts w:asciiTheme="minorHAnsi" w:eastAsia="Calibri" w:hAnsiTheme="minorHAnsi" w:cstheme="minorHAnsi"/>
          <w:color w:val="000000" w:themeColor="text1"/>
          <w:sz w:val="22"/>
          <w:szCs w:val="22"/>
          <w:lang w:val="en-US"/>
        </w:rPr>
        <w:t>Sarcopenia was defined as</w:t>
      </w:r>
      <w:r w:rsidRPr="00332C8B">
        <w:rPr>
          <w:rFonts w:asciiTheme="minorHAnsi" w:eastAsia="Calibri" w:hAnsiTheme="minorHAnsi" w:cstheme="minorHAnsi"/>
          <w:color w:val="000000" w:themeColor="text1"/>
          <w:sz w:val="22"/>
          <w:szCs w:val="22"/>
          <w:lang w:val="en-US"/>
        </w:rPr>
        <w:t xml:space="preserve"> a </w:t>
      </w:r>
      <w:r w:rsidR="00647CE0" w:rsidRPr="00332C8B">
        <w:rPr>
          <w:rFonts w:asciiTheme="minorHAnsi" w:eastAsia="Calibri" w:hAnsiTheme="minorHAnsi" w:cstheme="minorHAnsi"/>
          <w:color w:val="000000" w:themeColor="text1"/>
          <w:sz w:val="22"/>
          <w:szCs w:val="22"/>
          <w:lang w:val="en-US"/>
        </w:rPr>
        <w:t>muscle mass index</w:t>
      </w:r>
      <w:r w:rsidRPr="00332C8B">
        <w:rPr>
          <w:rFonts w:asciiTheme="minorHAnsi" w:eastAsia="Calibri" w:hAnsiTheme="minorHAnsi" w:cstheme="minorHAnsi"/>
          <w:color w:val="000000" w:themeColor="text1"/>
          <w:sz w:val="22"/>
          <w:szCs w:val="22"/>
          <w:lang w:val="en-US"/>
        </w:rPr>
        <w:t xml:space="preserve"> one standard deviation below the mean of the study cohort (males </w:t>
      </w:r>
      <w:r w:rsidRPr="00332C8B">
        <w:rPr>
          <w:rFonts w:asciiTheme="minorHAnsi" w:hAnsiTheme="minorHAnsi" w:cstheme="minorHAnsi"/>
          <w:color w:val="000000" w:themeColor="text1"/>
          <w:kern w:val="24"/>
          <w:sz w:val="22"/>
          <w:szCs w:val="22"/>
          <w:lang w:eastAsia="en-GB"/>
        </w:rPr>
        <w:t>≤</w:t>
      </w:r>
      <w:r w:rsidRPr="00332C8B">
        <w:rPr>
          <w:rFonts w:asciiTheme="minorHAnsi" w:hAnsiTheme="minorHAnsi" w:cstheme="minorHAnsi"/>
          <w:color w:val="000000" w:themeColor="text1"/>
          <w:kern w:val="24"/>
          <w:sz w:val="22"/>
          <w:szCs w:val="22"/>
          <w:lang w:val="en-AU" w:eastAsia="en-GB"/>
        </w:rPr>
        <w:t xml:space="preserve"> 15.55kg/m</w:t>
      </w:r>
      <w:r w:rsidRPr="00332C8B">
        <w:rPr>
          <w:rFonts w:asciiTheme="minorHAnsi" w:hAnsiTheme="minorHAnsi" w:cstheme="minorHAnsi"/>
          <w:color w:val="000000" w:themeColor="text1"/>
          <w:kern w:val="24"/>
          <w:position w:val="3"/>
          <w:sz w:val="22"/>
          <w:szCs w:val="22"/>
          <w:vertAlign w:val="superscript"/>
          <w:lang w:val="en-AU" w:eastAsia="en-GB"/>
        </w:rPr>
        <w:t>2</w:t>
      </w:r>
      <w:r w:rsidRPr="00332C8B">
        <w:rPr>
          <w:rFonts w:asciiTheme="minorHAnsi" w:hAnsiTheme="minorHAnsi" w:cstheme="minorHAnsi"/>
          <w:color w:val="000000" w:themeColor="text1"/>
          <w:kern w:val="24"/>
          <w:position w:val="3"/>
          <w:sz w:val="22"/>
          <w:szCs w:val="22"/>
          <w:lang w:val="en-AU" w:eastAsia="en-GB"/>
        </w:rPr>
        <w:t>,</w:t>
      </w:r>
      <w:r w:rsidRPr="00332C8B">
        <w:rPr>
          <w:rFonts w:asciiTheme="minorHAnsi" w:hAnsiTheme="minorHAnsi" w:cstheme="minorHAnsi"/>
          <w:color w:val="000000" w:themeColor="text1"/>
          <w:kern w:val="24"/>
          <w:sz w:val="22"/>
          <w:szCs w:val="22"/>
          <w:lang w:val="en-AU" w:eastAsia="en-GB"/>
        </w:rPr>
        <w:t xml:space="preserve"> females </w:t>
      </w:r>
      <w:r w:rsidRPr="00332C8B">
        <w:rPr>
          <w:rFonts w:asciiTheme="minorHAnsi" w:hAnsiTheme="minorHAnsi" w:cstheme="minorHAnsi"/>
          <w:color w:val="000000" w:themeColor="text1"/>
          <w:kern w:val="24"/>
          <w:sz w:val="22"/>
          <w:szCs w:val="22"/>
          <w:lang w:eastAsia="en-GB"/>
        </w:rPr>
        <w:t>≤</w:t>
      </w:r>
      <w:r w:rsidRPr="00332C8B">
        <w:rPr>
          <w:rFonts w:asciiTheme="minorHAnsi" w:hAnsiTheme="minorHAnsi" w:cstheme="minorHAnsi"/>
          <w:color w:val="000000" w:themeColor="text1"/>
          <w:kern w:val="24"/>
          <w:sz w:val="22"/>
          <w:szCs w:val="22"/>
          <w:lang w:val="en-AU" w:eastAsia="en-GB"/>
        </w:rPr>
        <w:t xml:space="preserve"> 13.33kg/m</w:t>
      </w:r>
      <w:r w:rsidRPr="00332C8B">
        <w:rPr>
          <w:rFonts w:asciiTheme="minorHAnsi" w:hAnsiTheme="minorHAnsi" w:cstheme="minorHAnsi"/>
          <w:color w:val="000000" w:themeColor="text1"/>
          <w:kern w:val="24"/>
          <w:position w:val="3"/>
          <w:sz w:val="22"/>
          <w:szCs w:val="22"/>
          <w:vertAlign w:val="superscript"/>
          <w:lang w:val="en-AU" w:eastAsia="en-GB"/>
        </w:rPr>
        <w:t>2</w:t>
      </w:r>
      <w:r w:rsidRPr="00332C8B">
        <w:rPr>
          <w:rFonts w:asciiTheme="minorHAnsi" w:hAnsiTheme="minorHAnsi" w:cstheme="minorHAnsi"/>
          <w:color w:val="000000" w:themeColor="text1"/>
          <w:kern w:val="24"/>
          <w:position w:val="3"/>
          <w:sz w:val="22"/>
          <w:szCs w:val="22"/>
          <w:lang w:val="en-AU" w:eastAsia="en-GB"/>
        </w:rPr>
        <w:t>)</w:t>
      </w:r>
      <w:r w:rsidRPr="00332C8B">
        <w:rPr>
          <w:rFonts w:asciiTheme="minorHAnsi" w:eastAsia="Calibri" w:hAnsiTheme="minorHAnsi" w:cstheme="minorHAnsi"/>
          <w:color w:val="000000" w:themeColor="text1"/>
          <w:sz w:val="22"/>
          <w:szCs w:val="22"/>
          <w:lang w:val="en-US"/>
        </w:rPr>
        <w:t xml:space="preserve">. </w:t>
      </w:r>
      <w:r w:rsidR="00A54420" w:rsidRPr="00332C8B">
        <w:rPr>
          <w:rFonts w:asciiTheme="minorHAnsi" w:eastAsia="Calibri" w:hAnsiTheme="minorHAnsi" w:cstheme="minorHAnsi"/>
          <w:color w:val="000000" w:themeColor="text1"/>
          <w:sz w:val="22"/>
          <w:szCs w:val="22"/>
          <w:lang w:val="en-US"/>
        </w:rPr>
        <w:t>Twenty-four patients (15.7%) were sarcopenic by this definition</w:t>
      </w:r>
      <w:r w:rsidR="0024717E" w:rsidRPr="00332C8B">
        <w:rPr>
          <w:rFonts w:asciiTheme="minorHAnsi" w:eastAsia="Calibri" w:hAnsiTheme="minorHAnsi" w:cstheme="minorHAnsi"/>
          <w:color w:val="000000" w:themeColor="text1"/>
          <w:sz w:val="22"/>
          <w:szCs w:val="22"/>
          <w:lang w:val="en-US"/>
        </w:rPr>
        <w:t xml:space="preserve">. Nine </w:t>
      </w:r>
      <w:r w:rsidR="00E43B89" w:rsidRPr="00332C8B">
        <w:rPr>
          <w:rFonts w:asciiTheme="minorHAnsi" w:eastAsia="Calibri" w:hAnsiTheme="minorHAnsi" w:cstheme="minorHAnsi"/>
          <w:color w:val="000000" w:themeColor="text1"/>
          <w:sz w:val="22"/>
          <w:szCs w:val="22"/>
          <w:lang w:val="en-US"/>
        </w:rPr>
        <w:t xml:space="preserve">patients </w:t>
      </w:r>
      <w:r w:rsidR="0024717E" w:rsidRPr="00332C8B">
        <w:rPr>
          <w:rFonts w:asciiTheme="minorHAnsi" w:eastAsia="Calibri" w:hAnsiTheme="minorHAnsi" w:cstheme="minorHAnsi"/>
          <w:color w:val="000000" w:themeColor="text1"/>
          <w:sz w:val="22"/>
          <w:szCs w:val="22"/>
          <w:lang w:val="en-US"/>
        </w:rPr>
        <w:t>with sarcopenia</w:t>
      </w:r>
      <w:r w:rsidR="00E43B89" w:rsidRPr="00332C8B">
        <w:rPr>
          <w:rFonts w:asciiTheme="minorHAnsi" w:eastAsia="Calibri" w:hAnsiTheme="minorHAnsi" w:cstheme="minorHAnsi"/>
          <w:color w:val="000000" w:themeColor="text1"/>
          <w:sz w:val="22"/>
          <w:szCs w:val="22"/>
          <w:lang w:val="en-US"/>
        </w:rPr>
        <w:t xml:space="preserve"> </w:t>
      </w:r>
      <w:r w:rsidR="00A54420" w:rsidRPr="00332C8B">
        <w:rPr>
          <w:rFonts w:asciiTheme="minorHAnsi" w:eastAsia="Calibri" w:hAnsiTheme="minorHAnsi" w:cstheme="minorHAnsi"/>
          <w:color w:val="000000" w:themeColor="text1"/>
          <w:sz w:val="22"/>
          <w:szCs w:val="22"/>
          <w:lang w:val="en-US"/>
        </w:rPr>
        <w:t>experienced a post-operative complic</w:t>
      </w:r>
      <w:r w:rsidR="00E43B89" w:rsidRPr="00332C8B">
        <w:rPr>
          <w:rFonts w:asciiTheme="minorHAnsi" w:eastAsia="Calibri" w:hAnsiTheme="minorHAnsi" w:cstheme="minorHAnsi"/>
          <w:color w:val="000000" w:themeColor="text1"/>
          <w:sz w:val="22"/>
          <w:szCs w:val="22"/>
          <w:lang w:val="en-US"/>
        </w:rPr>
        <w:t>ation co</w:t>
      </w:r>
      <w:r w:rsidR="0024717E" w:rsidRPr="00332C8B">
        <w:rPr>
          <w:rFonts w:asciiTheme="minorHAnsi" w:eastAsia="Calibri" w:hAnsiTheme="minorHAnsi" w:cstheme="minorHAnsi"/>
          <w:color w:val="000000" w:themeColor="text1"/>
          <w:sz w:val="22"/>
          <w:szCs w:val="22"/>
          <w:lang w:val="en-US"/>
        </w:rPr>
        <w:t xml:space="preserve">mpared to 21 of </w:t>
      </w:r>
      <w:r w:rsidR="00A54420" w:rsidRPr="00332C8B">
        <w:rPr>
          <w:rFonts w:asciiTheme="minorHAnsi" w:eastAsia="Calibri" w:hAnsiTheme="minorHAnsi" w:cstheme="minorHAnsi"/>
          <w:color w:val="000000" w:themeColor="text1"/>
          <w:sz w:val="22"/>
          <w:szCs w:val="22"/>
          <w:lang w:val="en-US"/>
        </w:rPr>
        <w:t>non-sarcopenic patients (37.5% vs. 16.3%, p = 0.024)</w:t>
      </w:r>
      <w:r w:rsidR="00CC3F7A" w:rsidRPr="00332C8B">
        <w:rPr>
          <w:rFonts w:asciiTheme="minorHAnsi" w:eastAsia="Calibri" w:hAnsiTheme="minorHAnsi" w:cstheme="minorHAnsi"/>
          <w:color w:val="000000" w:themeColor="text1"/>
          <w:sz w:val="22"/>
          <w:szCs w:val="22"/>
          <w:lang w:val="en-US"/>
        </w:rPr>
        <w:t>.</w:t>
      </w:r>
      <w:r w:rsidR="000F5306" w:rsidRPr="00332C8B">
        <w:rPr>
          <w:rFonts w:asciiTheme="minorHAnsi" w:eastAsia="Calibri" w:hAnsiTheme="minorHAnsi" w:cstheme="minorHAnsi"/>
          <w:color w:val="000000" w:themeColor="text1"/>
          <w:sz w:val="22"/>
          <w:szCs w:val="22"/>
          <w:lang w:val="en-US"/>
        </w:rPr>
        <w:t xml:space="preserve"> When divided into infectious and non-infectious complications only the infectious complications maintained a significant association. At multivariate analysis sarcopenic patients were more likely to experience a post-operative infectious complication</w:t>
      </w:r>
      <w:r w:rsidR="004D2E36" w:rsidRPr="00332C8B">
        <w:rPr>
          <w:rFonts w:asciiTheme="minorHAnsi" w:eastAsia="Calibri" w:hAnsiTheme="minorHAnsi" w:cstheme="minorHAnsi"/>
          <w:color w:val="000000" w:themeColor="text1"/>
          <w:sz w:val="22"/>
          <w:szCs w:val="22"/>
          <w:lang w:val="en-US"/>
        </w:rPr>
        <w:t xml:space="preserve"> compared to non-sarcopenic patients</w:t>
      </w:r>
      <w:r w:rsidRPr="00332C8B">
        <w:rPr>
          <w:rFonts w:asciiTheme="minorHAnsi" w:eastAsia="Calibri" w:hAnsiTheme="minorHAnsi" w:cstheme="minorHAnsi"/>
          <w:color w:val="000000" w:themeColor="text1"/>
          <w:sz w:val="22"/>
          <w:szCs w:val="22"/>
          <w:lang w:val="en-US"/>
        </w:rPr>
        <w:t xml:space="preserve"> </w:t>
      </w:r>
      <w:r w:rsidR="00504C3C" w:rsidRPr="007B6F29">
        <w:rPr>
          <w:rFonts w:asciiTheme="minorHAnsi" w:eastAsia="Calibri" w:hAnsiTheme="minorHAnsi" w:cstheme="minorHAnsi"/>
          <w:color w:val="000000" w:themeColor="text1"/>
          <w:sz w:val="22"/>
          <w:szCs w:val="22"/>
          <w:lang w:val="en-US"/>
        </w:rPr>
        <w:t>(OR 4.358</w:t>
      </w:r>
      <w:r w:rsidR="007B6F29">
        <w:rPr>
          <w:rFonts w:asciiTheme="minorHAnsi" w:eastAsia="Calibri" w:hAnsiTheme="minorHAnsi" w:cstheme="minorHAnsi"/>
          <w:color w:val="000000" w:themeColor="text1"/>
          <w:sz w:val="22"/>
          <w:szCs w:val="22"/>
          <w:lang w:val="en-US"/>
        </w:rPr>
        <w:t xml:space="preserve">, 95% CI: </w:t>
      </w:r>
      <w:r w:rsidR="00504C3C" w:rsidRPr="007B6F29">
        <w:rPr>
          <w:rFonts w:asciiTheme="minorHAnsi" w:eastAsia="Calibri" w:hAnsiTheme="minorHAnsi" w:cstheme="minorHAnsi"/>
          <w:color w:val="000000" w:themeColor="text1"/>
          <w:sz w:val="22"/>
          <w:szCs w:val="22"/>
          <w:lang w:val="en-US"/>
        </w:rPr>
        <w:t>1.224 – 15.721</w:t>
      </w:r>
      <w:r w:rsidR="007B6F29">
        <w:rPr>
          <w:rFonts w:asciiTheme="minorHAnsi" w:eastAsia="Calibri" w:hAnsiTheme="minorHAnsi" w:cstheme="minorHAnsi"/>
          <w:color w:val="000000" w:themeColor="text1"/>
          <w:sz w:val="22"/>
          <w:szCs w:val="22"/>
          <w:lang w:val="en-US"/>
        </w:rPr>
        <w:t>;</w:t>
      </w:r>
      <w:r w:rsidR="00504C3C" w:rsidRPr="007B6F29">
        <w:rPr>
          <w:rFonts w:asciiTheme="minorHAnsi" w:eastAsia="Calibri" w:hAnsiTheme="minorHAnsi" w:cstheme="minorHAnsi"/>
          <w:color w:val="000000" w:themeColor="text1"/>
          <w:sz w:val="22"/>
          <w:szCs w:val="22"/>
          <w:lang w:val="en-US"/>
        </w:rPr>
        <w:t xml:space="preserve"> p</w:t>
      </w:r>
      <w:r w:rsidR="007B6F29">
        <w:rPr>
          <w:rFonts w:asciiTheme="minorHAnsi" w:eastAsia="Calibri" w:hAnsiTheme="minorHAnsi" w:cstheme="minorHAnsi"/>
          <w:color w:val="000000" w:themeColor="text1"/>
          <w:sz w:val="22"/>
          <w:szCs w:val="22"/>
          <w:lang w:val="en-US"/>
        </w:rPr>
        <w:t xml:space="preserve"> </w:t>
      </w:r>
      <w:r w:rsidR="00504C3C" w:rsidRPr="007B6F29">
        <w:rPr>
          <w:rFonts w:asciiTheme="minorHAnsi" w:eastAsia="Calibri" w:hAnsiTheme="minorHAnsi" w:cstheme="minorHAnsi"/>
          <w:color w:val="000000" w:themeColor="text1"/>
          <w:sz w:val="22"/>
          <w:szCs w:val="22"/>
          <w:lang w:val="en-US"/>
        </w:rPr>
        <w:t>=</w:t>
      </w:r>
      <w:r w:rsidR="007B6F29">
        <w:rPr>
          <w:rFonts w:asciiTheme="minorHAnsi" w:eastAsia="Calibri" w:hAnsiTheme="minorHAnsi" w:cstheme="minorHAnsi"/>
          <w:color w:val="000000" w:themeColor="text1"/>
          <w:sz w:val="22"/>
          <w:szCs w:val="22"/>
          <w:lang w:val="en-US"/>
        </w:rPr>
        <w:t xml:space="preserve"> </w:t>
      </w:r>
      <w:r w:rsidR="00504C3C" w:rsidRPr="007B6F29">
        <w:rPr>
          <w:rFonts w:asciiTheme="minorHAnsi" w:eastAsia="Calibri" w:hAnsiTheme="minorHAnsi" w:cstheme="minorHAnsi"/>
          <w:color w:val="000000" w:themeColor="text1"/>
          <w:sz w:val="22"/>
          <w:szCs w:val="22"/>
          <w:lang w:val="en-US"/>
        </w:rPr>
        <w:t>0.024).</w:t>
      </w:r>
    </w:p>
    <w:p w14:paraId="730F442B" w14:textId="1760BDFA" w:rsidR="003D26CF" w:rsidRPr="00332C8B" w:rsidRDefault="00D03030" w:rsidP="00F0414E">
      <w:pPr>
        <w:widowControl w:val="0"/>
        <w:autoSpaceDE w:val="0"/>
        <w:autoSpaceDN w:val="0"/>
        <w:adjustRightInd w:val="0"/>
        <w:spacing w:after="240" w:line="480" w:lineRule="auto"/>
        <w:rPr>
          <w:rFonts w:asciiTheme="minorHAnsi" w:eastAsia="Calibri" w:hAnsiTheme="minorHAnsi" w:cstheme="minorHAnsi"/>
          <w:bCs/>
          <w:color w:val="000000" w:themeColor="text1"/>
          <w:sz w:val="22"/>
          <w:szCs w:val="22"/>
        </w:rPr>
      </w:pPr>
      <w:r w:rsidRPr="00332C8B">
        <w:rPr>
          <w:rFonts w:asciiTheme="minorHAnsi" w:eastAsia="Calibri" w:hAnsiTheme="minorHAnsi" w:cstheme="minorHAnsi"/>
          <w:bCs/>
          <w:color w:val="000000" w:themeColor="text1"/>
          <w:sz w:val="22"/>
          <w:szCs w:val="22"/>
        </w:rPr>
        <w:t>Tsaousi</w:t>
      </w:r>
      <w:r w:rsidR="00202907" w:rsidRPr="00332C8B">
        <w:rPr>
          <w:rFonts w:asciiTheme="minorHAnsi" w:eastAsia="Calibri" w:hAnsiTheme="minorHAnsi" w:cstheme="minorHAnsi"/>
          <w:bCs/>
          <w:color w:val="000000" w:themeColor="text1"/>
          <w:sz w:val="22"/>
          <w:szCs w:val="22"/>
        </w:rPr>
        <w:t xml:space="preserve"> et al</w:t>
      </w:r>
      <w:r w:rsidR="003662F1" w:rsidRPr="00332C8B">
        <w:rPr>
          <w:rFonts w:asciiTheme="minorHAnsi" w:eastAsia="Calibri" w:hAnsiTheme="minorHAnsi" w:cstheme="minorHAnsi"/>
          <w:bCs/>
          <w:color w:val="000000" w:themeColor="text1"/>
          <w:sz w:val="22"/>
          <w:szCs w:val="22"/>
        </w:rPr>
        <w:fldChar w:fldCharType="begin" w:fldLock="1"/>
      </w:r>
      <w:r w:rsidR="00F66CFF" w:rsidRPr="00332C8B">
        <w:rPr>
          <w:rFonts w:asciiTheme="minorHAnsi" w:eastAsia="Calibri" w:hAnsiTheme="minorHAnsi" w:cstheme="minorHAnsi"/>
          <w:bCs/>
          <w:color w:val="000000" w:themeColor="text1"/>
          <w:sz w:val="22"/>
          <w:szCs w:val="22"/>
        </w:rPr>
        <w:instrText>ADDIN CSL_CITATION {"citationItems":[{"id":"ITEM-1","itemData":{"DOI":"10.1111/ecc.12491","ISSN":"0961-5423","abstract":"We aimed to ascertain the implementation of body composition assessment, by means of fat-free mass index (FFMI), fat mass index (FMI) and presence of sarcopenic obesity, in colorectal cancer population, on the basis of hospital length of stay (LOS) determination and to benchmark their discriminatory performance with other nutrition status algorithms, such as body mass index (BMI) and Malnutrition Universal Screening Tool (MUST). Ninety adult patients with operable colorectal cancer were enrolled. Study parameters included demographic and anthropometric data registration, BMI and MUST calculation and body composition parameters measurement within 24-h post-admission. Hospital LOS constituted the outcome of interest, using 7 days as cut-off point. Fifty-one patients (56.7%) were hospitalised for ≤7 days. The presence of sarcopenic obesity affected adversely hospital LOS (OR, 9.236; 95% CI, 3.278-26.173, P = 0.000). Low FFMI (OR, 7.457; 95% CI, 2.868-19.390, P = 0.000), malnutrition according to MUST (OR, 2.632; 95% CI, 1.280-5.413, P = 0.009) and high FMI (2.133; 95% CI, 1.111-4.094, P = 0.023) were the most powerful discriminators of accelerated hospitalisation. Loss of lean body tissue, gain of adipose tissue and sarcopenic obesity confer noteworthy prognostic value being superior or equivalent to MUST in terms of hospital LOS determination in colorectal cancer resection setting. BMI presents inferior discrimination performance in this field.","author":[{"dropping-particle":"","family":"Tsaousi","given":"G","non-dropping-particle":"","parse-names":false,"suffix":""},{"dropping-particle":"","family":"Kokkota","given":"S","non-dropping-particle":"","parse-names":false,"suffix":""},{"dropping-particle":"","family":"Papakostas","given":"P","non-dropping-particle":"","parse-names":false,"suffix":""},{"dropping-particle":"","family":"Stavrou","given":"G","non-dropping-particle":"","parse-names":false,"suffix":""},{"dropping-particle":"","family":"Doumaki","given":"E","non-dropping-particle":"","parse-names":false,"suffix":""},{"dropping-particle":"","family":"Kotzampassi","given":"K","non-dropping-particle":"","parse-names":false,"suffix":""}],"container-title":"European Journal of Cancer Care","id":"ITEM-1","issue":"6","issued":{"date-parts":[["2017","11"]]},"note":"Accession Number: 126068743. Language: English. Entry Date: 20171111. Revision Date: 20171111. Publication Type: Article; research; tables/charts. Journal Subset: Core Nursing; Europe; Nursing; Peer Reviewed; UK &amp;amp; Ireland. Instrumentation: Malnutrition Universal Screening Tool (MUST). NLM UID: 9301979.","page":"n/a-n/a","publisher":"Wiley-Blackwell","publisher-place":"Department of Anesthesiology and ICU, Faculty of Medicine, Aristotle University of Thessaloniki","title":"Body composition analysis for discrimination of prolonged hospital stay in colorectal cancer surgery patients.","type":"article-journal","volume":"26"},"uris":["http://www.mendeley.com/documents/?uuid=bfe70df8-2fb6-4892-9d8c-a4acc4b94327"]}],"mendeley":{"formattedCitation":"[32]","plainTextFormattedCitation":"[32]","previouslyFormattedCitation":"[33]"},"properties":{"noteIndex":0},"schema":"https://github.com/citation-style-language/schema/raw/master/csl-citation.json"}</w:instrText>
      </w:r>
      <w:r w:rsidR="003662F1" w:rsidRPr="00332C8B">
        <w:rPr>
          <w:rFonts w:asciiTheme="minorHAnsi" w:eastAsia="Calibri" w:hAnsiTheme="minorHAnsi" w:cstheme="minorHAnsi"/>
          <w:bCs/>
          <w:color w:val="000000" w:themeColor="text1"/>
          <w:sz w:val="22"/>
          <w:szCs w:val="22"/>
        </w:rPr>
        <w:fldChar w:fldCharType="separate"/>
      </w:r>
      <w:r w:rsidR="00F66CFF" w:rsidRPr="00332C8B">
        <w:rPr>
          <w:rFonts w:asciiTheme="minorHAnsi" w:eastAsia="Calibri" w:hAnsiTheme="minorHAnsi" w:cstheme="minorHAnsi"/>
          <w:bCs/>
          <w:noProof/>
          <w:color w:val="000000" w:themeColor="text1"/>
          <w:sz w:val="22"/>
          <w:szCs w:val="22"/>
        </w:rPr>
        <w:t>[32]</w:t>
      </w:r>
      <w:r w:rsidR="003662F1" w:rsidRPr="00332C8B">
        <w:rPr>
          <w:rFonts w:asciiTheme="minorHAnsi" w:eastAsia="Calibri" w:hAnsiTheme="minorHAnsi" w:cstheme="minorHAnsi"/>
          <w:bCs/>
          <w:color w:val="000000" w:themeColor="text1"/>
          <w:sz w:val="22"/>
          <w:szCs w:val="22"/>
        </w:rPr>
        <w:fldChar w:fldCharType="end"/>
      </w:r>
      <w:r w:rsidR="00C725ED" w:rsidRPr="00332C8B">
        <w:rPr>
          <w:rFonts w:asciiTheme="minorHAnsi" w:eastAsia="Calibri" w:hAnsiTheme="minorHAnsi" w:cstheme="minorHAnsi"/>
          <w:bCs/>
          <w:color w:val="000000" w:themeColor="text1"/>
          <w:sz w:val="22"/>
          <w:szCs w:val="22"/>
        </w:rPr>
        <w:t xml:space="preserve"> measured fat </w:t>
      </w:r>
      <w:r w:rsidRPr="00332C8B">
        <w:rPr>
          <w:rFonts w:asciiTheme="minorHAnsi" w:eastAsia="Calibri" w:hAnsiTheme="minorHAnsi" w:cstheme="minorHAnsi"/>
          <w:bCs/>
          <w:color w:val="000000" w:themeColor="text1"/>
          <w:sz w:val="22"/>
          <w:szCs w:val="22"/>
        </w:rPr>
        <w:t>free mass</w:t>
      </w:r>
      <w:r w:rsidR="00C82B53" w:rsidRPr="00332C8B">
        <w:rPr>
          <w:rFonts w:asciiTheme="minorHAnsi" w:eastAsia="Calibri" w:hAnsiTheme="minorHAnsi" w:cstheme="minorHAnsi"/>
          <w:bCs/>
          <w:color w:val="000000" w:themeColor="text1"/>
          <w:sz w:val="22"/>
          <w:szCs w:val="22"/>
        </w:rPr>
        <w:t xml:space="preserve"> index</w:t>
      </w:r>
      <w:r w:rsidR="00202907" w:rsidRPr="00332C8B">
        <w:rPr>
          <w:rFonts w:asciiTheme="minorHAnsi" w:eastAsia="Calibri" w:hAnsiTheme="minorHAnsi" w:cstheme="minorHAnsi"/>
          <w:bCs/>
          <w:color w:val="000000" w:themeColor="text1"/>
          <w:sz w:val="22"/>
          <w:szCs w:val="22"/>
        </w:rPr>
        <w:t xml:space="preserve"> and</w:t>
      </w:r>
      <w:r w:rsidR="00C725ED" w:rsidRPr="00332C8B">
        <w:rPr>
          <w:rFonts w:asciiTheme="minorHAnsi" w:eastAsia="Calibri" w:hAnsiTheme="minorHAnsi" w:cstheme="minorHAnsi"/>
          <w:bCs/>
          <w:color w:val="000000" w:themeColor="text1"/>
          <w:sz w:val="22"/>
          <w:szCs w:val="22"/>
        </w:rPr>
        <w:t xml:space="preserve"> fat </w:t>
      </w:r>
      <w:r w:rsidRPr="00332C8B">
        <w:rPr>
          <w:rFonts w:asciiTheme="minorHAnsi" w:eastAsia="Calibri" w:hAnsiTheme="minorHAnsi" w:cstheme="minorHAnsi"/>
          <w:bCs/>
          <w:color w:val="000000" w:themeColor="text1"/>
          <w:sz w:val="22"/>
          <w:szCs w:val="22"/>
        </w:rPr>
        <w:t>mass index in 90 patients</w:t>
      </w:r>
      <w:r w:rsidR="00C82B53" w:rsidRPr="00332C8B">
        <w:rPr>
          <w:rFonts w:asciiTheme="minorHAnsi" w:eastAsia="Calibri" w:hAnsiTheme="minorHAnsi" w:cstheme="minorHAnsi"/>
          <w:bCs/>
          <w:color w:val="000000" w:themeColor="text1"/>
          <w:sz w:val="22"/>
          <w:szCs w:val="22"/>
        </w:rPr>
        <w:t xml:space="preserve"> (42 men and 48 women)</w:t>
      </w:r>
      <w:r w:rsidRPr="00332C8B">
        <w:rPr>
          <w:rFonts w:asciiTheme="minorHAnsi" w:eastAsia="Calibri" w:hAnsiTheme="minorHAnsi" w:cstheme="minorHAnsi"/>
          <w:bCs/>
          <w:color w:val="000000" w:themeColor="text1"/>
          <w:sz w:val="22"/>
          <w:szCs w:val="22"/>
        </w:rPr>
        <w:t xml:space="preserve"> undergoing surgery for colorectal cancer. This prospective</w:t>
      </w:r>
      <w:r w:rsidR="00C725ED" w:rsidRPr="00332C8B">
        <w:rPr>
          <w:rFonts w:asciiTheme="minorHAnsi" w:eastAsia="Calibri" w:hAnsiTheme="minorHAnsi" w:cstheme="minorHAnsi"/>
          <w:bCs/>
          <w:color w:val="000000" w:themeColor="text1"/>
          <w:sz w:val="22"/>
          <w:szCs w:val="22"/>
        </w:rPr>
        <w:t xml:space="preserve"> study examined whether the fat mass index, fat </w:t>
      </w:r>
      <w:r w:rsidRPr="00332C8B">
        <w:rPr>
          <w:rFonts w:asciiTheme="minorHAnsi" w:eastAsia="Calibri" w:hAnsiTheme="minorHAnsi" w:cstheme="minorHAnsi"/>
          <w:bCs/>
          <w:color w:val="000000" w:themeColor="text1"/>
          <w:sz w:val="22"/>
          <w:szCs w:val="22"/>
        </w:rPr>
        <w:t xml:space="preserve">free mass-index or presence of sarcopenic obesity were predictive of increased length of stay. </w:t>
      </w:r>
      <w:r w:rsidR="00DB5F37" w:rsidRPr="00332C8B">
        <w:rPr>
          <w:rFonts w:asciiTheme="minorHAnsi" w:eastAsia="Calibri" w:hAnsiTheme="minorHAnsi" w:cstheme="minorHAnsi"/>
          <w:bCs/>
          <w:color w:val="000000" w:themeColor="text1"/>
          <w:sz w:val="22"/>
          <w:szCs w:val="22"/>
        </w:rPr>
        <w:t>Sixteen</w:t>
      </w:r>
      <w:r w:rsidR="00C82B53" w:rsidRPr="00332C8B">
        <w:rPr>
          <w:rFonts w:asciiTheme="minorHAnsi" w:eastAsia="Calibri" w:hAnsiTheme="minorHAnsi" w:cstheme="minorHAnsi"/>
          <w:bCs/>
          <w:color w:val="000000" w:themeColor="text1"/>
          <w:sz w:val="22"/>
          <w:szCs w:val="22"/>
        </w:rPr>
        <w:t xml:space="preserve"> men (</w:t>
      </w:r>
      <w:r w:rsidR="00DB5F37" w:rsidRPr="00332C8B">
        <w:rPr>
          <w:rFonts w:asciiTheme="minorHAnsi" w:eastAsia="Calibri" w:hAnsiTheme="minorHAnsi" w:cstheme="minorHAnsi"/>
          <w:bCs/>
          <w:color w:val="000000" w:themeColor="text1"/>
          <w:sz w:val="22"/>
          <w:szCs w:val="22"/>
        </w:rPr>
        <w:t>38.1</w:t>
      </w:r>
      <w:r w:rsidR="00C82B53" w:rsidRPr="00332C8B">
        <w:rPr>
          <w:rFonts w:asciiTheme="minorHAnsi" w:eastAsia="Calibri" w:hAnsiTheme="minorHAnsi" w:cstheme="minorHAnsi"/>
          <w:bCs/>
          <w:color w:val="000000" w:themeColor="text1"/>
          <w:sz w:val="22"/>
          <w:szCs w:val="22"/>
        </w:rPr>
        <w:t>%) and 23 women</w:t>
      </w:r>
      <w:r w:rsidR="0031150B" w:rsidRPr="00332C8B">
        <w:rPr>
          <w:rFonts w:asciiTheme="minorHAnsi" w:eastAsia="Calibri" w:hAnsiTheme="minorHAnsi" w:cstheme="minorHAnsi"/>
          <w:bCs/>
          <w:color w:val="000000" w:themeColor="text1"/>
          <w:sz w:val="22"/>
          <w:szCs w:val="22"/>
        </w:rPr>
        <w:t xml:space="preserve"> </w:t>
      </w:r>
      <w:r w:rsidR="00DB5F37" w:rsidRPr="00332C8B">
        <w:rPr>
          <w:rFonts w:asciiTheme="minorHAnsi" w:eastAsia="Calibri" w:hAnsiTheme="minorHAnsi" w:cstheme="minorHAnsi"/>
          <w:bCs/>
          <w:color w:val="000000" w:themeColor="text1"/>
          <w:sz w:val="22"/>
          <w:szCs w:val="22"/>
        </w:rPr>
        <w:t xml:space="preserve">(47.9%) had a length of </w:t>
      </w:r>
      <w:r w:rsidR="003631E0" w:rsidRPr="00332C8B">
        <w:rPr>
          <w:rFonts w:asciiTheme="minorHAnsi" w:eastAsia="Calibri" w:hAnsiTheme="minorHAnsi" w:cstheme="minorHAnsi"/>
          <w:bCs/>
          <w:color w:val="000000" w:themeColor="text1"/>
          <w:sz w:val="22"/>
          <w:szCs w:val="22"/>
        </w:rPr>
        <w:t>stay &gt;</w:t>
      </w:r>
      <w:r w:rsidR="00DB5F37" w:rsidRPr="00332C8B">
        <w:rPr>
          <w:rFonts w:asciiTheme="minorHAnsi" w:eastAsia="Calibri" w:hAnsiTheme="minorHAnsi" w:cstheme="minorHAnsi"/>
          <w:bCs/>
          <w:color w:val="000000" w:themeColor="text1"/>
          <w:sz w:val="22"/>
          <w:szCs w:val="22"/>
        </w:rPr>
        <w:t xml:space="preserve"> 7 days. </w:t>
      </w:r>
      <w:r w:rsidR="00DB5F37" w:rsidRPr="00332C8B">
        <w:rPr>
          <w:rFonts w:asciiTheme="minorHAnsi" w:eastAsia="Calibri" w:hAnsiTheme="minorHAnsi" w:cstheme="minorHAnsi"/>
          <w:bCs/>
          <w:color w:val="000000" w:themeColor="text1"/>
          <w:kern w:val="24"/>
          <w:sz w:val="22"/>
          <w:szCs w:val="22"/>
          <w:lang w:eastAsia="en-GB"/>
        </w:rPr>
        <w:t>M</w:t>
      </w:r>
      <w:r w:rsidR="003D26CF" w:rsidRPr="00332C8B">
        <w:rPr>
          <w:rFonts w:asciiTheme="minorHAnsi" w:eastAsia="Calibri" w:hAnsiTheme="minorHAnsi" w:cstheme="minorHAnsi"/>
          <w:bCs/>
          <w:color w:val="000000" w:themeColor="text1"/>
          <w:kern w:val="24"/>
          <w:sz w:val="22"/>
          <w:szCs w:val="22"/>
          <w:lang w:eastAsia="en-GB"/>
        </w:rPr>
        <w:t>en</w:t>
      </w:r>
      <w:r w:rsidRPr="00332C8B">
        <w:rPr>
          <w:rFonts w:asciiTheme="minorHAnsi" w:eastAsia="Calibri" w:hAnsiTheme="minorHAnsi" w:cstheme="minorHAnsi"/>
          <w:bCs/>
          <w:color w:val="000000" w:themeColor="text1"/>
          <w:kern w:val="24"/>
          <w:sz w:val="22"/>
          <w:szCs w:val="22"/>
          <w:lang w:eastAsia="en-GB"/>
        </w:rPr>
        <w:t xml:space="preserve"> with a length of stay </w:t>
      </w:r>
      <w:r w:rsidRPr="00332C8B">
        <w:rPr>
          <w:rFonts w:asciiTheme="minorHAnsi" w:hAnsiTheme="minorHAnsi" w:cstheme="minorHAnsi"/>
          <w:bCs/>
          <w:color w:val="000000" w:themeColor="text1"/>
          <w:kern w:val="24"/>
          <w:sz w:val="22"/>
          <w:szCs w:val="22"/>
          <w:lang w:eastAsia="en-GB"/>
        </w:rPr>
        <w:t>≤</w:t>
      </w:r>
      <w:r w:rsidRPr="00332C8B">
        <w:rPr>
          <w:rFonts w:asciiTheme="minorHAnsi" w:eastAsia="Calibri" w:hAnsiTheme="minorHAnsi" w:cstheme="minorHAnsi"/>
          <w:bCs/>
          <w:color w:val="000000" w:themeColor="text1"/>
          <w:kern w:val="24"/>
          <w:sz w:val="22"/>
          <w:szCs w:val="22"/>
          <w:lang w:eastAsia="en-GB"/>
        </w:rPr>
        <w:t xml:space="preserve"> 7 days</w:t>
      </w:r>
      <w:r w:rsidR="00DB5F37" w:rsidRPr="00332C8B">
        <w:rPr>
          <w:rFonts w:asciiTheme="minorHAnsi" w:eastAsia="Calibri" w:hAnsiTheme="minorHAnsi" w:cstheme="minorHAnsi"/>
          <w:bCs/>
          <w:color w:val="000000" w:themeColor="text1"/>
          <w:kern w:val="24"/>
          <w:sz w:val="22"/>
          <w:szCs w:val="22"/>
          <w:lang w:eastAsia="en-GB"/>
        </w:rPr>
        <w:t xml:space="preserve"> </w:t>
      </w:r>
      <w:r w:rsidR="003D26CF" w:rsidRPr="00332C8B">
        <w:rPr>
          <w:rFonts w:asciiTheme="minorHAnsi" w:eastAsia="Calibri" w:hAnsiTheme="minorHAnsi" w:cstheme="minorHAnsi"/>
          <w:bCs/>
          <w:color w:val="000000" w:themeColor="text1"/>
          <w:kern w:val="24"/>
          <w:sz w:val="22"/>
          <w:szCs w:val="22"/>
          <w:lang w:eastAsia="en-GB"/>
        </w:rPr>
        <w:t>had a higher</w:t>
      </w:r>
      <w:r w:rsidR="00C725ED" w:rsidRPr="00332C8B">
        <w:rPr>
          <w:rFonts w:asciiTheme="minorHAnsi" w:eastAsia="Calibri" w:hAnsiTheme="minorHAnsi" w:cstheme="minorHAnsi"/>
          <w:bCs/>
          <w:color w:val="000000" w:themeColor="text1"/>
          <w:kern w:val="24"/>
          <w:sz w:val="22"/>
          <w:szCs w:val="22"/>
          <w:lang w:eastAsia="en-GB"/>
        </w:rPr>
        <w:t xml:space="preserve"> fat free </w:t>
      </w:r>
      <w:r w:rsidRPr="00332C8B">
        <w:rPr>
          <w:rFonts w:asciiTheme="minorHAnsi" w:eastAsia="Calibri" w:hAnsiTheme="minorHAnsi" w:cstheme="minorHAnsi"/>
          <w:bCs/>
          <w:color w:val="000000" w:themeColor="text1"/>
          <w:kern w:val="24"/>
          <w:sz w:val="22"/>
          <w:szCs w:val="22"/>
          <w:lang w:eastAsia="en-GB"/>
        </w:rPr>
        <w:t xml:space="preserve">mass index </w:t>
      </w:r>
      <w:r w:rsidR="003D26CF" w:rsidRPr="00332C8B">
        <w:rPr>
          <w:rFonts w:asciiTheme="minorHAnsi" w:eastAsia="Calibri" w:hAnsiTheme="minorHAnsi" w:cstheme="minorHAnsi"/>
          <w:bCs/>
          <w:color w:val="000000" w:themeColor="text1"/>
          <w:kern w:val="24"/>
          <w:sz w:val="22"/>
          <w:szCs w:val="22"/>
          <w:lang w:eastAsia="en-GB"/>
        </w:rPr>
        <w:t>compared to those with a length of stay &gt; 7 days</w:t>
      </w:r>
      <w:r w:rsidR="00DB5F37" w:rsidRPr="00332C8B">
        <w:rPr>
          <w:rFonts w:asciiTheme="minorHAnsi" w:eastAsia="Calibri" w:hAnsiTheme="minorHAnsi" w:cstheme="minorHAnsi"/>
          <w:bCs/>
          <w:color w:val="000000" w:themeColor="text1"/>
          <w:kern w:val="24"/>
          <w:sz w:val="22"/>
          <w:szCs w:val="22"/>
          <w:lang w:eastAsia="en-GB"/>
        </w:rPr>
        <w:t xml:space="preserve"> </w:t>
      </w:r>
      <w:r w:rsidRPr="00332C8B">
        <w:rPr>
          <w:rFonts w:asciiTheme="minorHAnsi" w:eastAsia="Calibri" w:hAnsiTheme="minorHAnsi" w:cstheme="minorHAnsi"/>
          <w:bCs/>
          <w:color w:val="000000" w:themeColor="text1"/>
          <w:kern w:val="24"/>
          <w:sz w:val="22"/>
          <w:szCs w:val="22"/>
          <w:lang w:eastAsia="en-GB"/>
        </w:rPr>
        <w:t>(</w:t>
      </w:r>
      <w:r w:rsidRPr="00332C8B">
        <w:rPr>
          <w:rFonts w:asciiTheme="minorHAnsi" w:hAnsiTheme="minorHAnsi" w:cstheme="minorHAnsi"/>
          <w:bCs/>
          <w:color w:val="000000" w:themeColor="text1"/>
          <w:kern w:val="24"/>
          <w:sz w:val="22"/>
          <w:szCs w:val="22"/>
          <w:lang w:eastAsia="en-GB"/>
        </w:rPr>
        <w:t>17.8 +/- 2.2</w:t>
      </w:r>
      <w:r w:rsidRPr="00332C8B">
        <w:rPr>
          <w:rFonts w:asciiTheme="minorHAnsi" w:eastAsia="Calibri" w:hAnsiTheme="minorHAnsi" w:cstheme="minorHAnsi"/>
          <w:bCs/>
          <w:color w:val="000000" w:themeColor="text1"/>
          <w:kern w:val="24"/>
          <w:sz w:val="22"/>
          <w:szCs w:val="22"/>
          <w:lang w:eastAsia="en-GB"/>
        </w:rPr>
        <w:t>kg/m</w:t>
      </w:r>
      <w:r w:rsidRPr="00332C8B">
        <w:rPr>
          <w:rFonts w:asciiTheme="minorHAnsi" w:eastAsia="Calibri" w:hAnsiTheme="minorHAnsi" w:cstheme="minorHAnsi"/>
          <w:bCs/>
          <w:color w:val="000000" w:themeColor="text1"/>
          <w:kern w:val="24"/>
          <w:position w:val="3"/>
          <w:sz w:val="22"/>
          <w:szCs w:val="22"/>
          <w:vertAlign w:val="superscript"/>
          <w:lang w:eastAsia="en-GB"/>
        </w:rPr>
        <w:t>2</w:t>
      </w:r>
      <w:r w:rsidRPr="00332C8B">
        <w:rPr>
          <w:rFonts w:asciiTheme="minorHAnsi" w:hAnsiTheme="minorHAnsi" w:cstheme="minorHAnsi"/>
          <w:bCs/>
          <w:color w:val="000000" w:themeColor="text1"/>
          <w:kern w:val="24"/>
          <w:sz w:val="22"/>
          <w:szCs w:val="22"/>
          <w:lang w:eastAsia="en-GB"/>
        </w:rPr>
        <w:t xml:space="preserve"> vs</w:t>
      </w:r>
      <w:r w:rsidR="00EB6876">
        <w:rPr>
          <w:rFonts w:asciiTheme="minorHAnsi" w:hAnsiTheme="minorHAnsi" w:cstheme="minorHAnsi"/>
          <w:bCs/>
          <w:color w:val="000000" w:themeColor="text1"/>
          <w:kern w:val="24"/>
          <w:sz w:val="22"/>
          <w:szCs w:val="22"/>
          <w:lang w:eastAsia="en-GB"/>
        </w:rPr>
        <w:t>.</w:t>
      </w:r>
      <w:r w:rsidRPr="00332C8B">
        <w:rPr>
          <w:rFonts w:asciiTheme="minorHAnsi" w:hAnsiTheme="minorHAnsi" w:cstheme="minorHAnsi"/>
          <w:bCs/>
          <w:color w:val="000000" w:themeColor="text1"/>
          <w:kern w:val="24"/>
          <w:sz w:val="22"/>
          <w:szCs w:val="22"/>
          <w:lang w:eastAsia="en-GB"/>
        </w:rPr>
        <w:t xml:space="preserve"> 14.7 +/- 2.1</w:t>
      </w:r>
      <w:r w:rsidRPr="00332C8B">
        <w:rPr>
          <w:rFonts w:asciiTheme="minorHAnsi" w:eastAsia="Calibri" w:hAnsiTheme="minorHAnsi" w:cstheme="minorHAnsi"/>
          <w:bCs/>
          <w:color w:val="000000" w:themeColor="text1"/>
          <w:kern w:val="24"/>
          <w:sz w:val="22"/>
          <w:szCs w:val="22"/>
          <w:lang w:eastAsia="en-GB"/>
        </w:rPr>
        <w:t>kg/m</w:t>
      </w:r>
      <w:r w:rsidRPr="00332C8B">
        <w:rPr>
          <w:rFonts w:asciiTheme="minorHAnsi" w:eastAsia="Calibri" w:hAnsiTheme="minorHAnsi" w:cstheme="minorHAnsi"/>
          <w:bCs/>
          <w:color w:val="000000" w:themeColor="text1"/>
          <w:kern w:val="24"/>
          <w:position w:val="3"/>
          <w:sz w:val="22"/>
          <w:szCs w:val="22"/>
          <w:vertAlign w:val="superscript"/>
          <w:lang w:eastAsia="en-GB"/>
        </w:rPr>
        <w:t>2</w:t>
      </w:r>
      <w:r w:rsidRPr="00332C8B">
        <w:rPr>
          <w:rFonts w:asciiTheme="minorHAnsi" w:hAnsiTheme="minorHAnsi" w:cstheme="minorHAnsi"/>
          <w:bCs/>
          <w:color w:val="000000" w:themeColor="text1"/>
          <w:kern w:val="24"/>
          <w:sz w:val="22"/>
          <w:szCs w:val="22"/>
          <w:lang w:eastAsia="en-GB"/>
        </w:rPr>
        <w:t>, p</w:t>
      </w:r>
      <w:r w:rsidR="00504796">
        <w:rPr>
          <w:rFonts w:asciiTheme="minorHAnsi" w:hAnsiTheme="minorHAnsi" w:cstheme="minorHAnsi"/>
          <w:bCs/>
          <w:color w:val="000000" w:themeColor="text1"/>
          <w:kern w:val="24"/>
          <w:sz w:val="22"/>
          <w:szCs w:val="22"/>
          <w:lang w:eastAsia="en-GB"/>
        </w:rPr>
        <w:t xml:space="preserve"> </w:t>
      </w:r>
      <w:r w:rsidRPr="00332C8B">
        <w:rPr>
          <w:rFonts w:asciiTheme="minorHAnsi" w:hAnsiTheme="minorHAnsi" w:cstheme="minorHAnsi"/>
          <w:bCs/>
          <w:color w:val="000000" w:themeColor="text1"/>
          <w:kern w:val="24"/>
          <w:sz w:val="22"/>
          <w:szCs w:val="22"/>
          <w:lang w:eastAsia="en-GB"/>
        </w:rPr>
        <w:t>=</w:t>
      </w:r>
      <w:r w:rsidR="00504796">
        <w:rPr>
          <w:rFonts w:asciiTheme="minorHAnsi" w:hAnsiTheme="minorHAnsi" w:cstheme="minorHAnsi"/>
          <w:bCs/>
          <w:color w:val="000000" w:themeColor="text1"/>
          <w:kern w:val="24"/>
          <w:sz w:val="22"/>
          <w:szCs w:val="22"/>
          <w:lang w:eastAsia="en-GB"/>
        </w:rPr>
        <w:t xml:space="preserve"> </w:t>
      </w:r>
      <w:r w:rsidRPr="00332C8B">
        <w:rPr>
          <w:rFonts w:asciiTheme="minorHAnsi" w:hAnsiTheme="minorHAnsi" w:cstheme="minorHAnsi"/>
          <w:bCs/>
          <w:color w:val="000000" w:themeColor="text1"/>
          <w:kern w:val="24"/>
          <w:sz w:val="22"/>
          <w:szCs w:val="22"/>
          <w:lang w:eastAsia="en-GB"/>
        </w:rPr>
        <w:t xml:space="preserve">0.000). </w:t>
      </w:r>
      <w:r w:rsidR="003D26CF" w:rsidRPr="00332C8B">
        <w:rPr>
          <w:rFonts w:asciiTheme="minorHAnsi" w:hAnsiTheme="minorHAnsi" w:cstheme="minorHAnsi"/>
          <w:bCs/>
          <w:color w:val="000000" w:themeColor="text1"/>
          <w:kern w:val="24"/>
          <w:sz w:val="22"/>
          <w:szCs w:val="22"/>
          <w:lang w:eastAsia="en-GB"/>
        </w:rPr>
        <w:t xml:space="preserve">Similarly, women </w:t>
      </w:r>
      <w:r w:rsidR="003D26CF" w:rsidRPr="00332C8B">
        <w:rPr>
          <w:rFonts w:asciiTheme="minorHAnsi" w:eastAsia="Calibri" w:hAnsiTheme="minorHAnsi" w:cstheme="minorHAnsi"/>
          <w:bCs/>
          <w:color w:val="000000" w:themeColor="text1"/>
          <w:kern w:val="24"/>
          <w:sz w:val="22"/>
          <w:szCs w:val="22"/>
          <w:lang w:eastAsia="en-GB"/>
        </w:rPr>
        <w:t xml:space="preserve">with a length of stay </w:t>
      </w:r>
      <w:r w:rsidR="003D26CF" w:rsidRPr="00332C8B">
        <w:rPr>
          <w:rFonts w:asciiTheme="minorHAnsi" w:hAnsiTheme="minorHAnsi" w:cstheme="minorHAnsi"/>
          <w:bCs/>
          <w:color w:val="000000" w:themeColor="text1"/>
          <w:kern w:val="24"/>
          <w:sz w:val="22"/>
          <w:szCs w:val="22"/>
          <w:lang w:eastAsia="en-GB"/>
        </w:rPr>
        <w:t>≤</w:t>
      </w:r>
      <w:r w:rsidR="00DB5F37" w:rsidRPr="00332C8B">
        <w:rPr>
          <w:rFonts w:asciiTheme="minorHAnsi" w:eastAsia="Calibri" w:hAnsiTheme="minorHAnsi" w:cstheme="minorHAnsi"/>
          <w:bCs/>
          <w:color w:val="000000" w:themeColor="text1"/>
          <w:kern w:val="24"/>
          <w:sz w:val="22"/>
          <w:szCs w:val="22"/>
          <w:lang w:eastAsia="en-GB"/>
        </w:rPr>
        <w:t xml:space="preserve"> 7 days</w:t>
      </w:r>
      <w:r w:rsidR="00C725ED" w:rsidRPr="00332C8B">
        <w:rPr>
          <w:rFonts w:asciiTheme="minorHAnsi" w:eastAsia="Calibri" w:hAnsiTheme="minorHAnsi" w:cstheme="minorHAnsi"/>
          <w:bCs/>
          <w:color w:val="000000" w:themeColor="text1"/>
          <w:kern w:val="24"/>
          <w:sz w:val="22"/>
          <w:szCs w:val="22"/>
          <w:lang w:eastAsia="en-GB"/>
        </w:rPr>
        <w:t xml:space="preserve"> had a higher fat free </w:t>
      </w:r>
      <w:r w:rsidR="003D26CF" w:rsidRPr="00332C8B">
        <w:rPr>
          <w:rFonts w:asciiTheme="minorHAnsi" w:eastAsia="Calibri" w:hAnsiTheme="minorHAnsi" w:cstheme="minorHAnsi"/>
          <w:bCs/>
          <w:color w:val="000000" w:themeColor="text1"/>
          <w:kern w:val="24"/>
          <w:sz w:val="22"/>
          <w:szCs w:val="22"/>
          <w:lang w:eastAsia="en-GB"/>
        </w:rPr>
        <w:t>mass index compared to those with a le</w:t>
      </w:r>
      <w:r w:rsidR="00DB5F37" w:rsidRPr="00332C8B">
        <w:rPr>
          <w:rFonts w:asciiTheme="minorHAnsi" w:eastAsia="Calibri" w:hAnsiTheme="minorHAnsi" w:cstheme="minorHAnsi"/>
          <w:bCs/>
          <w:color w:val="000000" w:themeColor="text1"/>
          <w:kern w:val="24"/>
          <w:sz w:val="22"/>
          <w:szCs w:val="22"/>
          <w:lang w:eastAsia="en-GB"/>
        </w:rPr>
        <w:t xml:space="preserve">ngth of stay &gt; 7 days </w:t>
      </w:r>
      <w:r w:rsidR="003D26CF" w:rsidRPr="00332C8B">
        <w:rPr>
          <w:rFonts w:asciiTheme="minorHAnsi" w:eastAsia="Calibri" w:hAnsiTheme="minorHAnsi" w:cstheme="minorHAnsi"/>
          <w:bCs/>
          <w:color w:val="000000" w:themeColor="text1"/>
          <w:kern w:val="24"/>
          <w:sz w:val="22"/>
          <w:szCs w:val="22"/>
          <w:lang w:eastAsia="en-GB"/>
        </w:rPr>
        <w:t>(</w:t>
      </w:r>
      <w:r w:rsidR="005E147E" w:rsidRPr="00332C8B">
        <w:rPr>
          <w:rFonts w:asciiTheme="minorHAnsi" w:hAnsiTheme="minorHAnsi" w:cstheme="minorHAnsi"/>
          <w:bCs/>
          <w:color w:val="000000" w:themeColor="text1"/>
          <w:kern w:val="24"/>
          <w:sz w:val="22"/>
          <w:szCs w:val="22"/>
          <w:lang w:eastAsia="en-GB"/>
        </w:rPr>
        <w:t>16.2 +/- 1.6</w:t>
      </w:r>
      <w:r w:rsidR="003D26CF" w:rsidRPr="00332C8B">
        <w:rPr>
          <w:rFonts w:asciiTheme="minorHAnsi" w:eastAsia="Calibri" w:hAnsiTheme="minorHAnsi" w:cstheme="minorHAnsi"/>
          <w:bCs/>
          <w:color w:val="000000" w:themeColor="text1"/>
          <w:kern w:val="24"/>
          <w:sz w:val="22"/>
          <w:szCs w:val="22"/>
          <w:lang w:eastAsia="en-GB"/>
        </w:rPr>
        <w:t>kg/m</w:t>
      </w:r>
      <w:r w:rsidR="003D26CF" w:rsidRPr="00332C8B">
        <w:rPr>
          <w:rFonts w:asciiTheme="minorHAnsi" w:eastAsia="Calibri" w:hAnsiTheme="minorHAnsi" w:cstheme="minorHAnsi"/>
          <w:bCs/>
          <w:color w:val="000000" w:themeColor="text1"/>
          <w:kern w:val="24"/>
          <w:position w:val="3"/>
          <w:sz w:val="22"/>
          <w:szCs w:val="22"/>
          <w:vertAlign w:val="superscript"/>
          <w:lang w:eastAsia="en-GB"/>
        </w:rPr>
        <w:t>2</w:t>
      </w:r>
      <w:r w:rsidR="005E147E" w:rsidRPr="00332C8B">
        <w:rPr>
          <w:rFonts w:asciiTheme="minorHAnsi" w:hAnsiTheme="minorHAnsi" w:cstheme="minorHAnsi"/>
          <w:bCs/>
          <w:color w:val="000000" w:themeColor="text1"/>
          <w:kern w:val="24"/>
          <w:sz w:val="22"/>
          <w:szCs w:val="22"/>
          <w:lang w:eastAsia="en-GB"/>
        </w:rPr>
        <w:t xml:space="preserve"> vs</w:t>
      </w:r>
      <w:r w:rsidR="00EB6876">
        <w:rPr>
          <w:rFonts w:asciiTheme="minorHAnsi" w:hAnsiTheme="minorHAnsi" w:cstheme="minorHAnsi"/>
          <w:bCs/>
          <w:color w:val="000000" w:themeColor="text1"/>
          <w:kern w:val="24"/>
          <w:sz w:val="22"/>
          <w:szCs w:val="22"/>
          <w:lang w:eastAsia="en-GB"/>
        </w:rPr>
        <w:t>.</w:t>
      </w:r>
      <w:r w:rsidR="005E147E" w:rsidRPr="00332C8B">
        <w:rPr>
          <w:rFonts w:asciiTheme="minorHAnsi" w:hAnsiTheme="minorHAnsi" w:cstheme="minorHAnsi"/>
          <w:bCs/>
          <w:color w:val="000000" w:themeColor="text1"/>
          <w:kern w:val="24"/>
          <w:sz w:val="22"/>
          <w:szCs w:val="22"/>
          <w:lang w:eastAsia="en-GB"/>
        </w:rPr>
        <w:t xml:space="preserve"> 13.6 +/- 1.3</w:t>
      </w:r>
      <w:r w:rsidR="003D26CF" w:rsidRPr="00332C8B">
        <w:rPr>
          <w:rFonts w:asciiTheme="minorHAnsi" w:eastAsia="Calibri" w:hAnsiTheme="minorHAnsi" w:cstheme="minorHAnsi"/>
          <w:bCs/>
          <w:color w:val="000000" w:themeColor="text1"/>
          <w:kern w:val="24"/>
          <w:sz w:val="22"/>
          <w:szCs w:val="22"/>
          <w:lang w:eastAsia="en-GB"/>
        </w:rPr>
        <w:t>kg/m</w:t>
      </w:r>
      <w:r w:rsidR="003D26CF" w:rsidRPr="00332C8B">
        <w:rPr>
          <w:rFonts w:asciiTheme="minorHAnsi" w:eastAsia="Calibri" w:hAnsiTheme="minorHAnsi" w:cstheme="minorHAnsi"/>
          <w:bCs/>
          <w:color w:val="000000" w:themeColor="text1"/>
          <w:kern w:val="24"/>
          <w:position w:val="3"/>
          <w:sz w:val="22"/>
          <w:szCs w:val="22"/>
          <w:vertAlign w:val="superscript"/>
          <w:lang w:eastAsia="en-GB"/>
        </w:rPr>
        <w:t>2</w:t>
      </w:r>
      <w:r w:rsidR="003D26CF" w:rsidRPr="00332C8B">
        <w:rPr>
          <w:rFonts w:asciiTheme="minorHAnsi" w:hAnsiTheme="minorHAnsi" w:cstheme="minorHAnsi"/>
          <w:bCs/>
          <w:color w:val="000000" w:themeColor="text1"/>
          <w:kern w:val="24"/>
          <w:sz w:val="22"/>
          <w:szCs w:val="22"/>
          <w:lang w:eastAsia="en-GB"/>
        </w:rPr>
        <w:t>, p</w:t>
      </w:r>
      <w:r w:rsidR="00504796">
        <w:rPr>
          <w:rFonts w:asciiTheme="minorHAnsi" w:hAnsiTheme="minorHAnsi" w:cstheme="minorHAnsi"/>
          <w:bCs/>
          <w:color w:val="000000" w:themeColor="text1"/>
          <w:kern w:val="24"/>
          <w:sz w:val="22"/>
          <w:szCs w:val="22"/>
          <w:lang w:eastAsia="en-GB"/>
        </w:rPr>
        <w:t xml:space="preserve"> </w:t>
      </w:r>
      <w:r w:rsidR="003D26CF" w:rsidRPr="00332C8B">
        <w:rPr>
          <w:rFonts w:asciiTheme="minorHAnsi" w:hAnsiTheme="minorHAnsi" w:cstheme="minorHAnsi"/>
          <w:bCs/>
          <w:color w:val="000000" w:themeColor="text1"/>
          <w:kern w:val="24"/>
          <w:sz w:val="22"/>
          <w:szCs w:val="22"/>
          <w:lang w:eastAsia="en-GB"/>
        </w:rPr>
        <w:t>=</w:t>
      </w:r>
      <w:r w:rsidR="00504796">
        <w:rPr>
          <w:rFonts w:asciiTheme="minorHAnsi" w:hAnsiTheme="minorHAnsi" w:cstheme="minorHAnsi"/>
          <w:bCs/>
          <w:color w:val="000000" w:themeColor="text1"/>
          <w:kern w:val="24"/>
          <w:sz w:val="22"/>
          <w:szCs w:val="22"/>
          <w:lang w:eastAsia="en-GB"/>
        </w:rPr>
        <w:t xml:space="preserve"> </w:t>
      </w:r>
      <w:r w:rsidR="003D26CF" w:rsidRPr="00332C8B">
        <w:rPr>
          <w:rFonts w:asciiTheme="minorHAnsi" w:hAnsiTheme="minorHAnsi" w:cstheme="minorHAnsi"/>
          <w:bCs/>
          <w:color w:val="000000" w:themeColor="text1"/>
          <w:kern w:val="24"/>
          <w:sz w:val="22"/>
          <w:szCs w:val="22"/>
          <w:lang w:eastAsia="en-GB"/>
        </w:rPr>
        <w:t>0.000).</w:t>
      </w:r>
      <w:r w:rsidR="00DB5F37" w:rsidRPr="00332C8B">
        <w:rPr>
          <w:rFonts w:asciiTheme="minorHAnsi" w:hAnsiTheme="minorHAnsi" w:cstheme="minorHAnsi"/>
          <w:bCs/>
          <w:color w:val="000000" w:themeColor="text1"/>
          <w:kern w:val="24"/>
          <w:sz w:val="22"/>
          <w:szCs w:val="22"/>
          <w:lang w:eastAsia="en-GB"/>
        </w:rPr>
        <w:t xml:space="preserve"> Furthermore, </w:t>
      </w:r>
      <w:r w:rsidR="0031150B" w:rsidRPr="00332C8B">
        <w:rPr>
          <w:rFonts w:asciiTheme="minorHAnsi" w:hAnsiTheme="minorHAnsi" w:cstheme="minorHAnsi"/>
          <w:bCs/>
          <w:color w:val="000000" w:themeColor="text1"/>
          <w:kern w:val="24"/>
          <w:sz w:val="22"/>
          <w:szCs w:val="22"/>
          <w:lang w:eastAsia="en-GB"/>
        </w:rPr>
        <w:t xml:space="preserve">men with </w:t>
      </w:r>
      <w:r w:rsidR="0031150B" w:rsidRPr="00332C8B">
        <w:rPr>
          <w:rFonts w:asciiTheme="minorHAnsi" w:eastAsia="Calibri" w:hAnsiTheme="minorHAnsi" w:cstheme="minorHAnsi"/>
          <w:bCs/>
          <w:color w:val="000000" w:themeColor="text1"/>
          <w:kern w:val="24"/>
          <w:sz w:val="22"/>
          <w:szCs w:val="22"/>
          <w:lang w:eastAsia="en-GB"/>
        </w:rPr>
        <w:t xml:space="preserve">a length of stay </w:t>
      </w:r>
      <w:r w:rsidR="0031150B" w:rsidRPr="00332C8B">
        <w:rPr>
          <w:rFonts w:asciiTheme="minorHAnsi" w:hAnsiTheme="minorHAnsi" w:cstheme="minorHAnsi"/>
          <w:bCs/>
          <w:color w:val="000000" w:themeColor="text1"/>
          <w:kern w:val="24"/>
          <w:sz w:val="22"/>
          <w:szCs w:val="22"/>
          <w:lang w:eastAsia="en-GB"/>
        </w:rPr>
        <w:t>≤</w:t>
      </w:r>
      <w:r w:rsidR="00C725ED" w:rsidRPr="00332C8B">
        <w:rPr>
          <w:rFonts w:asciiTheme="minorHAnsi" w:eastAsia="Calibri" w:hAnsiTheme="minorHAnsi" w:cstheme="minorHAnsi"/>
          <w:bCs/>
          <w:color w:val="000000" w:themeColor="text1"/>
          <w:kern w:val="24"/>
          <w:sz w:val="22"/>
          <w:szCs w:val="22"/>
          <w:lang w:eastAsia="en-GB"/>
        </w:rPr>
        <w:t xml:space="preserve"> 7 days had a lower fat </w:t>
      </w:r>
      <w:r w:rsidR="0031150B" w:rsidRPr="00332C8B">
        <w:rPr>
          <w:rFonts w:asciiTheme="minorHAnsi" w:eastAsia="Calibri" w:hAnsiTheme="minorHAnsi" w:cstheme="minorHAnsi"/>
          <w:bCs/>
          <w:color w:val="000000" w:themeColor="text1"/>
          <w:kern w:val="24"/>
          <w:sz w:val="22"/>
          <w:szCs w:val="22"/>
          <w:lang w:eastAsia="en-GB"/>
        </w:rPr>
        <w:t xml:space="preserve">mass index than those with length of stay &gt; 7 days </w:t>
      </w:r>
      <w:r w:rsidR="0031150B" w:rsidRPr="00332C8B">
        <w:rPr>
          <w:rFonts w:asciiTheme="minorHAnsi" w:hAnsiTheme="minorHAnsi" w:cstheme="minorHAnsi"/>
          <w:bCs/>
          <w:color w:val="000000" w:themeColor="text1"/>
          <w:sz w:val="22"/>
          <w:szCs w:val="22"/>
        </w:rPr>
        <w:t xml:space="preserve">(7.2 </w:t>
      </w:r>
      <w:r w:rsidR="0031150B" w:rsidRPr="00332C8B">
        <w:rPr>
          <w:rFonts w:asciiTheme="minorHAnsi" w:hAnsiTheme="minorHAnsi" w:cstheme="minorHAnsi"/>
          <w:bCs/>
          <w:color w:val="000000" w:themeColor="text1"/>
          <w:kern w:val="24"/>
          <w:sz w:val="22"/>
          <w:szCs w:val="22"/>
          <w:lang w:eastAsia="en-GB"/>
        </w:rPr>
        <w:t>+/-</w:t>
      </w:r>
      <w:r w:rsidR="0031150B" w:rsidRPr="00332C8B">
        <w:rPr>
          <w:rFonts w:asciiTheme="minorHAnsi" w:hAnsiTheme="minorHAnsi" w:cstheme="minorHAnsi"/>
          <w:bCs/>
          <w:color w:val="000000" w:themeColor="text1"/>
          <w:sz w:val="22"/>
          <w:szCs w:val="22"/>
        </w:rPr>
        <w:t xml:space="preserve"> 2.6</w:t>
      </w:r>
      <w:r w:rsidR="0031150B" w:rsidRPr="00332C8B">
        <w:rPr>
          <w:rFonts w:asciiTheme="minorHAnsi" w:eastAsia="Calibri" w:hAnsiTheme="minorHAnsi" w:cstheme="minorHAnsi"/>
          <w:bCs/>
          <w:color w:val="000000" w:themeColor="text1"/>
          <w:kern w:val="24"/>
          <w:sz w:val="22"/>
          <w:szCs w:val="22"/>
          <w:lang w:eastAsia="en-GB"/>
        </w:rPr>
        <w:t xml:space="preserve"> kg/m</w:t>
      </w:r>
      <w:r w:rsidR="0031150B" w:rsidRPr="00332C8B">
        <w:rPr>
          <w:rFonts w:asciiTheme="minorHAnsi" w:eastAsia="Calibri" w:hAnsiTheme="minorHAnsi" w:cstheme="minorHAnsi"/>
          <w:bCs/>
          <w:color w:val="000000" w:themeColor="text1"/>
          <w:kern w:val="24"/>
          <w:position w:val="3"/>
          <w:sz w:val="22"/>
          <w:szCs w:val="22"/>
          <w:vertAlign w:val="superscript"/>
          <w:lang w:eastAsia="en-GB"/>
        </w:rPr>
        <w:t>2</w:t>
      </w:r>
      <w:r w:rsidR="0031150B" w:rsidRPr="00332C8B">
        <w:rPr>
          <w:rFonts w:asciiTheme="minorHAnsi" w:hAnsiTheme="minorHAnsi" w:cstheme="minorHAnsi"/>
          <w:bCs/>
          <w:color w:val="000000" w:themeColor="text1"/>
          <w:sz w:val="22"/>
          <w:szCs w:val="22"/>
        </w:rPr>
        <w:t xml:space="preserve"> vs</w:t>
      </w:r>
      <w:r w:rsidR="00EB6876">
        <w:rPr>
          <w:rFonts w:asciiTheme="minorHAnsi" w:hAnsiTheme="minorHAnsi" w:cstheme="minorHAnsi"/>
          <w:bCs/>
          <w:color w:val="000000" w:themeColor="text1"/>
          <w:sz w:val="22"/>
          <w:szCs w:val="22"/>
        </w:rPr>
        <w:t>.</w:t>
      </w:r>
      <w:r w:rsidR="0031150B" w:rsidRPr="00332C8B">
        <w:rPr>
          <w:rFonts w:asciiTheme="minorHAnsi" w:hAnsiTheme="minorHAnsi" w:cstheme="minorHAnsi"/>
          <w:bCs/>
          <w:color w:val="000000" w:themeColor="text1"/>
          <w:sz w:val="22"/>
          <w:szCs w:val="22"/>
        </w:rPr>
        <w:t xml:space="preserve"> 9.2 </w:t>
      </w:r>
      <w:r w:rsidR="0031150B" w:rsidRPr="00332C8B">
        <w:rPr>
          <w:rFonts w:asciiTheme="minorHAnsi" w:hAnsiTheme="minorHAnsi" w:cstheme="minorHAnsi"/>
          <w:bCs/>
          <w:color w:val="000000" w:themeColor="text1"/>
          <w:kern w:val="24"/>
          <w:sz w:val="22"/>
          <w:szCs w:val="22"/>
          <w:lang w:eastAsia="en-GB"/>
        </w:rPr>
        <w:t xml:space="preserve">+/- </w:t>
      </w:r>
      <w:r w:rsidR="0031150B" w:rsidRPr="00332C8B">
        <w:rPr>
          <w:rFonts w:asciiTheme="minorHAnsi" w:hAnsiTheme="minorHAnsi" w:cstheme="minorHAnsi"/>
          <w:bCs/>
          <w:color w:val="000000" w:themeColor="text1"/>
          <w:sz w:val="22"/>
          <w:szCs w:val="22"/>
        </w:rPr>
        <w:t>2.5</w:t>
      </w:r>
      <w:r w:rsidR="0031150B" w:rsidRPr="00332C8B">
        <w:rPr>
          <w:rFonts w:asciiTheme="minorHAnsi" w:eastAsia="Calibri" w:hAnsiTheme="minorHAnsi" w:cstheme="minorHAnsi"/>
          <w:bCs/>
          <w:color w:val="000000" w:themeColor="text1"/>
          <w:kern w:val="24"/>
          <w:sz w:val="22"/>
          <w:szCs w:val="22"/>
          <w:lang w:eastAsia="en-GB"/>
        </w:rPr>
        <w:t xml:space="preserve"> kg/m</w:t>
      </w:r>
      <w:r w:rsidR="0031150B" w:rsidRPr="00332C8B">
        <w:rPr>
          <w:rFonts w:asciiTheme="minorHAnsi" w:eastAsia="Calibri" w:hAnsiTheme="minorHAnsi" w:cstheme="minorHAnsi"/>
          <w:bCs/>
          <w:color w:val="000000" w:themeColor="text1"/>
          <w:kern w:val="24"/>
          <w:position w:val="3"/>
          <w:sz w:val="22"/>
          <w:szCs w:val="22"/>
          <w:vertAlign w:val="superscript"/>
          <w:lang w:eastAsia="en-GB"/>
        </w:rPr>
        <w:t>2</w:t>
      </w:r>
      <w:r w:rsidR="0031150B" w:rsidRPr="00332C8B">
        <w:rPr>
          <w:rFonts w:asciiTheme="minorHAnsi" w:hAnsiTheme="minorHAnsi" w:cstheme="minorHAnsi"/>
          <w:bCs/>
          <w:color w:val="000000" w:themeColor="text1"/>
          <w:sz w:val="22"/>
          <w:szCs w:val="22"/>
        </w:rPr>
        <w:t>, p = 0.019)</w:t>
      </w:r>
      <w:r w:rsidR="0031150B" w:rsidRPr="00332C8B">
        <w:rPr>
          <w:rFonts w:asciiTheme="minorHAnsi" w:eastAsia="Calibri" w:hAnsiTheme="minorHAnsi" w:cstheme="minorHAnsi"/>
          <w:bCs/>
          <w:color w:val="000000" w:themeColor="text1"/>
          <w:kern w:val="24"/>
          <w:sz w:val="22"/>
          <w:szCs w:val="22"/>
          <w:lang w:eastAsia="en-GB"/>
        </w:rPr>
        <w:t>. Similar resul</w:t>
      </w:r>
      <w:r w:rsidR="00C74C76" w:rsidRPr="00332C8B">
        <w:rPr>
          <w:rFonts w:asciiTheme="minorHAnsi" w:eastAsia="Calibri" w:hAnsiTheme="minorHAnsi" w:cstheme="minorHAnsi"/>
          <w:bCs/>
          <w:color w:val="000000" w:themeColor="text1"/>
          <w:kern w:val="24"/>
          <w:sz w:val="22"/>
          <w:szCs w:val="22"/>
          <w:lang w:eastAsia="en-GB"/>
        </w:rPr>
        <w:t>ts were found in women</w:t>
      </w:r>
      <w:r w:rsidR="0031150B" w:rsidRPr="00332C8B">
        <w:rPr>
          <w:rFonts w:asciiTheme="minorHAnsi" w:eastAsia="Calibri" w:hAnsiTheme="minorHAnsi" w:cstheme="minorHAnsi"/>
          <w:bCs/>
          <w:color w:val="000000" w:themeColor="text1"/>
          <w:kern w:val="24"/>
          <w:sz w:val="22"/>
          <w:szCs w:val="22"/>
          <w:lang w:eastAsia="en-GB"/>
        </w:rPr>
        <w:t xml:space="preserve"> </w:t>
      </w:r>
      <w:r w:rsidR="0031150B" w:rsidRPr="00332C8B">
        <w:rPr>
          <w:rFonts w:asciiTheme="minorHAnsi" w:hAnsiTheme="minorHAnsi" w:cstheme="minorHAnsi"/>
          <w:bCs/>
          <w:color w:val="000000" w:themeColor="text1"/>
          <w:sz w:val="22"/>
          <w:szCs w:val="22"/>
        </w:rPr>
        <w:t xml:space="preserve">(9.7 </w:t>
      </w:r>
      <w:r w:rsidR="0031150B" w:rsidRPr="00332C8B">
        <w:rPr>
          <w:rFonts w:asciiTheme="minorHAnsi" w:hAnsiTheme="minorHAnsi" w:cstheme="minorHAnsi"/>
          <w:bCs/>
          <w:color w:val="000000" w:themeColor="text1"/>
          <w:kern w:val="24"/>
          <w:sz w:val="22"/>
          <w:szCs w:val="22"/>
          <w:lang w:eastAsia="en-GB"/>
        </w:rPr>
        <w:t>+/-</w:t>
      </w:r>
      <w:r w:rsidR="0031150B" w:rsidRPr="00332C8B">
        <w:rPr>
          <w:rFonts w:asciiTheme="minorHAnsi" w:hAnsiTheme="minorHAnsi" w:cstheme="minorHAnsi"/>
          <w:bCs/>
          <w:color w:val="000000" w:themeColor="text1"/>
          <w:sz w:val="22"/>
          <w:szCs w:val="22"/>
        </w:rPr>
        <w:t xml:space="preserve"> 1.8</w:t>
      </w:r>
      <w:r w:rsidR="0031150B" w:rsidRPr="00332C8B">
        <w:rPr>
          <w:rFonts w:asciiTheme="minorHAnsi" w:eastAsia="Calibri" w:hAnsiTheme="minorHAnsi" w:cstheme="minorHAnsi"/>
          <w:bCs/>
          <w:color w:val="000000" w:themeColor="text1"/>
          <w:kern w:val="24"/>
          <w:sz w:val="22"/>
          <w:szCs w:val="22"/>
          <w:lang w:eastAsia="en-GB"/>
        </w:rPr>
        <w:t xml:space="preserve"> kg/m</w:t>
      </w:r>
      <w:r w:rsidR="0031150B" w:rsidRPr="00332C8B">
        <w:rPr>
          <w:rFonts w:asciiTheme="minorHAnsi" w:eastAsia="Calibri" w:hAnsiTheme="minorHAnsi" w:cstheme="minorHAnsi"/>
          <w:bCs/>
          <w:color w:val="000000" w:themeColor="text1"/>
          <w:kern w:val="24"/>
          <w:position w:val="3"/>
          <w:sz w:val="22"/>
          <w:szCs w:val="22"/>
          <w:vertAlign w:val="superscript"/>
          <w:lang w:eastAsia="en-GB"/>
        </w:rPr>
        <w:t>2</w:t>
      </w:r>
      <w:r w:rsidR="0031150B" w:rsidRPr="00332C8B">
        <w:rPr>
          <w:rFonts w:asciiTheme="minorHAnsi" w:hAnsiTheme="minorHAnsi" w:cstheme="minorHAnsi"/>
          <w:bCs/>
          <w:color w:val="000000" w:themeColor="text1"/>
          <w:sz w:val="22"/>
          <w:szCs w:val="22"/>
        </w:rPr>
        <w:t xml:space="preserve"> vs</w:t>
      </w:r>
      <w:r w:rsidR="00EB6876">
        <w:rPr>
          <w:rFonts w:asciiTheme="minorHAnsi" w:hAnsiTheme="minorHAnsi" w:cstheme="minorHAnsi"/>
          <w:bCs/>
          <w:color w:val="000000" w:themeColor="text1"/>
          <w:sz w:val="22"/>
          <w:szCs w:val="22"/>
        </w:rPr>
        <w:t>.</w:t>
      </w:r>
      <w:r w:rsidR="0031150B" w:rsidRPr="00332C8B">
        <w:rPr>
          <w:rFonts w:asciiTheme="minorHAnsi" w:hAnsiTheme="minorHAnsi" w:cstheme="minorHAnsi"/>
          <w:bCs/>
          <w:color w:val="000000" w:themeColor="text1"/>
          <w:sz w:val="22"/>
          <w:szCs w:val="22"/>
        </w:rPr>
        <w:t xml:space="preserve"> 11.3 </w:t>
      </w:r>
      <w:r w:rsidR="0031150B" w:rsidRPr="00332C8B">
        <w:rPr>
          <w:rFonts w:asciiTheme="minorHAnsi" w:hAnsiTheme="minorHAnsi" w:cstheme="minorHAnsi"/>
          <w:bCs/>
          <w:color w:val="000000" w:themeColor="text1"/>
          <w:kern w:val="24"/>
          <w:sz w:val="22"/>
          <w:szCs w:val="22"/>
          <w:lang w:eastAsia="en-GB"/>
        </w:rPr>
        <w:t xml:space="preserve">+/- </w:t>
      </w:r>
      <w:r w:rsidR="0031150B" w:rsidRPr="00332C8B">
        <w:rPr>
          <w:rFonts w:asciiTheme="minorHAnsi" w:hAnsiTheme="minorHAnsi" w:cstheme="minorHAnsi"/>
          <w:bCs/>
          <w:color w:val="000000" w:themeColor="text1"/>
          <w:sz w:val="22"/>
          <w:szCs w:val="22"/>
        </w:rPr>
        <w:t>1.9</w:t>
      </w:r>
      <w:r w:rsidR="0031150B" w:rsidRPr="00332C8B">
        <w:rPr>
          <w:rFonts w:asciiTheme="minorHAnsi" w:eastAsia="Calibri" w:hAnsiTheme="minorHAnsi" w:cstheme="minorHAnsi"/>
          <w:bCs/>
          <w:color w:val="000000" w:themeColor="text1"/>
          <w:kern w:val="24"/>
          <w:sz w:val="22"/>
          <w:szCs w:val="22"/>
          <w:lang w:eastAsia="en-GB"/>
        </w:rPr>
        <w:t xml:space="preserve"> kg/m</w:t>
      </w:r>
      <w:r w:rsidR="0031150B" w:rsidRPr="00332C8B">
        <w:rPr>
          <w:rFonts w:asciiTheme="minorHAnsi" w:eastAsia="Calibri" w:hAnsiTheme="minorHAnsi" w:cstheme="minorHAnsi"/>
          <w:bCs/>
          <w:color w:val="000000" w:themeColor="text1"/>
          <w:kern w:val="24"/>
          <w:position w:val="3"/>
          <w:sz w:val="22"/>
          <w:szCs w:val="22"/>
          <w:vertAlign w:val="superscript"/>
          <w:lang w:eastAsia="en-GB"/>
        </w:rPr>
        <w:t>2</w:t>
      </w:r>
      <w:r w:rsidR="0031150B" w:rsidRPr="00332C8B">
        <w:rPr>
          <w:rFonts w:asciiTheme="minorHAnsi" w:hAnsiTheme="minorHAnsi" w:cstheme="minorHAnsi"/>
          <w:bCs/>
          <w:color w:val="000000" w:themeColor="text1"/>
          <w:sz w:val="22"/>
          <w:szCs w:val="22"/>
        </w:rPr>
        <w:t>, p = 0.04).</w:t>
      </w:r>
    </w:p>
    <w:p w14:paraId="44BABD00" w14:textId="6026762F" w:rsidR="00D03030" w:rsidRPr="00332C8B" w:rsidRDefault="00D03030" w:rsidP="00F0414E">
      <w:pPr>
        <w:widowControl w:val="0"/>
        <w:autoSpaceDE w:val="0"/>
        <w:autoSpaceDN w:val="0"/>
        <w:adjustRightInd w:val="0"/>
        <w:spacing w:after="240" w:line="480" w:lineRule="auto"/>
        <w:rPr>
          <w:rFonts w:asciiTheme="minorHAnsi" w:eastAsia="Calibri" w:hAnsiTheme="minorHAnsi" w:cstheme="minorHAnsi"/>
          <w:color w:val="000000" w:themeColor="text1"/>
          <w:sz w:val="22"/>
          <w:szCs w:val="22"/>
        </w:rPr>
      </w:pPr>
      <w:r w:rsidRPr="00332C8B">
        <w:rPr>
          <w:rFonts w:asciiTheme="minorHAnsi" w:eastAsia="Calibri" w:hAnsiTheme="minorHAnsi" w:cstheme="minorHAnsi"/>
          <w:color w:val="000000" w:themeColor="text1"/>
          <w:sz w:val="22"/>
          <w:szCs w:val="22"/>
        </w:rPr>
        <w:t>Sato</w:t>
      </w:r>
      <w:r w:rsidR="009F1338" w:rsidRPr="00332C8B">
        <w:rPr>
          <w:rFonts w:asciiTheme="minorHAnsi" w:eastAsia="Calibri" w:hAnsiTheme="minorHAnsi" w:cstheme="minorHAnsi"/>
          <w:color w:val="000000" w:themeColor="text1"/>
          <w:sz w:val="22"/>
          <w:szCs w:val="22"/>
        </w:rPr>
        <w:t xml:space="preserve"> et al</w:t>
      </w:r>
      <w:r w:rsidR="003662F1" w:rsidRPr="00332C8B">
        <w:rPr>
          <w:rFonts w:asciiTheme="minorHAnsi" w:eastAsia="Calibri" w:hAnsiTheme="minorHAnsi" w:cstheme="minorHAnsi"/>
          <w:color w:val="000000" w:themeColor="text1"/>
          <w:sz w:val="22"/>
          <w:szCs w:val="22"/>
        </w:rPr>
        <w:fldChar w:fldCharType="begin" w:fldLock="1"/>
      </w:r>
      <w:r w:rsidR="00F66CFF" w:rsidRPr="00332C8B">
        <w:rPr>
          <w:rFonts w:asciiTheme="minorHAnsi" w:eastAsia="Calibri" w:hAnsiTheme="minorHAnsi" w:cstheme="minorHAnsi"/>
          <w:color w:val="000000" w:themeColor="text1"/>
          <w:sz w:val="22"/>
          <w:szCs w:val="22"/>
        </w:rPr>
        <w:instrText>ADDIN CSL_CITATION {"citationItems":[{"id":"ITEM-1","itemData":{"DOI":"https://dx.doi.org/10.1007/s10120-015-0554-4","ISSN":"1436-3305","abstract":"BACKGROUND: Sarcopenia is a decrease in both muscle mass and strength. It remains unclear whether sarcopenia is associated with morbidity after gastric cancer surgery. This study evaluated the impact of sarcopenia on the morbidity of gastric cancer surgery., METHODS: A total of 293 gastric cancer patients who underwent curative surgery between May 2011 and June 2013 were retrospectively examined. Patients with performance status 3 or 4 were excluded. Preoperative lean body mass (LBM) was evaluated by bioelectrical impedance analysis and expressed as LBM index. Preoperative muscle function was measured by hand grip strength (HGS). The cutoff values were the gender-specific lowest 20 %. Grade 2 or higher morbidities, as retrospectively evaluated by the Clavien-Dindo classification, were obtained from the patient record. The risk factors for morbidity were examined by univariate and multivariate analyses., RESULTS: Morbidity was observed in 39 patients (13.3 %), including 7 with pancreatic leakage, 12 with anastomotic leakage, and 4 with intraabdominal abscesses, but no mortality was observed. The univariate analysis showed that male gender, total gastrectomy, splenectomy, and a low HGS were significant risk factors for morbidity. A low LBM was not a significant risk factor. A low HGS, male gender, and total gastrectomy remained significant in the multivariate analysis., CONCLUSIONS: A low hand grip strength was a significant risk factor for morbidity after gastric cancer surgery. The importance of the hand grip strength as a risk factor should be examined in future prospective studies.","author":[{"dropping-particle":"","family":"Sato","given":"Tsutomu","non-dropping-particle":"","parse-names":false,"suffix":""},{"dropping-particle":"","family":"Aoyama","given":"Toru","non-dropping-particle":"","parse-names":false,"suffix":""},{"dropping-particle":"","family":"Hayashi","given":"Tsutomu","non-dropping-particle":"","parse-names":false,"suffix":""},{"dropping-particle":"","family":"Segami","given":"Kenki","non-dropping-particle":"","parse-names":false,"suffix":""},{"dropping-particle":"","family":"Kawabe","given":"Taiichi","non-dropping-particle":"","parse-names":false,"suffix":""},{"dropping-particle":"","family":"Fujikawa","given":"Hirohito","non-dropping-particle":"","parse-names":false,"suffix":""},{"dropping-particle":"","family":"Yamada","given":"Takanobu","non-dropping-particle":"","parse-names":false,"suffix":""},{"dropping-particle":"","family":"Yamamoto","given":"Naoto","non-dropping-particle":"","parse-names":false,"suffix":""},{"dropping-particle":"","family":"Oshima","given":"Takashi","non-dropping-particle":"","parse-names":false,"suffix":""},{"dropping-particle":"","family":"Rino","given":"Yasushi","non-dropping-particle":"","parse-names":false,"suffix":""},{"dropping-particle":"","family":"Masuda","given":"Munetaka","non-dropping-particle":"","parse-names":false,"suffix":""},{"dropping-particle":"","family":"Ogata","given":"Takashi","non-dropping-particle":"","parse-names":false,"suffix":""},{"dropping-particle":"","family":"Cho","given":"Haruhiko","non-dropping-particle":"","parse-names":false,"suffix":""},{"dropping-particle":"","family":"Yoshikawa","given":"Takaki","non-dropping-particle":"","parse-names":false,"suffix":""}],"container-title":"Gastric cancer : official journal of the International Gastric Cancer Association and the Japanese Gastric Cancer Association","id":"ITEM-1","issue":"3","issued":{"date-parts":[["2016"]]},"page":"1008-1015","publisher-place":"Japan","title":"Impact of preoperative hand grip strength on morbidity following gastric cancer surgery.","type":"article-journal","volume":"19"},"uris":["http://www.mendeley.com/documents/?uuid=a7720521-e083-46bf-88a1-5a1149d42876"]}],"mendeley":{"formattedCitation":"[34]","plainTextFormattedCitation":"[34]","previouslyFormattedCitation":"[35]"},"properties":{"noteIndex":0},"schema":"https://github.com/citation-style-language/schema/raw/master/csl-citation.json"}</w:instrText>
      </w:r>
      <w:r w:rsidR="003662F1" w:rsidRPr="00332C8B">
        <w:rPr>
          <w:rFonts w:asciiTheme="minorHAnsi" w:eastAsia="Calibri" w:hAnsiTheme="minorHAnsi" w:cstheme="minorHAnsi"/>
          <w:color w:val="000000" w:themeColor="text1"/>
          <w:sz w:val="22"/>
          <w:szCs w:val="22"/>
        </w:rPr>
        <w:fldChar w:fldCharType="separate"/>
      </w:r>
      <w:r w:rsidR="00F66CFF" w:rsidRPr="00332C8B">
        <w:rPr>
          <w:rFonts w:asciiTheme="minorHAnsi" w:eastAsia="Calibri" w:hAnsiTheme="minorHAnsi" w:cstheme="minorHAnsi"/>
          <w:noProof/>
          <w:color w:val="000000" w:themeColor="text1"/>
          <w:sz w:val="22"/>
          <w:szCs w:val="22"/>
        </w:rPr>
        <w:t>[34]</w:t>
      </w:r>
      <w:r w:rsidR="003662F1" w:rsidRPr="00332C8B">
        <w:rPr>
          <w:rFonts w:asciiTheme="minorHAnsi" w:eastAsia="Calibri" w:hAnsiTheme="minorHAnsi" w:cstheme="minorHAnsi"/>
          <w:color w:val="000000" w:themeColor="text1"/>
          <w:sz w:val="22"/>
          <w:szCs w:val="22"/>
        </w:rPr>
        <w:fldChar w:fldCharType="end"/>
      </w:r>
      <w:r w:rsidRPr="00332C8B">
        <w:rPr>
          <w:rFonts w:asciiTheme="minorHAnsi" w:eastAsia="Calibri" w:hAnsiTheme="minorHAnsi" w:cstheme="minorHAnsi"/>
          <w:color w:val="000000" w:themeColor="text1"/>
          <w:sz w:val="22"/>
          <w:szCs w:val="22"/>
        </w:rPr>
        <w:t xml:space="preserve"> </w:t>
      </w:r>
      <w:r w:rsidR="009F1338" w:rsidRPr="00332C8B">
        <w:rPr>
          <w:rFonts w:asciiTheme="minorHAnsi" w:eastAsia="Calibri" w:hAnsiTheme="minorHAnsi" w:cstheme="minorHAnsi"/>
          <w:color w:val="000000" w:themeColor="text1"/>
          <w:sz w:val="22"/>
          <w:szCs w:val="22"/>
        </w:rPr>
        <w:t>assessed</w:t>
      </w:r>
      <w:r w:rsidRPr="00332C8B">
        <w:rPr>
          <w:rFonts w:asciiTheme="minorHAnsi" w:eastAsia="Calibri" w:hAnsiTheme="minorHAnsi" w:cstheme="minorHAnsi"/>
          <w:color w:val="000000" w:themeColor="text1"/>
          <w:sz w:val="22"/>
          <w:szCs w:val="22"/>
        </w:rPr>
        <w:t xml:space="preserve"> lean body mass index in 293 patients undergoing surgery for gastric adenocarcinoma. This retrospective study investigated the impact of muscle mass </w:t>
      </w:r>
      <w:r w:rsidR="009F1338" w:rsidRPr="00332C8B">
        <w:rPr>
          <w:rFonts w:asciiTheme="minorHAnsi" w:eastAsia="Calibri" w:hAnsiTheme="minorHAnsi" w:cstheme="minorHAnsi"/>
          <w:color w:val="000000" w:themeColor="text1"/>
          <w:sz w:val="22"/>
          <w:szCs w:val="22"/>
        </w:rPr>
        <w:t xml:space="preserve">on </w:t>
      </w:r>
      <w:r w:rsidRPr="00332C8B">
        <w:rPr>
          <w:rFonts w:asciiTheme="minorHAnsi" w:eastAsia="Calibri" w:hAnsiTheme="minorHAnsi" w:cstheme="minorHAnsi"/>
          <w:color w:val="000000" w:themeColor="text1"/>
          <w:sz w:val="22"/>
          <w:szCs w:val="22"/>
        </w:rPr>
        <w:t>post-operative complications, defined by the Clavien-Dindo classification. Patients with a gender-specific lean body mass index in the lowest 20</w:t>
      </w:r>
      <w:r w:rsidRPr="00332C8B">
        <w:rPr>
          <w:rFonts w:asciiTheme="minorHAnsi" w:eastAsia="Calibri" w:hAnsiTheme="minorHAnsi" w:cstheme="minorHAnsi"/>
          <w:color w:val="000000" w:themeColor="text1"/>
          <w:sz w:val="22"/>
          <w:szCs w:val="22"/>
          <w:vertAlign w:val="superscript"/>
        </w:rPr>
        <w:t>th</w:t>
      </w:r>
      <w:r w:rsidRPr="00332C8B">
        <w:rPr>
          <w:rFonts w:asciiTheme="minorHAnsi" w:eastAsia="Calibri" w:hAnsiTheme="minorHAnsi" w:cstheme="minorHAnsi"/>
          <w:color w:val="000000" w:themeColor="text1"/>
          <w:sz w:val="22"/>
          <w:szCs w:val="22"/>
        </w:rPr>
        <w:t xml:space="preserve"> centile of the study population </w:t>
      </w:r>
      <w:r w:rsidR="003D59EB" w:rsidRPr="00332C8B">
        <w:rPr>
          <w:rFonts w:asciiTheme="minorHAnsi" w:eastAsia="Calibri" w:hAnsiTheme="minorHAnsi" w:cstheme="minorHAnsi"/>
          <w:color w:val="000000" w:themeColor="text1"/>
          <w:sz w:val="22"/>
          <w:szCs w:val="22"/>
        </w:rPr>
        <w:t xml:space="preserve">(n=58) </w:t>
      </w:r>
      <w:r w:rsidRPr="00332C8B">
        <w:rPr>
          <w:rFonts w:asciiTheme="minorHAnsi" w:eastAsia="Calibri" w:hAnsiTheme="minorHAnsi" w:cstheme="minorHAnsi"/>
          <w:color w:val="000000" w:themeColor="text1"/>
          <w:sz w:val="22"/>
          <w:szCs w:val="22"/>
        </w:rPr>
        <w:t xml:space="preserve">were considered as having low </w:t>
      </w:r>
      <w:r w:rsidR="009F1338" w:rsidRPr="00332C8B">
        <w:rPr>
          <w:rFonts w:asciiTheme="minorHAnsi" w:eastAsia="Calibri" w:hAnsiTheme="minorHAnsi" w:cstheme="minorHAnsi"/>
          <w:color w:val="000000" w:themeColor="text1"/>
          <w:sz w:val="22"/>
          <w:szCs w:val="22"/>
        </w:rPr>
        <w:t>lean body-mass index</w:t>
      </w:r>
      <w:r w:rsidRPr="00332C8B">
        <w:rPr>
          <w:rFonts w:asciiTheme="minorHAnsi" w:eastAsia="Calibri" w:hAnsiTheme="minorHAnsi" w:cstheme="minorHAnsi"/>
          <w:color w:val="000000" w:themeColor="text1"/>
          <w:sz w:val="22"/>
          <w:szCs w:val="22"/>
        </w:rPr>
        <w:t xml:space="preserve">. </w:t>
      </w:r>
      <w:r w:rsidR="003D59EB" w:rsidRPr="00332C8B">
        <w:rPr>
          <w:rFonts w:asciiTheme="minorHAnsi" w:eastAsia="Calibri" w:hAnsiTheme="minorHAnsi" w:cstheme="minorHAnsi"/>
          <w:color w:val="000000" w:themeColor="text1"/>
          <w:sz w:val="22"/>
          <w:szCs w:val="22"/>
        </w:rPr>
        <w:t>Eight o</w:t>
      </w:r>
      <w:r w:rsidR="00EA3C48" w:rsidRPr="00332C8B">
        <w:rPr>
          <w:rFonts w:asciiTheme="minorHAnsi" w:eastAsia="Calibri" w:hAnsiTheme="minorHAnsi" w:cstheme="minorHAnsi"/>
          <w:color w:val="000000" w:themeColor="text1"/>
          <w:sz w:val="22"/>
          <w:szCs w:val="22"/>
        </w:rPr>
        <w:t>f the participants with low lean body mass index</w:t>
      </w:r>
      <w:r w:rsidR="003D59EB" w:rsidRPr="00332C8B">
        <w:rPr>
          <w:rFonts w:asciiTheme="minorHAnsi" w:eastAsia="Calibri" w:hAnsiTheme="minorHAnsi" w:cstheme="minorHAnsi"/>
          <w:color w:val="000000" w:themeColor="text1"/>
          <w:sz w:val="22"/>
          <w:szCs w:val="22"/>
        </w:rPr>
        <w:t xml:space="preserve"> (13.8%) experienced a post-operative complication compared to 31 participants in the normal lean body mass index group (13.2%). T</w:t>
      </w:r>
      <w:r w:rsidR="008A7004" w:rsidRPr="00332C8B">
        <w:rPr>
          <w:rFonts w:asciiTheme="minorHAnsi" w:eastAsia="Calibri" w:hAnsiTheme="minorHAnsi" w:cstheme="minorHAnsi"/>
          <w:color w:val="000000" w:themeColor="text1"/>
          <w:sz w:val="22"/>
          <w:szCs w:val="22"/>
        </w:rPr>
        <w:t>here</w:t>
      </w:r>
      <w:r w:rsidRPr="00332C8B">
        <w:rPr>
          <w:rFonts w:asciiTheme="minorHAnsi" w:eastAsia="Calibri" w:hAnsiTheme="minorHAnsi" w:cstheme="minorHAnsi"/>
          <w:color w:val="000000" w:themeColor="text1"/>
          <w:sz w:val="22"/>
          <w:szCs w:val="22"/>
        </w:rPr>
        <w:t xml:space="preserve"> was no association between patients with a low </w:t>
      </w:r>
      <w:r w:rsidR="00EA3C48" w:rsidRPr="00332C8B">
        <w:rPr>
          <w:rFonts w:asciiTheme="minorHAnsi" w:eastAsia="Calibri" w:hAnsiTheme="minorHAnsi" w:cstheme="minorHAnsi"/>
          <w:color w:val="000000" w:themeColor="text1"/>
          <w:sz w:val="22"/>
          <w:szCs w:val="22"/>
        </w:rPr>
        <w:t xml:space="preserve">lean body </w:t>
      </w:r>
      <w:r w:rsidR="009F1338" w:rsidRPr="00332C8B">
        <w:rPr>
          <w:rFonts w:asciiTheme="minorHAnsi" w:eastAsia="Calibri" w:hAnsiTheme="minorHAnsi" w:cstheme="minorHAnsi"/>
          <w:color w:val="000000" w:themeColor="text1"/>
          <w:sz w:val="22"/>
          <w:szCs w:val="22"/>
        </w:rPr>
        <w:t xml:space="preserve">mass index </w:t>
      </w:r>
      <w:r w:rsidRPr="00332C8B">
        <w:rPr>
          <w:rFonts w:asciiTheme="minorHAnsi" w:eastAsia="Calibri" w:hAnsiTheme="minorHAnsi" w:cstheme="minorHAnsi"/>
          <w:color w:val="000000" w:themeColor="text1"/>
          <w:sz w:val="22"/>
          <w:szCs w:val="22"/>
        </w:rPr>
        <w:t xml:space="preserve">and a </w:t>
      </w:r>
      <w:r w:rsidRPr="00332C8B">
        <w:rPr>
          <w:rFonts w:asciiTheme="minorHAnsi" w:eastAsia="Calibri" w:hAnsiTheme="minorHAnsi" w:cstheme="minorHAnsi"/>
          <w:color w:val="000000" w:themeColor="text1"/>
          <w:kern w:val="24"/>
          <w:sz w:val="22"/>
          <w:szCs w:val="22"/>
          <w:lang w:eastAsia="en-GB"/>
        </w:rPr>
        <w:t xml:space="preserve">post-operative complication grade </w:t>
      </w:r>
      <w:r w:rsidRPr="00332C8B">
        <w:rPr>
          <w:rFonts w:asciiTheme="minorHAnsi" w:hAnsiTheme="minorHAnsi" w:cstheme="minorHAnsi"/>
          <w:color w:val="000000" w:themeColor="text1"/>
          <w:kern w:val="24"/>
          <w:sz w:val="22"/>
          <w:szCs w:val="22"/>
          <w:lang w:eastAsia="en-GB"/>
        </w:rPr>
        <w:t xml:space="preserve">≥ 2 </w:t>
      </w:r>
      <w:r w:rsidRPr="00CF72E0">
        <w:rPr>
          <w:rFonts w:asciiTheme="minorHAnsi" w:eastAsia="Calibri" w:hAnsiTheme="minorHAnsi" w:cstheme="minorHAnsi"/>
          <w:color w:val="000000" w:themeColor="text1"/>
          <w:sz w:val="22"/>
          <w:szCs w:val="22"/>
        </w:rPr>
        <w:t>(</w:t>
      </w:r>
      <w:r w:rsidR="00CA33FE" w:rsidRPr="00CF72E0">
        <w:rPr>
          <w:rFonts w:asciiTheme="minorHAnsi" w:eastAsia="Calibri" w:hAnsiTheme="minorHAnsi" w:cstheme="minorHAnsi"/>
          <w:color w:val="000000" w:themeColor="text1"/>
          <w:sz w:val="22"/>
          <w:szCs w:val="22"/>
        </w:rPr>
        <w:t>OR 1.048</w:t>
      </w:r>
      <w:r w:rsidRPr="00CF72E0">
        <w:rPr>
          <w:rFonts w:asciiTheme="minorHAnsi" w:eastAsia="Calibri" w:hAnsiTheme="minorHAnsi" w:cstheme="minorHAnsi"/>
          <w:color w:val="000000" w:themeColor="text1"/>
          <w:sz w:val="22"/>
          <w:szCs w:val="22"/>
        </w:rPr>
        <w:t>, p = 1.0).</w:t>
      </w:r>
      <w:r w:rsidRPr="00332C8B">
        <w:rPr>
          <w:rFonts w:asciiTheme="minorHAnsi" w:eastAsia="Calibri" w:hAnsiTheme="minorHAnsi" w:cstheme="minorHAnsi"/>
          <w:color w:val="000000" w:themeColor="text1"/>
          <w:sz w:val="22"/>
          <w:szCs w:val="22"/>
        </w:rPr>
        <w:t xml:space="preserve"> Low hand-grip strength was also assessed and was associated with post-operative complications.</w:t>
      </w:r>
    </w:p>
    <w:p w14:paraId="4AF17068" w14:textId="685D10E9" w:rsidR="00764910" w:rsidRPr="00332C8B" w:rsidRDefault="00D03030" w:rsidP="00F0414E">
      <w:pPr>
        <w:spacing w:after="160" w:line="480" w:lineRule="auto"/>
        <w:rPr>
          <w:rFonts w:asciiTheme="minorHAnsi" w:eastAsia="Calibri" w:hAnsiTheme="minorHAnsi" w:cstheme="minorHAnsi"/>
          <w:color w:val="000000" w:themeColor="text1"/>
          <w:sz w:val="22"/>
          <w:szCs w:val="22"/>
        </w:rPr>
      </w:pPr>
      <w:r w:rsidRPr="00332C8B">
        <w:rPr>
          <w:rFonts w:asciiTheme="minorHAnsi" w:eastAsia="Calibri" w:hAnsiTheme="minorHAnsi" w:cstheme="minorHAnsi"/>
          <w:color w:val="000000" w:themeColor="text1"/>
          <w:sz w:val="22"/>
          <w:szCs w:val="22"/>
        </w:rPr>
        <w:t>Ida</w:t>
      </w:r>
      <w:r w:rsidR="009F1338" w:rsidRPr="00332C8B">
        <w:rPr>
          <w:rFonts w:asciiTheme="minorHAnsi" w:eastAsia="Calibri" w:hAnsiTheme="minorHAnsi" w:cstheme="minorHAnsi"/>
          <w:color w:val="000000" w:themeColor="text1"/>
          <w:sz w:val="22"/>
          <w:szCs w:val="22"/>
        </w:rPr>
        <w:t xml:space="preserve"> et al</w:t>
      </w:r>
      <w:r w:rsidR="003662F1" w:rsidRPr="00332C8B">
        <w:rPr>
          <w:rFonts w:asciiTheme="minorHAnsi" w:eastAsia="Calibri" w:hAnsiTheme="minorHAnsi" w:cstheme="minorHAnsi"/>
          <w:color w:val="000000" w:themeColor="text1"/>
          <w:sz w:val="22"/>
          <w:szCs w:val="22"/>
        </w:rPr>
        <w:fldChar w:fldCharType="begin" w:fldLock="1"/>
      </w:r>
      <w:r w:rsidR="00F66CFF" w:rsidRPr="00332C8B">
        <w:rPr>
          <w:rFonts w:asciiTheme="minorHAnsi" w:eastAsia="Calibri" w:hAnsiTheme="minorHAnsi" w:cstheme="minorHAnsi"/>
          <w:color w:val="000000" w:themeColor="text1"/>
          <w:sz w:val="22"/>
          <w:szCs w:val="22"/>
        </w:rPr>
        <w:instrText>ADDIN CSL_CITATION {"citationItems":[{"id":"ITEM-1","itemData":{"DOI":"https://dx.doi.org/10.1245/s10434-015-4559-3","ISSN":"1534-4681","abstract":"BACKGROUND: Depletion of skeletal muscle mass (sarcopenia) indicates a poor prognosis for patients with several kinds of cancer, but it remains unclear whether esophageal squamous cell carcinoma (ESCC) is among these cancers. The aim of this study was to clarify the relationship between sarcopenia and postoperative outcome in patients with ESCC treated by esophagectomy., METHODS: Skeletal muscle mass was assessed in 138 patients who underwent esophagectomy from August 2009 to May 2014. A multifrequency bioelectrical impedance analysis (InBody 720; Biospace, Tokyo, Japan) was used to assess skeletal muscle mass just before surgery. Postoperative complications were graded according to the Clavien-Dindo classification, and univariate and multivariate analyses were performed for postoperative respiratory complications., RESULTS: Sarcopenia was determined in 61 patients (44.2 %). Preoperative pulmonary function was significantly lower and the rate of respiratory complications significantly higher in the sarcopenia group than in the non-sarcopenia group (p &lt; 0.01). For other complications, the differences were not significant. Multivariate analysis showed that sarcopenia [odds ratio (OR) 5.82; p = 0.0001] and longer operation time (OR 3.09; p = 0.04) were risk factors for the occurrence of respiratory complications., CONCLUSIONS: Sarcopenia may be a predictor of pulmonary complications after esophagectomy. Further analysis is needed to clarify whether nutritional intervention improves skeletal muscle mass and thus contributes to reducing postoperative respiratory complications in sarcopenic patients.","author":[{"dropping-particle":"","family":"Ida","given":"Satoshi","non-dropping-particle":"","parse-names":false,"suffix":""},{"dropping-particle":"","family":"Watanabe","given":"Masayuki","non-dropping-particle":"","parse-names":false,"suffix":""},{"dropping-particle":"","family":"Yoshida","given":"Naoya","non-dropping-particle":"","parse-names":false,"suffix":""},{"dropping-particle":"","family":"Baba","given":"Yoshifumi","non-dropping-particle":"","parse-names":false,"suffix":""},{"dropping-particle":"","family":"Umezaki","given":"Naoki","non-dropping-particle":"","parse-names":false,"suffix":""},{"dropping-particle":"","family":"Harada","given":"Kazuto","non-dropping-particle":"","parse-names":false,"suffix":""},{"dropping-particle":"","family":"Karashima","given":"Ryuichi","non-dropping-particle":"","parse-names":false,"suffix":""},{"dropping-particle":"","family":"Imamura","given":"Yu","non-dropping-particle":"","parse-names":false,"suffix":""},{"dropping-particle":"","family":"Iwagami","given":"Shiro","non-dropping-particle":"","parse-names":false,"suffix":""},{"dropping-particle":"","family":"Baba","given":"Hideo","non-dropping-particle":"","parse-names":false,"suffix":""}],"container-title":"Annals of surgical oncology","id":"ITEM-1","issue":"13","issued":{"date-parts":[["2015"]]},"page":"4432-4437","publisher-place":"United States","title":"Sarcopenia is a Predictor of Postoperative Respiratory Complications in Patients with Esophageal Cancer.","type":"article-journal","volume":"22"},"uris":["http://www.mendeley.com/documents/?uuid=1f3d9e6a-f97f-44b3-9e01-564de97b3919"]}],"mendeley":{"formattedCitation":"[35]","plainTextFormattedCitation":"[35]","previouslyFormattedCitation":"[36]"},"properties":{"noteIndex":0},"schema":"https://github.com/citation-style-language/schema/raw/master/csl-citation.json"}</w:instrText>
      </w:r>
      <w:r w:rsidR="003662F1" w:rsidRPr="00332C8B">
        <w:rPr>
          <w:rFonts w:asciiTheme="minorHAnsi" w:eastAsia="Calibri" w:hAnsiTheme="minorHAnsi" w:cstheme="minorHAnsi"/>
          <w:color w:val="000000" w:themeColor="text1"/>
          <w:sz w:val="22"/>
          <w:szCs w:val="22"/>
        </w:rPr>
        <w:fldChar w:fldCharType="separate"/>
      </w:r>
      <w:r w:rsidR="00F66CFF" w:rsidRPr="00332C8B">
        <w:rPr>
          <w:rFonts w:asciiTheme="minorHAnsi" w:eastAsia="Calibri" w:hAnsiTheme="minorHAnsi" w:cstheme="minorHAnsi"/>
          <w:noProof/>
          <w:color w:val="000000" w:themeColor="text1"/>
          <w:sz w:val="22"/>
          <w:szCs w:val="22"/>
        </w:rPr>
        <w:t>[35]</w:t>
      </w:r>
      <w:r w:rsidR="003662F1" w:rsidRPr="00332C8B">
        <w:rPr>
          <w:rFonts w:asciiTheme="minorHAnsi" w:eastAsia="Calibri" w:hAnsiTheme="minorHAnsi" w:cstheme="minorHAnsi"/>
          <w:color w:val="000000" w:themeColor="text1"/>
          <w:sz w:val="22"/>
          <w:szCs w:val="22"/>
        </w:rPr>
        <w:fldChar w:fldCharType="end"/>
      </w:r>
      <w:r w:rsidRPr="00332C8B">
        <w:rPr>
          <w:rFonts w:asciiTheme="minorHAnsi" w:eastAsia="Calibri" w:hAnsiTheme="minorHAnsi" w:cstheme="minorHAnsi"/>
          <w:color w:val="000000" w:themeColor="text1"/>
          <w:sz w:val="22"/>
          <w:szCs w:val="22"/>
        </w:rPr>
        <w:t xml:space="preserve"> measured skeletal muscle mass in 138 patients undergoing oesophagectomy for oesophageal cancer. This prospective study </w:t>
      </w:r>
      <w:r w:rsidR="002D6A6B" w:rsidRPr="00332C8B">
        <w:rPr>
          <w:rFonts w:asciiTheme="minorHAnsi" w:eastAsia="Calibri" w:hAnsiTheme="minorHAnsi" w:cstheme="minorHAnsi"/>
          <w:color w:val="000000" w:themeColor="text1"/>
          <w:sz w:val="22"/>
          <w:szCs w:val="22"/>
        </w:rPr>
        <w:t>assesse</w:t>
      </w:r>
      <w:r w:rsidR="00577290" w:rsidRPr="00332C8B">
        <w:rPr>
          <w:rFonts w:asciiTheme="minorHAnsi" w:eastAsia="Calibri" w:hAnsiTheme="minorHAnsi" w:cstheme="minorHAnsi"/>
          <w:color w:val="000000" w:themeColor="text1"/>
          <w:sz w:val="22"/>
          <w:szCs w:val="22"/>
        </w:rPr>
        <w:t>d whether sarcopenia</w:t>
      </w:r>
      <w:r w:rsidRPr="00332C8B">
        <w:rPr>
          <w:rFonts w:asciiTheme="minorHAnsi" w:eastAsia="Calibri" w:hAnsiTheme="minorHAnsi" w:cstheme="minorHAnsi"/>
          <w:color w:val="000000" w:themeColor="text1"/>
          <w:sz w:val="22"/>
          <w:szCs w:val="22"/>
        </w:rPr>
        <w:t xml:space="preserve"> was predictive of post-operative complications, defined by the Clavien-Dindo classification. </w:t>
      </w:r>
      <w:r w:rsidR="00CC3F7A" w:rsidRPr="00332C8B">
        <w:rPr>
          <w:rFonts w:asciiTheme="minorHAnsi" w:eastAsia="Calibri" w:hAnsiTheme="minorHAnsi" w:cstheme="minorHAnsi"/>
          <w:color w:val="000000" w:themeColor="text1"/>
          <w:sz w:val="22"/>
          <w:szCs w:val="22"/>
        </w:rPr>
        <w:t xml:space="preserve">Patients were defined as sarcopenic if they had a skeletal muscle mass below 90% of the standard skeletal muscle mass. </w:t>
      </w:r>
      <w:r w:rsidR="00577290" w:rsidRPr="00332C8B">
        <w:rPr>
          <w:rFonts w:asciiTheme="minorHAnsi" w:eastAsia="Calibri" w:hAnsiTheme="minorHAnsi" w:cstheme="minorHAnsi"/>
          <w:color w:val="000000" w:themeColor="text1"/>
          <w:sz w:val="22"/>
          <w:szCs w:val="22"/>
        </w:rPr>
        <w:t xml:space="preserve">Sixty-one patients (44.2%) were sarcopenic by this </w:t>
      </w:r>
      <w:r w:rsidR="00CC3F7A" w:rsidRPr="00332C8B">
        <w:rPr>
          <w:rFonts w:asciiTheme="minorHAnsi" w:eastAsia="Calibri" w:hAnsiTheme="minorHAnsi" w:cstheme="minorHAnsi"/>
          <w:color w:val="000000" w:themeColor="text1"/>
          <w:sz w:val="22"/>
          <w:szCs w:val="22"/>
        </w:rPr>
        <w:t>definition</w:t>
      </w:r>
      <w:r w:rsidR="00577290" w:rsidRPr="00332C8B">
        <w:rPr>
          <w:rFonts w:asciiTheme="minorHAnsi" w:eastAsia="Calibri" w:hAnsiTheme="minorHAnsi" w:cstheme="minorHAnsi"/>
          <w:color w:val="000000" w:themeColor="text1"/>
          <w:kern w:val="24"/>
          <w:sz w:val="22"/>
          <w:szCs w:val="22"/>
          <w:lang w:eastAsia="en-GB"/>
        </w:rPr>
        <w:t xml:space="preserve">. Twenty-one </w:t>
      </w:r>
      <w:r w:rsidR="003D59EB" w:rsidRPr="00332C8B">
        <w:rPr>
          <w:rFonts w:asciiTheme="minorHAnsi" w:eastAsia="Calibri" w:hAnsiTheme="minorHAnsi" w:cstheme="minorHAnsi"/>
          <w:color w:val="000000" w:themeColor="text1"/>
          <w:kern w:val="24"/>
          <w:sz w:val="22"/>
          <w:szCs w:val="22"/>
          <w:lang w:eastAsia="en-GB"/>
        </w:rPr>
        <w:t xml:space="preserve">patients defined as sarcopenic (34.4%) </w:t>
      </w:r>
      <w:r w:rsidR="00577290" w:rsidRPr="00332C8B">
        <w:rPr>
          <w:rFonts w:asciiTheme="minorHAnsi" w:eastAsia="Calibri" w:hAnsiTheme="minorHAnsi" w:cstheme="minorHAnsi"/>
          <w:color w:val="000000" w:themeColor="text1"/>
          <w:kern w:val="24"/>
          <w:sz w:val="22"/>
          <w:szCs w:val="22"/>
          <w:lang w:eastAsia="en-GB"/>
        </w:rPr>
        <w:t>had a respiratory complication compared to 9 of th</w:t>
      </w:r>
      <w:r w:rsidR="003D59EB" w:rsidRPr="00332C8B">
        <w:rPr>
          <w:rFonts w:asciiTheme="minorHAnsi" w:eastAsia="Calibri" w:hAnsiTheme="minorHAnsi" w:cstheme="minorHAnsi"/>
          <w:color w:val="000000" w:themeColor="text1"/>
          <w:kern w:val="24"/>
          <w:sz w:val="22"/>
          <w:szCs w:val="22"/>
          <w:lang w:eastAsia="en-GB"/>
        </w:rPr>
        <w:t>e</w:t>
      </w:r>
      <w:r w:rsidR="00CC3F7A" w:rsidRPr="00332C8B">
        <w:rPr>
          <w:rFonts w:asciiTheme="minorHAnsi" w:eastAsia="Calibri" w:hAnsiTheme="minorHAnsi" w:cstheme="minorHAnsi"/>
          <w:color w:val="000000" w:themeColor="text1"/>
          <w:kern w:val="24"/>
          <w:sz w:val="22"/>
          <w:szCs w:val="22"/>
          <w:lang w:eastAsia="en-GB"/>
        </w:rPr>
        <w:t xml:space="preserve"> non-sarcopenic patients</w:t>
      </w:r>
      <w:r w:rsidR="003D59EB" w:rsidRPr="00332C8B">
        <w:rPr>
          <w:rFonts w:asciiTheme="minorHAnsi" w:eastAsia="Calibri" w:hAnsiTheme="minorHAnsi" w:cstheme="minorHAnsi"/>
          <w:color w:val="000000" w:themeColor="text1"/>
          <w:kern w:val="24"/>
          <w:sz w:val="22"/>
          <w:szCs w:val="22"/>
          <w:lang w:eastAsia="en-GB"/>
        </w:rPr>
        <w:t xml:space="preserve"> (11.7%)</w:t>
      </w:r>
      <w:r w:rsidR="00CC3F7A" w:rsidRPr="00332C8B">
        <w:rPr>
          <w:rFonts w:asciiTheme="minorHAnsi" w:eastAsia="Calibri" w:hAnsiTheme="minorHAnsi" w:cstheme="minorHAnsi"/>
          <w:color w:val="000000" w:themeColor="text1"/>
          <w:kern w:val="24"/>
          <w:sz w:val="22"/>
          <w:szCs w:val="22"/>
          <w:lang w:eastAsia="en-GB"/>
        </w:rPr>
        <w:t>.</w:t>
      </w:r>
      <w:r w:rsidR="000F5306" w:rsidRPr="00332C8B">
        <w:rPr>
          <w:rFonts w:asciiTheme="minorHAnsi" w:eastAsia="Calibri" w:hAnsiTheme="minorHAnsi" w:cstheme="minorHAnsi"/>
          <w:color w:val="000000" w:themeColor="text1"/>
          <w:kern w:val="24"/>
          <w:sz w:val="22"/>
          <w:szCs w:val="22"/>
          <w:lang w:eastAsia="en-GB"/>
        </w:rPr>
        <w:t xml:space="preserve"> At multivariate analysis sarcopenic patients were more likely to experience a post-operative respiratory complication </w:t>
      </w:r>
      <w:r w:rsidR="003D59EB" w:rsidRPr="00332C8B">
        <w:rPr>
          <w:rFonts w:asciiTheme="minorHAnsi" w:eastAsia="Calibri" w:hAnsiTheme="minorHAnsi" w:cstheme="minorHAnsi"/>
          <w:color w:val="000000" w:themeColor="text1"/>
          <w:kern w:val="24"/>
          <w:sz w:val="22"/>
          <w:szCs w:val="22"/>
          <w:lang w:eastAsia="en-GB"/>
        </w:rPr>
        <w:t xml:space="preserve">compared to non-sarcopenic patients </w:t>
      </w:r>
      <w:r w:rsidR="000F5306" w:rsidRPr="00332C8B">
        <w:rPr>
          <w:rFonts w:asciiTheme="minorHAnsi" w:eastAsia="Calibri" w:hAnsiTheme="minorHAnsi" w:cstheme="minorHAnsi"/>
          <w:color w:val="000000" w:themeColor="text1"/>
          <w:kern w:val="24"/>
          <w:sz w:val="22"/>
          <w:szCs w:val="22"/>
          <w:lang w:eastAsia="en-GB"/>
        </w:rPr>
        <w:t>(OR 5.55</w:t>
      </w:r>
      <w:r w:rsidR="00817AAA">
        <w:rPr>
          <w:rFonts w:asciiTheme="minorHAnsi" w:eastAsia="Calibri" w:hAnsiTheme="minorHAnsi" w:cstheme="minorHAnsi"/>
          <w:color w:val="000000" w:themeColor="text1"/>
          <w:kern w:val="24"/>
          <w:sz w:val="22"/>
          <w:szCs w:val="22"/>
          <w:lang w:eastAsia="en-GB"/>
        </w:rPr>
        <w:t>,</w:t>
      </w:r>
      <w:r w:rsidR="000F5306" w:rsidRPr="00332C8B">
        <w:rPr>
          <w:rFonts w:asciiTheme="minorHAnsi" w:eastAsia="Calibri" w:hAnsiTheme="minorHAnsi" w:cstheme="minorHAnsi"/>
          <w:color w:val="000000" w:themeColor="text1"/>
          <w:kern w:val="24"/>
          <w:sz w:val="22"/>
          <w:szCs w:val="22"/>
          <w:lang w:eastAsia="en-GB"/>
        </w:rPr>
        <w:t xml:space="preserve"> 95% CI</w:t>
      </w:r>
      <w:r w:rsidR="00817AAA">
        <w:rPr>
          <w:rFonts w:asciiTheme="minorHAnsi" w:eastAsia="Calibri" w:hAnsiTheme="minorHAnsi" w:cstheme="minorHAnsi"/>
          <w:color w:val="000000" w:themeColor="text1"/>
          <w:kern w:val="24"/>
          <w:sz w:val="22"/>
          <w:szCs w:val="22"/>
          <w:lang w:eastAsia="en-GB"/>
        </w:rPr>
        <w:t>:</w:t>
      </w:r>
      <w:r w:rsidR="000F5306" w:rsidRPr="00332C8B">
        <w:rPr>
          <w:rFonts w:asciiTheme="minorHAnsi" w:eastAsia="Calibri" w:hAnsiTheme="minorHAnsi" w:cstheme="minorHAnsi"/>
          <w:color w:val="000000" w:themeColor="text1"/>
          <w:kern w:val="24"/>
          <w:sz w:val="22"/>
          <w:szCs w:val="22"/>
          <w:lang w:eastAsia="en-GB"/>
        </w:rPr>
        <w:t xml:space="preserve"> 2.15 – 15.6</w:t>
      </w:r>
      <w:r w:rsidR="00817AAA">
        <w:rPr>
          <w:rFonts w:asciiTheme="minorHAnsi" w:eastAsia="Calibri" w:hAnsiTheme="minorHAnsi" w:cstheme="minorHAnsi"/>
          <w:color w:val="000000" w:themeColor="text1"/>
          <w:kern w:val="24"/>
          <w:sz w:val="22"/>
          <w:szCs w:val="22"/>
          <w:lang w:eastAsia="en-GB"/>
        </w:rPr>
        <w:t>;</w:t>
      </w:r>
      <w:r w:rsidR="000F5306" w:rsidRPr="00332C8B">
        <w:rPr>
          <w:rFonts w:asciiTheme="minorHAnsi" w:eastAsia="Calibri" w:hAnsiTheme="minorHAnsi" w:cstheme="minorHAnsi"/>
          <w:color w:val="000000" w:themeColor="text1"/>
          <w:kern w:val="24"/>
          <w:sz w:val="22"/>
          <w:szCs w:val="22"/>
          <w:lang w:eastAsia="en-GB"/>
        </w:rPr>
        <w:t xml:space="preserve"> p = 0.0003).</w:t>
      </w:r>
    </w:p>
    <w:p w14:paraId="6CC5756D" w14:textId="6E01B6E6" w:rsidR="00DE53CD" w:rsidRPr="00332C8B" w:rsidRDefault="00DE53CD" w:rsidP="00F0414E">
      <w:pPr>
        <w:spacing w:after="160" w:line="480" w:lineRule="auto"/>
        <w:rPr>
          <w:rFonts w:asciiTheme="minorHAnsi" w:eastAsia="Calibri" w:hAnsiTheme="minorHAnsi" w:cstheme="minorHAnsi"/>
          <w:color w:val="000000" w:themeColor="text1"/>
          <w:sz w:val="22"/>
          <w:szCs w:val="22"/>
          <w:lang w:val="en-US"/>
        </w:rPr>
      </w:pPr>
      <w:r w:rsidRPr="00332C8B">
        <w:rPr>
          <w:rFonts w:asciiTheme="minorHAnsi" w:hAnsiTheme="minorHAnsi" w:cstheme="minorHAnsi"/>
          <w:color w:val="000000" w:themeColor="text1"/>
          <w:sz w:val="22"/>
          <w:szCs w:val="22"/>
          <w:lang w:val="en-US" w:eastAsia="en-GB"/>
        </w:rPr>
        <w:t>Berstad et al</w:t>
      </w:r>
      <w:r w:rsidRPr="00332C8B">
        <w:rPr>
          <w:rFonts w:asciiTheme="minorHAnsi" w:hAnsiTheme="minorHAnsi" w:cstheme="minorHAnsi"/>
          <w:color w:val="000000" w:themeColor="text1"/>
          <w:sz w:val="22"/>
          <w:szCs w:val="22"/>
          <w:lang w:val="en-US" w:eastAsia="en-GB"/>
        </w:rPr>
        <w:fldChar w:fldCharType="begin" w:fldLock="1"/>
      </w:r>
      <w:r w:rsidR="00F66CFF" w:rsidRPr="00332C8B">
        <w:rPr>
          <w:rFonts w:asciiTheme="minorHAnsi" w:hAnsiTheme="minorHAnsi" w:cstheme="minorHAnsi"/>
          <w:color w:val="000000" w:themeColor="text1"/>
          <w:sz w:val="22"/>
          <w:szCs w:val="22"/>
          <w:lang w:val="en-US" w:eastAsia="en-GB"/>
        </w:rPr>
        <w:instrText>ADDIN CSL_CITATION {"citationItems":[{"id":"ITEM-1","itemData":{"DOI":"10.1111/jhn.12002","ISSN":"0952-3871","abstract":"Background Both malnutrition and obesity are related to worsened post-operative outcomes after colorectal surgery. Obese cancer patients may be malnourished as a result of short-term weight loss. The present study aimed to evaluate preoperative nutritional status, body composition and dietary intake related to post-operative complications ( POC) and post-operative hospital days ( POHD) in elective colorectal cancer ( CRC) patients. Methods Anthropometry, body composition measured by bioelectric spectroscopy and dietary habits assessed by a validated food-frequency questionnaire were examined in 100 newly-diagnosed CRC patients. Data from 30-day POC and POHD were collected from medical records. Nonparametric and chi-squared tests and logistic regression were used to analyse associations between body and dietary variables and post-operative outcome. Results Twenty-nine patients had at least one POC. The median POHD was six. Body size and composition measures and short-term weight loss were no different between patients with and without POC, or between patients with POHD &lt;7 and ≥7. Dietary variables were otherwise no different between patients with and without POC, although the median intake of marine n-3 polyunsaturated fatty acids ( PUFA, the sum of eicosapentaenoic and docosahexaenoic acids) was significantly lower in patients with versus without POC (0.7 versus 1.2 g day−1, P = 0.04). Conclusions We found that preoperative body size, body composition and short-term weight loss were not related to 30-day post-operative outcomes in CRC patients. A high content of marine n-3 PUFA in preoperative habitual diets may protect against POC after CRC surgery.","author":[{"dropping-particle":"","family":"Berstad","given":"P","non-dropping-particle":"","parse-names":false,"suffix":""},{"dropping-particle":"","family":"Haugum","given":"B","non-dropping-particle":"","parse-names":false,"suffix":""},{"dropping-particle":"","family":"Helgeland","given":"M","non-dropping-particle":"","parse-names":false,"suffix":""},{"dropping-particle":"","family":"Bukholm","given":"I","non-dropping-particle":"","parse-names":false,"suffix":""},{"dropping-particle":"","family":"Almendingen","given":"K","non-dropping-particle":"","parse-names":false,"suffix":""}],"container-title":"Journal of Human Nutrition &amp; Dietetics","id":"ITEM-1","issue":"4","issued":{"date-parts":[["2013","8"]]},"note":"Accession Number: 104196215. Language: English. Entry Date: 20130716. Revision Date: 20150820. Publication Type: Journal Article; research; tables/charts. Journal Subset: Allied Health; Biomedical; Europe; Peer Reviewed; UK &amp;amp; Ireland. Special Interest: Nutrition; Oncologic Care; Perioperative Care. Instrumentation: Food Frequency Questionnaire (FFQ). Grant Information: This work was supported by grant no. 2006094 from Eastern Norway Regional Health Authority RHF and grants from Eckbo Foundation and Flatner Foundation.. NLM UID: 8904840.","page":"359-368","publisher":"Wiley-Blackwell","publisher-place":"Research Centre Akershus University Hospital","title":"Preoperative body size and composition, habitual diet, and post-operative complications in elective colorectal cancer patients in Norway.","type":"article-journal","volume":"26"},"uris":["http://www.mendeley.com/documents/?uuid=ed89d092-88dd-471d-99eb-e3ad956371cb"]}],"mendeley":{"formattedCitation":"[31]","plainTextFormattedCitation":"[31]","previouslyFormattedCitation":"[32]"},"properties":{"noteIndex":0},"schema":"https://github.com/citation-style-language/schema/raw/master/csl-citation.json"}</w:instrText>
      </w:r>
      <w:r w:rsidRPr="00332C8B">
        <w:rPr>
          <w:rFonts w:asciiTheme="minorHAnsi" w:hAnsiTheme="minorHAnsi" w:cstheme="minorHAnsi"/>
          <w:color w:val="000000" w:themeColor="text1"/>
          <w:sz w:val="22"/>
          <w:szCs w:val="22"/>
          <w:lang w:val="en-US" w:eastAsia="en-GB"/>
        </w:rPr>
        <w:fldChar w:fldCharType="separate"/>
      </w:r>
      <w:r w:rsidR="00F66CFF" w:rsidRPr="00332C8B">
        <w:rPr>
          <w:rFonts w:asciiTheme="minorHAnsi" w:hAnsiTheme="minorHAnsi" w:cstheme="minorHAnsi"/>
          <w:noProof/>
          <w:color w:val="000000" w:themeColor="text1"/>
          <w:sz w:val="22"/>
          <w:szCs w:val="22"/>
          <w:lang w:val="en-US" w:eastAsia="en-GB"/>
        </w:rPr>
        <w:t>[31]</w:t>
      </w:r>
      <w:r w:rsidRPr="00332C8B">
        <w:rPr>
          <w:rFonts w:asciiTheme="minorHAnsi" w:hAnsiTheme="minorHAnsi" w:cstheme="minorHAnsi"/>
          <w:color w:val="000000" w:themeColor="text1"/>
          <w:sz w:val="22"/>
          <w:szCs w:val="22"/>
          <w:lang w:val="en-US" w:eastAsia="en-GB"/>
        </w:rPr>
        <w:fldChar w:fldCharType="end"/>
      </w:r>
      <w:r w:rsidRPr="00332C8B">
        <w:rPr>
          <w:rFonts w:asciiTheme="minorHAnsi" w:hAnsiTheme="minorHAnsi" w:cstheme="minorHAnsi"/>
          <w:color w:val="000000" w:themeColor="text1"/>
          <w:sz w:val="22"/>
          <w:szCs w:val="22"/>
          <w:lang w:val="en-US" w:eastAsia="en-GB"/>
        </w:rPr>
        <w:t xml:space="preserve"> (see previous section</w:t>
      </w:r>
      <w:r w:rsidR="00B8635F" w:rsidRPr="00332C8B">
        <w:rPr>
          <w:rFonts w:asciiTheme="minorHAnsi" w:hAnsiTheme="minorHAnsi" w:cstheme="minorHAnsi"/>
          <w:color w:val="000000" w:themeColor="text1"/>
          <w:sz w:val="22"/>
          <w:szCs w:val="22"/>
          <w:lang w:val="en-US" w:eastAsia="en-GB"/>
        </w:rPr>
        <w:t xml:space="preserve"> for description</w:t>
      </w:r>
      <w:r w:rsidRPr="00332C8B">
        <w:rPr>
          <w:rFonts w:asciiTheme="minorHAnsi" w:hAnsiTheme="minorHAnsi" w:cstheme="minorHAnsi"/>
          <w:color w:val="000000" w:themeColor="text1"/>
          <w:sz w:val="22"/>
          <w:szCs w:val="22"/>
          <w:lang w:val="en-US" w:eastAsia="en-GB"/>
        </w:rPr>
        <w:t xml:space="preserve">) also assessed </w:t>
      </w:r>
      <w:r w:rsidR="0064542B" w:rsidRPr="00332C8B">
        <w:rPr>
          <w:rFonts w:asciiTheme="minorHAnsi" w:hAnsiTheme="minorHAnsi" w:cstheme="minorHAnsi"/>
          <w:color w:val="000000" w:themeColor="text1"/>
          <w:sz w:val="22"/>
          <w:szCs w:val="22"/>
          <w:lang w:val="en-US" w:eastAsia="en-GB"/>
        </w:rPr>
        <w:t xml:space="preserve">percentage </w:t>
      </w:r>
      <w:r w:rsidR="00EA3C48" w:rsidRPr="00332C8B">
        <w:rPr>
          <w:rFonts w:asciiTheme="minorHAnsi" w:hAnsiTheme="minorHAnsi" w:cstheme="minorHAnsi"/>
          <w:color w:val="000000" w:themeColor="text1"/>
          <w:sz w:val="22"/>
          <w:szCs w:val="22"/>
          <w:lang w:val="en-US" w:eastAsia="en-GB"/>
        </w:rPr>
        <w:t xml:space="preserve">fat </w:t>
      </w:r>
      <w:r w:rsidRPr="00332C8B">
        <w:rPr>
          <w:rFonts w:asciiTheme="minorHAnsi" w:hAnsiTheme="minorHAnsi" w:cstheme="minorHAnsi"/>
          <w:color w:val="000000" w:themeColor="text1"/>
          <w:sz w:val="22"/>
          <w:szCs w:val="22"/>
          <w:lang w:val="en-US" w:eastAsia="en-GB"/>
        </w:rPr>
        <w:t xml:space="preserve">free mass and </w:t>
      </w:r>
      <w:r w:rsidR="007C0729" w:rsidRPr="00332C8B">
        <w:rPr>
          <w:rFonts w:asciiTheme="minorHAnsi" w:hAnsiTheme="minorHAnsi" w:cstheme="minorHAnsi"/>
          <w:color w:val="000000" w:themeColor="text1"/>
          <w:sz w:val="22"/>
          <w:szCs w:val="22"/>
          <w:lang w:val="en-US" w:eastAsia="en-GB"/>
        </w:rPr>
        <w:t xml:space="preserve">percentage </w:t>
      </w:r>
      <w:r w:rsidR="00EA3C48" w:rsidRPr="00332C8B">
        <w:rPr>
          <w:rFonts w:asciiTheme="minorHAnsi" w:hAnsiTheme="minorHAnsi" w:cstheme="minorHAnsi"/>
          <w:color w:val="000000" w:themeColor="text1"/>
          <w:sz w:val="22"/>
          <w:szCs w:val="22"/>
          <w:lang w:val="en-US" w:eastAsia="en-GB"/>
        </w:rPr>
        <w:t xml:space="preserve">fat </w:t>
      </w:r>
      <w:r w:rsidRPr="00332C8B">
        <w:rPr>
          <w:rFonts w:asciiTheme="minorHAnsi" w:hAnsiTheme="minorHAnsi" w:cstheme="minorHAnsi"/>
          <w:color w:val="000000" w:themeColor="text1"/>
          <w:sz w:val="22"/>
          <w:szCs w:val="22"/>
          <w:lang w:val="en-US" w:eastAsia="en-GB"/>
        </w:rPr>
        <w:t>mass. They found</w:t>
      </w:r>
      <w:r w:rsidRPr="00332C8B">
        <w:rPr>
          <w:rFonts w:asciiTheme="minorHAnsi" w:eastAsia="Calibri" w:hAnsiTheme="minorHAnsi" w:cstheme="minorHAnsi"/>
          <w:color w:val="000000" w:themeColor="text1"/>
          <w:kern w:val="24"/>
          <w:sz w:val="22"/>
          <w:szCs w:val="22"/>
          <w:lang w:eastAsia="en-GB"/>
        </w:rPr>
        <w:t xml:space="preserve"> no difference in </w:t>
      </w:r>
      <w:r w:rsidR="005E65E5" w:rsidRPr="00332C8B">
        <w:rPr>
          <w:rFonts w:asciiTheme="minorHAnsi" w:eastAsia="Calibri" w:hAnsiTheme="minorHAnsi" w:cstheme="minorHAnsi"/>
          <w:color w:val="000000" w:themeColor="text1"/>
          <w:kern w:val="24"/>
          <w:sz w:val="22"/>
          <w:szCs w:val="22"/>
          <w:lang w:eastAsia="en-GB"/>
        </w:rPr>
        <w:t xml:space="preserve">percentage </w:t>
      </w:r>
      <w:r w:rsidR="00EA3C48" w:rsidRPr="00332C8B">
        <w:rPr>
          <w:rFonts w:asciiTheme="minorHAnsi" w:eastAsia="Calibri" w:hAnsiTheme="minorHAnsi" w:cstheme="minorHAnsi"/>
          <w:color w:val="000000" w:themeColor="text1"/>
          <w:kern w:val="24"/>
          <w:sz w:val="22"/>
          <w:szCs w:val="22"/>
          <w:lang w:eastAsia="en-GB"/>
        </w:rPr>
        <w:t xml:space="preserve">fat </w:t>
      </w:r>
      <w:r w:rsidRPr="00332C8B">
        <w:rPr>
          <w:rFonts w:asciiTheme="minorHAnsi" w:eastAsia="Calibri" w:hAnsiTheme="minorHAnsi" w:cstheme="minorHAnsi"/>
          <w:color w:val="000000" w:themeColor="text1"/>
          <w:kern w:val="24"/>
          <w:sz w:val="22"/>
          <w:szCs w:val="22"/>
          <w:lang w:eastAsia="en-GB"/>
        </w:rPr>
        <w:t xml:space="preserve">free mass </w:t>
      </w:r>
      <w:r w:rsidR="0064542B" w:rsidRPr="00332C8B">
        <w:rPr>
          <w:rFonts w:asciiTheme="minorHAnsi" w:eastAsia="Calibri" w:hAnsiTheme="minorHAnsi" w:cstheme="minorHAnsi"/>
          <w:color w:val="000000" w:themeColor="text1"/>
          <w:kern w:val="24"/>
          <w:sz w:val="22"/>
          <w:szCs w:val="22"/>
          <w:lang w:eastAsia="en-GB"/>
        </w:rPr>
        <w:t xml:space="preserve">between patients who did </w:t>
      </w:r>
      <w:r w:rsidR="007C0729" w:rsidRPr="00332C8B">
        <w:rPr>
          <w:rFonts w:asciiTheme="minorHAnsi" w:eastAsia="Calibri" w:hAnsiTheme="minorHAnsi" w:cstheme="minorHAnsi"/>
          <w:color w:val="000000" w:themeColor="text1"/>
          <w:kern w:val="24"/>
          <w:sz w:val="22"/>
          <w:szCs w:val="22"/>
          <w:lang w:eastAsia="en-GB"/>
        </w:rPr>
        <w:t>o</w:t>
      </w:r>
      <w:r w:rsidR="0064542B" w:rsidRPr="00332C8B">
        <w:rPr>
          <w:rFonts w:asciiTheme="minorHAnsi" w:eastAsia="Calibri" w:hAnsiTheme="minorHAnsi" w:cstheme="minorHAnsi"/>
          <w:color w:val="000000" w:themeColor="text1"/>
          <w:kern w:val="24"/>
          <w:sz w:val="22"/>
          <w:szCs w:val="22"/>
          <w:lang w:eastAsia="en-GB"/>
        </w:rPr>
        <w:t xml:space="preserve">r did not </w:t>
      </w:r>
      <w:r w:rsidR="00884EE1" w:rsidRPr="00332C8B">
        <w:rPr>
          <w:rFonts w:asciiTheme="minorHAnsi" w:eastAsia="Calibri" w:hAnsiTheme="minorHAnsi" w:cstheme="minorHAnsi"/>
          <w:color w:val="000000" w:themeColor="text1"/>
          <w:kern w:val="24"/>
          <w:sz w:val="22"/>
          <w:szCs w:val="22"/>
          <w:lang w:eastAsia="en-GB"/>
        </w:rPr>
        <w:t xml:space="preserve">have post-operative complications </w:t>
      </w:r>
      <w:r w:rsidRPr="00332C8B">
        <w:rPr>
          <w:rFonts w:asciiTheme="minorHAnsi" w:eastAsia="Calibri" w:hAnsiTheme="minorHAnsi" w:cstheme="minorHAnsi"/>
          <w:color w:val="000000" w:themeColor="text1"/>
          <w:kern w:val="24"/>
          <w:sz w:val="22"/>
          <w:szCs w:val="22"/>
          <w:lang w:eastAsia="en-GB"/>
        </w:rPr>
        <w:t>(</w:t>
      </w:r>
      <w:r w:rsidRPr="00332C8B">
        <w:rPr>
          <w:rFonts w:asciiTheme="minorHAnsi" w:hAnsiTheme="minorHAnsi" w:cstheme="minorHAnsi"/>
          <w:color w:val="000000" w:themeColor="text1"/>
          <w:kern w:val="24"/>
          <w:sz w:val="22"/>
          <w:szCs w:val="22"/>
          <w:lang w:eastAsia="en-GB"/>
        </w:rPr>
        <w:t>68.6% vs</w:t>
      </w:r>
      <w:r w:rsidR="00817AAA">
        <w:rPr>
          <w:rFonts w:asciiTheme="minorHAnsi" w:hAnsiTheme="minorHAnsi" w:cstheme="minorHAnsi"/>
          <w:color w:val="000000" w:themeColor="text1"/>
          <w:kern w:val="24"/>
          <w:sz w:val="22"/>
          <w:szCs w:val="22"/>
          <w:lang w:eastAsia="en-GB"/>
        </w:rPr>
        <w:t>.</w:t>
      </w:r>
      <w:r w:rsidRPr="00332C8B">
        <w:rPr>
          <w:rFonts w:asciiTheme="minorHAnsi" w:hAnsiTheme="minorHAnsi" w:cstheme="minorHAnsi"/>
          <w:color w:val="000000" w:themeColor="text1"/>
          <w:kern w:val="24"/>
          <w:sz w:val="22"/>
          <w:szCs w:val="22"/>
          <w:lang w:eastAsia="en-GB"/>
        </w:rPr>
        <w:t xml:space="preserve"> 66.3%, p</w:t>
      </w:r>
      <w:r w:rsidR="00817AAA">
        <w:rPr>
          <w:rFonts w:asciiTheme="minorHAnsi" w:hAnsiTheme="minorHAnsi" w:cstheme="minorHAnsi"/>
          <w:color w:val="000000" w:themeColor="text1"/>
          <w:kern w:val="24"/>
          <w:sz w:val="22"/>
          <w:szCs w:val="22"/>
          <w:lang w:eastAsia="en-GB"/>
        </w:rPr>
        <w:t xml:space="preserve"> </w:t>
      </w:r>
      <w:r w:rsidRPr="00332C8B">
        <w:rPr>
          <w:rFonts w:asciiTheme="minorHAnsi" w:hAnsiTheme="minorHAnsi" w:cstheme="minorHAnsi"/>
          <w:color w:val="000000" w:themeColor="text1"/>
          <w:kern w:val="24"/>
          <w:sz w:val="22"/>
          <w:szCs w:val="22"/>
          <w:lang w:eastAsia="en-GB"/>
        </w:rPr>
        <w:t>=</w:t>
      </w:r>
      <w:r w:rsidR="00817AAA">
        <w:rPr>
          <w:rFonts w:asciiTheme="minorHAnsi" w:hAnsiTheme="minorHAnsi" w:cstheme="minorHAnsi"/>
          <w:color w:val="000000" w:themeColor="text1"/>
          <w:kern w:val="24"/>
          <w:sz w:val="22"/>
          <w:szCs w:val="22"/>
          <w:lang w:eastAsia="en-GB"/>
        </w:rPr>
        <w:t xml:space="preserve"> </w:t>
      </w:r>
      <w:r w:rsidRPr="00332C8B">
        <w:rPr>
          <w:rFonts w:asciiTheme="minorHAnsi" w:hAnsiTheme="minorHAnsi" w:cstheme="minorHAnsi"/>
          <w:color w:val="000000" w:themeColor="text1"/>
          <w:kern w:val="24"/>
          <w:sz w:val="22"/>
          <w:szCs w:val="22"/>
          <w:lang w:eastAsia="en-GB"/>
        </w:rPr>
        <w:t xml:space="preserve">0.71). They also found no difference in </w:t>
      </w:r>
      <w:r w:rsidR="0064542B" w:rsidRPr="00332C8B">
        <w:rPr>
          <w:rFonts w:asciiTheme="minorHAnsi" w:hAnsiTheme="minorHAnsi" w:cstheme="minorHAnsi"/>
          <w:color w:val="000000" w:themeColor="text1"/>
          <w:kern w:val="24"/>
          <w:sz w:val="22"/>
          <w:szCs w:val="22"/>
          <w:lang w:eastAsia="en-GB"/>
        </w:rPr>
        <w:t xml:space="preserve">percentage </w:t>
      </w:r>
      <w:r w:rsidR="00EA3C48" w:rsidRPr="00332C8B">
        <w:rPr>
          <w:rFonts w:asciiTheme="minorHAnsi" w:hAnsiTheme="minorHAnsi" w:cstheme="minorHAnsi"/>
          <w:color w:val="000000" w:themeColor="text1"/>
          <w:kern w:val="24"/>
          <w:sz w:val="22"/>
          <w:szCs w:val="22"/>
          <w:lang w:eastAsia="en-GB"/>
        </w:rPr>
        <w:t xml:space="preserve">fat </w:t>
      </w:r>
      <w:r w:rsidRPr="00332C8B">
        <w:rPr>
          <w:rFonts w:asciiTheme="minorHAnsi" w:hAnsiTheme="minorHAnsi" w:cstheme="minorHAnsi"/>
          <w:color w:val="000000" w:themeColor="text1"/>
          <w:sz w:val="22"/>
          <w:szCs w:val="22"/>
          <w:lang w:eastAsia="en-GB"/>
        </w:rPr>
        <w:t xml:space="preserve">mass </w:t>
      </w:r>
      <w:r w:rsidR="005E65E5" w:rsidRPr="00332C8B">
        <w:rPr>
          <w:rFonts w:asciiTheme="minorHAnsi" w:hAnsiTheme="minorHAnsi" w:cstheme="minorHAnsi"/>
          <w:color w:val="000000" w:themeColor="text1"/>
          <w:sz w:val="22"/>
          <w:szCs w:val="22"/>
          <w:lang w:eastAsia="en-GB"/>
        </w:rPr>
        <w:t>(</w:t>
      </w:r>
      <w:r w:rsidRPr="00332C8B">
        <w:rPr>
          <w:rFonts w:asciiTheme="minorHAnsi" w:hAnsiTheme="minorHAnsi" w:cstheme="minorHAnsi"/>
          <w:color w:val="000000" w:themeColor="text1"/>
          <w:sz w:val="22"/>
          <w:szCs w:val="22"/>
          <w:lang w:eastAsia="en-GB"/>
        </w:rPr>
        <w:t>31.4% vs</w:t>
      </w:r>
      <w:r w:rsidR="00817AAA">
        <w:rPr>
          <w:rFonts w:asciiTheme="minorHAnsi" w:hAnsiTheme="minorHAnsi" w:cstheme="minorHAnsi"/>
          <w:color w:val="000000" w:themeColor="text1"/>
          <w:sz w:val="22"/>
          <w:szCs w:val="22"/>
          <w:lang w:eastAsia="en-GB"/>
        </w:rPr>
        <w:t>.</w:t>
      </w:r>
      <w:r w:rsidR="00C8324C">
        <w:rPr>
          <w:rFonts w:asciiTheme="minorHAnsi" w:hAnsiTheme="minorHAnsi" w:cstheme="minorHAnsi"/>
          <w:color w:val="000000" w:themeColor="text1"/>
          <w:sz w:val="22"/>
          <w:szCs w:val="22"/>
          <w:lang w:eastAsia="en-GB"/>
        </w:rPr>
        <w:t xml:space="preserve"> </w:t>
      </w:r>
      <w:r w:rsidRPr="00332C8B">
        <w:rPr>
          <w:rFonts w:asciiTheme="minorHAnsi" w:hAnsiTheme="minorHAnsi" w:cstheme="minorHAnsi"/>
          <w:color w:val="000000" w:themeColor="text1"/>
          <w:sz w:val="22"/>
          <w:szCs w:val="22"/>
          <w:lang w:eastAsia="en-GB"/>
        </w:rPr>
        <w:t>33.2%, p</w:t>
      </w:r>
      <w:r w:rsidR="00817AAA">
        <w:rPr>
          <w:rFonts w:asciiTheme="minorHAnsi" w:hAnsiTheme="minorHAnsi" w:cstheme="minorHAnsi"/>
          <w:color w:val="000000" w:themeColor="text1"/>
          <w:sz w:val="22"/>
          <w:szCs w:val="22"/>
          <w:lang w:eastAsia="en-GB"/>
        </w:rPr>
        <w:t xml:space="preserve"> </w:t>
      </w:r>
      <w:r w:rsidRPr="00332C8B">
        <w:rPr>
          <w:rFonts w:asciiTheme="minorHAnsi" w:hAnsiTheme="minorHAnsi" w:cstheme="minorHAnsi"/>
          <w:color w:val="000000" w:themeColor="text1"/>
          <w:sz w:val="22"/>
          <w:szCs w:val="22"/>
          <w:lang w:eastAsia="en-GB"/>
        </w:rPr>
        <w:t>=</w:t>
      </w:r>
      <w:r w:rsidR="00817AAA">
        <w:rPr>
          <w:rFonts w:asciiTheme="minorHAnsi" w:hAnsiTheme="minorHAnsi" w:cstheme="minorHAnsi"/>
          <w:color w:val="000000" w:themeColor="text1"/>
          <w:sz w:val="22"/>
          <w:szCs w:val="22"/>
          <w:lang w:eastAsia="en-GB"/>
        </w:rPr>
        <w:t xml:space="preserve"> </w:t>
      </w:r>
      <w:r w:rsidRPr="00332C8B">
        <w:rPr>
          <w:rFonts w:asciiTheme="minorHAnsi" w:hAnsiTheme="minorHAnsi" w:cstheme="minorHAnsi"/>
          <w:color w:val="000000" w:themeColor="text1"/>
          <w:sz w:val="22"/>
          <w:szCs w:val="22"/>
          <w:lang w:eastAsia="en-GB"/>
        </w:rPr>
        <w:t>0</w:t>
      </w:r>
      <w:r w:rsidRPr="00332C8B">
        <w:rPr>
          <w:rFonts w:asciiTheme="minorHAnsi" w:hAnsiTheme="minorHAnsi" w:cstheme="minorHAnsi"/>
          <w:color w:val="000000" w:themeColor="text1"/>
          <w:kern w:val="24"/>
          <w:sz w:val="22"/>
          <w:szCs w:val="22"/>
          <w:lang w:eastAsia="en-GB"/>
        </w:rPr>
        <w:t>.83)</w:t>
      </w:r>
      <w:r w:rsidR="00A310CC" w:rsidRPr="00332C8B">
        <w:rPr>
          <w:rFonts w:asciiTheme="minorHAnsi" w:hAnsiTheme="minorHAnsi" w:cstheme="minorHAnsi"/>
          <w:color w:val="000000" w:themeColor="text1"/>
          <w:kern w:val="24"/>
          <w:sz w:val="22"/>
          <w:szCs w:val="22"/>
          <w:lang w:eastAsia="en-GB"/>
        </w:rPr>
        <w:t xml:space="preserve"> between the two groups</w:t>
      </w:r>
      <w:r w:rsidRPr="00332C8B">
        <w:rPr>
          <w:rFonts w:asciiTheme="minorHAnsi" w:hAnsiTheme="minorHAnsi" w:cstheme="minorHAnsi"/>
          <w:color w:val="000000" w:themeColor="text1"/>
          <w:kern w:val="24"/>
          <w:sz w:val="22"/>
          <w:szCs w:val="22"/>
          <w:lang w:eastAsia="en-GB"/>
        </w:rPr>
        <w:t>.</w:t>
      </w:r>
    </w:p>
    <w:p w14:paraId="2B722398" w14:textId="220DB441" w:rsidR="00764910" w:rsidRPr="00332C8B" w:rsidRDefault="00764910" w:rsidP="00F0414E">
      <w:pPr>
        <w:spacing w:after="160" w:line="480" w:lineRule="auto"/>
        <w:rPr>
          <w:rFonts w:asciiTheme="minorHAnsi" w:eastAsia="Calibri" w:hAnsiTheme="minorHAnsi" w:cstheme="minorHAnsi"/>
          <w:color w:val="000000" w:themeColor="text1"/>
          <w:kern w:val="24"/>
          <w:sz w:val="22"/>
          <w:szCs w:val="22"/>
          <w:lang w:eastAsia="en-GB"/>
        </w:rPr>
      </w:pPr>
      <w:r w:rsidRPr="00332C8B">
        <w:rPr>
          <w:rFonts w:asciiTheme="minorHAnsi" w:eastAsia="Calibri" w:hAnsiTheme="minorHAnsi" w:cstheme="minorHAnsi"/>
          <w:color w:val="000000" w:themeColor="text1"/>
          <w:sz w:val="22"/>
          <w:szCs w:val="22"/>
          <w:lang w:val="en-US"/>
        </w:rPr>
        <w:t>Fritz et al</w:t>
      </w:r>
      <w:r w:rsidR="003662F1" w:rsidRPr="00332C8B">
        <w:rPr>
          <w:rFonts w:asciiTheme="minorHAnsi" w:eastAsia="Calibri" w:hAnsiTheme="minorHAnsi" w:cstheme="minorHAnsi"/>
          <w:color w:val="000000" w:themeColor="text1"/>
          <w:sz w:val="22"/>
          <w:szCs w:val="22"/>
          <w:lang w:val="en-US"/>
        </w:rPr>
        <w:fldChar w:fldCharType="begin" w:fldLock="1"/>
      </w:r>
      <w:r w:rsidR="00F66CFF" w:rsidRPr="00332C8B">
        <w:rPr>
          <w:rFonts w:asciiTheme="minorHAnsi" w:eastAsia="Calibri" w:hAnsiTheme="minorHAnsi" w:cstheme="minorHAnsi"/>
          <w:color w:val="000000" w:themeColor="text1"/>
          <w:sz w:val="22"/>
          <w:szCs w:val="22"/>
          <w:lang w:val="en-US"/>
        </w:rPr>
        <w:instrText>ADDIN CSL_CITATION {"citationItems":[{"id":"ITEM-1","itemData":{"ISSN":"0748-7983","abstract":"The correlation between body composition measured by bioelectrical impedance (BIA) and postoperative complications in 115 patients with gastrointestinal cancer was analysed. A significant increase in severe complications was found independent of lean body mass (LBM). In patients with LBM below the normal range the complication rate proved to be 31% (17/55), whereas patients with normal LBM had a complication rate of 10% (6/60). Other decisive factors, such as sex, age, tumor stage, operative procedure and body height were equally distributed in both groups. The practicability and efficiency of BIA became obvious in this study.","author":[{"dropping-particle":"","family":"T.","given":"Fritz","non-dropping-particle":"","parse-names":false,"suffix":""},{"dropping-particle":"","family":"I.","given":"Hollwarth","non-dropping-particle":"","parse-names":false,"suffix":""},{"dropping-particle":"","family":"M.","given":"Romaschow","non-dropping-particle":"","parse-names":false,"suffix":""}],"container-title":"European Journal of Surgical Oncology","id":"ITEM-1","issue":"4","issued":{"date-parts":[["1990"]]},"page":"326-331","publisher":"W.B. Saunders Ltd (32 Jamestown Road, London NW1 7BY, United Kingdom)","publisher-place":"P. Schlag, Department of Surgery, University of Heidelberg, Im Neuenheimer Feld 110, D-6900 Heidelberg, Germany","title":"The predictive role of bioelectrical impedance analysis (BIA) in postoperative complications of cancer patients","type":"article-journal","volume":"16"},"uris":["http://www.mendeley.com/documents/?uuid=e0444ba5-8fa0-4676-9f2f-5be6618fbef1"]}],"mendeley":{"formattedCitation":"[41]","plainTextFormattedCitation":"[41]","previouslyFormattedCitation":"[42]"},"properties":{"noteIndex":0},"schema":"https://github.com/citation-style-language/schema/raw/master/csl-citation.json"}</w:instrText>
      </w:r>
      <w:r w:rsidR="003662F1" w:rsidRPr="00332C8B">
        <w:rPr>
          <w:rFonts w:asciiTheme="minorHAnsi" w:eastAsia="Calibri" w:hAnsiTheme="minorHAnsi" w:cstheme="minorHAnsi"/>
          <w:color w:val="000000" w:themeColor="text1"/>
          <w:sz w:val="22"/>
          <w:szCs w:val="22"/>
          <w:lang w:val="en-US"/>
        </w:rPr>
        <w:fldChar w:fldCharType="separate"/>
      </w:r>
      <w:r w:rsidR="00F66CFF" w:rsidRPr="00332C8B">
        <w:rPr>
          <w:rFonts w:asciiTheme="minorHAnsi" w:eastAsia="Calibri" w:hAnsiTheme="minorHAnsi" w:cstheme="minorHAnsi"/>
          <w:noProof/>
          <w:color w:val="000000" w:themeColor="text1"/>
          <w:sz w:val="22"/>
          <w:szCs w:val="22"/>
          <w:lang w:val="en-US"/>
        </w:rPr>
        <w:t>[41]</w:t>
      </w:r>
      <w:r w:rsidR="003662F1" w:rsidRPr="00332C8B">
        <w:rPr>
          <w:rFonts w:asciiTheme="minorHAnsi" w:eastAsia="Calibri" w:hAnsiTheme="minorHAnsi" w:cstheme="minorHAnsi"/>
          <w:color w:val="000000" w:themeColor="text1"/>
          <w:sz w:val="22"/>
          <w:szCs w:val="22"/>
          <w:lang w:val="en-US"/>
        </w:rPr>
        <w:fldChar w:fldCharType="end"/>
      </w:r>
      <w:r w:rsidRPr="00332C8B">
        <w:rPr>
          <w:rFonts w:asciiTheme="minorHAnsi" w:eastAsia="Calibri" w:hAnsiTheme="minorHAnsi" w:cstheme="minorHAnsi"/>
          <w:color w:val="000000" w:themeColor="text1"/>
          <w:sz w:val="22"/>
          <w:szCs w:val="22"/>
          <w:lang w:val="en-US"/>
        </w:rPr>
        <w:t xml:space="preserve"> assessed lean body mass in 115 patients undergoing surgery for a variety of gastrointestinal cancers (colorectal, oesophageal, hepato-biliary). This prospective study analyzed the relationship between lean body mass and post-operative complications, defined by the authors. </w:t>
      </w:r>
      <w:r w:rsidRPr="00332C8B">
        <w:rPr>
          <w:rFonts w:asciiTheme="minorHAnsi" w:eastAsia="Calibri" w:hAnsiTheme="minorHAnsi" w:cstheme="minorHAnsi"/>
          <w:color w:val="000000" w:themeColor="text1"/>
          <w:kern w:val="24"/>
          <w:sz w:val="22"/>
          <w:szCs w:val="22"/>
          <w:lang w:eastAsia="en-GB"/>
        </w:rPr>
        <w:t xml:space="preserve">Patients </w:t>
      </w:r>
      <w:r w:rsidR="00033205" w:rsidRPr="00332C8B">
        <w:rPr>
          <w:rFonts w:asciiTheme="minorHAnsi" w:eastAsia="Calibri" w:hAnsiTheme="minorHAnsi" w:cstheme="minorHAnsi"/>
          <w:color w:val="000000" w:themeColor="text1"/>
          <w:kern w:val="24"/>
          <w:sz w:val="22"/>
          <w:szCs w:val="22"/>
          <w:lang w:eastAsia="en-GB"/>
        </w:rPr>
        <w:t xml:space="preserve">were divided into those </w:t>
      </w:r>
      <w:r w:rsidRPr="00332C8B">
        <w:rPr>
          <w:rFonts w:asciiTheme="minorHAnsi" w:eastAsia="Calibri" w:hAnsiTheme="minorHAnsi" w:cstheme="minorHAnsi"/>
          <w:color w:val="000000" w:themeColor="text1"/>
          <w:kern w:val="24"/>
          <w:sz w:val="22"/>
          <w:szCs w:val="22"/>
          <w:lang w:eastAsia="en-GB"/>
        </w:rPr>
        <w:t xml:space="preserve">with a lean body mass </w:t>
      </w:r>
      <w:r w:rsidR="00246291" w:rsidRPr="00332C8B">
        <w:rPr>
          <w:rFonts w:asciiTheme="minorHAnsi" w:eastAsia="Calibri" w:hAnsiTheme="minorHAnsi" w:cstheme="minorHAnsi"/>
          <w:color w:val="000000" w:themeColor="text1"/>
          <w:kern w:val="24"/>
          <w:sz w:val="22"/>
          <w:szCs w:val="22"/>
          <w:lang w:eastAsia="en-GB"/>
        </w:rPr>
        <w:t xml:space="preserve">greater or </w:t>
      </w:r>
      <w:r w:rsidRPr="00332C8B">
        <w:rPr>
          <w:rFonts w:asciiTheme="minorHAnsi" w:eastAsia="Calibri" w:hAnsiTheme="minorHAnsi" w:cstheme="minorHAnsi"/>
          <w:color w:val="000000" w:themeColor="text1"/>
          <w:kern w:val="24"/>
          <w:sz w:val="22"/>
          <w:szCs w:val="22"/>
          <w:lang w:eastAsia="en-GB"/>
        </w:rPr>
        <w:t>less than</w:t>
      </w:r>
      <w:r w:rsidR="00033205" w:rsidRPr="00332C8B">
        <w:rPr>
          <w:rFonts w:asciiTheme="minorHAnsi" w:eastAsia="Calibri" w:hAnsiTheme="minorHAnsi" w:cstheme="minorHAnsi"/>
          <w:color w:val="000000" w:themeColor="text1"/>
          <w:kern w:val="24"/>
          <w:sz w:val="22"/>
          <w:szCs w:val="22"/>
          <w:lang w:eastAsia="en-GB"/>
        </w:rPr>
        <w:t xml:space="preserve"> </w:t>
      </w:r>
      <w:r w:rsidRPr="00332C8B">
        <w:rPr>
          <w:rFonts w:asciiTheme="minorHAnsi" w:eastAsia="Calibri" w:hAnsiTheme="minorHAnsi" w:cstheme="minorHAnsi"/>
          <w:color w:val="000000" w:themeColor="text1"/>
          <w:kern w:val="24"/>
          <w:sz w:val="22"/>
          <w:szCs w:val="22"/>
          <w:lang w:eastAsia="en-GB"/>
        </w:rPr>
        <w:t>the predicted normal for age and gende</w:t>
      </w:r>
      <w:r w:rsidR="00A310CC" w:rsidRPr="00332C8B">
        <w:rPr>
          <w:rFonts w:asciiTheme="minorHAnsi" w:eastAsia="Calibri" w:hAnsiTheme="minorHAnsi" w:cstheme="minorHAnsi"/>
          <w:color w:val="000000" w:themeColor="text1"/>
          <w:kern w:val="24"/>
          <w:sz w:val="22"/>
          <w:szCs w:val="22"/>
          <w:lang w:eastAsia="en-GB"/>
        </w:rPr>
        <w:t>r</w:t>
      </w:r>
      <w:r w:rsidR="00033205" w:rsidRPr="00332C8B">
        <w:rPr>
          <w:rFonts w:asciiTheme="minorHAnsi" w:eastAsia="Calibri" w:hAnsiTheme="minorHAnsi" w:cstheme="minorHAnsi"/>
          <w:color w:val="000000" w:themeColor="text1"/>
          <w:kern w:val="24"/>
          <w:sz w:val="22"/>
          <w:szCs w:val="22"/>
          <w:lang w:eastAsia="en-GB"/>
        </w:rPr>
        <w:t xml:space="preserve">. </w:t>
      </w:r>
      <w:r w:rsidR="00A310CC" w:rsidRPr="00332C8B">
        <w:rPr>
          <w:rFonts w:asciiTheme="minorHAnsi" w:eastAsia="Calibri" w:hAnsiTheme="minorHAnsi" w:cstheme="minorHAnsi"/>
          <w:color w:val="000000" w:themeColor="text1"/>
          <w:kern w:val="24"/>
          <w:sz w:val="22"/>
          <w:szCs w:val="22"/>
          <w:lang w:eastAsia="en-GB"/>
        </w:rPr>
        <w:t xml:space="preserve">Fifty-five participants (47.8%) were in the low lean body mass group. </w:t>
      </w:r>
      <w:r w:rsidR="00033205" w:rsidRPr="00332C8B">
        <w:rPr>
          <w:rFonts w:asciiTheme="minorHAnsi" w:eastAsia="Calibri" w:hAnsiTheme="minorHAnsi" w:cstheme="minorHAnsi"/>
          <w:color w:val="000000" w:themeColor="text1"/>
          <w:kern w:val="24"/>
          <w:sz w:val="22"/>
          <w:szCs w:val="22"/>
          <w:lang w:eastAsia="en-GB"/>
        </w:rPr>
        <w:t xml:space="preserve">Seventeen </w:t>
      </w:r>
      <w:r w:rsidR="00A310CC" w:rsidRPr="00332C8B">
        <w:rPr>
          <w:rFonts w:asciiTheme="minorHAnsi" w:eastAsia="Calibri" w:hAnsiTheme="minorHAnsi" w:cstheme="minorHAnsi"/>
          <w:color w:val="000000" w:themeColor="text1"/>
          <w:kern w:val="24"/>
          <w:sz w:val="22"/>
          <w:szCs w:val="22"/>
          <w:lang w:eastAsia="en-GB"/>
        </w:rPr>
        <w:t>participants in the low</w:t>
      </w:r>
      <w:r w:rsidR="00033205" w:rsidRPr="00332C8B">
        <w:rPr>
          <w:rFonts w:asciiTheme="minorHAnsi" w:eastAsia="Calibri" w:hAnsiTheme="minorHAnsi" w:cstheme="minorHAnsi"/>
          <w:color w:val="000000" w:themeColor="text1"/>
          <w:kern w:val="24"/>
          <w:sz w:val="22"/>
          <w:szCs w:val="22"/>
          <w:lang w:eastAsia="en-GB"/>
        </w:rPr>
        <w:t xml:space="preserve"> lean body mass </w:t>
      </w:r>
      <w:r w:rsidR="00A310CC" w:rsidRPr="00332C8B">
        <w:rPr>
          <w:rFonts w:asciiTheme="minorHAnsi" w:eastAsia="Calibri" w:hAnsiTheme="minorHAnsi" w:cstheme="minorHAnsi"/>
          <w:color w:val="000000" w:themeColor="text1"/>
          <w:kern w:val="24"/>
          <w:sz w:val="22"/>
          <w:szCs w:val="22"/>
          <w:lang w:eastAsia="en-GB"/>
        </w:rPr>
        <w:t xml:space="preserve">group </w:t>
      </w:r>
      <w:r w:rsidR="00246291" w:rsidRPr="00332C8B">
        <w:rPr>
          <w:rFonts w:asciiTheme="minorHAnsi" w:eastAsia="Calibri" w:hAnsiTheme="minorHAnsi" w:cstheme="minorHAnsi"/>
          <w:color w:val="000000" w:themeColor="text1"/>
          <w:kern w:val="24"/>
          <w:sz w:val="22"/>
          <w:szCs w:val="22"/>
          <w:lang w:eastAsia="en-GB"/>
        </w:rPr>
        <w:t>compared to six</w:t>
      </w:r>
      <w:r w:rsidR="00033205" w:rsidRPr="00332C8B">
        <w:rPr>
          <w:rFonts w:asciiTheme="minorHAnsi" w:eastAsia="Calibri" w:hAnsiTheme="minorHAnsi" w:cstheme="minorHAnsi"/>
          <w:color w:val="000000" w:themeColor="text1"/>
          <w:kern w:val="24"/>
          <w:sz w:val="22"/>
          <w:szCs w:val="22"/>
          <w:lang w:eastAsia="en-GB"/>
        </w:rPr>
        <w:t xml:space="preserve"> of those </w:t>
      </w:r>
      <w:r w:rsidR="00A310CC" w:rsidRPr="00332C8B">
        <w:rPr>
          <w:rFonts w:asciiTheme="minorHAnsi" w:eastAsia="Calibri" w:hAnsiTheme="minorHAnsi" w:cstheme="minorHAnsi"/>
          <w:color w:val="000000" w:themeColor="text1"/>
          <w:kern w:val="24"/>
          <w:sz w:val="22"/>
          <w:szCs w:val="22"/>
          <w:lang w:eastAsia="en-GB"/>
        </w:rPr>
        <w:t>in the high</w:t>
      </w:r>
      <w:r w:rsidR="00033205" w:rsidRPr="00332C8B">
        <w:rPr>
          <w:rFonts w:asciiTheme="minorHAnsi" w:eastAsia="Calibri" w:hAnsiTheme="minorHAnsi" w:cstheme="minorHAnsi"/>
          <w:color w:val="000000" w:themeColor="text1"/>
          <w:kern w:val="24"/>
          <w:sz w:val="22"/>
          <w:szCs w:val="22"/>
          <w:lang w:eastAsia="en-GB"/>
        </w:rPr>
        <w:t xml:space="preserve"> lean body mass</w:t>
      </w:r>
      <w:r w:rsidR="00A310CC" w:rsidRPr="00332C8B">
        <w:rPr>
          <w:rFonts w:asciiTheme="minorHAnsi" w:eastAsia="Calibri" w:hAnsiTheme="minorHAnsi" w:cstheme="minorHAnsi"/>
          <w:color w:val="000000" w:themeColor="text1"/>
          <w:kern w:val="24"/>
          <w:sz w:val="22"/>
          <w:szCs w:val="22"/>
          <w:lang w:eastAsia="en-GB"/>
        </w:rPr>
        <w:t xml:space="preserve"> group</w:t>
      </w:r>
      <w:r w:rsidR="00033205" w:rsidRPr="00332C8B">
        <w:rPr>
          <w:rFonts w:asciiTheme="minorHAnsi" w:eastAsia="Calibri" w:hAnsiTheme="minorHAnsi" w:cstheme="minorHAnsi"/>
          <w:color w:val="000000" w:themeColor="text1"/>
          <w:kern w:val="24"/>
          <w:sz w:val="22"/>
          <w:szCs w:val="22"/>
          <w:lang w:eastAsia="en-GB"/>
        </w:rPr>
        <w:t xml:space="preserve"> experienced a severe complication or death </w:t>
      </w:r>
      <w:r w:rsidRPr="00332C8B">
        <w:rPr>
          <w:rFonts w:asciiTheme="minorHAnsi" w:eastAsia="Calibri" w:hAnsiTheme="minorHAnsi" w:cstheme="minorHAnsi"/>
          <w:color w:val="000000" w:themeColor="text1"/>
          <w:kern w:val="24"/>
          <w:sz w:val="22"/>
          <w:szCs w:val="22"/>
          <w:lang w:eastAsia="en-GB"/>
        </w:rPr>
        <w:t>(17% vs</w:t>
      </w:r>
      <w:r w:rsidR="00C8324C">
        <w:rPr>
          <w:rFonts w:asciiTheme="minorHAnsi" w:eastAsia="Calibri" w:hAnsiTheme="minorHAnsi" w:cstheme="minorHAnsi"/>
          <w:color w:val="000000" w:themeColor="text1"/>
          <w:kern w:val="24"/>
          <w:sz w:val="22"/>
          <w:szCs w:val="22"/>
          <w:lang w:eastAsia="en-GB"/>
        </w:rPr>
        <w:t>.</w:t>
      </w:r>
      <w:r w:rsidRPr="00332C8B">
        <w:rPr>
          <w:rFonts w:asciiTheme="minorHAnsi" w:eastAsia="Calibri" w:hAnsiTheme="minorHAnsi" w:cstheme="minorHAnsi"/>
          <w:color w:val="000000" w:themeColor="text1"/>
          <w:kern w:val="24"/>
          <w:sz w:val="22"/>
          <w:szCs w:val="22"/>
          <w:lang w:eastAsia="en-GB"/>
        </w:rPr>
        <w:t xml:space="preserve"> 6%, p</w:t>
      </w:r>
      <w:r w:rsidR="00C8324C">
        <w:rPr>
          <w:rFonts w:asciiTheme="minorHAnsi" w:eastAsia="Calibri" w:hAnsiTheme="minorHAnsi" w:cstheme="minorHAnsi"/>
          <w:color w:val="000000" w:themeColor="text1"/>
          <w:kern w:val="24"/>
          <w:sz w:val="22"/>
          <w:szCs w:val="22"/>
          <w:lang w:eastAsia="en-GB"/>
        </w:rPr>
        <w:t xml:space="preserve"> </w:t>
      </w:r>
      <w:r w:rsidRPr="00332C8B">
        <w:rPr>
          <w:rFonts w:asciiTheme="minorHAnsi" w:eastAsia="Calibri" w:hAnsiTheme="minorHAnsi" w:cstheme="minorHAnsi"/>
          <w:color w:val="000000" w:themeColor="text1"/>
          <w:kern w:val="24"/>
          <w:sz w:val="22"/>
          <w:szCs w:val="22"/>
          <w:lang w:eastAsia="en-GB"/>
        </w:rPr>
        <w:t>=</w:t>
      </w:r>
      <w:r w:rsidR="00C8324C">
        <w:rPr>
          <w:rFonts w:asciiTheme="minorHAnsi" w:eastAsia="Calibri" w:hAnsiTheme="minorHAnsi" w:cstheme="minorHAnsi"/>
          <w:color w:val="000000" w:themeColor="text1"/>
          <w:kern w:val="24"/>
          <w:sz w:val="22"/>
          <w:szCs w:val="22"/>
          <w:lang w:eastAsia="en-GB"/>
        </w:rPr>
        <w:t xml:space="preserve"> </w:t>
      </w:r>
      <w:r w:rsidRPr="00332C8B">
        <w:rPr>
          <w:rFonts w:asciiTheme="minorHAnsi" w:eastAsia="Calibri" w:hAnsiTheme="minorHAnsi" w:cstheme="minorHAnsi"/>
          <w:color w:val="000000" w:themeColor="text1"/>
          <w:kern w:val="24"/>
          <w:sz w:val="22"/>
          <w:szCs w:val="22"/>
          <w:lang w:eastAsia="en-GB"/>
        </w:rPr>
        <w:t>0.02). Total body water and body fat were also measured but their results were not discussed in the paper.</w:t>
      </w:r>
    </w:p>
    <w:p w14:paraId="0AF5AC75" w14:textId="0E232075" w:rsidR="00D03030" w:rsidRPr="00332C8B" w:rsidRDefault="00D03030" w:rsidP="00F0414E">
      <w:pPr>
        <w:spacing w:after="160" w:line="480" w:lineRule="auto"/>
        <w:rPr>
          <w:rFonts w:asciiTheme="minorHAnsi" w:eastAsia="Calibri" w:hAnsiTheme="minorHAnsi" w:cstheme="minorHAnsi"/>
          <w:color w:val="000000" w:themeColor="text1"/>
          <w:sz w:val="22"/>
          <w:szCs w:val="22"/>
          <w:lang w:val="en-US"/>
        </w:rPr>
      </w:pPr>
      <w:r w:rsidRPr="00332C8B">
        <w:rPr>
          <w:rFonts w:asciiTheme="minorHAnsi" w:eastAsia="Calibri" w:hAnsiTheme="minorHAnsi" w:cstheme="minorHAnsi"/>
          <w:color w:val="000000" w:themeColor="text1"/>
          <w:sz w:val="22"/>
          <w:szCs w:val="22"/>
          <w:lang w:val="en-US"/>
        </w:rPr>
        <w:t>Kerimoglu</w:t>
      </w:r>
      <w:r w:rsidR="00877AA4" w:rsidRPr="00332C8B">
        <w:rPr>
          <w:rFonts w:asciiTheme="minorHAnsi" w:eastAsia="Calibri" w:hAnsiTheme="minorHAnsi" w:cstheme="minorHAnsi"/>
          <w:color w:val="000000" w:themeColor="text1"/>
          <w:sz w:val="22"/>
          <w:szCs w:val="22"/>
          <w:lang w:val="en-US"/>
        </w:rPr>
        <w:t xml:space="preserve"> et al</w:t>
      </w:r>
      <w:r w:rsidR="003662F1" w:rsidRPr="00332C8B">
        <w:rPr>
          <w:rFonts w:asciiTheme="minorHAnsi" w:eastAsia="Calibri" w:hAnsiTheme="minorHAnsi" w:cstheme="minorHAnsi"/>
          <w:color w:val="000000" w:themeColor="text1"/>
          <w:sz w:val="22"/>
          <w:szCs w:val="22"/>
          <w:lang w:val="en-US"/>
        </w:rPr>
        <w:fldChar w:fldCharType="begin" w:fldLock="1"/>
      </w:r>
      <w:r w:rsidR="00F66CFF" w:rsidRPr="00332C8B">
        <w:rPr>
          <w:rFonts w:asciiTheme="minorHAnsi" w:eastAsia="Calibri" w:hAnsiTheme="minorHAnsi" w:cstheme="minorHAnsi"/>
          <w:color w:val="000000" w:themeColor="text1"/>
          <w:sz w:val="22"/>
          <w:szCs w:val="22"/>
          <w:lang w:val="en-US"/>
        </w:rPr>
        <w:instrText>ADDIN CSL_CITATION {"citationItems":[{"id":"ITEM-1","itemData":{"DOI":"http://dx.doi.org/10.1111/jog.12554","ISSN":"1341-8076","abstract":"Abstract Aim This study used the measure of percentage of body fat (%BF) to define obesity and evaluated the effect of percentage of %BF on clinical, surgical and pathological features in women with endometrial cancer. Methods Between 2011 and 2013, bioelectrical impedance analysis and body size measurements of 94 patients whose endometrial biopsy revealed endometrial cancer were obtained. Patients were divided into two groups according to body mass index (BMI) (normal, &lt;30 kg/m2; elevated, &gt;=30 kg/m2), and also classified by %BF (normal, &lt;32%; elevated, &gt;=32%). Results The patients' mean age was 55.0 +/- 10.9 years. Mean %BF and BMI were 40.8% +/- 9.8% and 32.9 +/- 7.5, respectively. Eighty-three (88%) patients were obese according to %BF; 54 (57%) were obese according to BMI. Patients with elevated %BF were more likely to have less than 50% myometrial invasion (P = 0.004). Significantly more para-aortic lymph nodes were retrieved in patients with normal %BF or BMI (P &lt; 0.001, P &lt; 0.001). Patients with elevated %BF had longer operating times (P = 0.043) and were more likely to have stage I disease than patients with normal %BF (P &lt; 0.001). Conclusion Endometrial cancer patients with an elevated %BF are more likely to have stage I disease and less than 50% myometrial invasion than patients with normal %BF. Defining obesity by BF may provide better estimation of obesity prevalence in patients with endometrial cancer and further understanding the relationship between BF with endometrial cancer may give more information about the effects of obesity on endometrial cancer.Copyright © 2014 The Authors.","author":[{"dropping-particle":"","family":"O.","given":"Secilmis Kerimoglu","non-dropping-particle":"","parse-names":false,"suffix":""},{"dropping-particle":"","family":"A.","given":"Pekin","non-dropping-particle":"","parse-names":false,"suffix":""},{"dropping-particle":"","family":"S.A.","given":"Yilmaz","non-dropping-particle":"","parse-names":false,"suffix":""},{"dropping-particle":"","family":"G.","given":"Yavas","non-dropping-particle":"","parse-names":false,"suffix":""},{"dropping-particle":"","family":"F.","given":"Beyhekim","non-dropping-particle":"","parse-names":false,"suffix":""},{"dropping-particle":"","family":"A.A.","given":"Demirtas","non-dropping-particle":"","parse-names":false,"suffix":""},{"dropping-particle":"","family":"N.U.","given":"Dogan","non-dropping-particle":"","parse-names":false,"suffix":""},{"dropping-particle":"","family":"T.T.","given":"Ilhan","non-dropping-particle":"","parse-names":false,"suffix":""}],"container-title":"Journal of Obstetrics and Gynaecology Research","id":"ITEM-1","issue":"3","issued":{"date-parts":[["2015"]]},"page":"449-455","publisher":"Blackwell Publishing (E-mail: info@asia.blackpublishing.com.au)","publisher-place":"O. Secilmis Kerimoglu, Selcuk Universitesi Tip Fakultesi, Kadin Hastaliklari ve Dogum ABD, Kampus, Selcuklu 42000, Turkey","title":"Effect of the percentage of body fat on surgical, clinical and pathological outcomes in women with endometrial cancer","type":"article-journal","volume":"41"},"uris":["http://www.mendeley.com/documents/?uuid=fab9c483-886b-4d5f-9d60-16cb99d77d36"]}],"mendeley":{"formattedCitation":"[38]","plainTextFormattedCitation":"[38]","previouslyFormattedCitation":"[39]"},"properties":{"noteIndex":0},"schema":"https://github.com/citation-style-language/schema/raw/master/csl-citation.json"}</w:instrText>
      </w:r>
      <w:r w:rsidR="003662F1" w:rsidRPr="00332C8B">
        <w:rPr>
          <w:rFonts w:asciiTheme="minorHAnsi" w:eastAsia="Calibri" w:hAnsiTheme="minorHAnsi" w:cstheme="minorHAnsi"/>
          <w:color w:val="000000" w:themeColor="text1"/>
          <w:sz w:val="22"/>
          <w:szCs w:val="22"/>
          <w:lang w:val="en-US"/>
        </w:rPr>
        <w:fldChar w:fldCharType="separate"/>
      </w:r>
      <w:r w:rsidR="00F66CFF" w:rsidRPr="00332C8B">
        <w:rPr>
          <w:rFonts w:asciiTheme="minorHAnsi" w:eastAsia="Calibri" w:hAnsiTheme="minorHAnsi" w:cstheme="minorHAnsi"/>
          <w:noProof/>
          <w:color w:val="000000" w:themeColor="text1"/>
          <w:sz w:val="22"/>
          <w:szCs w:val="22"/>
          <w:lang w:val="en-US"/>
        </w:rPr>
        <w:t>[38]</w:t>
      </w:r>
      <w:r w:rsidR="003662F1" w:rsidRPr="00332C8B">
        <w:rPr>
          <w:rFonts w:asciiTheme="minorHAnsi" w:eastAsia="Calibri" w:hAnsiTheme="minorHAnsi" w:cstheme="minorHAnsi"/>
          <w:color w:val="000000" w:themeColor="text1"/>
          <w:sz w:val="22"/>
          <w:szCs w:val="22"/>
          <w:lang w:val="en-US"/>
        </w:rPr>
        <w:fldChar w:fldCharType="end"/>
      </w:r>
      <w:r w:rsidRPr="00332C8B">
        <w:rPr>
          <w:rFonts w:asciiTheme="minorHAnsi" w:eastAsia="Calibri" w:hAnsiTheme="minorHAnsi" w:cstheme="minorHAnsi"/>
          <w:color w:val="000000" w:themeColor="text1"/>
          <w:sz w:val="22"/>
          <w:szCs w:val="22"/>
          <w:lang w:val="en-US"/>
        </w:rPr>
        <w:t xml:space="preserve"> </w:t>
      </w:r>
      <w:r w:rsidR="00F27F8A" w:rsidRPr="00332C8B">
        <w:rPr>
          <w:rFonts w:asciiTheme="minorHAnsi" w:eastAsia="Calibri" w:hAnsiTheme="minorHAnsi" w:cstheme="minorHAnsi"/>
          <w:color w:val="000000" w:themeColor="text1"/>
          <w:sz w:val="22"/>
          <w:szCs w:val="22"/>
          <w:lang w:val="en-US"/>
        </w:rPr>
        <w:t>assessed</w:t>
      </w:r>
      <w:r w:rsidRPr="00332C8B">
        <w:rPr>
          <w:rFonts w:asciiTheme="minorHAnsi" w:eastAsia="Calibri" w:hAnsiTheme="minorHAnsi" w:cstheme="minorHAnsi"/>
          <w:color w:val="000000" w:themeColor="text1"/>
          <w:sz w:val="22"/>
          <w:szCs w:val="22"/>
          <w:lang w:val="en-US"/>
        </w:rPr>
        <w:t xml:space="preserve"> percentage body fat in 94 women undergoing surgery for endometrial cancer. This prospective study evaluated the effect of </w:t>
      </w:r>
      <w:r w:rsidR="00FA783B" w:rsidRPr="00332C8B">
        <w:rPr>
          <w:rFonts w:asciiTheme="minorHAnsi" w:eastAsia="Calibri" w:hAnsiTheme="minorHAnsi" w:cstheme="minorHAnsi"/>
          <w:color w:val="000000" w:themeColor="text1"/>
          <w:sz w:val="22"/>
          <w:szCs w:val="22"/>
          <w:lang w:val="en-US"/>
        </w:rPr>
        <w:t>percentage body fat</w:t>
      </w:r>
      <w:r w:rsidRPr="00332C8B">
        <w:rPr>
          <w:rFonts w:asciiTheme="minorHAnsi" w:eastAsia="Calibri" w:hAnsiTheme="minorHAnsi" w:cstheme="minorHAnsi"/>
          <w:color w:val="000000" w:themeColor="text1"/>
          <w:sz w:val="22"/>
          <w:szCs w:val="22"/>
          <w:lang w:val="en-US"/>
        </w:rPr>
        <w:t xml:space="preserve"> on post-operative complications, defined by the authors. Patients were class</w:t>
      </w:r>
      <w:r w:rsidR="00FA783B" w:rsidRPr="00332C8B">
        <w:rPr>
          <w:rFonts w:asciiTheme="minorHAnsi" w:eastAsia="Calibri" w:hAnsiTheme="minorHAnsi" w:cstheme="minorHAnsi"/>
          <w:color w:val="000000" w:themeColor="text1"/>
          <w:sz w:val="22"/>
          <w:szCs w:val="22"/>
          <w:lang w:val="en-US"/>
        </w:rPr>
        <w:t>ifie</w:t>
      </w:r>
      <w:r w:rsidRPr="00332C8B">
        <w:rPr>
          <w:rFonts w:asciiTheme="minorHAnsi" w:eastAsia="Calibri" w:hAnsiTheme="minorHAnsi" w:cstheme="minorHAnsi"/>
          <w:color w:val="000000" w:themeColor="text1"/>
          <w:sz w:val="22"/>
          <w:szCs w:val="22"/>
          <w:lang w:val="en-US"/>
        </w:rPr>
        <w:t xml:space="preserve">d as either having </w:t>
      </w:r>
      <w:r w:rsidR="00F27F8A" w:rsidRPr="00332C8B">
        <w:rPr>
          <w:rFonts w:asciiTheme="minorHAnsi" w:eastAsia="Calibri" w:hAnsiTheme="minorHAnsi" w:cstheme="minorHAnsi"/>
          <w:color w:val="000000" w:themeColor="text1"/>
          <w:sz w:val="22"/>
          <w:szCs w:val="22"/>
          <w:lang w:val="en-US"/>
        </w:rPr>
        <w:t>normal or</w:t>
      </w:r>
      <w:r w:rsidRPr="00332C8B">
        <w:rPr>
          <w:rFonts w:asciiTheme="minorHAnsi" w:eastAsia="Calibri" w:hAnsiTheme="minorHAnsi" w:cstheme="minorHAnsi"/>
          <w:color w:val="000000" w:themeColor="text1"/>
          <w:sz w:val="22"/>
          <w:szCs w:val="22"/>
          <w:lang w:val="en-US"/>
        </w:rPr>
        <w:t xml:space="preserve"> elevated</w:t>
      </w:r>
      <w:r w:rsidR="00F27F8A" w:rsidRPr="00332C8B">
        <w:rPr>
          <w:rFonts w:asciiTheme="minorHAnsi" w:eastAsia="Calibri" w:hAnsiTheme="minorHAnsi" w:cstheme="minorHAnsi"/>
          <w:color w:val="000000" w:themeColor="text1"/>
          <w:sz w:val="22"/>
          <w:szCs w:val="22"/>
          <w:lang w:val="en-US"/>
        </w:rPr>
        <w:t xml:space="preserve"> </w:t>
      </w:r>
      <w:r w:rsidR="00FA783B" w:rsidRPr="00332C8B">
        <w:rPr>
          <w:rFonts w:asciiTheme="minorHAnsi" w:eastAsia="Calibri" w:hAnsiTheme="minorHAnsi" w:cstheme="minorHAnsi"/>
          <w:color w:val="000000" w:themeColor="text1"/>
          <w:sz w:val="22"/>
          <w:szCs w:val="22"/>
          <w:lang w:val="en-US"/>
        </w:rPr>
        <w:t xml:space="preserve">percentage body fat </w:t>
      </w:r>
      <w:r w:rsidRPr="00332C8B">
        <w:rPr>
          <w:rFonts w:asciiTheme="minorHAnsi" w:eastAsia="Calibri" w:hAnsiTheme="minorHAnsi" w:cstheme="minorHAnsi"/>
          <w:color w:val="000000" w:themeColor="text1"/>
          <w:sz w:val="22"/>
          <w:szCs w:val="22"/>
          <w:lang w:val="en-US"/>
        </w:rPr>
        <w:t>(&lt;</w:t>
      </w:r>
      <w:r w:rsidR="00246291" w:rsidRPr="00332C8B">
        <w:rPr>
          <w:rFonts w:asciiTheme="minorHAnsi" w:eastAsia="Calibri" w:hAnsiTheme="minorHAnsi" w:cstheme="minorHAnsi"/>
          <w:color w:val="000000" w:themeColor="text1"/>
          <w:sz w:val="22"/>
          <w:szCs w:val="22"/>
          <w:lang w:val="en-US"/>
        </w:rPr>
        <w:t xml:space="preserve"> </w:t>
      </w:r>
      <w:r w:rsidRPr="00332C8B">
        <w:rPr>
          <w:rFonts w:asciiTheme="minorHAnsi" w:eastAsia="Calibri" w:hAnsiTheme="minorHAnsi" w:cstheme="minorHAnsi"/>
          <w:color w:val="000000" w:themeColor="text1"/>
          <w:sz w:val="22"/>
          <w:szCs w:val="22"/>
          <w:lang w:val="en-US"/>
        </w:rPr>
        <w:t xml:space="preserve">or </w:t>
      </w:r>
      <w:r w:rsidRPr="00332C8B">
        <w:rPr>
          <w:rFonts w:asciiTheme="minorHAnsi" w:eastAsia="Calibri" w:hAnsiTheme="minorHAnsi" w:cstheme="minorHAnsi"/>
          <w:color w:val="000000" w:themeColor="text1"/>
          <w:sz w:val="22"/>
          <w:szCs w:val="22"/>
          <w:lang w:val="en-US"/>
        </w:rPr>
        <w:sym w:font="Symbol" w:char="F0B3"/>
      </w:r>
      <w:r w:rsidRPr="00332C8B">
        <w:rPr>
          <w:rFonts w:asciiTheme="minorHAnsi" w:eastAsia="Calibri" w:hAnsiTheme="minorHAnsi" w:cstheme="minorHAnsi"/>
          <w:color w:val="000000" w:themeColor="text1"/>
          <w:sz w:val="22"/>
          <w:szCs w:val="22"/>
          <w:lang w:val="en-US"/>
        </w:rPr>
        <w:t xml:space="preserve"> 32%).</w:t>
      </w:r>
      <w:r w:rsidR="00C54E61" w:rsidRPr="00332C8B">
        <w:rPr>
          <w:rFonts w:asciiTheme="minorHAnsi" w:eastAsia="Calibri" w:hAnsiTheme="minorHAnsi" w:cstheme="minorHAnsi"/>
          <w:color w:val="000000" w:themeColor="text1"/>
          <w:sz w:val="22"/>
          <w:szCs w:val="22"/>
          <w:lang w:val="en-US"/>
        </w:rPr>
        <w:t xml:space="preserve"> </w:t>
      </w:r>
      <w:r w:rsidR="00F27F8A" w:rsidRPr="00332C8B">
        <w:rPr>
          <w:rFonts w:asciiTheme="minorHAnsi" w:eastAsia="Calibri" w:hAnsiTheme="minorHAnsi" w:cstheme="minorHAnsi"/>
          <w:color w:val="000000" w:themeColor="text1"/>
          <w:sz w:val="22"/>
          <w:szCs w:val="22"/>
          <w:lang w:val="en-US"/>
        </w:rPr>
        <w:t xml:space="preserve">Eighty-three participants (88.3%) had elevated percentage body fat. </w:t>
      </w:r>
      <w:r w:rsidR="00C54E61" w:rsidRPr="00332C8B">
        <w:rPr>
          <w:rFonts w:asciiTheme="minorHAnsi" w:eastAsia="Calibri" w:hAnsiTheme="minorHAnsi" w:cstheme="minorHAnsi"/>
          <w:color w:val="000000" w:themeColor="text1"/>
          <w:sz w:val="22"/>
          <w:szCs w:val="22"/>
          <w:lang w:val="en-US"/>
        </w:rPr>
        <w:t xml:space="preserve">There were </w:t>
      </w:r>
      <w:r w:rsidR="00AF576F" w:rsidRPr="00332C8B">
        <w:rPr>
          <w:rFonts w:asciiTheme="minorHAnsi" w:eastAsia="Calibri" w:hAnsiTheme="minorHAnsi" w:cstheme="minorHAnsi"/>
          <w:color w:val="000000" w:themeColor="text1"/>
          <w:sz w:val="22"/>
          <w:szCs w:val="22"/>
          <w:lang w:val="en-US"/>
        </w:rPr>
        <w:t xml:space="preserve">16 complications (19.3%) </w:t>
      </w:r>
      <w:r w:rsidR="00F87CE8" w:rsidRPr="00332C8B">
        <w:rPr>
          <w:rFonts w:asciiTheme="minorHAnsi" w:eastAsia="Calibri" w:hAnsiTheme="minorHAnsi" w:cstheme="minorHAnsi"/>
          <w:color w:val="000000" w:themeColor="text1"/>
          <w:sz w:val="22"/>
          <w:szCs w:val="22"/>
          <w:lang w:val="en-US"/>
        </w:rPr>
        <w:t xml:space="preserve">in the elevated body fat group </w:t>
      </w:r>
      <w:r w:rsidR="00AF576F" w:rsidRPr="00332C8B">
        <w:rPr>
          <w:rFonts w:asciiTheme="minorHAnsi" w:eastAsia="Calibri" w:hAnsiTheme="minorHAnsi" w:cstheme="minorHAnsi"/>
          <w:color w:val="000000" w:themeColor="text1"/>
          <w:sz w:val="22"/>
          <w:szCs w:val="22"/>
          <w:lang w:val="en-US"/>
        </w:rPr>
        <w:t>compared to two (18.2%) in the normal body fat</w:t>
      </w:r>
      <w:r w:rsidR="00F87CE8" w:rsidRPr="00332C8B">
        <w:rPr>
          <w:rFonts w:asciiTheme="minorHAnsi" w:eastAsia="Calibri" w:hAnsiTheme="minorHAnsi" w:cstheme="minorHAnsi"/>
          <w:color w:val="000000" w:themeColor="text1"/>
          <w:sz w:val="22"/>
          <w:szCs w:val="22"/>
          <w:lang w:val="en-US"/>
        </w:rPr>
        <w:t xml:space="preserve"> group</w:t>
      </w:r>
      <w:r w:rsidR="00AF576F" w:rsidRPr="00332C8B">
        <w:rPr>
          <w:rFonts w:asciiTheme="minorHAnsi" w:eastAsia="Calibri" w:hAnsiTheme="minorHAnsi" w:cstheme="minorHAnsi"/>
          <w:color w:val="000000" w:themeColor="text1"/>
          <w:sz w:val="22"/>
          <w:szCs w:val="22"/>
          <w:lang w:val="en-US"/>
        </w:rPr>
        <w:t xml:space="preserve"> (</w:t>
      </w:r>
      <w:r w:rsidR="00F27F8A" w:rsidRPr="00332C8B">
        <w:rPr>
          <w:rFonts w:asciiTheme="minorHAnsi" w:eastAsia="Calibri" w:hAnsiTheme="minorHAnsi" w:cstheme="minorHAnsi"/>
          <w:color w:val="000000" w:themeColor="text1"/>
          <w:kern w:val="24"/>
          <w:sz w:val="22"/>
          <w:szCs w:val="22"/>
          <w:lang w:eastAsia="en-GB"/>
        </w:rPr>
        <w:t>p-value not reported</w:t>
      </w:r>
      <w:r w:rsidRPr="00332C8B">
        <w:rPr>
          <w:rFonts w:asciiTheme="minorHAnsi" w:eastAsia="Calibri" w:hAnsiTheme="minorHAnsi" w:cstheme="minorHAnsi"/>
          <w:color w:val="000000" w:themeColor="text1"/>
          <w:kern w:val="24"/>
          <w:sz w:val="22"/>
          <w:szCs w:val="22"/>
          <w:lang w:eastAsia="en-GB"/>
        </w:rPr>
        <w:t xml:space="preserve">). </w:t>
      </w:r>
      <w:r w:rsidR="00FA783B" w:rsidRPr="00332C8B">
        <w:rPr>
          <w:rFonts w:asciiTheme="minorHAnsi" w:eastAsia="Calibri" w:hAnsiTheme="minorHAnsi" w:cstheme="minorHAnsi"/>
          <w:color w:val="000000" w:themeColor="text1"/>
          <w:kern w:val="24"/>
          <w:sz w:val="22"/>
          <w:szCs w:val="22"/>
          <w:lang w:eastAsia="en-GB"/>
        </w:rPr>
        <w:t>Patients were also classified</w:t>
      </w:r>
      <w:r w:rsidRPr="00332C8B">
        <w:rPr>
          <w:rFonts w:asciiTheme="minorHAnsi" w:eastAsia="Calibri" w:hAnsiTheme="minorHAnsi" w:cstheme="minorHAnsi"/>
          <w:color w:val="000000" w:themeColor="text1"/>
          <w:kern w:val="24"/>
          <w:sz w:val="22"/>
          <w:szCs w:val="22"/>
          <w:lang w:eastAsia="en-GB"/>
        </w:rPr>
        <w:t xml:space="preserve"> as obese or non-obese </w:t>
      </w:r>
      <w:r w:rsidR="00FA783B" w:rsidRPr="00332C8B">
        <w:rPr>
          <w:rFonts w:asciiTheme="minorHAnsi" w:eastAsia="Calibri" w:hAnsiTheme="minorHAnsi" w:cstheme="minorHAnsi"/>
          <w:color w:val="000000" w:themeColor="text1"/>
          <w:kern w:val="24"/>
          <w:sz w:val="22"/>
          <w:szCs w:val="22"/>
          <w:lang w:eastAsia="en-GB"/>
        </w:rPr>
        <w:t>(</w:t>
      </w:r>
      <w:r w:rsidRPr="00332C8B">
        <w:rPr>
          <w:rFonts w:asciiTheme="minorHAnsi" w:eastAsia="Calibri" w:hAnsiTheme="minorHAnsi" w:cstheme="minorHAnsi"/>
          <w:color w:val="000000" w:themeColor="text1"/>
          <w:kern w:val="24"/>
          <w:sz w:val="22"/>
          <w:szCs w:val="22"/>
          <w:lang w:eastAsia="en-GB"/>
        </w:rPr>
        <w:t xml:space="preserve">BMI </w:t>
      </w:r>
      <w:r w:rsidRPr="00332C8B">
        <w:rPr>
          <w:rFonts w:asciiTheme="minorHAnsi" w:eastAsia="Calibri" w:hAnsiTheme="minorHAnsi" w:cstheme="minorHAnsi"/>
          <w:color w:val="000000" w:themeColor="text1"/>
          <w:sz w:val="22"/>
          <w:szCs w:val="22"/>
          <w:lang w:val="en-US"/>
        </w:rPr>
        <w:t xml:space="preserve">&lt; or </w:t>
      </w:r>
      <w:r w:rsidRPr="00332C8B">
        <w:rPr>
          <w:rFonts w:asciiTheme="minorHAnsi" w:eastAsia="Calibri" w:hAnsiTheme="minorHAnsi" w:cstheme="minorHAnsi"/>
          <w:color w:val="000000" w:themeColor="text1"/>
          <w:sz w:val="22"/>
          <w:szCs w:val="22"/>
          <w:lang w:val="en-US"/>
        </w:rPr>
        <w:sym w:font="Symbol" w:char="F0B3"/>
      </w:r>
      <w:r w:rsidRPr="00332C8B">
        <w:rPr>
          <w:rFonts w:asciiTheme="minorHAnsi" w:eastAsia="Calibri" w:hAnsiTheme="minorHAnsi" w:cstheme="minorHAnsi"/>
          <w:color w:val="000000" w:themeColor="text1"/>
          <w:sz w:val="22"/>
          <w:szCs w:val="22"/>
          <w:lang w:val="en-US"/>
        </w:rPr>
        <w:t xml:space="preserve"> 30</w:t>
      </w:r>
      <w:r w:rsidR="00FA783B" w:rsidRPr="00332C8B">
        <w:rPr>
          <w:rFonts w:asciiTheme="minorHAnsi" w:eastAsia="Calibri" w:hAnsiTheme="minorHAnsi" w:cstheme="minorHAnsi"/>
          <w:color w:val="000000" w:themeColor="text1"/>
          <w:sz w:val="22"/>
          <w:szCs w:val="22"/>
          <w:lang w:val="en-US"/>
        </w:rPr>
        <w:t>)</w:t>
      </w:r>
      <w:r w:rsidR="00246291" w:rsidRPr="00332C8B">
        <w:rPr>
          <w:rFonts w:asciiTheme="minorHAnsi" w:eastAsia="Calibri" w:hAnsiTheme="minorHAnsi" w:cstheme="minorHAnsi"/>
          <w:color w:val="000000" w:themeColor="text1"/>
          <w:sz w:val="22"/>
          <w:szCs w:val="22"/>
          <w:lang w:val="en-US"/>
        </w:rPr>
        <w:t>,</w:t>
      </w:r>
      <w:r w:rsidRPr="00332C8B">
        <w:rPr>
          <w:rFonts w:asciiTheme="minorHAnsi" w:eastAsia="Calibri" w:hAnsiTheme="minorHAnsi" w:cstheme="minorHAnsi"/>
          <w:color w:val="000000" w:themeColor="text1"/>
          <w:sz w:val="22"/>
          <w:szCs w:val="22"/>
          <w:lang w:val="en-US"/>
        </w:rPr>
        <w:t xml:space="preserve"> finding no difference in the </w:t>
      </w:r>
      <w:r w:rsidR="00246291" w:rsidRPr="00332C8B">
        <w:rPr>
          <w:rFonts w:asciiTheme="minorHAnsi" w:eastAsia="Calibri" w:hAnsiTheme="minorHAnsi" w:cstheme="minorHAnsi"/>
          <w:color w:val="000000" w:themeColor="text1"/>
          <w:sz w:val="22"/>
          <w:szCs w:val="22"/>
          <w:lang w:val="en-US"/>
        </w:rPr>
        <w:t xml:space="preserve">post-operative </w:t>
      </w:r>
      <w:r w:rsidRPr="00332C8B">
        <w:rPr>
          <w:rFonts w:asciiTheme="minorHAnsi" w:eastAsia="Calibri" w:hAnsiTheme="minorHAnsi" w:cstheme="minorHAnsi"/>
          <w:color w:val="000000" w:themeColor="text1"/>
          <w:sz w:val="22"/>
          <w:szCs w:val="22"/>
          <w:lang w:val="en-US"/>
        </w:rPr>
        <w:t>complication rate.</w:t>
      </w:r>
    </w:p>
    <w:p w14:paraId="4DD0E9A6" w14:textId="77777777" w:rsidR="001706DA" w:rsidRPr="00332C8B" w:rsidRDefault="001706DA" w:rsidP="00F0414E">
      <w:pPr>
        <w:spacing w:line="480" w:lineRule="auto"/>
        <w:rPr>
          <w:rFonts w:asciiTheme="minorHAnsi" w:eastAsia="Calibri" w:hAnsiTheme="minorHAnsi" w:cstheme="minorHAnsi"/>
          <w:b/>
          <w:bCs/>
          <w:color w:val="000000" w:themeColor="text1"/>
          <w:sz w:val="22"/>
          <w:szCs w:val="22"/>
        </w:rPr>
      </w:pPr>
      <w:r w:rsidRPr="00332C8B">
        <w:rPr>
          <w:rFonts w:asciiTheme="minorHAnsi" w:eastAsia="Calibri" w:hAnsiTheme="minorHAnsi" w:cstheme="minorHAnsi"/>
          <w:b/>
          <w:bCs/>
          <w:color w:val="000000" w:themeColor="text1"/>
          <w:sz w:val="22"/>
          <w:szCs w:val="22"/>
        </w:rPr>
        <w:t>Table 3</w:t>
      </w:r>
    </w:p>
    <w:p w14:paraId="62A0594C" w14:textId="4AB1F9C7" w:rsidR="001706DA" w:rsidRPr="00332C8B" w:rsidRDefault="002D351B" w:rsidP="00F0414E">
      <w:pPr>
        <w:spacing w:line="480" w:lineRule="auto"/>
        <w:rPr>
          <w:rFonts w:asciiTheme="minorHAnsi" w:eastAsia="Calibri" w:hAnsiTheme="minorHAnsi" w:cstheme="minorHAnsi"/>
          <w:color w:val="000000" w:themeColor="text1"/>
          <w:sz w:val="22"/>
          <w:szCs w:val="22"/>
        </w:rPr>
      </w:pPr>
      <w:r w:rsidRPr="00332C8B">
        <w:rPr>
          <w:rFonts w:asciiTheme="minorHAnsi" w:eastAsia="Calibri" w:hAnsiTheme="minorHAnsi" w:cstheme="minorHAnsi"/>
          <w:color w:val="000000" w:themeColor="text1"/>
          <w:sz w:val="22"/>
          <w:szCs w:val="22"/>
        </w:rPr>
        <w:t>Derived measures</w:t>
      </w:r>
      <w:r w:rsidR="001706DA" w:rsidRPr="00332C8B">
        <w:rPr>
          <w:rFonts w:asciiTheme="minorHAnsi" w:eastAsia="Calibri" w:hAnsiTheme="minorHAnsi" w:cstheme="minorHAnsi"/>
          <w:color w:val="000000" w:themeColor="text1"/>
          <w:sz w:val="22"/>
          <w:szCs w:val="22"/>
        </w:rPr>
        <w:t xml:space="preserve"> and post-operative complications</w:t>
      </w:r>
    </w:p>
    <w:p w14:paraId="6BA1B011" w14:textId="77777777" w:rsidR="002D351B" w:rsidRPr="00332C8B" w:rsidRDefault="002D351B" w:rsidP="00F0414E">
      <w:pPr>
        <w:spacing w:line="480" w:lineRule="auto"/>
        <w:rPr>
          <w:rFonts w:asciiTheme="minorHAnsi" w:eastAsia="Calibri" w:hAnsiTheme="minorHAnsi" w:cstheme="minorHAnsi"/>
          <w:color w:val="000000" w:themeColor="text1"/>
          <w:sz w:val="22"/>
          <w:szCs w:val="22"/>
        </w:rPr>
      </w:pPr>
    </w:p>
    <w:tbl>
      <w:tblPr>
        <w:tblStyle w:val="ListTable6Colorful1"/>
        <w:tblW w:w="0" w:type="auto"/>
        <w:jc w:val="center"/>
        <w:tblLook w:val="04A0" w:firstRow="1" w:lastRow="0" w:firstColumn="1" w:lastColumn="0" w:noHBand="0" w:noVBand="1"/>
      </w:tblPr>
      <w:tblGrid>
        <w:gridCol w:w="1134"/>
        <w:gridCol w:w="1052"/>
        <w:gridCol w:w="1417"/>
        <w:gridCol w:w="1170"/>
        <w:gridCol w:w="4316"/>
      </w:tblGrid>
      <w:tr w:rsidR="00504C3C" w:rsidRPr="00332C8B" w14:paraId="04B0D6D1" w14:textId="77777777" w:rsidTr="00C34AFB">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134" w:type="dxa"/>
            <w:tcBorders>
              <w:top w:val="single" w:sz="12" w:space="0" w:color="auto"/>
              <w:bottom w:val="single" w:sz="12" w:space="0" w:color="auto"/>
            </w:tcBorders>
            <w:vAlign w:val="center"/>
          </w:tcPr>
          <w:p w14:paraId="3C8EAA34" w14:textId="77777777" w:rsidR="00A641DE" w:rsidRPr="00332C8B" w:rsidRDefault="00A641DE" w:rsidP="00F0414E">
            <w:pPr>
              <w:spacing w:line="480" w:lineRule="auto"/>
              <w:jc w:val="center"/>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Author, Year</w:t>
            </w:r>
          </w:p>
        </w:tc>
        <w:tc>
          <w:tcPr>
            <w:tcW w:w="993" w:type="dxa"/>
            <w:tcBorders>
              <w:top w:val="single" w:sz="12" w:space="0" w:color="auto"/>
              <w:bottom w:val="single" w:sz="12" w:space="0" w:color="auto"/>
            </w:tcBorders>
            <w:vAlign w:val="center"/>
          </w:tcPr>
          <w:p w14:paraId="48244E74" w14:textId="0AF2807F" w:rsidR="00A641DE" w:rsidRPr="00332C8B" w:rsidRDefault="00A641DE" w:rsidP="00F0414E">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BIA variable</w:t>
            </w:r>
            <w:r w:rsidR="00A34CA2" w:rsidRPr="00332C8B">
              <w:rPr>
                <w:rFonts w:asciiTheme="minorHAnsi" w:eastAsia="Calibri" w:hAnsiTheme="minorHAnsi" w:cstheme="minorHAnsi"/>
                <w:color w:val="000000" w:themeColor="text1"/>
                <w:sz w:val="20"/>
                <w:szCs w:val="20"/>
              </w:rPr>
              <w:t>/</w:t>
            </w:r>
            <w:r w:rsidRPr="00332C8B">
              <w:rPr>
                <w:rFonts w:asciiTheme="minorHAnsi" w:eastAsia="Calibri" w:hAnsiTheme="minorHAnsi" w:cstheme="minorHAnsi"/>
                <w:color w:val="000000" w:themeColor="text1"/>
                <w:sz w:val="20"/>
                <w:szCs w:val="20"/>
              </w:rPr>
              <w:t>s</w:t>
            </w:r>
          </w:p>
        </w:tc>
        <w:tc>
          <w:tcPr>
            <w:tcW w:w="1417" w:type="dxa"/>
            <w:tcBorders>
              <w:top w:val="single" w:sz="12" w:space="0" w:color="auto"/>
              <w:bottom w:val="single" w:sz="12" w:space="0" w:color="auto"/>
            </w:tcBorders>
            <w:vAlign w:val="center"/>
          </w:tcPr>
          <w:p w14:paraId="36617EBC" w14:textId="1890C33B" w:rsidR="000A3ADE" w:rsidRPr="00332C8B" w:rsidRDefault="00A641DE" w:rsidP="00F0414E">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Specific</w:t>
            </w:r>
          </w:p>
          <w:p w14:paraId="33E28F82" w14:textId="3E0A90CB" w:rsidR="00A641DE" w:rsidRPr="00332C8B" w:rsidRDefault="00A641DE" w:rsidP="00F0414E">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cut-off</w:t>
            </w:r>
          </w:p>
        </w:tc>
        <w:tc>
          <w:tcPr>
            <w:tcW w:w="1166" w:type="dxa"/>
            <w:tcBorders>
              <w:top w:val="single" w:sz="12" w:space="0" w:color="auto"/>
              <w:bottom w:val="single" w:sz="12" w:space="0" w:color="auto"/>
            </w:tcBorders>
            <w:vAlign w:val="center"/>
          </w:tcPr>
          <w:p w14:paraId="15A84020" w14:textId="77777777" w:rsidR="00A641DE" w:rsidRPr="00332C8B" w:rsidRDefault="00A641DE" w:rsidP="00F0414E">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Association reported</w:t>
            </w:r>
          </w:p>
        </w:tc>
        <w:tc>
          <w:tcPr>
            <w:tcW w:w="4316" w:type="dxa"/>
            <w:tcBorders>
              <w:top w:val="single" w:sz="12" w:space="0" w:color="auto"/>
              <w:bottom w:val="single" w:sz="12" w:space="0" w:color="auto"/>
            </w:tcBorders>
            <w:vAlign w:val="center"/>
          </w:tcPr>
          <w:p w14:paraId="72B0D38E" w14:textId="77777777" w:rsidR="00A641DE" w:rsidRPr="00332C8B" w:rsidRDefault="00A641DE" w:rsidP="00F0414E">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Results</w:t>
            </w:r>
          </w:p>
        </w:tc>
      </w:tr>
      <w:tr w:rsidR="00504C3C" w:rsidRPr="00332C8B" w14:paraId="58868B73" w14:textId="77777777" w:rsidTr="00C34AFB">
        <w:trPr>
          <w:cnfStyle w:val="000000100000" w:firstRow="0" w:lastRow="0" w:firstColumn="0" w:lastColumn="0" w:oddVBand="0" w:evenVBand="0" w:oddHBand="1" w:evenHBand="0" w:firstRowFirstColumn="0" w:firstRowLastColumn="0" w:lastRowFirstColumn="0" w:lastRowLastColumn="0"/>
          <w:trHeight w:val="907"/>
          <w:jc w:val="center"/>
        </w:trPr>
        <w:tc>
          <w:tcPr>
            <w:cnfStyle w:val="001000000000" w:firstRow="0" w:lastRow="0" w:firstColumn="1" w:lastColumn="0" w:oddVBand="0" w:evenVBand="0" w:oddHBand="0" w:evenHBand="0" w:firstRowFirstColumn="0" w:firstRowLastColumn="0" w:lastRowFirstColumn="0" w:lastRowLastColumn="0"/>
            <w:tcW w:w="1134" w:type="dxa"/>
            <w:tcBorders>
              <w:top w:val="single" w:sz="12" w:space="0" w:color="auto"/>
            </w:tcBorders>
            <w:shd w:val="clear" w:color="auto" w:fill="auto"/>
            <w:vAlign w:val="center"/>
          </w:tcPr>
          <w:p w14:paraId="0F2DB684" w14:textId="7DE41C49" w:rsidR="00A641DE" w:rsidRPr="00332C8B" w:rsidRDefault="00A641DE" w:rsidP="00F0414E">
            <w:pPr>
              <w:spacing w:line="480" w:lineRule="auto"/>
              <w:jc w:val="center"/>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Tamura, 2019</w:t>
            </w:r>
            <w:r w:rsidR="003662F1" w:rsidRPr="00332C8B">
              <w:rPr>
                <w:rFonts w:asciiTheme="minorHAnsi" w:eastAsia="Calibri" w:hAnsiTheme="minorHAnsi" w:cstheme="minorHAnsi"/>
                <w:color w:val="000000" w:themeColor="text1"/>
                <w:sz w:val="20"/>
                <w:szCs w:val="20"/>
              </w:rPr>
              <w:fldChar w:fldCharType="begin" w:fldLock="1"/>
            </w:r>
            <w:r w:rsidR="00F66CFF" w:rsidRPr="00332C8B">
              <w:rPr>
                <w:rFonts w:asciiTheme="minorHAnsi" w:eastAsia="Calibri" w:hAnsiTheme="minorHAnsi" w:cstheme="minorHAnsi"/>
                <w:color w:val="000000" w:themeColor="text1"/>
                <w:sz w:val="20"/>
                <w:szCs w:val="20"/>
              </w:rPr>
              <w:instrText>ADDIN CSL_CITATION {"citationItems":[{"id":"ITEM-1","itemData":{"DOI":"10.21873/anticanres.13203","ISSN":"0250-7005","abstract":"Background: Sarcopenia is known to have an important influence on\npostoperative complications in several diseases, and on the prognosis of\npatients with cancer. However, whether sarcopenia is associated with\ncomplications and prognosis after gastrectomy in patients with gastric\ncancer remains controversial. This study evaluated the impact of the\npreoperative muscle mass on postoperative complications of gastric\ncancer surgery. Materials and Methods: The muscle mass of 153 patients\nwho underwent gastrectomy for gastric cancer from January 2014 to August\n2016 was assessed before surgery by a multifrequency bioelectrical\nimpedance analysis (In Body 3.0; Biospace, Tokyo, Japan) and was\nexpressed as the muscle mass index (MMI). Sarcopenia was defined as an\nMMI value of one standard deviation or more below the gender-specific\nmean MMI. Complications of Clavien-Dindo grade 2 or more were defined as\nsignificant postoperative complications. The impact of preoperative\nsarcopenia on postoperative infectious complications was analyzed by\nunivariate and multivariate analyses. Results: A total of 153 patients\nwere analyzed, sarcopenia was present in 24 out of 153 patients\n(15.7%). Thirty (19.6%) patients developed postoperative\ncomplications, 20 (13.1%) of which were infectious complications.\nSarcopenia was significantly associated with age, body mass index, serum\nalbumin, pulmonary disease in comorbidities, operative time, surgical\napproach, and postoperative complications. The univariate analyses\nrevealed that male sex, sarcopenia, total gastrectomy, laparotomy, and\nintraoperative blood loss were associated with postoperative infectious\ncomplications. In the multivariate analyses, sarcopenia and\nintraoperative blood loss &gt;= 400 ml were independently associated with\npostoperative infectious complications. Conclusion: Preoperative\nsarcopenia was found to be an independent risk factor for postoperative\ninfectious complications in gastric cancer patients.","author":[{"dropping-particle":"","family":"Tamura","given":"Tatsuro","non-dropping-particle":"","parse-names":false,"suffix":""},{"dropping-particle":"","family":"Sakurai","given":"Katsunobu","non-dropping-particle":"","parse-names":false,"suffix":""},{"dropping-particle":"","family":"Nambara","given":"Mikio","non-dropping-particle":"","parse-names":false,"suffix":""},{"dropping-particle":"","family":"Miki","given":"Yuichiro","non-dropping-particle":"","parse-names":false,"suffix":""},{"dropping-particle":"","family":"Toyokawa","given":"Takahiro","non-dropping-particle":"","parse-names":false,"suffix":""},{"dropping-particle":"","family":"Kubo","given":"Naoshi","non-dropping-particle":"","parse-names":false,"suffix":""},{"dropping-particle":"","family":"Tanaka","given":"Hiroaki","non-dropping-particle":"","parse-names":false,"suffix":""},{"dropping-particle":"","family":"Muguruma","given":"Kazuya","non-dropping-particle":"","parse-names":false,"suffix":""},{"dropping-particle":"","family":"Yashiro","given":"Masakazu","non-dropping-particle":"","parse-names":false,"suffix":""},{"dropping-particle":"","family":"Ohira","given":"Masaichi","non-dropping-particle":"","parse-names":false,"suffix":""}],"container-title":"ANTICANCER RESEARCH","id":"ITEM-1","issue":"2","issued":{"date-parts":[["2019","2"]]},"page":"987-992","title":"Adverse Effects of Preoperative Sarcopenia on Postoperative Complications of Patients With Gastric Cancer","type":"article-journal","volume":"39"},"uris":["http://www.mendeley.com/documents/?uuid=b0dc6cbe-eae3-4fb0-979a-e02b6496d53b"]}],"mendeley":{"formattedCitation":"[33]","plainTextFormattedCitation":"[33]","previouslyFormattedCitation":"[34]"},"properties":{"noteIndex":0},"schema":"https://github.com/citation-style-language/schema/raw/master/csl-citation.json"}</w:instrText>
            </w:r>
            <w:r w:rsidR="003662F1" w:rsidRPr="00332C8B">
              <w:rPr>
                <w:rFonts w:asciiTheme="minorHAnsi" w:eastAsia="Calibri" w:hAnsiTheme="minorHAnsi" w:cstheme="minorHAnsi"/>
                <w:color w:val="000000" w:themeColor="text1"/>
                <w:sz w:val="20"/>
                <w:szCs w:val="20"/>
              </w:rPr>
              <w:fldChar w:fldCharType="separate"/>
            </w:r>
            <w:r w:rsidR="00F66CFF" w:rsidRPr="00332C8B">
              <w:rPr>
                <w:rFonts w:asciiTheme="minorHAnsi" w:eastAsia="Calibri" w:hAnsiTheme="minorHAnsi" w:cstheme="minorHAnsi"/>
                <w:b w:val="0"/>
                <w:noProof/>
                <w:color w:val="000000" w:themeColor="text1"/>
                <w:sz w:val="20"/>
                <w:szCs w:val="20"/>
              </w:rPr>
              <w:t>[33]</w:t>
            </w:r>
            <w:r w:rsidR="003662F1" w:rsidRPr="00332C8B">
              <w:rPr>
                <w:rFonts w:asciiTheme="minorHAnsi" w:eastAsia="Calibri" w:hAnsiTheme="minorHAnsi" w:cstheme="minorHAnsi"/>
                <w:color w:val="000000" w:themeColor="text1"/>
                <w:sz w:val="20"/>
                <w:szCs w:val="20"/>
              </w:rPr>
              <w:fldChar w:fldCharType="end"/>
            </w:r>
          </w:p>
        </w:tc>
        <w:tc>
          <w:tcPr>
            <w:tcW w:w="993" w:type="dxa"/>
            <w:tcBorders>
              <w:top w:val="single" w:sz="12" w:space="0" w:color="auto"/>
            </w:tcBorders>
            <w:shd w:val="clear" w:color="auto" w:fill="auto"/>
            <w:vAlign w:val="center"/>
          </w:tcPr>
          <w:p w14:paraId="67BFAE55" w14:textId="77777777" w:rsidR="00A641DE" w:rsidRPr="00332C8B" w:rsidRDefault="00A641DE"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MMI</w:t>
            </w:r>
          </w:p>
        </w:tc>
        <w:tc>
          <w:tcPr>
            <w:tcW w:w="1417" w:type="dxa"/>
            <w:tcBorders>
              <w:top w:val="single" w:sz="12" w:space="0" w:color="auto"/>
            </w:tcBorders>
            <w:shd w:val="clear" w:color="auto" w:fill="auto"/>
            <w:vAlign w:val="center"/>
          </w:tcPr>
          <w:p w14:paraId="3F8FDE8D" w14:textId="77777777" w:rsidR="00A641DE" w:rsidRPr="00332C8B" w:rsidRDefault="00A641DE"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 xml:space="preserve">MMI &lt; 1 </w:t>
            </w:r>
            <w:r w:rsidR="009A58D9" w:rsidRPr="00332C8B">
              <w:rPr>
                <w:rFonts w:asciiTheme="minorHAnsi" w:eastAsia="Calibri" w:hAnsiTheme="minorHAnsi" w:cstheme="minorHAnsi"/>
                <w:color w:val="000000" w:themeColor="text1"/>
                <w:sz w:val="20"/>
                <w:szCs w:val="20"/>
              </w:rPr>
              <w:sym w:font="Symbol" w:char="F073"/>
            </w:r>
            <w:r w:rsidR="009A58D9" w:rsidRPr="00332C8B">
              <w:rPr>
                <w:rFonts w:asciiTheme="minorHAnsi" w:eastAsia="Calibri" w:hAnsiTheme="minorHAnsi" w:cstheme="minorHAnsi"/>
                <w:color w:val="000000" w:themeColor="text1"/>
                <w:sz w:val="20"/>
                <w:szCs w:val="20"/>
              </w:rPr>
              <w:t xml:space="preserve"> </w:t>
            </w:r>
            <w:r w:rsidRPr="00332C8B">
              <w:rPr>
                <w:rFonts w:asciiTheme="minorHAnsi" w:eastAsia="Calibri" w:hAnsiTheme="minorHAnsi" w:cstheme="minorHAnsi"/>
                <w:color w:val="000000" w:themeColor="text1"/>
                <w:sz w:val="20"/>
                <w:szCs w:val="20"/>
              </w:rPr>
              <w:t>study population</w:t>
            </w:r>
          </w:p>
        </w:tc>
        <w:tc>
          <w:tcPr>
            <w:tcW w:w="1166" w:type="dxa"/>
            <w:tcBorders>
              <w:top w:val="single" w:sz="12" w:space="0" w:color="auto"/>
            </w:tcBorders>
            <w:shd w:val="clear" w:color="auto" w:fill="auto"/>
            <w:vAlign w:val="center"/>
          </w:tcPr>
          <w:p w14:paraId="0D59A1BD" w14:textId="77777777" w:rsidR="00A641DE" w:rsidRPr="00332C8B" w:rsidRDefault="00A641DE"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Yes</w:t>
            </w:r>
          </w:p>
        </w:tc>
        <w:tc>
          <w:tcPr>
            <w:tcW w:w="4316" w:type="dxa"/>
            <w:tcBorders>
              <w:top w:val="single" w:sz="12" w:space="0" w:color="auto"/>
            </w:tcBorders>
            <w:shd w:val="clear" w:color="auto" w:fill="auto"/>
            <w:vAlign w:val="center"/>
          </w:tcPr>
          <w:p w14:paraId="429E9352" w14:textId="7172201F" w:rsidR="00A641DE" w:rsidRPr="00332C8B" w:rsidRDefault="006B2A6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4"/>
                <w:sz w:val="20"/>
                <w:szCs w:val="20"/>
                <w:lang w:eastAsia="en-GB"/>
              </w:rPr>
            </w:pPr>
            <w:r w:rsidRPr="00332C8B">
              <w:rPr>
                <w:rFonts w:asciiTheme="minorHAnsi" w:hAnsiTheme="minorHAnsi" w:cstheme="minorHAnsi"/>
                <w:kern w:val="24"/>
                <w:sz w:val="20"/>
                <w:szCs w:val="20"/>
                <w:lang w:val="en-AU" w:eastAsia="en-GB"/>
              </w:rPr>
              <w:t>Lower MMI</w:t>
            </w:r>
            <w:r w:rsidR="00C32114" w:rsidRPr="00332C8B" w:rsidDel="00C32114">
              <w:rPr>
                <w:rFonts w:asciiTheme="minorHAnsi" w:hAnsiTheme="minorHAnsi" w:cstheme="minorHAnsi"/>
                <w:kern w:val="24"/>
                <w:sz w:val="20"/>
                <w:szCs w:val="20"/>
                <w:lang w:eastAsia="en-GB"/>
              </w:rPr>
              <w:t xml:space="preserve"> </w:t>
            </w:r>
            <w:r w:rsidR="00C32114" w:rsidRPr="00332C8B">
              <w:rPr>
                <w:rFonts w:asciiTheme="minorHAnsi" w:hAnsiTheme="minorHAnsi" w:cstheme="minorHAnsi"/>
                <w:kern w:val="24"/>
                <w:sz w:val="20"/>
                <w:szCs w:val="20"/>
                <w:lang w:eastAsia="en-GB"/>
              </w:rPr>
              <w:t>associated with</w:t>
            </w:r>
            <w:r w:rsidR="00A641DE" w:rsidRPr="00332C8B">
              <w:rPr>
                <w:rFonts w:asciiTheme="minorHAnsi" w:hAnsiTheme="minorHAnsi" w:cstheme="minorHAnsi"/>
                <w:kern w:val="24"/>
                <w:sz w:val="20"/>
                <w:szCs w:val="20"/>
                <w:lang w:eastAsia="en-GB"/>
              </w:rPr>
              <w:t xml:space="preserve"> </w:t>
            </w:r>
            <w:r w:rsidR="00504C3C" w:rsidRPr="00332C8B">
              <w:rPr>
                <w:rFonts w:asciiTheme="minorHAnsi" w:hAnsiTheme="minorHAnsi" w:cstheme="minorHAnsi"/>
                <w:kern w:val="24"/>
                <w:sz w:val="20"/>
                <w:szCs w:val="20"/>
                <w:lang w:eastAsia="en-GB"/>
              </w:rPr>
              <w:t>increased incidence of post-operative infectious complications</w:t>
            </w:r>
            <w:r w:rsidR="00C34AFB" w:rsidRPr="00332C8B">
              <w:rPr>
                <w:rFonts w:asciiTheme="minorHAnsi" w:hAnsiTheme="minorHAnsi" w:cstheme="minorHAnsi"/>
                <w:kern w:val="24"/>
                <w:sz w:val="20"/>
                <w:szCs w:val="20"/>
                <w:lang w:eastAsia="en-GB"/>
              </w:rPr>
              <w:t xml:space="preserve"> </w:t>
            </w:r>
            <w:r w:rsidR="00504C3C" w:rsidRPr="007B6F29">
              <w:rPr>
                <w:rFonts w:asciiTheme="minorHAnsi" w:eastAsia="Calibri" w:hAnsiTheme="minorHAnsi" w:cstheme="minorHAnsi"/>
                <w:color w:val="000000" w:themeColor="text1"/>
                <w:sz w:val="20"/>
                <w:szCs w:val="20"/>
                <w:lang w:val="en-US"/>
              </w:rPr>
              <w:t>(OR 4.358</w:t>
            </w:r>
            <w:r w:rsidR="007B6F29">
              <w:rPr>
                <w:rFonts w:asciiTheme="minorHAnsi" w:eastAsia="Calibri" w:hAnsiTheme="minorHAnsi" w:cstheme="minorHAnsi"/>
                <w:color w:val="000000" w:themeColor="text1"/>
                <w:sz w:val="20"/>
                <w:szCs w:val="20"/>
                <w:lang w:val="en-US"/>
              </w:rPr>
              <w:t xml:space="preserve">, 95% CI: </w:t>
            </w:r>
            <w:r w:rsidR="00504C3C" w:rsidRPr="007B6F29">
              <w:rPr>
                <w:rFonts w:asciiTheme="minorHAnsi" w:eastAsia="Calibri" w:hAnsiTheme="minorHAnsi" w:cstheme="minorHAnsi"/>
                <w:color w:val="000000" w:themeColor="text1"/>
                <w:sz w:val="20"/>
                <w:szCs w:val="20"/>
                <w:lang w:val="en-US"/>
              </w:rPr>
              <w:t>1.224 – 15.721</w:t>
            </w:r>
            <w:r w:rsidR="007B6F29">
              <w:rPr>
                <w:rFonts w:asciiTheme="minorHAnsi" w:eastAsia="Calibri" w:hAnsiTheme="minorHAnsi" w:cstheme="minorHAnsi"/>
                <w:color w:val="000000" w:themeColor="text1"/>
                <w:sz w:val="20"/>
                <w:szCs w:val="20"/>
                <w:lang w:val="en-US"/>
              </w:rPr>
              <w:t>;</w:t>
            </w:r>
            <w:r w:rsidR="00504C3C" w:rsidRPr="007B6F29">
              <w:rPr>
                <w:rFonts w:asciiTheme="minorHAnsi" w:eastAsia="Calibri" w:hAnsiTheme="minorHAnsi" w:cstheme="minorHAnsi"/>
                <w:color w:val="000000" w:themeColor="text1"/>
                <w:sz w:val="20"/>
                <w:szCs w:val="20"/>
                <w:lang w:val="en-US"/>
              </w:rPr>
              <w:t xml:space="preserve"> p</w:t>
            </w:r>
            <w:r w:rsidR="007B6F29">
              <w:rPr>
                <w:rFonts w:asciiTheme="minorHAnsi" w:eastAsia="Calibri" w:hAnsiTheme="minorHAnsi" w:cstheme="minorHAnsi"/>
                <w:color w:val="000000" w:themeColor="text1"/>
                <w:sz w:val="20"/>
                <w:szCs w:val="20"/>
                <w:lang w:val="en-US"/>
              </w:rPr>
              <w:t xml:space="preserve"> </w:t>
            </w:r>
            <w:r w:rsidR="00504C3C" w:rsidRPr="007B6F29">
              <w:rPr>
                <w:rFonts w:asciiTheme="minorHAnsi" w:eastAsia="Calibri" w:hAnsiTheme="minorHAnsi" w:cstheme="minorHAnsi"/>
                <w:color w:val="000000" w:themeColor="text1"/>
                <w:sz w:val="20"/>
                <w:szCs w:val="20"/>
                <w:lang w:val="en-US"/>
              </w:rPr>
              <w:t>=</w:t>
            </w:r>
            <w:r w:rsidR="007B6F29">
              <w:rPr>
                <w:rFonts w:asciiTheme="minorHAnsi" w:eastAsia="Calibri" w:hAnsiTheme="minorHAnsi" w:cstheme="minorHAnsi"/>
                <w:color w:val="000000" w:themeColor="text1"/>
                <w:sz w:val="20"/>
                <w:szCs w:val="20"/>
                <w:lang w:val="en-US"/>
              </w:rPr>
              <w:t xml:space="preserve"> </w:t>
            </w:r>
            <w:r w:rsidR="00504C3C" w:rsidRPr="007B6F29">
              <w:rPr>
                <w:rFonts w:asciiTheme="minorHAnsi" w:eastAsia="Calibri" w:hAnsiTheme="minorHAnsi" w:cstheme="minorHAnsi"/>
                <w:color w:val="000000" w:themeColor="text1"/>
                <w:sz w:val="20"/>
                <w:szCs w:val="20"/>
                <w:lang w:val="en-US"/>
              </w:rPr>
              <w:t>0.024)</w:t>
            </w:r>
          </w:p>
        </w:tc>
      </w:tr>
      <w:tr w:rsidR="00504C3C" w:rsidRPr="00332C8B" w14:paraId="633782D2" w14:textId="77777777" w:rsidTr="00C34AFB">
        <w:trPr>
          <w:trHeight w:val="907"/>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vAlign w:val="center"/>
          </w:tcPr>
          <w:p w14:paraId="3CA0B2BD" w14:textId="1AB7838B" w:rsidR="00A641DE" w:rsidRPr="00332C8B" w:rsidRDefault="00A641DE" w:rsidP="00F0414E">
            <w:pPr>
              <w:spacing w:line="480" w:lineRule="auto"/>
              <w:jc w:val="center"/>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Tsaousi, 2017</w:t>
            </w:r>
            <w:r w:rsidR="003662F1" w:rsidRPr="00332C8B">
              <w:rPr>
                <w:rFonts w:asciiTheme="minorHAnsi" w:eastAsia="Calibri" w:hAnsiTheme="minorHAnsi" w:cstheme="minorHAnsi"/>
                <w:color w:val="000000" w:themeColor="text1"/>
                <w:sz w:val="20"/>
                <w:szCs w:val="20"/>
              </w:rPr>
              <w:fldChar w:fldCharType="begin" w:fldLock="1"/>
            </w:r>
            <w:r w:rsidR="00F66CFF" w:rsidRPr="00332C8B">
              <w:rPr>
                <w:rFonts w:asciiTheme="minorHAnsi" w:eastAsia="Calibri" w:hAnsiTheme="minorHAnsi" w:cstheme="minorHAnsi"/>
                <w:color w:val="000000" w:themeColor="text1"/>
                <w:sz w:val="20"/>
                <w:szCs w:val="20"/>
              </w:rPr>
              <w:instrText>ADDIN CSL_CITATION {"citationItems":[{"id":"ITEM-1","itemData":{"DOI":"10.1111/ecc.12491","ISSN":"0961-5423","abstract":"We aimed to ascertain the implementation of body composition assessment, by means of fat-free mass index (FFMI), fat mass index (FMI) and presence of sarcopenic obesity, in colorectal cancer population, on the basis of hospital length of stay (LOS) determination and to benchmark their discriminatory performance with other nutrition status algorithms, such as body mass index (BMI) and Malnutrition Universal Screening Tool (MUST). Ninety adult patients with operable colorectal cancer were enrolled. Study parameters included demographic and anthropometric data registration, BMI and MUST calculation and body composition parameters measurement within 24-h post-admission. Hospital LOS constituted the outcome of interest, using 7 days as cut-off point. Fifty-one patients (56.7%) were hospitalised for ≤7 days. The presence of sarcopenic obesity affected adversely hospital LOS (OR, 9.236; 95% CI, 3.278-26.173, P = 0.000). Low FFMI (OR, 7.457; 95% CI, 2.868-19.390, P = 0.000), malnutrition according to MUST (OR, 2.632; 95% CI, 1.280-5.413, P = 0.009) and high FMI (2.133; 95% CI, 1.111-4.094, P = 0.023) were the most powerful discriminators of accelerated hospitalisation. Loss of lean body tissue, gain of adipose tissue and sarcopenic obesity confer noteworthy prognostic value being superior or equivalent to MUST in terms of hospital LOS determination in colorectal cancer resection setting. BMI presents inferior discrimination performance in this field.","author":[{"dropping-particle":"","family":"Tsaousi","given":"G","non-dropping-particle":"","parse-names":false,"suffix":""},{"dropping-particle":"","family":"Kokkota","given":"S","non-dropping-particle":"","parse-names":false,"suffix":""},{"dropping-particle":"","family":"Papakostas","given":"P","non-dropping-particle":"","parse-names":false,"suffix":""},{"dropping-particle":"","family":"Stavrou","given":"G","non-dropping-particle":"","parse-names":false,"suffix":""},{"dropping-particle":"","family":"Doumaki","given":"E","non-dropping-particle":"","parse-names":false,"suffix":""},{"dropping-particle":"","family":"Kotzampassi","given":"K","non-dropping-particle":"","parse-names":false,"suffix":""}],"container-title":"European Journal of Cancer Care","id":"ITEM-1","issue":"6","issued":{"date-parts":[["2017","11"]]},"note":"Accession Number: 126068743. Language: English. Entry Date: 20171111. Revision Date: 20171111. Publication Type: Article; research; tables/charts. Journal Subset: Core Nursing; Europe; Nursing; Peer Reviewed; UK &amp;amp; Ireland. Instrumentation: Malnutrition Universal Screening Tool (MUST). NLM UID: 9301979.","page":"n/a-n/a","publisher":"Wiley-Blackwell","publisher-place":"Department of Anesthesiology and ICU, Faculty of Medicine, Aristotle University of Thessaloniki","title":"Body composition analysis for discrimination of prolonged hospital stay in colorectal cancer surgery patients.","type":"article-journal","volume":"26"},"uris":["http://www.mendeley.com/documents/?uuid=bfe70df8-2fb6-4892-9d8c-a4acc4b94327"]}],"mendeley":{"formattedCitation":"[32]","plainTextFormattedCitation":"[32]","previouslyFormattedCitation":"[33]"},"properties":{"noteIndex":0},"schema":"https://github.com/citation-style-language/schema/raw/master/csl-citation.json"}</w:instrText>
            </w:r>
            <w:r w:rsidR="003662F1" w:rsidRPr="00332C8B">
              <w:rPr>
                <w:rFonts w:asciiTheme="minorHAnsi" w:eastAsia="Calibri" w:hAnsiTheme="minorHAnsi" w:cstheme="minorHAnsi"/>
                <w:color w:val="000000" w:themeColor="text1"/>
                <w:sz w:val="20"/>
                <w:szCs w:val="20"/>
              </w:rPr>
              <w:fldChar w:fldCharType="separate"/>
            </w:r>
            <w:r w:rsidR="00F66CFF" w:rsidRPr="00332C8B">
              <w:rPr>
                <w:rFonts w:asciiTheme="minorHAnsi" w:eastAsia="Calibri" w:hAnsiTheme="minorHAnsi" w:cstheme="minorHAnsi"/>
                <w:b w:val="0"/>
                <w:noProof/>
                <w:color w:val="000000" w:themeColor="text1"/>
                <w:sz w:val="20"/>
                <w:szCs w:val="20"/>
              </w:rPr>
              <w:t>[32]</w:t>
            </w:r>
            <w:r w:rsidR="003662F1" w:rsidRPr="00332C8B">
              <w:rPr>
                <w:rFonts w:asciiTheme="minorHAnsi" w:eastAsia="Calibri" w:hAnsiTheme="minorHAnsi" w:cstheme="minorHAnsi"/>
                <w:color w:val="000000" w:themeColor="text1"/>
                <w:sz w:val="20"/>
                <w:szCs w:val="20"/>
              </w:rPr>
              <w:fldChar w:fldCharType="end"/>
            </w:r>
          </w:p>
        </w:tc>
        <w:tc>
          <w:tcPr>
            <w:tcW w:w="993" w:type="dxa"/>
            <w:shd w:val="clear" w:color="auto" w:fill="auto"/>
            <w:vAlign w:val="center"/>
          </w:tcPr>
          <w:p w14:paraId="7BF5CF14" w14:textId="77777777" w:rsidR="00A641DE" w:rsidRPr="00332C8B" w:rsidRDefault="00A641DE"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FFMI</w:t>
            </w:r>
          </w:p>
          <w:p w14:paraId="20162AFA" w14:textId="77777777" w:rsidR="00A641DE" w:rsidRPr="00332C8B" w:rsidRDefault="00A641DE"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FMI</w:t>
            </w:r>
          </w:p>
        </w:tc>
        <w:tc>
          <w:tcPr>
            <w:tcW w:w="1417" w:type="dxa"/>
            <w:shd w:val="clear" w:color="auto" w:fill="auto"/>
            <w:vAlign w:val="center"/>
          </w:tcPr>
          <w:p w14:paraId="0D7B8447" w14:textId="77777777" w:rsidR="00A641DE" w:rsidRPr="00332C8B" w:rsidRDefault="002876E4"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Length of stay</w:t>
            </w:r>
            <w:r w:rsidRPr="00332C8B">
              <w:rPr>
                <w:rFonts w:asciiTheme="minorHAnsi" w:eastAsia="Calibri" w:hAnsiTheme="minorHAnsi" w:cstheme="minorHAnsi"/>
                <w:sz w:val="20"/>
                <w:szCs w:val="20"/>
              </w:rPr>
              <w:t xml:space="preserve"> </w:t>
            </w:r>
            <w:r w:rsidRPr="00332C8B">
              <w:rPr>
                <w:rFonts w:asciiTheme="minorHAnsi" w:hAnsiTheme="minorHAnsi" w:cstheme="minorHAnsi"/>
                <w:kern w:val="24"/>
                <w:sz w:val="20"/>
                <w:szCs w:val="20"/>
                <w:lang w:eastAsia="en-GB"/>
              </w:rPr>
              <w:t>≤</w:t>
            </w:r>
            <w:r w:rsidRPr="00332C8B">
              <w:rPr>
                <w:rFonts w:asciiTheme="minorHAnsi" w:eastAsia="Calibri" w:hAnsiTheme="minorHAnsi" w:cstheme="minorHAnsi"/>
                <w:kern w:val="24"/>
                <w:sz w:val="20"/>
                <w:szCs w:val="20"/>
                <w:lang w:eastAsia="en-GB"/>
              </w:rPr>
              <w:t xml:space="preserve"> 7 days</w:t>
            </w:r>
          </w:p>
        </w:tc>
        <w:tc>
          <w:tcPr>
            <w:tcW w:w="1166" w:type="dxa"/>
            <w:shd w:val="clear" w:color="auto" w:fill="auto"/>
            <w:vAlign w:val="center"/>
          </w:tcPr>
          <w:p w14:paraId="568E47E5" w14:textId="77777777" w:rsidR="00A641DE" w:rsidRPr="00332C8B" w:rsidRDefault="00A641DE"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Yes</w:t>
            </w:r>
          </w:p>
        </w:tc>
        <w:tc>
          <w:tcPr>
            <w:tcW w:w="4316" w:type="dxa"/>
            <w:shd w:val="clear" w:color="auto" w:fill="auto"/>
            <w:vAlign w:val="center"/>
          </w:tcPr>
          <w:p w14:paraId="4754B0B3" w14:textId="1C2087AA" w:rsidR="004620CA" w:rsidRPr="00332C8B" w:rsidRDefault="00C74C76"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kern w:val="24"/>
                <w:sz w:val="20"/>
                <w:szCs w:val="20"/>
                <w:lang w:val="en-US" w:eastAsia="en-GB"/>
              </w:rPr>
            </w:pPr>
            <w:r w:rsidRPr="00332C8B">
              <w:rPr>
                <w:rFonts w:asciiTheme="minorHAnsi" w:eastAsia="Calibri" w:hAnsiTheme="minorHAnsi" w:cstheme="minorHAnsi"/>
                <w:kern w:val="24"/>
                <w:sz w:val="20"/>
                <w:szCs w:val="20"/>
                <w:lang w:val="en-US" w:eastAsia="en-GB"/>
              </w:rPr>
              <w:t>H</w:t>
            </w:r>
            <w:r w:rsidR="00366F33" w:rsidRPr="00332C8B">
              <w:rPr>
                <w:rFonts w:asciiTheme="minorHAnsi" w:eastAsia="Calibri" w:hAnsiTheme="minorHAnsi" w:cstheme="minorHAnsi"/>
                <w:kern w:val="24"/>
                <w:sz w:val="20"/>
                <w:szCs w:val="20"/>
                <w:lang w:eastAsia="en-GB"/>
              </w:rPr>
              <w:t xml:space="preserve">igher FFMI </w:t>
            </w:r>
            <w:r w:rsidRPr="00332C8B">
              <w:rPr>
                <w:rFonts w:asciiTheme="minorHAnsi" w:eastAsia="Calibri" w:hAnsiTheme="minorHAnsi" w:cstheme="minorHAnsi"/>
                <w:kern w:val="24"/>
                <w:sz w:val="20"/>
                <w:szCs w:val="20"/>
                <w:lang w:eastAsia="en-GB"/>
              </w:rPr>
              <w:t xml:space="preserve">associated with </w:t>
            </w:r>
            <w:r w:rsidRPr="00332C8B">
              <w:rPr>
                <w:rFonts w:asciiTheme="minorHAnsi" w:eastAsia="Calibri" w:hAnsiTheme="minorHAnsi" w:cstheme="minorHAnsi"/>
                <w:kern w:val="24"/>
                <w:sz w:val="20"/>
                <w:szCs w:val="20"/>
                <w:lang w:val="en-US" w:eastAsia="en-GB"/>
              </w:rPr>
              <w:t xml:space="preserve">LoS </w:t>
            </w:r>
            <w:r w:rsidR="004620CA" w:rsidRPr="00332C8B">
              <w:rPr>
                <w:rFonts w:asciiTheme="minorHAnsi" w:hAnsiTheme="minorHAnsi" w:cstheme="minorHAnsi"/>
                <w:kern w:val="24"/>
                <w:sz w:val="20"/>
                <w:szCs w:val="20"/>
                <w:lang w:eastAsia="en-GB"/>
              </w:rPr>
              <w:t>≤</w:t>
            </w:r>
            <w:r w:rsidRPr="00332C8B">
              <w:rPr>
                <w:rFonts w:asciiTheme="minorHAnsi" w:eastAsia="Calibri" w:hAnsiTheme="minorHAnsi" w:cstheme="minorHAnsi"/>
                <w:kern w:val="24"/>
                <w:sz w:val="20"/>
                <w:szCs w:val="20"/>
                <w:lang w:eastAsia="en-GB"/>
              </w:rPr>
              <w:t xml:space="preserve"> 7 days in both </w:t>
            </w:r>
            <w:r w:rsidRPr="00332C8B">
              <w:rPr>
                <w:rFonts w:ascii="Segoe UI Symbol" w:hAnsi="Segoe UI Symbol" w:cs="Segoe UI Symbol"/>
                <w:sz w:val="20"/>
                <w:szCs w:val="20"/>
                <w:shd w:val="clear" w:color="auto" w:fill="FFFFFF"/>
              </w:rPr>
              <w:t>♂</w:t>
            </w:r>
            <w:r w:rsidRPr="00332C8B">
              <w:rPr>
                <w:rFonts w:asciiTheme="minorHAnsi" w:hAnsiTheme="minorHAnsi" w:cstheme="minorHAnsi"/>
                <w:sz w:val="20"/>
                <w:szCs w:val="20"/>
                <w:shd w:val="clear" w:color="auto" w:fill="FFFFFF"/>
              </w:rPr>
              <w:t xml:space="preserve"> and</w:t>
            </w:r>
            <w:r w:rsidR="006B2A6E" w:rsidRPr="00332C8B">
              <w:rPr>
                <w:rFonts w:asciiTheme="minorHAnsi" w:hAnsiTheme="minorHAnsi" w:cstheme="minorHAnsi"/>
                <w:sz w:val="20"/>
                <w:szCs w:val="20"/>
                <w:shd w:val="clear" w:color="auto" w:fill="FFFFFF"/>
              </w:rPr>
              <w:t xml:space="preserve"> </w:t>
            </w:r>
            <w:r w:rsidR="00366F33" w:rsidRPr="00332C8B">
              <w:rPr>
                <w:rFonts w:ascii="Segoe UI Symbol" w:eastAsia="Calibri" w:hAnsi="Segoe UI Symbol" w:cs="Segoe UI Symbol"/>
                <w:kern w:val="24"/>
                <w:sz w:val="20"/>
                <w:szCs w:val="20"/>
                <w:lang w:val="en-US" w:eastAsia="en-GB"/>
              </w:rPr>
              <w:t>♀</w:t>
            </w:r>
            <w:r w:rsidR="00366F33" w:rsidRPr="00332C8B">
              <w:rPr>
                <w:rFonts w:asciiTheme="minorHAnsi" w:eastAsia="Calibri" w:hAnsiTheme="minorHAnsi" w:cstheme="minorHAnsi"/>
                <w:kern w:val="24"/>
                <w:sz w:val="20"/>
                <w:szCs w:val="20"/>
                <w:lang w:val="en-US" w:eastAsia="en-GB"/>
              </w:rPr>
              <w:t xml:space="preserve"> </w:t>
            </w:r>
            <w:r w:rsidR="004620CA" w:rsidRPr="00332C8B">
              <w:rPr>
                <w:rFonts w:asciiTheme="minorHAnsi" w:eastAsia="Calibri" w:hAnsiTheme="minorHAnsi" w:cstheme="minorHAnsi"/>
                <w:kern w:val="24"/>
                <w:sz w:val="20"/>
                <w:szCs w:val="20"/>
                <w:lang w:val="en-US" w:eastAsia="en-GB"/>
              </w:rPr>
              <w:t>(both p = 0.000)</w:t>
            </w:r>
          </w:p>
          <w:p w14:paraId="7839F9F7" w14:textId="2FFE1FF7" w:rsidR="00366F33" w:rsidRPr="00332C8B" w:rsidRDefault="00A34CA2"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kern w:val="24"/>
                <w:sz w:val="20"/>
                <w:szCs w:val="20"/>
                <w:lang w:val="en-US" w:eastAsia="en-GB"/>
              </w:rPr>
              <w:t>Higher FMI</w:t>
            </w:r>
            <w:r w:rsidR="003B79E3" w:rsidRPr="00332C8B">
              <w:rPr>
                <w:rFonts w:asciiTheme="minorHAnsi" w:eastAsia="Calibri" w:hAnsiTheme="minorHAnsi" w:cstheme="minorHAnsi"/>
                <w:kern w:val="24"/>
                <w:sz w:val="20"/>
                <w:szCs w:val="20"/>
                <w:lang w:val="en-US" w:eastAsia="en-GB"/>
              </w:rPr>
              <w:t xml:space="preserve"> </w:t>
            </w:r>
            <w:r w:rsidR="004620CA" w:rsidRPr="00332C8B">
              <w:rPr>
                <w:rFonts w:asciiTheme="minorHAnsi" w:eastAsia="Calibri" w:hAnsiTheme="minorHAnsi" w:cstheme="minorHAnsi"/>
                <w:kern w:val="24"/>
                <w:sz w:val="20"/>
                <w:szCs w:val="20"/>
                <w:lang w:val="en-US" w:eastAsia="en-GB"/>
              </w:rPr>
              <w:t>associated with LoS &gt; 7 days</w:t>
            </w:r>
            <w:r w:rsidR="004620CA" w:rsidRPr="00332C8B">
              <w:rPr>
                <w:rFonts w:asciiTheme="minorHAnsi" w:eastAsia="Calibri" w:hAnsiTheme="minorHAnsi" w:cstheme="minorHAnsi"/>
                <w:kern w:val="24"/>
                <w:sz w:val="20"/>
                <w:szCs w:val="20"/>
                <w:lang w:eastAsia="en-GB"/>
              </w:rPr>
              <w:t xml:space="preserve"> in both </w:t>
            </w:r>
            <w:r w:rsidR="004620CA" w:rsidRPr="00332C8B">
              <w:rPr>
                <w:rFonts w:ascii="Segoe UI Symbol" w:hAnsi="Segoe UI Symbol" w:cs="Segoe UI Symbol"/>
                <w:sz w:val="20"/>
                <w:szCs w:val="20"/>
                <w:shd w:val="clear" w:color="auto" w:fill="FFFFFF"/>
              </w:rPr>
              <w:t>♂</w:t>
            </w:r>
            <w:r w:rsidR="004620CA" w:rsidRPr="00332C8B">
              <w:rPr>
                <w:rFonts w:asciiTheme="minorHAnsi" w:hAnsiTheme="minorHAnsi" w:cstheme="minorHAnsi"/>
                <w:sz w:val="20"/>
                <w:szCs w:val="20"/>
                <w:shd w:val="clear" w:color="auto" w:fill="FFFFFF"/>
              </w:rPr>
              <w:t xml:space="preserve"> (p</w:t>
            </w:r>
            <w:r w:rsidR="00436B1F">
              <w:rPr>
                <w:rFonts w:asciiTheme="minorHAnsi" w:hAnsiTheme="minorHAnsi" w:cstheme="minorHAnsi"/>
                <w:sz w:val="20"/>
                <w:szCs w:val="20"/>
                <w:shd w:val="clear" w:color="auto" w:fill="FFFFFF"/>
              </w:rPr>
              <w:t xml:space="preserve"> </w:t>
            </w:r>
            <w:r w:rsidR="004620CA" w:rsidRPr="00332C8B">
              <w:rPr>
                <w:rFonts w:asciiTheme="minorHAnsi" w:hAnsiTheme="minorHAnsi" w:cstheme="minorHAnsi"/>
                <w:sz w:val="20"/>
                <w:szCs w:val="20"/>
                <w:shd w:val="clear" w:color="auto" w:fill="FFFFFF"/>
              </w:rPr>
              <w:t>=</w:t>
            </w:r>
            <w:r w:rsidR="00436B1F">
              <w:rPr>
                <w:rFonts w:asciiTheme="minorHAnsi" w:hAnsiTheme="minorHAnsi" w:cstheme="minorHAnsi"/>
                <w:sz w:val="20"/>
                <w:szCs w:val="20"/>
                <w:shd w:val="clear" w:color="auto" w:fill="FFFFFF"/>
              </w:rPr>
              <w:t xml:space="preserve"> </w:t>
            </w:r>
            <w:r w:rsidR="004620CA" w:rsidRPr="00332C8B">
              <w:rPr>
                <w:rFonts w:asciiTheme="minorHAnsi" w:hAnsiTheme="minorHAnsi" w:cstheme="minorHAnsi"/>
                <w:sz w:val="20"/>
                <w:szCs w:val="20"/>
                <w:shd w:val="clear" w:color="auto" w:fill="FFFFFF"/>
              </w:rPr>
              <w:t>0.019) and</w:t>
            </w:r>
            <w:r w:rsidR="009D37A8" w:rsidRPr="00332C8B">
              <w:rPr>
                <w:rFonts w:asciiTheme="minorHAnsi" w:hAnsiTheme="minorHAnsi" w:cstheme="minorHAnsi"/>
                <w:sz w:val="20"/>
                <w:szCs w:val="20"/>
                <w:shd w:val="clear" w:color="auto" w:fill="FFFFFF"/>
              </w:rPr>
              <w:t xml:space="preserve"> </w:t>
            </w:r>
            <w:r w:rsidR="004620CA" w:rsidRPr="00332C8B">
              <w:rPr>
                <w:rFonts w:ascii="Segoe UI Symbol" w:eastAsia="Calibri" w:hAnsi="Segoe UI Symbol" w:cs="Segoe UI Symbol"/>
                <w:kern w:val="24"/>
                <w:sz w:val="20"/>
                <w:szCs w:val="20"/>
                <w:lang w:val="en-US" w:eastAsia="en-GB"/>
              </w:rPr>
              <w:t>♀</w:t>
            </w:r>
            <w:r w:rsidR="004620CA" w:rsidRPr="00332C8B">
              <w:rPr>
                <w:rFonts w:asciiTheme="minorHAnsi" w:eastAsia="Calibri" w:hAnsiTheme="minorHAnsi" w:cstheme="minorHAnsi"/>
                <w:kern w:val="24"/>
                <w:sz w:val="20"/>
                <w:szCs w:val="20"/>
                <w:lang w:val="en-US" w:eastAsia="en-GB"/>
              </w:rPr>
              <w:t xml:space="preserve"> (p</w:t>
            </w:r>
            <w:r w:rsidR="00436B1F">
              <w:rPr>
                <w:rFonts w:asciiTheme="minorHAnsi" w:eastAsia="Calibri" w:hAnsiTheme="minorHAnsi" w:cstheme="minorHAnsi"/>
                <w:kern w:val="24"/>
                <w:sz w:val="20"/>
                <w:szCs w:val="20"/>
                <w:lang w:val="en-US" w:eastAsia="en-GB"/>
              </w:rPr>
              <w:t xml:space="preserve"> </w:t>
            </w:r>
            <w:r w:rsidR="004620CA" w:rsidRPr="00332C8B">
              <w:rPr>
                <w:rFonts w:asciiTheme="minorHAnsi" w:eastAsia="Calibri" w:hAnsiTheme="minorHAnsi" w:cstheme="minorHAnsi"/>
                <w:kern w:val="24"/>
                <w:sz w:val="20"/>
                <w:szCs w:val="20"/>
                <w:lang w:val="en-US" w:eastAsia="en-GB"/>
              </w:rPr>
              <w:t>=</w:t>
            </w:r>
            <w:r w:rsidR="00436B1F">
              <w:rPr>
                <w:rFonts w:asciiTheme="minorHAnsi" w:eastAsia="Calibri" w:hAnsiTheme="minorHAnsi" w:cstheme="minorHAnsi"/>
                <w:kern w:val="24"/>
                <w:sz w:val="20"/>
                <w:szCs w:val="20"/>
                <w:lang w:val="en-US" w:eastAsia="en-GB"/>
              </w:rPr>
              <w:t xml:space="preserve"> </w:t>
            </w:r>
            <w:r w:rsidR="004620CA" w:rsidRPr="00332C8B">
              <w:rPr>
                <w:rFonts w:asciiTheme="minorHAnsi" w:eastAsia="Calibri" w:hAnsiTheme="minorHAnsi" w:cstheme="minorHAnsi"/>
                <w:kern w:val="24"/>
                <w:sz w:val="20"/>
                <w:szCs w:val="20"/>
                <w:lang w:val="en-US" w:eastAsia="en-GB"/>
              </w:rPr>
              <w:t>0.004)</w:t>
            </w:r>
          </w:p>
        </w:tc>
      </w:tr>
      <w:tr w:rsidR="00504C3C" w:rsidRPr="00332C8B" w14:paraId="640AC8C5" w14:textId="77777777" w:rsidTr="00C34AFB">
        <w:trPr>
          <w:cnfStyle w:val="000000100000" w:firstRow="0" w:lastRow="0" w:firstColumn="0" w:lastColumn="0" w:oddVBand="0" w:evenVBand="0" w:oddHBand="1" w:evenHBand="0" w:firstRowFirstColumn="0" w:firstRowLastColumn="0" w:lastRowFirstColumn="0" w:lastRowLastColumn="0"/>
          <w:trHeight w:val="907"/>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vAlign w:val="center"/>
          </w:tcPr>
          <w:p w14:paraId="63A2A980" w14:textId="0406F0D5" w:rsidR="00A641DE" w:rsidRPr="00332C8B" w:rsidRDefault="00A641DE" w:rsidP="00F0414E">
            <w:pPr>
              <w:spacing w:line="480" w:lineRule="auto"/>
              <w:jc w:val="center"/>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Sato, 2016</w:t>
            </w:r>
            <w:bookmarkStart w:id="2" w:name="OLE_LINK3"/>
            <w:bookmarkStart w:id="3" w:name="OLE_LINK4"/>
            <w:r w:rsidR="003662F1" w:rsidRPr="00332C8B">
              <w:rPr>
                <w:rFonts w:asciiTheme="minorHAnsi" w:eastAsia="Calibri" w:hAnsiTheme="minorHAnsi" w:cstheme="minorHAnsi"/>
                <w:color w:val="000000" w:themeColor="text1"/>
                <w:sz w:val="20"/>
                <w:szCs w:val="20"/>
              </w:rPr>
              <w:fldChar w:fldCharType="begin" w:fldLock="1"/>
            </w:r>
            <w:r w:rsidR="00F66CFF" w:rsidRPr="00332C8B">
              <w:rPr>
                <w:rFonts w:asciiTheme="minorHAnsi" w:eastAsia="Calibri" w:hAnsiTheme="minorHAnsi" w:cstheme="minorHAnsi"/>
                <w:color w:val="000000" w:themeColor="text1"/>
                <w:sz w:val="20"/>
                <w:szCs w:val="20"/>
              </w:rPr>
              <w:instrText>ADDIN CSL_CITATION {"citationItems":[{"id":"ITEM-1","itemData":{"DOI":"https://dx.doi.org/10.1007/s10120-015-0554-4","ISSN":"1436-3305","abstract":"BACKGROUND: Sarcopenia is a decrease in both muscle mass and strength. It remains unclear whether sarcopenia is associated with morbidity after gastric cancer surgery. This study evaluated the impact of sarcopenia on the morbidity of gastric cancer surgery., METHODS: A total of 293 gastric cancer patients who underwent curative surgery between May 2011 and June 2013 were retrospectively examined. Patients with performance status 3 or 4 were excluded. Preoperative lean body mass (LBM) was evaluated by bioelectrical impedance analysis and expressed as LBM index. Preoperative muscle function was measured by hand grip strength (HGS). The cutoff values were the gender-specific lowest 20 %. Grade 2 or higher morbidities, as retrospectively evaluated by the Clavien-Dindo classification, were obtained from the patient record. The risk factors for morbidity were examined by univariate and multivariate analyses., RESULTS: Morbidity was observed in 39 patients (13.3 %), including 7 with pancreatic leakage, 12 with anastomotic leakage, and 4 with intraabdominal abscesses, but no mortality was observed. The univariate analysis showed that male gender, total gastrectomy, splenectomy, and a low HGS were significant risk factors for morbidity. A low LBM was not a significant risk factor. A low HGS, male gender, and total gastrectomy remained significant in the multivariate analysis., CONCLUSIONS: A low hand grip strength was a significant risk factor for morbidity after gastric cancer surgery. The importance of the hand grip strength as a risk factor should be examined in future prospective studies.","author":[{"dropping-particle":"","family":"Sato","given":"Tsutomu","non-dropping-particle":"","parse-names":false,"suffix":""},{"dropping-particle":"","family":"Aoyama","given":"Toru","non-dropping-particle":"","parse-names":false,"suffix":""},{"dropping-particle":"","family":"Hayashi","given":"Tsutomu","non-dropping-particle":"","parse-names":false,"suffix":""},{"dropping-particle":"","family":"Segami","given":"Kenki","non-dropping-particle":"","parse-names":false,"suffix":""},{"dropping-particle":"","family":"Kawabe","given":"Taiichi","non-dropping-particle":"","parse-names":false,"suffix":""},{"dropping-particle":"","family":"Fujikawa","given":"Hirohito","non-dropping-particle":"","parse-names":false,"suffix":""},{"dropping-particle":"","family":"Yamada","given":"Takanobu","non-dropping-particle":"","parse-names":false,"suffix":""},{"dropping-particle":"","family":"Yamamoto","given":"Naoto","non-dropping-particle":"","parse-names":false,"suffix":""},{"dropping-particle":"","family":"Oshima","given":"Takashi","non-dropping-particle":"","parse-names":false,"suffix":""},{"dropping-particle":"","family":"Rino","given":"Yasushi","non-dropping-particle":"","parse-names":false,"suffix":""},{"dropping-particle":"","family":"Masuda","given":"Munetaka","non-dropping-particle":"","parse-names":false,"suffix":""},{"dropping-particle":"","family":"Ogata","given":"Takashi","non-dropping-particle":"","parse-names":false,"suffix":""},{"dropping-particle":"","family":"Cho","given":"Haruhiko","non-dropping-particle":"","parse-names":false,"suffix":""},{"dropping-particle":"","family":"Yoshikawa","given":"Takaki","non-dropping-particle":"","parse-names":false,"suffix":""}],"container-title":"Gastric cancer : official journal of the International Gastric Cancer Association and the Japanese Gastric Cancer Association","id":"ITEM-1","issue":"3","issued":{"date-parts":[["2016"]]},"page":"1008-1015","publisher-place":"Japan","title":"Impact of preoperative hand grip strength on morbidity following gastric cancer surgery.","type":"article-journal","volume":"19"},"uris":["http://www.mendeley.com/documents/?uuid=a7720521-e083-46bf-88a1-5a1149d42876"]}],"mendeley":{"formattedCitation":"[34]","plainTextFormattedCitation":"[34]","previouslyFormattedCitation":"[35]"},"properties":{"noteIndex":0},"schema":"https://github.com/citation-style-language/schema/raw/master/csl-citation.json"}</w:instrText>
            </w:r>
            <w:r w:rsidR="003662F1" w:rsidRPr="00332C8B">
              <w:rPr>
                <w:rFonts w:asciiTheme="minorHAnsi" w:eastAsia="Calibri" w:hAnsiTheme="minorHAnsi" w:cstheme="minorHAnsi"/>
                <w:color w:val="000000" w:themeColor="text1"/>
                <w:sz w:val="20"/>
                <w:szCs w:val="20"/>
              </w:rPr>
              <w:fldChar w:fldCharType="separate"/>
            </w:r>
            <w:r w:rsidR="00F66CFF" w:rsidRPr="00332C8B">
              <w:rPr>
                <w:rFonts w:asciiTheme="minorHAnsi" w:eastAsia="Calibri" w:hAnsiTheme="minorHAnsi" w:cstheme="minorHAnsi"/>
                <w:b w:val="0"/>
                <w:noProof/>
                <w:color w:val="000000" w:themeColor="text1"/>
                <w:sz w:val="20"/>
                <w:szCs w:val="20"/>
              </w:rPr>
              <w:t>[34]</w:t>
            </w:r>
            <w:r w:rsidR="003662F1" w:rsidRPr="00332C8B">
              <w:rPr>
                <w:rFonts w:asciiTheme="minorHAnsi" w:eastAsia="Calibri" w:hAnsiTheme="minorHAnsi" w:cstheme="minorHAnsi"/>
                <w:color w:val="000000" w:themeColor="text1"/>
                <w:sz w:val="20"/>
                <w:szCs w:val="20"/>
              </w:rPr>
              <w:fldChar w:fldCharType="end"/>
            </w:r>
            <w:bookmarkEnd w:id="2"/>
            <w:bookmarkEnd w:id="3"/>
          </w:p>
        </w:tc>
        <w:tc>
          <w:tcPr>
            <w:tcW w:w="993" w:type="dxa"/>
            <w:shd w:val="clear" w:color="auto" w:fill="auto"/>
            <w:vAlign w:val="center"/>
          </w:tcPr>
          <w:p w14:paraId="724D6CF6" w14:textId="77777777" w:rsidR="00A641DE" w:rsidRPr="00332C8B" w:rsidRDefault="00A641DE"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LBMI</w:t>
            </w:r>
          </w:p>
        </w:tc>
        <w:tc>
          <w:tcPr>
            <w:tcW w:w="1417" w:type="dxa"/>
            <w:shd w:val="clear" w:color="auto" w:fill="auto"/>
            <w:vAlign w:val="center"/>
          </w:tcPr>
          <w:p w14:paraId="1F5A14ED" w14:textId="77777777" w:rsidR="00A641DE" w:rsidRPr="00332C8B" w:rsidRDefault="005C6935"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&lt; 20</w:t>
            </w:r>
            <w:r w:rsidRPr="00332C8B">
              <w:rPr>
                <w:rFonts w:asciiTheme="minorHAnsi" w:eastAsia="Calibri" w:hAnsiTheme="minorHAnsi" w:cstheme="minorHAnsi"/>
                <w:color w:val="000000" w:themeColor="text1"/>
                <w:sz w:val="20"/>
                <w:szCs w:val="20"/>
                <w:vertAlign w:val="superscript"/>
              </w:rPr>
              <w:t>th</w:t>
            </w:r>
            <w:r w:rsidRPr="00332C8B">
              <w:rPr>
                <w:rFonts w:asciiTheme="minorHAnsi" w:eastAsia="Calibri" w:hAnsiTheme="minorHAnsi" w:cstheme="minorHAnsi"/>
                <w:color w:val="000000" w:themeColor="text1"/>
                <w:sz w:val="20"/>
                <w:szCs w:val="20"/>
              </w:rPr>
              <w:t xml:space="preserve"> centile gender-specific LBMI</w:t>
            </w:r>
          </w:p>
        </w:tc>
        <w:tc>
          <w:tcPr>
            <w:tcW w:w="1166" w:type="dxa"/>
            <w:shd w:val="clear" w:color="auto" w:fill="auto"/>
            <w:vAlign w:val="center"/>
          </w:tcPr>
          <w:p w14:paraId="5DE18FCD" w14:textId="77777777" w:rsidR="00A641DE" w:rsidRPr="00332C8B" w:rsidRDefault="00A641DE"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No</w:t>
            </w:r>
          </w:p>
        </w:tc>
        <w:tc>
          <w:tcPr>
            <w:tcW w:w="4316" w:type="dxa"/>
            <w:shd w:val="clear" w:color="auto" w:fill="auto"/>
            <w:vAlign w:val="center"/>
          </w:tcPr>
          <w:p w14:paraId="3156A528" w14:textId="274B94AE" w:rsidR="00A641DE" w:rsidRPr="00332C8B" w:rsidRDefault="008A7004"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4"/>
                <w:sz w:val="20"/>
                <w:szCs w:val="20"/>
                <w:lang w:eastAsia="en-GB"/>
              </w:rPr>
            </w:pPr>
            <w:r w:rsidRPr="00332C8B">
              <w:rPr>
                <w:rFonts w:asciiTheme="minorHAnsi" w:eastAsia="Calibri" w:hAnsiTheme="minorHAnsi" w:cstheme="minorHAnsi"/>
                <w:kern w:val="24"/>
                <w:sz w:val="20"/>
                <w:szCs w:val="20"/>
                <w:lang w:val="en-US" w:eastAsia="en-GB"/>
              </w:rPr>
              <w:t>Lower LBMI</w:t>
            </w:r>
            <w:r w:rsidR="00A34CA2" w:rsidRPr="00332C8B">
              <w:rPr>
                <w:rFonts w:asciiTheme="minorHAnsi" w:hAnsiTheme="minorHAnsi" w:cstheme="minorHAnsi"/>
                <w:kern w:val="24"/>
                <w:sz w:val="20"/>
                <w:szCs w:val="20"/>
                <w:lang w:eastAsia="en-GB"/>
              </w:rPr>
              <w:t xml:space="preserve"> </w:t>
            </w:r>
            <w:r w:rsidR="00A56BC0" w:rsidRPr="00332C8B">
              <w:rPr>
                <w:rFonts w:asciiTheme="minorHAnsi" w:hAnsiTheme="minorHAnsi" w:cstheme="minorHAnsi"/>
                <w:kern w:val="24"/>
                <w:sz w:val="20"/>
                <w:szCs w:val="20"/>
                <w:lang w:eastAsia="en-GB"/>
              </w:rPr>
              <w:t xml:space="preserve">not associated with a higher rate of </w:t>
            </w:r>
            <w:r w:rsidR="00A56BC0" w:rsidRPr="00332C8B">
              <w:rPr>
                <w:rFonts w:asciiTheme="minorHAnsi" w:eastAsia="Calibri" w:hAnsiTheme="minorHAnsi" w:cstheme="minorHAnsi"/>
                <w:kern w:val="24"/>
                <w:sz w:val="20"/>
                <w:szCs w:val="20"/>
                <w:lang w:eastAsia="en-GB"/>
              </w:rPr>
              <w:t>p</w:t>
            </w:r>
            <w:r w:rsidR="005C6935" w:rsidRPr="00332C8B">
              <w:rPr>
                <w:rFonts w:asciiTheme="minorHAnsi" w:eastAsia="Calibri" w:hAnsiTheme="minorHAnsi" w:cstheme="minorHAnsi"/>
                <w:kern w:val="24"/>
                <w:sz w:val="20"/>
                <w:szCs w:val="20"/>
                <w:lang w:eastAsia="en-GB"/>
              </w:rPr>
              <w:t>ost-operative complications</w:t>
            </w:r>
            <w:r w:rsidRPr="00332C8B">
              <w:rPr>
                <w:rFonts w:asciiTheme="minorHAnsi" w:eastAsia="Calibri" w:hAnsiTheme="minorHAnsi" w:cstheme="minorHAnsi"/>
                <w:kern w:val="24"/>
                <w:sz w:val="20"/>
                <w:szCs w:val="20"/>
                <w:vertAlign w:val="superscript"/>
                <w:lang w:eastAsia="en-GB"/>
              </w:rPr>
              <w:t>a</w:t>
            </w:r>
            <w:r w:rsidR="005C6935" w:rsidRPr="00332C8B">
              <w:rPr>
                <w:rFonts w:asciiTheme="minorHAnsi" w:eastAsia="Calibri" w:hAnsiTheme="minorHAnsi" w:cstheme="minorHAnsi"/>
                <w:kern w:val="24"/>
                <w:sz w:val="20"/>
                <w:szCs w:val="20"/>
                <w:lang w:eastAsia="en-GB"/>
              </w:rPr>
              <w:t xml:space="preserve"> </w:t>
            </w:r>
            <w:r w:rsidR="005C6935" w:rsidRPr="00824A24">
              <w:rPr>
                <w:rFonts w:asciiTheme="minorHAnsi" w:eastAsia="Calibri" w:hAnsiTheme="minorHAnsi" w:cstheme="minorHAnsi"/>
                <w:kern w:val="24"/>
                <w:sz w:val="20"/>
                <w:szCs w:val="20"/>
                <w:lang w:eastAsia="en-GB"/>
              </w:rPr>
              <w:t>(</w:t>
            </w:r>
            <w:r w:rsidR="00A56BC0" w:rsidRPr="00824A24">
              <w:rPr>
                <w:rFonts w:asciiTheme="minorHAnsi" w:eastAsia="Calibri" w:hAnsiTheme="minorHAnsi" w:cstheme="minorHAnsi"/>
                <w:kern w:val="24"/>
                <w:sz w:val="20"/>
                <w:szCs w:val="20"/>
                <w:lang w:eastAsia="en-GB"/>
              </w:rPr>
              <w:t>OR 1.048</w:t>
            </w:r>
            <w:r w:rsidR="005C6935" w:rsidRPr="00824A24">
              <w:rPr>
                <w:rFonts w:asciiTheme="minorHAnsi" w:eastAsia="Calibri" w:hAnsiTheme="minorHAnsi" w:cstheme="minorHAnsi"/>
                <w:kern w:val="24"/>
                <w:sz w:val="20"/>
                <w:szCs w:val="20"/>
                <w:lang w:eastAsia="en-GB"/>
              </w:rPr>
              <w:t>, p</w:t>
            </w:r>
            <w:r w:rsidR="00824A24">
              <w:rPr>
                <w:rFonts w:asciiTheme="minorHAnsi" w:eastAsia="Calibri" w:hAnsiTheme="minorHAnsi" w:cstheme="minorHAnsi"/>
                <w:kern w:val="24"/>
                <w:sz w:val="20"/>
                <w:szCs w:val="20"/>
                <w:lang w:eastAsia="en-GB"/>
              </w:rPr>
              <w:t xml:space="preserve"> </w:t>
            </w:r>
            <w:r w:rsidR="005C6935" w:rsidRPr="00824A24">
              <w:rPr>
                <w:rFonts w:asciiTheme="minorHAnsi" w:eastAsia="Calibri" w:hAnsiTheme="minorHAnsi" w:cstheme="minorHAnsi"/>
                <w:kern w:val="24"/>
                <w:sz w:val="20"/>
                <w:szCs w:val="20"/>
                <w:lang w:eastAsia="en-GB"/>
              </w:rPr>
              <w:t>=</w:t>
            </w:r>
            <w:r w:rsidR="00824A24">
              <w:rPr>
                <w:rFonts w:asciiTheme="minorHAnsi" w:eastAsia="Calibri" w:hAnsiTheme="minorHAnsi" w:cstheme="minorHAnsi"/>
                <w:kern w:val="24"/>
                <w:sz w:val="20"/>
                <w:szCs w:val="20"/>
                <w:lang w:eastAsia="en-GB"/>
              </w:rPr>
              <w:t xml:space="preserve"> </w:t>
            </w:r>
            <w:r w:rsidR="005C6935" w:rsidRPr="00824A24">
              <w:rPr>
                <w:rFonts w:asciiTheme="minorHAnsi" w:eastAsia="Calibri" w:hAnsiTheme="minorHAnsi" w:cstheme="minorHAnsi"/>
                <w:kern w:val="24"/>
                <w:sz w:val="20"/>
                <w:szCs w:val="20"/>
                <w:lang w:eastAsia="en-GB"/>
              </w:rPr>
              <w:t>1.0)</w:t>
            </w:r>
          </w:p>
        </w:tc>
      </w:tr>
      <w:tr w:rsidR="00504C3C" w:rsidRPr="00332C8B" w14:paraId="2E32E14A" w14:textId="77777777" w:rsidTr="00C34AFB">
        <w:trPr>
          <w:trHeight w:val="907"/>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vAlign w:val="center"/>
          </w:tcPr>
          <w:p w14:paraId="0CC51439" w14:textId="53EB6EF7" w:rsidR="00A641DE" w:rsidRPr="00332C8B" w:rsidRDefault="00A641DE" w:rsidP="00F0414E">
            <w:pPr>
              <w:spacing w:line="480" w:lineRule="auto"/>
              <w:jc w:val="center"/>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Ida, 2015</w:t>
            </w:r>
            <w:r w:rsidR="003662F1" w:rsidRPr="00332C8B">
              <w:rPr>
                <w:rFonts w:asciiTheme="minorHAnsi" w:eastAsia="Calibri" w:hAnsiTheme="minorHAnsi" w:cstheme="minorHAnsi"/>
                <w:color w:val="000000" w:themeColor="text1"/>
                <w:sz w:val="20"/>
                <w:szCs w:val="20"/>
              </w:rPr>
              <w:fldChar w:fldCharType="begin" w:fldLock="1"/>
            </w:r>
            <w:r w:rsidR="00F66CFF" w:rsidRPr="00332C8B">
              <w:rPr>
                <w:rFonts w:asciiTheme="minorHAnsi" w:eastAsia="Calibri" w:hAnsiTheme="minorHAnsi" w:cstheme="minorHAnsi"/>
                <w:color w:val="000000" w:themeColor="text1"/>
                <w:sz w:val="20"/>
                <w:szCs w:val="20"/>
              </w:rPr>
              <w:instrText>ADDIN CSL_CITATION {"citationItems":[{"id":"ITEM-1","itemData":{"DOI":"https://dx.doi.org/10.1245/s10434-015-4559-3","ISSN":"1534-4681","abstract":"BACKGROUND: Depletion of skeletal muscle mass (sarcopenia) indicates a poor prognosis for patients with several kinds of cancer, but it remains unclear whether esophageal squamous cell carcinoma (ESCC) is among these cancers. The aim of this study was to clarify the relationship between sarcopenia and postoperative outcome in patients with ESCC treated by esophagectomy., METHODS: Skeletal muscle mass was assessed in 138 patients who underwent esophagectomy from August 2009 to May 2014. A multifrequency bioelectrical impedance analysis (InBody 720; Biospace, Tokyo, Japan) was used to assess skeletal muscle mass just before surgery. Postoperative complications were graded according to the Clavien-Dindo classification, and univariate and multivariate analyses were performed for postoperative respiratory complications., RESULTS: Sarcopenia was determined in 61 patients (44.2 %). Preoperative pulmonary function was significantly lower and the rate of respiratory complications significantly higher in the sarcopenia group than in the non-sarcopenia group (p &lt; 0.01). For other complications, the differences were not significant. Multivariate analysis showed that sarcopenia [odds ratio (OR) 5.82; p = 0.0001] and longer operation time (OR 3.09; p = 0.04) were risk factors for the occurrence of respiratory complications., CONCLUSIONS: Sarcopenia may be a predictor of pulmonary complications after esophagectomy. Further analysis is needed to clarify whether nutritional intervention improves skeletal muscle mass and thus contributes to reducing postoperative respiratory complications in sarcopenic patients.","author":[{"dropping-particle":"","family":"Ida","given":"Satoshi","non-dropping-particle":"","parse-names":false,"suffix":""},{"dropping-particle":"","family":"Watanabe","given":"Masayuki","non-dropping-particle":"","parse-names":false,"suffix":""},{"dropping-particle":"","family":"Yoshida","given":"Naoya","non-dropping-particle":"","parse-names":false,"suffix":""},{"dropping-particle":"","family":"Baba","given":"Yoshifumi","non-dropping-particle":"","parse-names":false,"suffix":""},{"dropping-particle":"","family":"Umezaki","given":"Naoki","non-dropping-particle":"","parse-names":false,"suffix":""},{"dropping-particle":"","family":"Harada","given":"Kazuto","non-dropping-particle":"","parse-names":false,"suffix":""},{"dropping-particle":"","family":"Karashima","given":"Ryuichi","non-dropping-particle":"","parse-names":false,"suffix":""},{"dropping-particle":"","family":"Imamura","given":"Yu","non-dropping-particle":"","parse-names":false,"suffix":""},{"dropping-particle":"","family":"Iwagami","given":"Shiro","non-dropping-particle":"","parse-names":false,"suffix":""},{"dropping-particle":"","family":"Baba","given":"Hideo","non-dropping-particle":"","parse-names":false,"suffix":""}],"container-title":"Annals of surgical oncology","id":"ITEM-1","issue":"13","issued":{"date-parts":[["2015"]]},"page":"4432-4437","publisher-place":"United States","title":"Sarcopenia is a Predictor of Postoperative Respiratory Complications in Patients with Esophageal Cancer.","type":"article-journal","volume":"22"},"uris":["http://www.mendeley.com/documents/?uuid=1f3d9e6a-f97f-44b3-9e01-564de97b3919"]}],"mendeley":{"formattedCitation":"[35]","plainTextFormattedCitation":"[35]","previouslyFormattedCitation":"[36]"},"properties":{"noteIndex":0},"schema":"https://github.com/citation-style-language/schema/raw/master/csl-citation.json"}</w:instrText>
            </w:r>
            <w:r w:rsidR="003662F1" w:rsidRPr="00332C8B">
              <w:rPr>
                <w:rFonts w:asciiTheme="minorHAnsi" w:eastAsia="Calibri" w:hAnsiTheme="minorHAnsi" w:cstheme="minorHAnsi"/>
                <w:color w:val="000000" w:themeColor="text1"/>
                <w:sz w:val="20"/>
                <w:szCs w:val="20"/>
              </w:rPr>
              <w:fldChar w:fldCharType="separate"/>
            </w:r>
            <w:r w:rsidR="00F66CFF" w:rsidRPr="00332C8B">
              <w:rPr>
                <w:rFonts w:asciiTheme="minorHAnsi" w:eastAsia="Calibri" w:hAnsiTheme="minorHAnsi" w:cstheme="minorHAnsi"/>
                <w:b w:val="0"/>
                <w:noProof/>
                <w:color w:val="000000" w:themeColor="text1"/>
                <w:sz w:val="20"/>
                <w:szCs w:val="20"/>
              </w:rPr>
              <w:t>[35]</w:t>
            </w:r>
            <w:r w:rsidR="003662F1" w:rsidRPr="00332C8B">
              <w:rPr>
                <w:rFonts w:asciiTheme="minorHAnsi" w:eastAsia="Calibri" w:hAnsiTheme="minorHAnsi" w:cstheme="minorHAnsi"/>
                <w:color w:val="000000" w:themeColor="text1"/>
                <w:sz w:val="20"/>
                <w:szCs w:val="20"/>
              </w:rPr>
              <w:fldChar w:fldCharType="end"/>
            </w:r>
          </w:p>
        </w:tc>
        <w:tc>
          <w:tcPr>
            <w:tcW w:w="993" w:type="dxa"/>
            <w:shd w:val="clear" w:color="auto" w:fill="auto"/>
            <w:vAlign w:val="center"/>
          </w:tcPr>
          <w:p w14:paraId="7FA57C56" w14:textId="77777777" w:rsidR="00A641DE" w:rsidRPr="00332C8B" w:rsidRDefault="00A641DE"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SM</w:t>
            </w:r>
            <w:r w:rsidR="00316B36" w:rsidRPr="00332C8B">
              <w:rPr>
                <w:rFonts w:asciiTheme="minorHAnsi" w:eastAsia="Calibri" w:hAnsiTheme="minorHAnsi" w:cstheme="minorHAnsi"/>
                <w:color w:val="000000" w:themeColor="text1"/>
                <w:sz w:val="20"/>
                <w:szCs w:val="20"/>
              </w:rPr>
              <w:t>M</w:t>
            </w:r>
          </w:p>
        </w:tc>
        <w:tc>
          <w:tcPr>
            <w:tcW w:w="1417" w:type="dxa"/>
            <w:shd w:val="clear" w:color="auto" w:fill="auto"/>
            <w:vAlign w:val="center"/>
          </w:tcPr>
          <w:p w14:paraId="0A9FE0D6" w14:textId="77777777" w:rsidR="00A641DE" w:rsidRPr="00332C8B" w:rsidRDefault="000751D5"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 xml:space="preserve">SMM </w:t>
            </w:r>
            <w:r w:rsidRPr="00332C8B">
              <w:rPr>
                <w:rFonts w:asciiTheme="minorHAnsi" w:hAnsiTheme="minorHAnsi" w:cstheme="minorHAnsi"/>
                <w:kern w:val="24"/>
                <w:sz w:val="20"/>
                <w:szCs w:val="20"/>
                <w:lang w:eastAsia="en-GB"/>
              </w:rPr>
              <w:t>≤ 90% standard SMM</w:t>
            </w:r>
          </w:p>
        </w:tc>
        <w:tc>
          <w:tcPr>
            <w:tcW w:w="1166" w:type="dxa"/>
            <w:shd w:val="clear" w:color="auto" w:fill="auto"/>
            <w:vAlign w:val="center"/>
          </w:tcPr>
          <w:p w14:paraId="3281334E" w14:textId="77777777" w:rsidR="00A641DE" w:rsidRPr="00332C8B" w:rsidRDefault="00A641DE"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Yes</w:t>
            </w:r>
          </w:p>
        </w:tc>
        <w:tc>
          <w:tcPr>
            <w:tcW w:w="4316" w:type="dxa"/>
            <w:shd w:val="clear" w:color="auto" w:fill="auto"/>
            <w:vAlign w:val="center"/>
          </w:tcPr>
          <w:p w14:paraId="219A0EB4" w14:textId="424732CF" w:rsidR="00A641DE" w:rsidRPr="00332C8B" w:rsidRDefault="006B2A6E"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kern w:val="24"/>
                <w:sz w:val="20"/>
                <w:szCs w:val="20"/>
                <w:lang w:eastAsia="en-GB"/>
              </w:rPr>
            </w:pPr>
            <w:r w:rsidRPr="00332C8B">
              <w:rPr>
                <w:rFonts w:asciiTheme="minorHAnsi" w:eastAsia="Calibri" w:hAnsiTheme="minorHAnsi" w:cstheme="minorHAnsi"/>
                <w:kern w:val="24"/>
                <w:sz w:val="20"/>
                <w:szCs w:val="20"/>
                <w:lang w:eastAsia="en-GB"/>
              </w:rPr>
              <w:t>Lower</w:t>
            </w:r>
            <w:r w:rsidR="00A34CA2" w:rsidRPr="00332C8B">
              <w:rPr>
                <w:rFonts w:asciiTheme="minorHAnsi" w:eastAsia="Calibri" w:hAnsiTheme="minorHAnsi" w:cstheme="minorHAnsi"/>
                <w:kern w:val="24"/>
                <w:sz w:val="20"/>
                <w:szCs w:val="20"/>
                <w:lang w:eastAsia="en-GB"/>
              </w:rPr>
              <w:t xml:space="preserve"> SMM</w:t>
            </w:r>
            <w:r w:rsidR="009543AF" w:rsidRPr="00332C8B">
              <w:rPr>
                <w:rFonts w:asciiTheme="minorHAnsi" w:eastAsia="Calibri" w:hAnsiTheme="minorHAnsi" w:cstheme="minorHAnsi"/>
                <w:kern w:val="24"/>
                <w:sz w:val="20"/>
                <w:szCs w:val="20"/>
                <w:lang w:eastAsia="en-GB"/>
              </w:rPr>
              <w:t xml:space="preserve"> </w:t>
            </w:r>
            <w:r w:rsidR="00D20B2C" w:rsidRPr="00332C8B">
              <w:rPr>
                <w:rFonts w:asciiTheme="minorHAnsi" w:eastAsia="Calibri" w:hAnsiTheme="minorHAnsi" w:cstheme="minorHAnsi"/>
                <w:kern w:val="24"/>
                <w:sz w:val="20"/>
                <w:szCs w:val="20"/>
                <w:lang w:eastAsia="en-GB"/>
              </w:rPr>
              <w:t>associated with increased</w:t>
            </w:r>
            <w:r w:rsidR="000751D5" w:rsidRPr="00332C8B">
              <w:rPr>
                <w:rFonts w:asciiTheme="minorHAnsi" w:eastAsia="Calibri" w:hAnsiTheme="minorHAnsi" w:cstheme="minorHAnsi"/>
                <w:kern w:val="24"/>
                <w:sz w:val="20"/>
                <w:szCs w:val="20"/>
                <w:lang w:eastAsia="en-GB"/>
              </w:rPr>
              <w:t xml:space="preserve"> respiratory complications</w:t>
            </w:r>
            <w:r w:rsidR="00C34AFB" w:rsidRPr="00332C8B">
              <w:rPr>
                <w:rFonts w:asciiTheme="minorHAnsi" w:eastAsia="Calibri" w:hAnsiTheme="minorHAnsi" w:cstheme="minorHAnsi"/>
                <w:kern w:val="24"/>
                <w:sz w:val="20"/>
                <w:szCs w:val="20"/>
                <w:lang w:eastAsia="en-GB"/>
              </w:rPr>
              <w:t xml:space="preserve"> </w:t>
            </w:r>
            <w:r w:rsidR="000F5306" w:rsidRPr="00332C8B">
              <w:rPr>
                <w:rFonts w:asciiTheme="minorHAnsi" w:eastAsia="Calibri" w:hAnsiTheme="minorHAnsi" w:cstheme="minorHAnsi"/>
                <w:color w:val="000000" w:themeColor="text1"/>
                <w:kern w:val="24"/>
                <w:sz w:val="20"/>
                <w:szCs w:val="20"/>
                <w:lang w:eastAsia="en-GB"/>
              </w:rPr>
              <w:t>(OR 5.55</w:t>
            </w:r>
            <w:r w:rsidR="0082484B">
              <w:rPr>
                <w:rFonts w:asciiTheme="minorHAnsi" w:eastAsia="Calibri" w:hAnsiTheme="minorHAnsi" w:cstheme="minorHAnsi"/>
                <w:color w:val="000000" w:themeColor="text1"/>
                <w:kern w:val="24"/>
                <w:sz w:val="20"/>
                <w:szCs w:val="20"/>
                <w:lang w:eastAsia="en-GB"/>
              </w:rPr>
              <w:t>,</w:t>
            </w:r>
            <w:r w:rsidR="000F5306" w:rsidRPr="00332C8B">
              <w:rPr>
                <w:rFonts w:asciiTheme="minorHAnsi" w:eastAsia="Calibri" w:hAnsiTheme="minorHAnsi" w:cstheme="minorHAnsi"/>
                <w:color w:val="000000" w:themeColor="text1"/>
                <w:kern w:val="24"/>
                <w:sz w:val="20"/>
                <w:szCs w:val="20"/>
                <w:lang w:eastAsia="en-GB"/>
              </w:rPr>
              <w:t xml:space="preserve"> 95% CI</w:t>
            </w:r>
            <w:r w:rsidR="0082484B">
              <w:rPr>
                <w:rFonts w:asciiTheme="minorHAnsi" w:eastAsia="Calibri" w:hAnsiTheme="minorHAnsi" w:cstheme="minorHAnsi"/>
                <w:color w:val="000000" w:themeColor="text1"/>
                <w:kern w:val="24"/>
                <w:sz w:val="20"/>
                <w:szCs w:val="20"/>
                <w:lang w:eastAsia="en-GB"/>
              </w:rPr>
              <w:t>:</w:t>
            </w:r>
            <w:r w:rsidR="000F5306" w:rsidRPr="00332C8B">
              <w:rPr>
                <w:rFonts w:asciiTheme="minorHAnsi" w:eastAsia="Calibri" w:hAnsiTheme="minorHAnsi" w:cstheme="minorHAnsi"/>
                <w:color w:val="000000" w:themeColor="text1"/>
                <w:kern w:val="24"/>
                <w:sz w:val="20"/>
                <w:szCs w:val="20"/>
                <w:lang w:eastAsia="en-GB"/>
              </w:rPr>
              <w:t xml:space="preserve"> 2.15 – 15.6</w:t>
            </w:r>
            <w:r w:rsidR="0082484B">
              <w:rPr>
                <w:rFonts w:asciiTheme="minorHAnsi" w:eastAsia="Calibri" w:hAnsiTheme="minorHAnsi" w:cstheme="minorHAnsi"/>
                <w:color w:val="000000" w:themeColor="text1"/>
                <w:kern w:val="24"/>
                <w:sz w:val="20"/>
                <w:szCs w:val="20"/>
                <w:lang w:eastAsia="en-GB"/>
              </w:rPr>
              <w:t>;</w:t>
            </w:r>
            <w:r w:rsidR="000F5306" w:rsidRPr="00332C8B">
              <w:rPr>
                <w:rFonts w:asciiTheme="minorHAnsi" w:eastAsia="Calibri" w:hAnsiTheme="minorHAnsi" w:cstheme="minorHAnsi"/>
                <w:color w:val="000000" w:themeColor="text1"/>
                <w:kern w:val="24"/>
                <w:sz w:val="20"/>
                <w:szCs w:val="20"/>
                <w:lang w:eastAsia="en-GB"/>
              </w:rPr>
              <w:t xml:space="preserve"> p = 0.0003)</w:t>
            </w:r>
          </w:p>
        </w:tc>
      </w:tr>
      <w:tr w:rsidR="00504C3C" w:rsidRPr="00332C8B" w14:paraId="48A77ED6" w14:textId="77777777" w:rsidTr="00C34AFB">
        <w:trPr>
          <w:cnfStyle w:val="000000100000" w:firstRow="0" w:lastRow="0" w:firstColumn="0" w:lastColumn="0" w:oddVBand="0" w:evenVBand="0" w:oddHBand="1" w:evenHBand="0" w:firstRowFirstColumn="0" w:firstRowLastColumn="0" w:lastRowFirstColumn="0" w:lastRowLastColumn="0"/>
          <w:trHeight w:val="907"/>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vAlign w:val="center"/>
          </w:tcPr>
          <w:p w14:paraId="70F99BD0" w14:textId="5B6704FB" w:rsidR="00A641DE" w:rsidRPr="00332C8B" w:rsidRDefault="00A641DE" w:rsidP="00F0414E">
            <w:pPr>
              <w:spacing w:line="480" w:lineRule="auto"/>
              <w:jc w:val="center"/>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Kerimoglu, 2015</w:t>
            </w:r>
            <w:r w:rsidR="003662F1" w:rsidRPr="00332C8B">
              <w:rPr>
                <w:rFonts w:asciiTheme="minorHAnsi" w:eastAsia="Calibri" w:hAnsiTheme="minorHAnsi" w:cstheme="minorHAnsi"/>
                <w:color w:val="000000" w:themeColor="text1"/>
                <w:sz w:val="20"/>
                <w:szCs w:val="20"/>
              </w:rPr>
              <w:fldChar w:fldCharType="begin" w:fldLock="1"/>
            </w:r>
            <w:r w:rsidR="00F66CFF" w:rsidRPr="00332C8B">
              <w:rPr>
                <w:rFonts w:asciiTheme="minorHAnsi" w:eastAsia="Calibri" w:hAnsiTheme="minorHAnsi" w:cstheme="minorHAnsi"/>
                <w:color w:val="000000" w:themeColor="text1"/>
                <w:sz w:val="20"/>
                <w:szCs w:val="20"/>
              </w:rPr>
              <w:instrText>ADDIN CSL_CITATION {"citationItems":[{"id":"ITEM-1","itemData":{"DOI":"http://dx.doi.org/10.1111/jog.12554","ISSN":"1341-8076","abstract":"Abstract Aim This study used the measure of percentage of body fat (%BF) to define obesity and evaluated the effect of percentage of %BF on clinical, surgical and pathological features in women with endometrial cancer. Methods Between 2011 and 2013, bioelectrical impedance analysis and body size measurements of 94 patients whose endometrial biopsy revealed endometrial cancer were obtained. Patients were divided into two groups according to body mass index (BMI) (normal, &lt;30 kg/m2; elevated, &gt;=30 kg/m2), and also classified by %BF (normal, &lt;32%; elevated, &gt;=32%). Results The patients' mean age was 55.0 +/- 10.9 years. Mean %BF and BMI were 40.8% +/- 9.8% and 32.9 +/- 7.5, respectively. Eighty-three (88%) patients were obese according to %BF; 54 (57%) were obese according to BMI. Patients with elevated %BF were more likely to have less than 50% myometrial invasion (P = 0.004). Significantly more para-aortic lymph nodes were retrieved in patients with normal %BF or BMI (P &lt; 0.001, P &lt; 0.001). Patients with elevated %BF had longer operating times (P = 0.043) and were more likely to have stage I disease than patients with normal %BF (P &lt; 0.001). Conclusion Endometrial cancer patients with an elevated %BF are more likely to have stage I disease and less than 50% myometrial invasion than patients with normal %BF. Defining obesity by BF may provide better estimation of obesity prevalence in patients with endometrial cancer and further understanding the relationship between BF with endometrial cancer may give more information about the effects of obesity on endometrial cancer.Copyright © 2014 The Authors.","author":[{"dropping-particle":"","family":"O.","given":"Secilmis Kerimoglu","non-dropping-particle":"","parse-names":false,"suffix":""},{"dropping-particle":"","family":"A.","given":"Pekin","non-dropping-particle":"","parse-names":false,"suffix":""},{"dropping-particle":"","family":"S.A.","given":"Yilmaz","non-dropping-particle":"","parse-names":false,"suffix":""},{"dropping-particle":"","family":"G.","given":"Yavas","non-dropping-particle":"","parse-names":false,"suffix":""},{"dropping-particle":"","family":"F.","given":"Beyhekim","non-dropping-particle":"","parse-names":false,"suffix":""},{"dropping-particle":"","family":"A.A.","given":"Demirtas","non-dropping-particle":"","parse-names":false,"suffix":""},{"dropping-particle":"","family":"N.U.","given":"Dogan","non-dropping-particle":"","parse-names":false,"suffix":""},{"dropping-particle":"","family":"T.T.","given":"Ilhan","non-dropping-particle":"","parse-names":false,"suffix":""}],"container-title":"Journal of Obstetrics and Gynaecology Research","id":"ITEM-1","issue":"3","issued":{"date-parts":[["2015"]]},"page":"449-455","publisher":"Blackwell Publishing (E-mail: info@asia.blackpublishing.com.au)","publisher-place":"O. Secilmis Kerimoglu, Selcuk Universitesi Tip Fakultesi, Kadin Hastaliklari ve Dogum ABD, Kampus, Selcuklu 42000, Turkey","title":"Effect of the percentage of body fat on surgical, clinical and pathological outcomes in women with endometrial cancer","type":"article-journal","volume":"41"},"uris":["http://www.mendeley.com/documents/?uuid=fab9c483-886b-4d5f-9d60-16cb99d77d36"]}],"mendeley":{"formattedCitation":"[38]","plainTextFormattedCitation":"[38]","previouslyFormattedCitation":"[39]"},"properties":{"noteIndex":0},"schema":"https://github.com/citation-style-language/schema/raw/master/csl-citation.json"}</w:instrText>
            </w:r>
            <w:r w:rsidR="003662F1" w:rsidRPr="00332C8B">
              <w:rPr>
                <w:rFonts w:asciiTheme="minorHAnsi" w:eastAsia="Calibri" w:hAnsiTheme="minorHAnsi" w:cstheme="minorHAnsi"/>
                <w:color w:val="000000" w:themeColor="text1"/>
                <w:sz w:val="20"/>
                <w:szCs w:val="20"/>
              </w:rPr>
              <w:fldChar w:fldCharType="separate"/>
            </w:r>
            <w:r w:rsidR="00F66CFF" w:rsidRPr="00332C8B">
              <w:rPr>
                <w:rFonts w:asciiTheme="minorHAnsi" w:eastAsia="Calibri" w:hAnsiTheme="minorHAnsi" w:cstheme="minorHAnsi"/>
                <w:b w:val="0"/>
                <w:noProof/>
                <w:color w:val="000000" w:themeColor="text1"/>
                <w:sz w:val="20"/>
                <w:szCs w:val="20"/>
              </w:rPr>
              <w:t>[38]</w:t>
            </w:r>
            <w:r w:rsidR="003662F1" w:rsidRPr="00332C8B">
              <w:rPr>
                <w:rFonts w:asciiTheme="minorHAnsi" w:eastAsia="Calibri" w:hAnsiTheme="minorHAnsi" w:cstheme="minorHAnsi"/>
                <w:color w:val="000000" w:themeColor="text1"/>
                <w:sz w:val="20"/>
                <w:szCs w:val="20"/>
              </w:rPr>
              <w:fldChar w:fldCharType="end"/>
            </w:r>
          </w:p>
        </w:tc>
        <w:tc>
          <w:tcPr>
            <w:tcW w:w="993" w:type="dxa"/>
            <w:shd w:val="clear" w:color="auto" w:fill="auto"/>
            <w:vAlign w:val="center"/>
          </w:tcPr>
          <w:p w14:paraId="32DB62CA" w14:textId="77777777" w:rsidR="00A641DE" w:rsidRPr="00332C8B" w:rsidRDefault="00A641DE"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 BF</w:t>
            </w:r>
          </w:p>
        </w:tc>
        <w:tc>
          <w:tcPr>
            <w:tcW w:w="1417" w:type="dxa"/>
            <w:shd w:val="clear" w:color="auto" w:fill="auto"/>
            <w:vAlign w:val="center"/>
          </w:tcPr>
          <w:p w14:paraId="2569AC56" w14:textId="77777777" w:rsidR="00A641DE" w:rsidRPr="00332C8B" w:rsidRDefault="000905FD"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 xml:space="preserve">BF </w:t>
            </w:r>
            <w:r w:rsidRPr="00332C8B">
              <w:rPr>
                <w:rFonts w:asciiTheme="minorHAnsi" w:eastAsia="Calibri" w:hAnsiTheme="minorHAnsi" w:cstheme="minorHAnsi"/>
                <w:color w:val="000000" w:themeColor="text1"/>
                <w:sz w:val="20"/>
                <w:szCs w:val="20"/>
                <w:lang w:val="en-US"/>
              </w:rPr>
              <w:t xml:space="preserve">&lt;or </w:t>
            </w:r>
            <w:r w:rsidRPr="00332C8B">
              <w:rPr>
                <w:rFonts w:asciiTheme="minorHAnsi" w:eastAsia="Calibri" w:hAnsiTheme="minorHAnsi" w:cstheme="minorHAnsi"/>
                <w:color w:val="000000" w:themeColor="text1"/>
                <w:sz w:val="20"/>
                <w:szCs w:val="20"/>
                <w:lang w:val="en-US"/>
              </w:rPr>
              <w:sym w:font="Symbol" w:char="F0B3"/>
            </w:r>
            <w:r w:rsidRPr="00332C8B">
              <w:rPr>
                <w:rFonts w:asciiTheme="minorHAnsi" w:eastAsia="Calibri" w:hAnsiTheme="minorHAnsi" w:cstheme="minorHAnsi"/>
                <w:color w:val="000000" w:themeColor="text1"/>
                <w:sz w:val="20"/>
                <w:szCs w:val="20"/>
                <w:lang w:val="en-US"/>
              </w:rPr>
              <w:t xml:space="preserve"> 32%</w:t>
            </w:r>
          </w:p>
        </w:tc>
        <w:tc>
          <w:tcPr>
            <w:tcW w:w="1166" w:type="dxa"/>
            <w:shd w:val="clear" w:color="auto" w:fill="auto"/>
            <w:vAlign w:val="center"/>
          </w:tcPr>
          <w:p w14:paraId="6205279F" w14:textId="77777777" w:rsidR="00A641DE" w:rsidRPr="00332C8B" w:rsidRDefault="00A641DE"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No</w:t>
            </w:r>
          </w:p>
        </w:tc>
        <w:tc>
          <w:tcPr>
            <w:tcW w:w="4316" w:type="dxa"/>
            <w:shd w:val="clear" w:color="auto" w:fill="auto"/>
            <w:vAlign w:val="center"/>
          </w:tcPr>
          <w:p w14:paraId="7ACDEA6E" w14:textId="05A4A726" w:rsidR="00A641DE" w:rsidRPr="00332C8B" w:rsidRDefault="00CB3DFE"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kern w:val="24"/>
                <w:sz w:val="20"/>
                <w:szCs w:val="20"/>
                <w:lang w:eastAsia="en-GB"/>
              </w:rPr>
            </w:pPr>
            <w:r w:rsidRPr="00332C8B">
              <w:rPr>
                <w:rFonts w:asciiTheme="minorHAnsi" w:eastAsia="Calibri" w:hAnsiTheme="minorHAnsi" w:cstheme="minorHAnsi"/>
                <w:kern w:val="24"/>
                <w:sz w:val="20"/>
                <w:szCs w:val="20"/>
                <w:lang w:eastAsia="en-GB"/>
              </w:rPr>
              <w:t xml:space="preserve">Patients with BF </w:t>
            </w:r>
            <w:r w:rsidRPr="00332C8B">
              <w:rPr>
                <w:rFonts w:asciiTheme="minorHAnsi" w:eastAsia="Calibri" w:hAnsiTheme="minorHAnsi" w:cstheme="minorHAnsi"/>
                <w:color w:val="000000" w:themeColor="text1"/>
                <w:sz w:val="20"/>
                <w:szCs w:val="20"/>
                <w:lang w:val="en-US"/>
              </w:rPr>
              <w:sym w:font="Symbol" w:char="F0B3"/>
            </w:r>
            <w:r w:rsidRPr="00332C8B">
              <w:rPr>
                <w:rFonts w:asciiTheme="minorHAnsi" w:eastAsia="Calibri" w:hAnsiTheme="minorHAnsi" w:cstheme="minorHAnsi"/>
                <w:color w:val="000000" w:themeColor="text1"/>
                <w:sz w:val="20"/>
                <w:szCs w:val="20"/>
                <w:lang w:val="en-US"/>
              </w:rPr>
              <w:t xml:space="preserve"> 32%</w:t>
            </w:r>
            <w:r w:rsidR="000905FD" w:rsidRPr="00332C8B">
              <w:rPr>
                <w:rFonts w:asciiTheme="minorHAnsi" w:eastAsia="Calibri" w:hAnsiTheme="minorHAnsi" w:cstheme="minorHAnsi"/>
                <w:kern w:val="24"/>
                <w:sz w:val="20"/>
                <w:szCs w:val="20"/>
                <w:lang w:eastAsia="en-GB"/>
              </w:rPr>
              <w:t xml:space="preserve"> </w:t>
            </w:r>
            <w:r w:rsidRPr="00332C8B">
              <w:rPr>
                <w:rFonts w:asciiTheme="minorHAnsi" w:eastAsia="Calibri" w:hAnsiTheme="minorHAnsi" w:cstheme="minorHAnsi"/>
                <w:kern w:val="24"/>
                <w:sz w:val="20"/>
                <w:szCs w:val="20"/>
                <w:lang w:eastAsia="en-GB"/>
              </w:rPr>
              <w:t xml:space="preserve">did not have a </w:t>
            </w:r>
            <w:r w:rsidR="000905FD" w:rsidRPr="00332C8B">
              <w:rPr>
                <w:rFonts w:asciiTheme="minorHAnsi" w:eastAsia="Calibri" w:hAnsiTheme="minorHAnsi" w:cstheme="minorHAnsi"/>
                <w:kern w:val="24"/>
                <w:sz w:val="20"/>
                <w:szCs w:val="20"/>
                <w:lang w:eastAsia="en-GB"/>
              </w:rPr>
              <w:t>higher rate of post-operative complications</w:t>
            </w:r>
            <w:r w:rsidR="00C34AFB" w:rsidRPr="00332C8B">
              <w:rPr>
                <w:rFonts w:asciiTheme="minorHAnsi" w:eastAsia="Calibri" w:hAnsiTheme="minorHAnsi" w:cstheme="minorHAnsi"/>
                <w:kern w:val="24"/>
                <w:sz w:val="20"/>
                <w:szCs w:val="20"/>
                <w:lang w:eastAsia="en-GB"/>
              </w:rPr>
              <w:t xml:space="preserve"> </w:t>
            </w:r>
            <w:r w:rsidR="000905FD" w:rsidRPr="00332C8B">
              <w:rPr>
                <w:rFonts w:asciiTheme="minorHAnsi" w:eastAsia="Calibri" w:hAnsiTheme="minorHAnsi" w:cstheme="minorHAnsi"/>
                <w:kern w:val="24"/>
                <w:sz w:val="20"/>
                <w:szCs w:val="20"/>
                <w:lang w:eastAsia="en-GB"/>
              </w:rPr>
              <w:t>(1</w:t>
            </w:r>
            <w:r w:rsidR="00263B1A" w:rsidRPr="00332C8B">
              <w:rPr>
                <w:rFonts w:asciiTheme="minorHAnsi" w:eastAsia="Calibri" w:hAnsiTheme="minorHAnsi" w:cstheme="minorHAnsi"/>
                <w:kern w:val="24"/>
                <w:sz w:val="20"/>
                <w:szCs w:val="20"/>
                <w:lang w:eastAsia="en-GB"/>
              </w:rPr>
              <w:t>9.3</w:t>
            </w:r>
            <w:r w:rsidR="000905FD" w:rsidRPr="00332C8B">
              <w:rPr>
                <w:rFonts w:asciiTheme="minorHAnsi" w:eastAsia="Calibri" w:hAnsiTheme="minorHAnsi" w:cstheme="minorHAnsi"/>
                <w:kern w:val="24"/>
                <w:sz w:val="20"/>
                <w:szCs w:val="20"/>
                <w:lang w:eastAsia="en-GB"/>
              </w:rPr>
              <w:t>% vs</w:t>
            </w:r>
            <w:r w:rsidR="0082484B">
              <w:rPr>
                <w:rFonts w:asciiTheme="minorHAnsi" w:eastAsia="Calibri" w:hAnsiTheme="minorHAnsi" w:cstheme="minorHAnsi"/>
                <w:kern w:val="24"/>
                <w:sz w:val="20"/>
                <w:szCs w:val="20"/>
                <w:lang w:eastAsia="en-GB"/>
              </w:rPr>
              <w:t>.</w:t>
            </w:r>
            <w:r w:rsidR="000905FD" w:rsidRPr="00332C8B">
              <w:rPr>
                <w:rFonts w:asciiTheme="minorHAnsi" w:eastAsia="Calibri" w:hAnsiTheme="minorHAnsi" w:cstheme="minorHAnsi"/>
                <w:kern w:val="24"/>
                <w:sz w:val="20"/>
                <w:szCs w:val="20"/>
                <w:lang w:eastAsia="en-GB"/>
              </w:rPr>
              <w:t xml:space="preserve"> 18.2%, p-value not reported)</w:t>
            </w:r>
          </w:p>
        </w:tc>
      </w:tr>
      <w:tr w:rsidR="00504C3C" w:rsidRPr="00332C8B" w14:paraId="72299128" w14:textId="77777777" w:rsidTr="00C34AFB">
        <w:trPr>
          <w:trHeight w:val="907"/>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vAlign w:val="center"/>
          </w:tcPr>
          <w:p w14:paraId="5CB9C1C4" w14:textId="03B2A76F" w:rsidR="00A641DE" w:rsidRPr="00332C8B" w:rsidRDefault="00A641DE" w:rsidP="00F0414E">
            <w:pPr>
              <w:spacing w:line="480" w:lineRule="auto"/>
              <w:jc w:val="center"/>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Berstad, 2013</w:t>
            </w:r>
            <w:r w:rsidR="003662F1" w:rsidRPr="00332C8B">
              <w:rPr>
                <w:rFonts w:asciiTheme="minorHAnsi" w:eastAsia="Calibri" w:hAnsiTheme="minorHAnsi" w:cstheme="minorHAnsi"/>
                <w:color w:val="000000" w:themeColor="text1"/>
                <w:sz w:val="20"/>
                <w:szCs w:val="20"/>
              </w:rPr>
              <w:fldChar w:fldCharType="begin" w:fldLock="1"/>
            </w:r>
            <w:r w:rsidR="00F66CFF" w:rsidRPr="00332C8B">
              <w:rPr>
                <w:rFonts w:asciiTheme="minorHAnsi" w:eastAsia="Calibri" w:hAnsiTheme="minorHAnsi" w:cstheme="minorHAnsi"/>
                <w:color w:val="000000" w:themeColor="text1"/>
                <w:sz w:val="20"/>
                <w:szCs w:val="20"/>
              </w:rPr>
              <w:instrText>ADDIN CSL_CITATION {"citationItems":[{"id":"ITEM-1","itemData":{"DOI":"10.1111/jhn.12002","ISSN":"0952-3871","abstract":"Background Both malnutrition and obesity are related to worsened post-operative outcomes after colorectal surgery. Obese cancer patients may be malnourished as a result of short-term weight loss. The present study aimed to evaluate preoperative nutritional status, body composition and dietary intake related to post-operative complications ( POC) and post-operative hospital days ( POHD) in elective colorectal cancer ( CRC) patients. Methods Anthropometry, body composition measured by bioelectric spectroscopy and dietary habits assessed by a validated food-frequency questionnaire were examined in 100 newly-diagnosed CRC patients. Data from 30-day POC and POHD were collected from medical records. Nonparametric and chi-squared tests and logistic regression were used to analyse associations between body and dietary variables and post-operative outcome. Results Twenty-nine patients had at least one POC. The median POHD was six. Body size and composition measures and short-term weight loss were no different between patients with and without POC, or between patients with POHD &lt;7 and ≥7. Dietary variables were otherwise no different between patients with and without POC, although the median intake of marine n-3 polyunsaturated fatty acids ( PUFA, the sum of eicosapentaenoic and docosahexaenoic acids) was significantly lower in patients with versus without POC (0.7 versus 1.2 g day−1, P = 0.04). Conclusions We found that preoperative body size, body composition and short-term weight loss were not related to 30-day post-operative outcomes in CRC patients. A high content of marine n-3 PUFA in preoperative habitual diets may protect against POC after CRC surgery.","author":[{"dropping-particle":"","family":"Berstad","given":"P","non-dropping-particle":"","parse-names":false,"suffix":""},{"dropping-particle":"","family":"Haugum","given":"B","non-dropping-particle":"","parse-names":false,"suffix":""},{"dropping-particle":"","family":"Helgeland","given":"M","non-dropping-particle":"","parse-names":false,"suffix":""},{"dropping-particle":"","family":"Bukholm","given":"I","non-dropping-particle":"","parse-names":false,"suffix":""},{"dropping-particle":"","family":"Almendingen","given":"K","non-dropping-particle":"","parse-names":false,"suffix":""}],"container-title":"Journal of Human Nutrition &amp; Dietetics","id":"ITEM-1","issue":"4","issued":{"date-parts":[["2013","8"]]},"note":"Accession Number: 104196215. Language: English. Entry Date: 20130716. Revision Date: 20150820. Publication Type: Journal Article; research; tables/charts. Journal Subset: Allied Health; Biomedical; Europe; Peer Reviewed; UK &amp;amp; Ireland. Special Interest: Nutrition; Oncologic Care; Perioperative Care. Instrumentation: Food Frequency Questionnaire (FFQ). Grant Information: This work was supported by grant no. 2006094 from Eastern Norway Regional Health Authority RHF and grants from Eckbo Foundation and Flatner Foundation.. NLM UID: 8904840.","page":"359-368","publisher":"Wiley-Blackwell","publisher-place":"Research Centre Akershus University Hospital","title":"Preoperative body size and composition, habitual diet, and post-operative complications in elective colorectal cancer patients in Norway.","type":"article-journal","volume":"26"},"uris":["http://www.mendeley.com/documents/?uuid=ed89d092-88dd-471d-99eb-e3ad956371cb"]}],"mendeley":{"formattedCitation":"[31]","plainTextFormattedCitation":"[31]","previouslyFormattedCitation":"[32]"},"properties":{"noteIndex":0},"schema":"https://github.com/citation-style-language/schema/raw/master/csl-citation.json"}</w:instrText>
            </w:r>
            <w:r w:rsidR="003662F1" w:rsidRPr="00332C8B">
              <w:rPr>
                <w:rFonts w:asciiTheme="minorHAnsi" w:eastAsia="Calibri" w:hAnsiTheme="minorHAnsi" w:cstheme="minorHAnsi"/>
                <w:color w:val="000000" w:themeColor="text1"/>
                <w:sz w:val="20"/>
                <w:szCs w:val="20"/>
              </w:rPr>
              <w:fldChar w:fldCharType="separate"/>
            </w:r>
            <w:r w:rsidR="00F66CFF" w:rsidRPr="00332C8B">
              <w:rPr>
                <w:rFonts w:asciiTheme="minorHAnsi" w:eastAsia="Calibri" w:hAnsiTheme="minorHAnsi" w:cstheme="minorHAnsi"/>
                <w:b w:val="0"/>
                <w:noProof/>
                <w:color w:val="000000" w:themeColor="text1"/>
                <w:sz w:val="20"/>
                <w:szCs w:val="20"/>
              </w:rPr>
              <w:t>[31]</w:t>
            </w:r>
            <w:r w:rsidR="003662F1" w:rsidRPr="00332C8B">
              <w:rPr>
                <w:rFonts w:asciiTheme="minorHAnsi" w:eastAsia="Calibri" w:hAnsiTheme="minorHAnsi" w:cstheme="minorHAnsi"/>
                <w:color w:val="000000" w:themeColor="text1"/>
                <w:sz w:val="20"/>
                <w:szCs w:val="20"/>
              </w:rPr>
              <w:fldChar w:fldCharType="end"/>
            </w:r>
          </w:p>
        </w:tc>
        <w:tc>
          <w:tcPr>
            <w:tcW w:w="993" w:type="dxa"/>
            <w:shd w:val="clear" w:color="auto" w:fill="auto"/>
            <w:vAlign w:val="center"/>
          </w:tcPr>
          <w:p w14:paraId="12DBAC12" w14:textId="77777777" w:rsidR="00A641DE" w:rsidRPr="00332C8B" w:rsidRDefault="006B2A6E"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FFM</w:t>
            </w:r>
          </w:p>
          <w:p w14:paraId="2E50543F" w14:textId="1A387661" w:rsidR="006B2A6E" w:rsidRPr="00332C8B" w:rsidRDefault="006B2A6E"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FM</w:t>
            </w:r>
          </w:p>
        </w:tc>
        <w:tc>
          <w:tcPr>
            <w:tcW w:w="1417" w:type="dxa"/>
            <w:shd w:val="clear" w:color="auto" w:fill="auto"/>
            <w:vAlign w:val="center"/>
          </w:tcPr>
          <w:p w14:paraId="5ABCC74E" w14:textId="77777777" w:rsidR="00A641DE" w:rsidRPr="00332C8B" w:rsidRDefault="000905FD"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w:t>
            </w:r>
          </w:p>
        </w:tc>
        <w:tc>
          <w:tcPr>
            <w:tcW w:w="1166" w:type="dxa"/>
            <w:shd w:val="clear" w:color="auto" w:fill="auto"/>
            <w:vAlign w:val="center"/>
          </w:tcPr>
          <w:p w14:paraId="1736F40C" w14:textId="77777777" w:rsidR="00A641DE" w:rsidRPr="00332C8B" w:rsidRDefault="00A641DE"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No</w:t>
            </w:r>
          </w:p>
        </w:tc>
        <w:tc>
          <w:tcPr>
            <w:tcW w:w="4316" w:type="dxa"/>
            <w:shd w:val="clear" w:color="auto" w:fill="auto"/>
            <w:vAlign w:val="center"/>
          </w:tcPr>
          <w:p w14:paraId="323D3BBD" w14:textId="6264B346" w:rsidR="00A641DE" w:rsidRPr="00332C8B" w:rsidRDefault="000905FD" w:rsidP="00F0414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kern w:val="24"/>
                <w:sz w:val="20"/>
                <w:szCs w:val="20"/>
                <w:lang w:eastAsia="en-GB"/>
              </w:rPr>
              <w:t>No difference in FFM between patients who did or did not have post-operative complications (</w:t>
            </w:r>
            <w:r w:rsidRPr="00332C8B">
              <w:rPr>
                <w:rFonts w:asciiTheme="minorHAnsi" w:hAnsiTheme="minorHAnsi" w:cstheme="minorHAnsi"/>
                <w:kern w:val="24"/>
                <w:sz w:val="20"/>
                <w:szCs w:val="20"/>
                <w:lang w:eastAsia="en-GB"/>
              </w:rPr>
              <w:t>68.6% vs</w:t>
            </w:r>
            <w:r w:rsidR="0082484B">
              <w:rPr>
                <w:rFonts w:asciiTheme="minorHAnsi" w:hAnsiTheme="minorHAnsi" w:cstheme="minorHAnsi"/>
                <w:kern w:val="24"/>
                <w:sz w:val="20"/>
                <w:szCs w:val="20"/>
                <w:lang w:eastAsia="en-GB"/>
              </w:rPr>
              <w:t>.</w:t>
            </w:r>
            <w:r w:rsidRPr="00332C8B">
              <w:rPr>
                <w:rFonts w:asciiTheme="minorHAnsi" w:hAnsiTheme="minorHAnsi" w:cstheme="minorHAnsi"/>
                <w:kern w:val="24"/>
                <w:sz w:val="20"/>
                <w:szCs w:val="20"/>
                <w:lang w:eastAsia="en-GB"/>
              </w:rPr>
              <w:t xml:space="preserve"> 66.3%, p</w:t>
            </w:r>
            <w:r w:rsidR="0082484B">
              <w:rPr>
                <w:rFonts w:asciiTheme="minorHAnsi" w:hAnsiTheme="minorHAnsi" w:cstheme="minorHAnsi"/>
                <w:kern w:val="24"/>
                <w:sz w:val="20"/>
                <w:szCs w:val="20"/>
                <w:lang w:eastAsia="en-GB"/>
              </w:rPr>
              <w:t xml:space="preserve"> </w:t>
            </w:r>
            <w:r w:rsidRPr="00332C8B">
              <w:rPr>
                <w:rFonts w:asciiTheme="minorHAnsi" w:hAnsiTheme="minorHAnsi" w:cstheme="minorHAnsi"/>
                <w:kern w:val="24"/>
                <w:sz w:val="20"/>
                <w:szCs w:val="20"/>
                <w:lang w:eastAsia="en-GB"/>
              </w:rPr>
              <w:t>=</w:t>
            </w:r>
            <w:r w:rsidR="0082484B">
              <w:rPr>
                <w:rFonts w:asciiTheme="minorHAnsi" w:hAnsiTheme="minorHAnsi" w:cstheme="minorHAnsi"/>
                <w:kern w:val="24"/>
                <w:sz w:val="20"/>
                <w:szCs w:val="20"/>
                <w:lang w:eastAsia="en-GB"/>
              </w:rPr>
              <w:t xml:space="preserve"> </w:t>
            </w:r>
            <w:r w:rsidRPr="00332C8B">
              <w:rPr>
                <w:rFonts w:asciiTheme="minorHAnsi" w:hAnsiTheme="minorHAnsi" w:cstheme="minorHAnsi"/>
                <w:kern w:val="24"/>
                <w:sz w:val="20"/>
                <w:szCs w:val="20"/>
                <w:lang w:eastAsia="en-GB"/>
              </w:rPr>
              <w:t>0.71)</w:t>
            </w:r>
          </w:p>
        </w:tc>
      </w:tr>
      <w:tr w:rsidR="00504C3C" w:rsidRPr="00332C8B" w14:paraId="4629A168" w14:textId="77777777" w:rsidTr="00C34AFB">
        <w:trPr>
          <w:cnfStyle w:val="000000100000" w:firstRow="0" w:lastRow="0" w:firstColumn="0" w:lastColumn="0" w:oddVBand="0" w:evenVBand="0" w:oddHBand="1" w:evenHBand="0" w:firstRowFirstColumn="0" w:firstRowLastColumn="0" w:lastRowFirstColumn="0" w:lastRowLastColumn="0"/>
          <w:trHeight w:val="907"/>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vAlign w:val="center"/>
          </w:tcPr>
          <w:p w14:paraId="3FB2A105" w14:textId="472AFAA9" w:rsidR="00A641DE" w:rsidRPr="00332C8B" w:rsidRDefault="00A641DE" w:rsidP="00F0414E">
            <w:pPr>
              <w:spacing w:line="480" w:lineRule="auto"/>
              <w:jc w:val="center"/>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Fritz, 1990</w:t>
            </w:r>
            <w:r w:rsidR="003662F1" w:rsidRPr="00332C8B">
              <w:rPr>
                <w:rFonts w:asciiTheme="minorHAnsi" w:eastAsia="Calibri" w:hAnsiTheme="minorHAnsi" w:cstheme="minorHAnsi"/>
                <w:color w:val="000000" w:themeColor="text1"/>
                <w:sz w:val="20"/>
                <w:szCs w:val="20"/>
              </w:rPr>
              <w:fldChar w:fldCharType="begin" w:fldLock="1"/>
            </w:r>
            <w:r w:rsidR="00F66CFF" w:rsidRPr="00332C8B">
              <w:rPr>
                <w:rFonts w:asciiTheme="minorHAnsi" w:eastAsia="Calibri" w:hAnsiTheme="minorHAnsi" w:cstheme="minorHAnsi"/>
                <w:color w:val="000000" w:themeColor="text1"/>
                <w:sz w:val="20"/>
                <w:szCs w:val="20"/>
              </w:rPr>
              <w:instrText>ADDIN CSL_CITATION {"citationItems":[{"id":"ITEM-1","itemData":{"ISSN":"0748-7983","abstract":"The correlation between body composition measured by bioelectrical impedance (BIA) and postoperative complications in 115 patients with gastrointestinal cancer was analysed. A significant increase in severe complications was found independent of lean body mass (LBM). In patients with LBM below the normal range the complication rate proved to be 31% (17/55), whereas patients with normal LBM had a complication rate of 10% (6/60). Other decisive factors, such as sex, age, tumor stage, operative procedure and body height were equally distributed in both groups. The practicability and efficiency of BIA became obvious in this study.","author":[{"dropping-particle":"","family":"T.","given":"Fritz","non-dropping-particle":"","parse-names":false,"suffix":""},{"dropping-particle":"","family":"I.","given":"Hollwarth","non-dropping-particle":"","parse-names":false,"suffix":""},{"dropping-particle":"","family":"M.","given":"Romaschow","non-dropping-particle":"","parse-names":false,"suffix":""}],"container-title":"European Journal of Surgical Oncology","id":"ITEM-1","issue":"4","issued":{"date-parts":[["1990"]]},"page":"326-331","publisher":"W.B. Saunders Ltd (32 Jamestown Road, London NW1 7BY, United Kingdom)","publisher-place":"P. Schlag, Department of Surgery, University of Heidelberg, Im Neuenheimer Feld 110, D-6900 Heidelberg, Germany","title":"The predictive role of bioelectrical impedance analysis (BIA) in postoperative complications of cancer patients","type":"article-journal","volume":"16"},"uris":["http://www.mendeley.com/documents/?uuid=e0444ba5-8fa0-4676-9f2f-5be6618fbef1"]}],"mendeley":{"formattedCitation":"[41]","plainTextFormattedCitation":"[41]","previouslyFormattedCitation":"[42]"},"properties":{"noteIndex":0},"schema":"https://github.com/citation-style-language/schema/raw/master/csl-citation.json"}</w:instrText>
            </w:r>
            <w:r w:rsidR="003662F1" w:rsidRPr="00332C8B">
              <w:rPr>
                <w:rFonts w:asciiTheme="minorHAnsi" w:eastAsia="Calibri" w:hAnsiTheme="minorHAnsi" w:cstheme="minorHAnsi"/>
                <w:color w:val="000000" w:themeColor="text1"/>
                <w:sz w:val="20"/>
                <w:szCs w:val="20"/>
              </w:rPr>
              <w:fldChar w:fldCharType="separate"/>
            </w:r>
            <w:r w:rsidR="00F66CFF" w:rsidRPr="00332C8B">
              <w:rPr>
                <w:rFonts w:asciiTheme="minorHAnsi" w:eastAsia="Calibri" w:hAnsiTheme="minorHAnsi" w:cstheme="minorHAnsi"/>
                <w:b w:val="0"/>
                <w:noProof/>
                <w:color w:val="000000" w:themeColor="text1"/>
                <w:sz w:val="20"/>
                <w:szCs w:val="20"/>
              </w:rPr>
              <w:t>[41]</w:t>
            </w:r>
            <w:r w:rsidR="003662F1" w:rsidRPr="00332C8B">
              <w:rPr>
                <w:rFonts w:asciiTheme="minorHAnsi" w:eastAsia="Calibri" w:hAnsiTheme="minorHAnsi" w:cstheme="minorHAnsi"/>
                <w:color w:val="000000" w:themeColor="text1"/>
                <w:sz w:val="20"/>
                <w:szCs w:val="20"/>
              </w:rPr>
              <w:fldChar w:fldCharType="end"/>
            </w:r>
          </w:p>
        </w:tc>
        <w:tc>
          <w:tcPr>
            <w:tcW w:w="993" w:type="dxa"/>
            <w:shd w:val="clear" w:color="auto" w:fill="auto"/>
            <w:vAlign w:val="center"/>
          </w:tcPr>
          <w:p w14:paraId="75D6091E" w14:textId="4C3E6037" w:rsidR="00A641DE" w:rsidRPr="00332C8B" w:rsidRDefault="00A641D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LBM</w:t>
            </w:r>
          </w:p>
        </w:tc>
        <w:tc>
          <w:tcPr>
            <w:tcW w:w="1417" w:type="dxa"/>
            <w:shd w:val="clear" w:color="auto" w:fill="auto"/>
            <w:vAlign w:val="center"/>
          </w:tcPr>
          <w:p w14:paraId="2F28A947" w14:textId="77777777" w:rsidR="00A641DE" w:rsidRPr="00332C8B" w:rsidRDefault="00316B36"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kern w:val="24"/>
                <w:sz w:val="20"/>
                <w:szCs w:val="20"/>
                <w:lang w:eastAsia="en-GB"/>
              </w:rPr>
              <w:t>LBM &lt; predicted normal LBM</w:t>
            </w:r>
          </w:p>
        </w:tc>
        <w:tc>
          <w:tcPr>
            <w:tcW w:w="1166" w:type="dxa"/>
            <w:shd w:val="clear" w:color="auto" w:fill="auto"/>
            <w:vAlign w:val="center"/>
          </w:tcPr>
          <w:p w14:paraId="45F2D97E" w14:textId="77777777" w:rsidR="00A641DE" w:rsidRPr="00332C8B" w:rsidRDefault="00A641DE"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Yes</w:t>
            </w:r>
          </w:p>
        </w:tc>
        <w:tc>
          <w:tcPr>
            <w:tcW w:w="4316" w:type="dxa"/>
            <w:shd w:val="clear" w:color="auto" w:fill="auto"/>
            <w:vAlign w:val="center"/>
          </w:tcPr>
          <w:p w14:paraId="108E824E" w14:textId="7A444AB2" w:rsidR="00A641DE" w:rsidRPr="00332C8B" w:rsidRDefault="006B2A6E" w:rsidP="00F0414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332C8B">
              <w:rPr>
                <w:rFonts w:asciiTheme="minorHAnsi" w:eastAsia="Calibri" w:hAnsiTheme="minorHAnsi" w:cstheme="minorHAnsi"/>
                <w:kern w:val="24"/>
                <w:sz w:val="20"/>
                <w:szCs w:val="20"/>
                <w:lang w:eastAsia="en-GB"/>
              </w:rPr>
              <w:t>Lower</w:t>
            </w:r>
            <w:r w:rsidR="00180935" w:rsidRPr="00332C8B">
              <w:rPr>
                <w:rFonts w:asciiTheme="minorHAnsi" w:eastAsia="Calibri" w:hAnsiTheme="minorHAnsi" w:cstheme="minorHAnsi"/>
                <w:kern w:val="24"/>
                <w:sz w:val="20"/>
                <w:szCs w:val="20"/>
                <w:lang w:eastAsia="en-GB"/>
              </w:rPr>
              <w:t xml:space="preserve"> LBM associated</w:t>
            </w:r>
            <w:r w:rsidR="000652FD" w:rsidRPr="00332C8B">
              <w:rPr>
                <w:rFonts w:asciiTheme="minorHAnsi" w:eastAsia="Calibri" w:hAnsiTheme="minorHAnsi" w:cstheme="minorHAnsi"/>
                <w:kern w:val="24"/>
                <w:sz w:val="20"/>
                <w:szCs w:val="20"/>
                <w:lang w:eastAsia="en-GB"/>
              </w:rPr>
              <w:t xml:space="preserve"> with</w:t>
            </w:r>
            <w:r w:rsidR="00CB3DFE" w:rsidRPr="00332C8B">
              <w:rPr>
                <w:rFonts w:asciiTheme="minorHAnsi" w:eastAsia="Calibri" w:hAnsiTheme="minorHAnsi" w:cstheme="minorHAnsi"/>
                <w:kern w:val="24"/>
                <w:sz w:val="20"/>
                <w:szCs w:val="20"/>
                <w:lang w:eastAsia="en-GB"/>
              </w:rPr>
              <w:t xml:space="preserve"> a higher rate of post-operative complications (17% vs</w:t>
            </w:r>
            <w:r w:rsidR="00854DFA">
              <w:rPr>
                <w:rFonts w:asciiTheme="minorHAnsi" w:eastAsia="Calibri" w:hAnsiTheme="minorHAnsi" w:cstheme="minorHAnsi"/>
                <w:kern w:val="24"/>
                <w:sz w:val="20"/>
                <w:szCs w:val="20"/>
                <w:lang w:eastAsia="en-GB"/>
              </w:rPr>
              <w:t>.</w:t>
            </w:r>
            <w:r w:rsidR="00CB3DFE" w:rsidRPr="00332C8B">
              <w:rPr>
                <w:rFonts w:asciiTheme="minorHAnsi" w:eastAsia="Calibri" w:hAnsiTheme="minorHAnsi" w:cstheme="minorHAnsi"/>
                <w:kern w:val="24"/>
                <w:sz w:val="20"/>
                <w:szCs w:val="20"/>
                <w:lang w:eastAsia="en-GB"/>
              </w:rPr>
              <w:t xml:space="preserve"> 6%, p</w:t>
            </w:r>
            <w:r w:rsidR="00854DFA">
              <w:rPr>
                <w:rFonts w:asciiTheme="minorHAnsi" w:eastAsia="Calibri" w:hAnsiTheme="minorHAnsi" w:cstheme="minorHAnsi"/>
                <w:kern w:val="24"/>
                <w:sz w:val="20"/>
                <w:szCs w:val="20"/>
                <w:lang w:eastAsia="en-GB"/>
              </w:rPr>
              <w:t xml:space="preserve"> </w:t>
            </w:r>
            <w:r w:rsidR="00CB3DFE" w:rsidRPr="00332C8B">
              <w:rPr>
                <w:rFonts w:asciiTheme="minorHAnsi" w:eastAsia="Calibri" w:hAnsiTheme="minorHAnsi" w:cstheme="minorHAnsi"/>
                <w:kern w:val="24"/>
                <w:sz w:val="20"/>
                <w:szCs w:val="20"/>
                <w:lang w:eastAsia="en-GB"/>
              </w:rPr>
              <w:t>=</w:t>
            </w:r>
            <w:r w:rsidR="00854DFA">
              <w:rPr>
                <w:rFonts w:asciiTheme="minorHAnsi" w:eastAsia="Calibri" w:hAnsiTheme="minorHAnsi" w:cstheme="minorHAnsi"/>
                <w:kern w:val="24"/>
                <w:sz w:val="20"/>
                <w:szCs w:val="20"/>
                <w:lang w:eastAsia="en-GB"/>
              </w:rPr>
              <w:t xml:space="preserve"> </w:t>
            </w:r>
            <w:r w:rsidR="00CB3DFE" w:rsidRPr="00332C8B">
              <w:rPr>
                <w:rFonts w:asciiTheme="minorHAnsi" w:eastAsia="Calibri" w:hAnsiTheme="minorHAnsi" w:cstheme="minorHAnsi"/>
                <w:kern w:val="24"/>
                <w:sz w:val="20"/>
                <w:szCs w:val="20"/>
                <w:lang w:eastAsia="en-GB"/>
              </w:rPr>
              <w:t>0.02)</w:t>
            </w:r>
          </w:p>
        </w:tc>
      </w:tr>
    </w:tbl>
    <w:p w14:paraId="76AFC5F4" w14:textId="39F21FE6" w:rsidR="008A7004" w:rsidRPr="00332C8B" w:rsidRDefault="009A58D9" w:rsidP="00F0414E">
      <w:pPr>
        <w:spacing w:line="480" w:lineRule="auto"/>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rPr>
        <w:t xml:space="preserve">Legend: MMI = Muscle Mass Index; </w:t>
      </w:r>
      <w:r w:rsidRPr="00332C8B">
        <w:rPr>
          <w:rFonts w:asciiTheme="minorHAnsi" w:eastAsia="Calibri" w:hAnsiTheme="minorHAnsi" w:cstheme="minorHAnsi"/>
          <w:color w:val="000000" w:themeColor="text1"/>
          <w:sz w:val="20"/>
          <w:szCs w:val="20"/>
        </w:rPr>
        <w:sym w:font="Symbol" w:char="F073"/>
      </w:r>
      <w:r w:rsidRPr="00332C8B">
        <w:rPr>
          <w:rFonts w:asciiTheme="minorHAnsi" w:eastAsia="Calibri" w:hAnsiTheme="minorHAnsi" w:cstheme="minorHAnsi"/>
          <w:color w:val="000000" w:themeColor="text1"/>
          <w:sz w:val="20"/>
          <w:szCs w:val="20"/>
        </w:rPr>
        <w:t xml:space="preserve"> = standard deviation; </w:t>
      </w:r>
      <w:r w:rsidRPr="00332C8B">
        <w:rPr>
          <w:rFonts w:ascii="Segoe UI Symbol" w:eastAsia="Calibri" w:hAnsi="Segoe UI Symbol" w:cs="Segoe UI Symbol"/>
          <w:kern w:val="24"/>
          <w:sz w:val="20"/>
          <w:szCs w:val="20"/>
          <w:lang w:val="en-US" w:eastAsia="en-GB"/>
        </w:rPr>
        <w:t>♂</w:t>
      </w:r>
      <w:r w:rsidRPr="00332C8B">
        <w:rPr>
          <w:rFonts w:asciiTheme="minorHAnsi" w:eastAsia="Calibri" w:hAnsiTheme="minorHAnsi" w:cstheme="minorHAnsi"/>
          <w:kern w:val="24"/>
          <w:sz w:val="20"/>
          <w:szCs w:val="20"/>
          <w:lang w:val="en-US" w:eastAsia="en-GB"/>
        </w:rPr>
        <w:t xml:space="preserve">= male; </w:t>
      </w:r>
      <w:r w:rsidRPr="00332C8B">
        <w:rPr>
          <w:rFonts w:ascii="Segoe UI Symbol" w:eastAsia="Calibri" w:hAnsi="Segoe UI Symbol" w:cs="Segoe UI Symbol"/>
          <w:kern w:val="24"/>
          <w:sz w:val="20"/>
          <w:szCs w:val="20"/>
          <w:lang w:val="en-US" w:eastAsia="en-GB"/>
        </w:rPr>
        <w:t>♀</w:t>
      </w:r>
      <w:r w:rsidRPr="00332C8B">
        <w:rPr>
          <w:rFonts w:asciiTheme="minorHAnsi" w:eastAsia="Calibri" w:hAnsiTheme="minorHAnsi" w:cstheme="minorHAnsi"/>
          <w:kern w:val="24"/>
          <w:sz w:val="20"/>
          <w:szCs w:val="20"/>
          <w:lang w:val="en-US" w:eastAsia="en-GB"/>
        </w:rPr>
        <w:t xml:space="preserve">= female; </w:t>
      </w:r>
      <w:r w:rsidR="00C34AFB" w:rsidRPr="00332C8B">
        <w:rPr>
          <w:rFonts w:asciiTheme="minorHAnsi" w:eastAsia="Calibri" w:hAnsiTheme="minorHAnsi" w:cstheme="minorHAnsi"/>
          <w:color w:val="000000" w:themeColor="text1"/>
          <w:sz w:val="20"/>
          <w:szCs w:val="20"/>
        </w:rPr>
        <w:t>FFMI = Fat F</w:t>
      </w:r>
      <w:r w:rsidRPr="00332C8B">
        <w:rPr>
          <w:rFonts w:asciiTheme="minorHAnsi" w:eastAsia="Calibri" w:hAnsiTheme="minorHAnsi" w:cstheme="minorHAnsi"/>
          <w:color w:val="000000" w:themeColor="text1"/>
          <w:sz w:val="20"/>
          <w:szCs w:val="20"/>
        </w:rPr>
        <w:t xml:space="preserve">ree </w:t>
      </w:r>
      <w:r w:rsidR="00C34AFB" w:rsidRPr="00332C8B">
        <w:rPr>
          <w:rFonts w:asciiTheme="minorHAnsi" w:eastAsia="Calibri" w:hAnsiTheme="minorHAnsi" w:cstheme="minorHAnsi"/>
          <w:color w:val="000000" w:themeColor="text1"/>
          <w:sz w:val="20"/>
          <w:szCs w:val="20"/>
        </w:rPr>
        <w:t>M</w:t>
      </w:r>
      <w:r w:rsidRPr="00332C8B">
        <w:rPr>
          <w:rFonts w:asciiTheme="minorHAnsi" w:eastAsia="Calibri" w:hAnsiTheme="minorHAnsi" w:cstheme="minorHAnsi"/>
          <w:color w:val="000000" w:themeColor="text1"/>
          <w:sz w:val="20"/>
          <w:szCs w:val="20"/>
        </w:rPr>
        <w:t>ass Index; FMI = Fat Mass Index; LBMI = Lean Body Mass Index; SMM = Skeletal Muscle</w:t>
      </w:r>
      <w:r w:rsidR="00F36021" w:rsidRPr="00332C8B">
        <w:rPr>
          <w:rFonts w:asciiTheme="minorHAnsi" w:eastAsia="Calibri" w:hAnsiTheme="minorHAnsi" w:cstheme="minorHAnsi"/>
          <w:color w:val="000000" w:themeColor="text1"/>
          <w:sz w:val="20"/>
          <w:szCs w:val="20"/>
        </w:rPr>
        <w:t xml:space="preserve"> Mass; FM = Fat Mass; FFM = Fat F</w:t>
      </w:r>
      <w:r w:rsidRPr="00332C8B">
        <w:rPr>
          <w:rFonts w:asciiTheme="minorHAnsi" w:eastAsia="Calibri" w:hAnsiTheme="minorHAnsi" w:cstheme="minorHAnsi"/>
          <w:color w:val="000000" w:themeColor="text1"/>
          <w:sz w:val="20"/>
          <w:szCs w:val="20"/>
        </w:rPr>
        <w:t>ree Mass; BF = Body Fat; LBM = Lean Body Mass; TBW = Total Body Water</w:t>
      </w:r>
    </w:p>
    <w:p w14:paraId="4B65F0A5" w14:textId="3C060797" w:rsidR="008A7004" w:rsidRPr="00332C8B" w:rsidRDefault="008A7004" w:rsidP="00F0414E">
      <w:pPr>
        <w:spacing w:line="480" w:lineRule="auto"/>
        <w:rPr>
          <w:rFonts w:asciiTheme="minorHAnsi" w:eastAsia="Calibri" w:hAnsiTheme="minorHAnsi" w:cstheme="minorHAnsi"/>
          <w:color w:val="000000" w:themeColor="text1"/>
          <w:sz w:val="20"/>
          <w:szCs w:val="20"/>
        </w:rPr>
      </w:pPr>
      <w:r w:rsidRPr="00332C8B">
        <w:rPr>
          <w:rFonts w:asciiTheme="minorHAnsi" w:eastAsia="Calibri" w:hAnsiTheme="minorHAnsi" w:cstheme="minorHAnsi"/>
          <w:color w:val="000000" w:themeColor="text1"/>
          <w:sz w:val="20"/>
          <w:szCs w:val="20"/>
          <w:vertAlign w:val="superscript"/>
        </w:rPr>
        <w:t xml:space="preserve">a </w:t>
      </w:r>
      <w:r w:rsidRPr="00332C8B">
        <w:rPr>
          <w:rFonts w:asciiTheme="minorHAnsi" w:eastAsia="Calibri" w:hAnsiTheme="minorHAnsi" w:cstheme="minorHAnsi"/>
          <w:color w:val="000000" w:themeColor="text1"/>
          <w:sz w:val="20"/>
          <w:szCs w:val="20"/>
        </w:rPr>
        <w:t>Clavien-Dindo grade 2-5</w:t>
      </w:r>
    </w:p>
    <w:p w14:paraId="2167DFF1" w14:textId="77777777" w:rsidR="009A58D9" w:rsidRPr="00332C8B" w:rsidRDefault="009A58D9" w:rsidP="00F0414E">
      <w:pPr>
        <w:spacing w:line="480" w:lineRule="auto"/>
        <w:rPr>
          <w:rFonts w:asciiTheme="minorHAnsi" w:eastAsia="Calibri" w:hAnsiTheme="minorHAnsi" w:cstheme="minorHAnsi"/>
          <w:bCs/>
          <w:i/>
          <w:iCs/>
          <w:color w:val="000000" w:themeColor="text1"/>
          <w:sz w:val="22"/>
          <w:szCs w:val="22"/>
        </w:rPr>
      </w:pPr>
    </w:p>
    <w:p w14:paraId="7F6BFDCE" w14:textId="77777777" w:rsidR="00DF5D4C" w:rsidRPr="00332C8B" w:rsidRDefault="002D62C1" w:rsidP="00F0414E">
      <w:pPr>
        <w:spacing w:line="480" w:lineRule="auto"/>
        <w:rPr>
          <w:rFonts w:asciiTheme="minorHAnsi" w:hAnsiTheme="minorHAnsi" w:cstheme="minorHAnsi"/>
          <w:b/>
        </w:rPr>
      </w:pPr>
      <w:r w:rsidRPr="00332C8B">
        <w:rPr>
          <w:rFonts w:asciiTheme="minorHAnsi" w:hAnsiTheme="minorHAnsi" w:cstheme="minorHAnsi"/>
          <w:b/>
        </w:rPr>
        <w:t>Discussion</w:t>
      </w:r>
    </w:p>
    <w:p w14:paraId="6CF4D66C" w14:textId="77777777" w:rsidR="0097472E" w:rsidRPr="00332C8B" w:rsidRDefault="0097472E" w:rsidP="00F0414E">
      <w:pPr>
        <w:spacing w:line="480" w:lineRule="auto"/>
        <w:rPr>
          <w:rFonts w:asciiTheme="minorHAnsi" w:hAnsiTheme="minorHAnsi" w:cstheme="minorHAnsi"/>
          <w:b/>
          <w:bCs/>
          <w:color w:val="000000" w:themeColor="text1"/>
          <w:sz w:val="22"/>
          <w:szCs w:val="22"/>
        </w:rPr>
      </w:pPr>
    </w:p>
    <w:p w14:paraId="07D2E08E" w14:textId="770B0B1F" w:rsidR="00BD6E44" w:rsidRPr="00332C8B" w:rsidRDefault="0097472E" w:rsidP="00F0414E">
      <w:pPr>
        <w:spacing w:line="480" w:lineRule="auto"/>
        <w:rPr>
          <w:rFonts w:asciiTheme="minorHAnsi" w:hAnsiTheme="minorHAnsi" w:cstheme="minorHAnsi"/>
          <w:sz w:val="22"/>
          <w:szCs w:val="22"/>
          <w:lang w:eastAsia="en-GB"/>
        </w:rPr>
      </w:pPr>
      <w:r w:rsidRPr="00332C8B">
        <w:rPr>
          <w:rFonts w:asciiTheme="minorHAnsi" w:hAnsiTheme="minorHAnsi" w:cstheme="minorHAnsi"/>
          <w:color w:val="000000"/>
          <w:sz w:val="22"/>
          <w:szCs w:val="22"/>
          <w:lang w:eastAsia="en-GB"/>
        </w:rPr>
        <w:t xml:space="preserve">Despite </w:t>
      </w:r>
      <w:r w:rsidR="00954C84" w:rsidRPr="00332C8B">
        <w:rPr>
          <w:rFonts w:asciiTheme="minorHAnsi" w:hAnsiTheme="minorHAnsi" w:cstheme="minorHAnsi"/>
          <w:color w:val="000000"/>
          <w:sz w:val="22"/>
          <w:szCs w:val="22"/>
          <w:lang w:eastAsia="en-GB"/>
        </w:rPr>
        <w:t>growing</w:t>
      </w:r>
      <w:r w:rsidRPr="00332C8B">
        <w:rPr>
          <w:rFonts w:asciiTheme="minorHAnsi" w:hAnsiTheme="minorHAnsi" w:cstheme="minorHAnsi"/>
          <w:color w:val="000000"/>
          <w:sz w:val="22"/>
          <w:szCs w:val="22"/>
          <w:lang w:eastAsia="en-GB"/>
        </w:rPr>
        <w:t xml:space="preserve"> interest in the use of body composition analysis using </w:t>
      </w:r>
      <w:r w:rsidR="007C754E" w:rsidRPr="00332C8B">
        <w:rPr>
          <w:rFonts w:asciiTheme="minorHAnsi" w:hAnsiTheme="minorHAnsi" w:cstheme="minorHAnsi"/>
          <w:color w:val="000000"/>
          <w:sz w:val="22"/>
          <w:szCs w:val="22"/>
          <w:lang w:eastAsia="en-GB"/>
        </w:rPr>
        <w:t>BIA</w:t>
      </w:r>
      <w:r w:rsidRPr="00332C8B">
        <w:rPr>
          <w:rFonts w:asciiTheme="minorHAnsi" w:hAnsiTheme="minorHAnsi" w:cstheme="minorHAnsi"/>
          <w:color w:val="000000"/>
          <w:sz w:val="22"/>
          <w:szCs w:val="22"/>
          <w:lang w:eastAsia="en-GB"/>
        </w:rPr>
        <w:t xml:space="preserve"> it has not been widely studied in the context of </w:t>
      </w:r>
      <w:r w:rsidR="00954C84" w:rsidRPr="00332C8B">
        <w:rPr>
          <w:rFonts w:asciiTheme="minorHAnsi" w:hAnsiTheme="minorHAnsi" w:cstheme="minorHAnsi"/>
          <w:color w:val="000000"/>
          <w:sz w:val="22"/>
          <w:szCs w:val="22"/>
          <w:lang w:eastAsia="en-GB"/>
        </w:rPr>
        <w:t>post-operative morbidity</w:t>
      </w:r>
      <w:r w:rsidRPr="00332C8B">
        <w:rPr>
          <w:rFonts w:asciiTheme="minorHAnsi" w:hAnsiTheme="minorHAnsi" w:cstheme="minorHAnsi"/>
          <w:color w:val="000000"/>
          <w:sz w:val="22"/>
          <w:szCs w:val="22"/>
          <w:lang w:eastAsia="en-GB"/>
        </w:rPr>
        <w:t xml:space="preserve"> for </w:t>
      </w:r>
      <w:r w:rsidR="00F36021" w:rsidRPr="00332C8B">
        <w:rPr>
          <w:rFonts w:asciiTheme="minorHAnsi" w:hAnsiTheme="minorHAnsi" w:cstheme="minorHAnsi"/>
          <w:color w:val="000000"/>
          <w:sz w:val="22"/>
          <w:szCs w:val="22"/>
          <w:lang w:eastAsia="en-GB"/>
        </w:rPr>
        <w:t>patient</w:t>
      </w:r>
      <w:r w:rsidR="00954C84" w:rsidRPr="00332C8B">
        <w:rPr>
          <w:rFonts w:asciiTheme="minorHAnsi" w:hAnsiTheme="minorHAnsi" w:cstheme="minorHAnsi"/>
          <w:color w:val="000000"/>
          <w:sz w:val="22"/>
          <w:szCs w:val="22"/>
          <w:lang w:eastAsia="en-GB"/>
        </w:rPr>
        <w:t>s</w:t>
      </w:r>
      <w:r w:rsidRPr="00332C8B">
        <w:rPr>
          <w:rFonts w:asciiTheme="minorHAnsi" w:hAnsiTheme="minorHAnsi" w:cstheme="minorHAnsi"/>
          <w:color w:val="000000"/>
          <w:sz w:val="22"/>
          <w:szCs w:val="22"/>
          <w:lang w:eastAsia="en-GB"/>
        </w:rPr>
        <w:t xml:space="preserve"> undergoing surgery</w:t>
      </w:r>
      <w:r w:rsidR="00954C84" w:rsidRPr="00332C8B">
        <w:rPr>
          <w:rFonts w:asciiTheme="minorHAnsi" w:hAnsiTheme="minorHAnsi" w:cstheme="minorHAnsi"/>
          <w:color w:val="000000"/>
          <w:sz w:val="22"/>
          <w:szCs w:val="22"/>
          <w:lang w:eastAsia="en-GB"/>
        </w:rPr>
        <w:t xml:space="preserve"> for cancer</w:t>
      </w:r>
      <w:r w:rsidRPr="00332C8B">
        <w:rPr>
          <w:rFonts w:asciiTheme="minorHAnsi" w:hAnsiTheme="minorHAnsi" w:cstheme="minorHAnsi"/>
          <w:color w:val="000000"/>
          <w:sz w:val="22"/>
          <w:szCs w:val="22"/>
          <w:lang w:eastAsia="en-GB"/>
        </w:rPr>
        <w:t xml:space="preserve">. </w:t>
      </w:r>
      <w:r w:rsidR="00954C84" w:rsidRPr="00332C8B">
        <w:rPr>
          <w:rFonts w:asciiTheme="minorHAnsi" w:hAnsiTheme="minorHAnsi" w:cstheme="minorHAnsi"/>
          <w:color w:val="000000"/>
          <w:sz w:val="22"/>
          <w:szCs w:val="22"/>
          <w:lang w:eastAsia="en-GB"/>
        </w:rPr>
        <w:t>T</w:t>
      </w:r>
      <w:r w:rsidRPr="00332C8B">
        <w:rPr>
          <w:rFonts w:asciiTheme="minorHAnsi" w:hAnsiTheme="minorHAnsi" w:cstheme="minorHAnsi"/>
          <w:color w:val="000000"/>
          <w:sz w:val="22"/>
          <w:szCs w:val="22"/>
          <w:lang w:eastAsia="en-GB"/>
        </w:rPr>
        <w:t xml:space="preserve">his systematic review sought to assess the utility of </w:t>
      </w:r>
      <w:r w:rsidR="00575D26" w:rsidRPr="00332C8B">
        <w:rPr>
          <w:rFonts w:asciiTheme="minorHAnsi" w:hAnsiTheme="minorHAnsi" w:cstheme="minorHAnsi"/>
          <w:color w:val="000000"/>
          <w:sz w:val="22"/>
          <w:szCs w:val="22"/>
          <w:lang w:eastAsia="en-GB"/>
        </w:rPr>
        <w:t xml:space="preserve">measures and estimates of body composition determined by BIA </w:t>
      </w:r>
      <w:r w:rsidRPr="00332C8B">
        <w:rPr>
          <w:rFonts w:asciiTheme="minorHAnsi" w:hAnsiTheme="minorHAnsi" w:cstheme="minorHAnsi"/>
          <w:color w:val="000000"/>
          <w:sz w:val="22"/>
          <w:szCs w:val="22"/>
          <w:lang w:eastAsia="en-GB"/>
        </w:rPr>
        <w:t>as a</w:t>
      </w:r>
      <w:r w:rsidR="00575D26" w:rsidRPr="00332C8B">
        <w:rPr>
          <w:rFonts w:asciiTheme="minorHAnsi" w:hAnsiTheme="minorHAnsi" w:cstheme="minorHAnsi"/>
          <w:color w:val="000000"/>
          <w:sz w:val="22"/>
          <w:szCs w:val="22"/>
          <w:lang w:eastAsia="en-GB"/>
        </w:rPr>
        <w:t xml:space="preserve"> means of </w:t>
      </w:r>
      <w:r w:rsidRPr="00332C8B">
        <w:rPr>
          <w:rFonts w:asciiTheme="minorHAnsi" w:hAnsiTheme="minorHAnsi" w:cstheme="minorHAnsi"/>
          <w:color w:val="000000"/>
          <w:sz w:val="22"/>
          <w:szCs w:val="22"/>
          <w:lang w:eastAsia="en-GB"/>
        </w:rPr>
        <w:t xml:space="preserve">predicting the risk of post-operative complications for </w:t>
      </w:r>
      <w:r w:rsidR="00954C84" w:rsidRPr="00332C8B">
        <w:rPr>
          <w:rFonts w:asciiTheme="minorHAnsi" w:hAnsiTheme="minorHAnsi" w:cstheme="minorHAnsi"/>
          <w:color w:val="000000"/>
          <w:sz w:val="22"/>
          <w:szCs w:val="22"/>
          <w:lang w:eastAsia="en-GB"/>
        </w:rPr>
        <w:t xml:space="preserve">adult </w:t>
      </w:r>
      <w:r w:rsidRPr="00332C8B">
        <w:rPr>
          <w:rFonts w:asciiTheme="minorHAnsi" w:hAnsiTheme="minorHAnsi" w:cstheme="minorHAnsi"/>
          <w:color w:val="000000"/>
          <w:sz w:val="22"/>
          <w:szCs w:val="22"/>
          <w:lang w:eastAsia="en-GB"/>
        </w:rPr>
        <w:t xml:space="preserve">patients </w:t>
      </w:r>
      <w:r w:rsidR="00954C84" w:rsidRPr="00332C8B">
        <w:rPr>
          <w:rFonts w:asciiTheme="minorHAnsi" w:hAnsiTheme="minorHAnsi" w:cstheme="minorHAnsi"/>
          <w:color w:val="000000"/>
          <w:sz w:val="22"/>
          <w:szCs w:val="22"/>
          <w:lang w:eastAsia="en-GB"/>
        </w:rPr>
        <w:t>having elective</w:t>
      </w:r>
      <w:r w:rsidRPr="00332C8B">
        <w:rPr>
          <w:rFonts w:asciiTheme="minorHAnsi" w:hAnsiTheme="minorHAnsi" w:cstheme="minorHAnsi"/>
          <w:color w:val="000000"/>
          <w:sz w:val="22"/>
          <w:szCs w:val="22"/>
          <w:lang w:eastAsia="en-GB"/>
        </w:rPr>
        <w:t xml:space="preserve"> cancer surgery.</w:t>
      </w:r>
      <w:r w:rsidR="00BD6E44" w:rsidRPr="00332C8B">
        <w:rPr>
          <w:rFonts w:asciiTheme="minorHAnsi" w:hAnsiTheme="minorHAnsi" w:cstheme="minorHAnsi"/>
          <w:sz w:val="22"/>
          <w:szCs w:val="22"/>
          <w:lang w:eastAsia="en-GB"/>
        </w:rPr>
        <w:t xml:space="preserve"> </w:t>
      </w:r>
    </w:p>
    <w:p w14:paraId="3FFD49AE" w14:textId="77777777" w:rsidR="00BD6E44" w:rsidRPr="00332C8B" w:rsidRDefault="00BD6E44" w:rsidP="00F0414E">
      <w:pPr>
        <w:spacing w:line="480" w:lineRule="auto"/>
        <w:rPr>
          <w:rFonts w:asciiTheme="minorHAnsi" w:hAnsiTheme="minorHAnsi" w:cstheme="minorHAnsi"/>
          <w:sz w:val="22"/>
          <w:szCs w:val="22"/>
          <w:lang w:eastAsia="en-GB"/>
        </w:rPr>
      </w:pPr>
    </w:p>
    <w:p w14:paraId="7300647C" w14:textId="0FFE0B61" w:rsidR="00F11278" w:rsidRPr="00332C8B" w:rsidRDefault="00F11278" w:rsidP="00F0414E">
      <w:pPr>
        <w:spacing w:line="480" w:lineRule="auto"/>
        <w:rPr>
          <w:rFonts w:asciiTheme="minorHAnsi" w:hAnsiTheme="minorHAnsi" w:cstheme="minorHAnsi"/>
          <w:sz w:val="22"/>
          <w:szCs w:val="22"/>
          <w:lang w:eastAsia="en-GB"/>
        </w:rPr>
      </w:pPr>
      <w:r w:rsidRPr="00332C8B">
        <w:rPr>
          <w:rFonts w:asciiTheme="minorHAnsi" w:hAnsiTheme="minorHAnsi" w:cstheme="minorHAnsi"/>
          <w:sz w:val="22"/>
          <w:szCs w:val="22"/>
          <w:lang w:eastAsia="en-GB"/>
        </w:rPr>
        <w:t xml:space="preserve">All included studies were single centre observational cohort studies of medium quality. </w:t>
      </w:r>
      <w:r w:rsidR="00964497" w:rsidRPr="00332C8B">
        <w:rPr>
          <w:rFonts w:asciiTheme="minorHAnsi" w:hAnsiTheme="minorHAnsi" w:cstheme="minorHAnsi"/>
          <w:sz w:val="22"/>
          <w:szCs w:val="22"/>
          <w:lang w:eastAsia="en-GB"/>
        </w:rPr>
        <w:t>The small sample size of some of the included studies makes it unlikely that these were adequatel</w:t>
      </w:r>
      <w:r w:rsidR="00F36021" w:rsidRPr="00332C8B">
        <w:rPr>
          <w:rFonts w:asciiTheme="minorHAnsi" w:hAnsiTheme="minorHAnsi" w:cstheme="minorHAnsi"/>
          <w:sz w:val="22"/>
          <w:szCs w:val="22"/>
          <w:lang w:eastAsia="en-GB"/>
        </w:rPr>
        <w:t>y powered to detect differences</w:t>
      </w:r>
      <w:r w:rsidR="00964497" w:rsidRPr="00332C8B">
        <w:rPr>
          <w:rFonts w:asciiTheme="minorHAnsi" w:hAnsiTheme="minorHAnsi" w:cstheme="minorHAnsi"/>
          <w:sz w:val="22"/>
          <w:szCs w:val="22"/>
          <w:lang w:eastAsia="en-GB"/>
        </w:rPr>
        <w:t xml:space="preserve"> in outcome. </w:t>
      </w:r>
      <w:r w:rsidRPr="00332C8B">
        <w:rPr>
          <w:rFonts w:asciiTheme="minorHAnsi" w:hAnsiTheme="minorHAnsi" w:cstheme="minorHAnsi"/>
          <w:sz w:val="22"/>
          <w:szCs w:val="22"/>
          <w:lang w:eastAsia="en-GB"/>
        </w:rPr>
        <w:t>With the exception of one publication</w:t>
      </w:r>
      <w:r w:rsidR="003662F1" w:rsidRPr="00332C8B">
        <w:rPr>
          <w:rFonts w:asciiTheme="minorHAnsi" w:eastAsia="Calibri" w:hAnsiTheme="minorHAnsi" w:cstheme="minorHAnsi"/>
          <w:color w:val="000000" w:themeColor="text1"/>
          <w:sz w:val="22"/>
          <w:szCs w:val="22"/>
        </w:rPr>
        <w:fldChar w:fldCharType="begin" w:fldLock="1"/>
      </w:r>
      <w:r w:rsidR="00F66CFF" w:rsidRPr="00332C8B">
        <w:rPr>
          <w:rFonts w:asciiTheme="minorHAnsi" w:eastAsia="Calibri" w:hAnsiTheme="minorHAnsi" w:cstheme="minorHAnsi"/>
          <w:color w:val="000000" w:themeColor="text1"/>
          <w:sz w:val="22"/>
          <w:szCs w:val="22"/>
        </w:rPr>
        <w:instrText>ADDIN CSL_CITATION {"citationItems":[{"id":"ITEM-1","itemData":{"DOI":"10.1111/jhn.12002","ISSN":"0952-3871","abstract":"Background Both malnutrition and obesity are related to worsened post-operative outcomes after colorectal surgery. Obese cancer patients may be malnourished as a result of short-term weight loss. The present study aimed to evaluate preoperative nutritional status, body composition and dietary intake related to post-operative complications ( POC) and post-operative hospital days ( POHD) in elective colorectal cancer ( CRC) patients. Methods Anthropometry, body composition measured by bioelectric spectroscopy and dietary habits assessed by a validated food-frequency questionnaire were examined in 100 newly-diagnosed CRC patients. Data from 30-day POC and POHD were collected from medical records. Nonparametric and chi-squared tests and logistic regression were used to analyse associations between body and dietary variables and post-operative outcome. Results Twenty-nine patients had at least one POC. The median POHD was six. Body size and composition measures and short-term weight loss were no different between patients with and without POC, or between patients with POHD &lt;7 and ≥7. Dietary variables were otherwise no different between patients with and without POC, although the median intake of marine n-3 polyunsaturated fatty acids ( PUFA, the sum of eicosapentaenoic and docosahexaenoic acids) was significantly lower in patients with versus without POC (0.7 versus 1.2 g day−1, P = 0.04). Conclusions We found that preoperative body size, body composition and short-term weight loss were not related to 30-day post-operative outcomes in CRC patients. A high content of marine n-3 PUFA in preoperative habitual diets may protect against POC after CRC surgery.","author":[{"dropping-particle":"","family":"Berstad","given":"P","non-dropping-particle":"","parse-names":false,"suffix":""},{"dropping-particle":"","family":"Haugum","given":"B","non-dropping-particle":"","parse-names":false,"suffix":""},{"dropping-particle":"","family":"Helgeland","given":"M","non-dropping-particle":"","parse-names":false,"suffix":""},{"dropping-particle":"","family":"Bukholm","given":"I","non-dropping-particle":"","parse-names":false,"suffix":""},{"dropping-particle":"","family":"Almendingen","given":"K","non-dropping-particle":"","parse-names":false,"suffix":""}],"container-title":"Journal of Human Nutrition &amp; Dietetics","id":"ITEM-1","issue":"4","issued":{"date-parts":[["2013","8"]]},"note":"Accession Number: 104196215. Language: English. Entry Date: 20130716. Revision Date: 20150820. Publication Type: Journal Article; research; tables/charts. Journal Subset: Allied Health; Biomedical; Europe; Peer Reviewed; UK &amp;amp; Ireland. Special Interest: Nutrition; Oncologic Care; Perioperative Care. Instrumentation: Food Frequency Questionnaire (FFQ). Grant Information: This work was supported by grant no. 2006094 from Eastern Norway Regional Health Authority RHF and grants from Eckbo Foundation and Flatner Foundation.. NLM UID: 8904840.","page":"359-368","publisher":"Wiley-Blackwell","publisher-place":"Research Centre Akershus University Hospital","title":"Preoperative body size and composition, habitual diet, and post-operative complications in elective colorectal cancer patients in Norway.","type":"article-journal","volume":"26"},"uris":["http://www.mendeley.com/documents/?uuid=ed89d092-88dd-471d-99eb-e3ad956371cb"]}],"mendeley":{"formattedCitation":"[31]","plainTextFormattedCitation":"[31]","previouslyFormattedCitation":"[32]"},"properties":{"noteIndex":0},"schema":"https://github.com/citation-style-language/schema/raw/master/csl-citation.json"}</w:instrText>
      </w:r>
      <w:r w:rsidR="003662F1" w:rsidRPr="00332C8B">
        <w:rPr>
          <w:rFonts w:asciiTheme="minorHAnsi" w:eastAsia="Calibri" w:hAnsiTheme="minorHAnsi" w:cstheme="minorHAnsi"/>
          <w:color w:val="000000" w:themeColor="text1"/>
          <w:sz w:val="22"/>
          <w:szCs w:val="22"/>
        </w:rPr>
        <w:fldChar w:fldCharType="separate"/>
      </w:r>
      <w:r w:rsidR="00F66CFF" w:rsidRPr="00332C8B">
        <w:rPr>
          <w:rFonts w:asciiTheme="minorHAnsi" w:eastAsia="Calibri" w:hAnsiTheme="minorHAnsi" w:cstheme="minorHAnsi"/>
          <w:noProof/>
          <w:color w:val="000000" w:themeColor="text1"/>
          <w:sz w:val="22"/>
          <w:szCs w:val="22"/>
        </w:rPr>
        <w:t>[31]</w:t>
      </w:r>
      <w:r w:rsidR="003662F1" w:rsidRPr="00332C8B">
        <w:rPr>
          <w:rFonts w:asciiTheme="minorHAnsi" w:eastAsia="Calibri" w:hAnsiTheme="minorHAnsi" w:cstheme="minorHAnsi"/>
          <w:color w:val="000000" w:themeColor="text1"/>
          <w:sz w:val="22"/>
          <w:szCs w:val="22"/>
        </w:rPr>
        <w:fldChar w:fldCharType="end"/>
      </w:r>
      <w:r w:rsidRPr="00332C8B">
        <w:rPr>
          <w:rFonts w:asciiTheme="minorHAnsi" w:hAnsiTheme="minorHAnsi" w:cstheme="minorHAnsi"/>
          <w:sz w:val="22"/>
          <w:szCs w:val="22"/>
          <w:lang w:eastAsia="en-GB"/>
        </w:rPr>
        <w:t xml:space="preserve"> they reported </w:t>
      </w:r>
      <w:r w:rsidR="00DB1373" w:rsidRPr="00332C8B">
        <w:rPr>
          <w:rFonts w:asciiTheme="minorHAnsi" w:hAnsiTheme="minorHAnsi" w:cstheme="minorHAnsi"/>
          <w:sz w:val="22"/>
          <w:szCs w:val="22"/>
          <w:lang w:eastAsia="en-GB"/>
        </w:rPr>
        <w:t xml:space="preserve">either </w:t>
      </w:r>
      <w:r w:rsidRPr="00332C8B">
        <w:rPr>
          <w:rFonts w:asciiTheme="minorHAnsi" w:hAnsiTheme="minorHAnsi" w:cstheme="minorHAnsi"/>
          <w:sz w:val="22"/>
          <w:szCs w:val="22"/>
          <w:lang w:eastAsia="en-GB"/>
        </w:rPr>
        <w:t>phase</w:t>
      </w:r>
      <w:r w:rsidR="00B96EC6" w:rsidRPr="00332C8B">
        <w:rPr>
          <w:rFonts w:asciiTheme="minorHAnsi" w:hAnsiTheme="minorHAnsi" w:cstheme="minorHAnsi"/>
          <w:sz w:val="22"/>
          <w:szCs w:val="22"/>
          <w:lang w:eastAsia="en-GB"/>
        </w:rPr>
        <w:t xml:space="preserve"> angle or a measure of body composition</w:t>
      </w:r>
      <w:r w:rsidR="00DB1373" w:rsidRPr="00332C8B">
        <w:rPr>
          <w:rFonts w:asciiTheme="minorHAnsi" w:hAnsiTheme="minorHAnsi" w:cstheme="minorHAnsi"/>
          <w:sz w:val="22"/>
          <w:szCs w:val="22"/>
          <w:lang w:eastAsia="en-GB"/>
        </w:rPr>
        <w:t xml:space="preserve"> derived from the raw data</w:t>
      </w:r>
      <w:r w:rsidR="00F25407" w:rsidRPr="00332C8B">
        <w:rPr>
          <w:rFonts w:asciiTheme="minorHAnsi" w:hAnsiTheme="minorHAnsi" w:cstheme="minorHAnsi"/>
          <w:sz w:val="22"/>
          <w:szCs w:val="22"/>
          <w:lang w:eastAsia="en-GB"/>
        </w:rPr>
        <w:t xml:space="preserve">. </w:t>
      </w:r>
      <w:r w:rsidR="002F089B" w:rsidRPr="00332C8B">
        <w:rPr>
          <w:rFonts w:asciiTheme="minorHAnsi" w:hAnsiTheme="minorHAnsi" w:cstheme="minorHAnsi"/>
          <w:sz w:val="22"/>
          <w:szCs w:val="22"/>
          <w:lang w:eastAsia="en-GB"/>
        </w:rPr>
        <w:t xml:space="preserve">Overall, </w:t>
      </w:r>
      <w:r w:rsidR="004F5A87" w:rsidRPr="00332C8B">
        <w:rPr>
          <w:rFonts w:asciiTheme="minorHAnsi" w:hAnsiTheme="minorHAnsi" w:cstheme="minorHAnsi"/>
          <w:sz w:val="22"/>
          <w:szCs w:val="22"/>
          <w:lang w:eastAsia="en-GB"/>
        </w:rPr>
        <w:t>eight</w:t>
      </w:r>
      <w:r w:rsidR="002F089B" w:rsidRPr="00332C8B">
        <w:rPr>
          <w:rFonts w:asciiTheme="minorHAnsi" w:hAnsiTheme="minorHAnsi" w:cstheme="minorHAnsi"/>
          <w:sz w:val="22"/>
          <w:szCs w:val="22"/>
          <w:lang w:eastAsia="en-GB"/>
        </w:rPr>
        <w:t xml:space="preserve"> of the </w:t>
      </w:r>
      <w:r w:rsidR="004F5A87" w:rsidRPr="00332C8B">
        <w:rPr>
          <w:rFonts w:asciiTheme="minorHAnsi" w:hAnsiTheme="minorHAnsi" w:cstheme="minorHAnsi"/>
          <w:sz w:val="22"/>
          <w:szCs w:val="22"/>
          <w:lang w:eastAsia="en-GB"/>
        </w:rPr>
        <w:t>twelve</w:t>
      </w:r>
      <w:r w:rsidR="00DB1373" w:rsidRPr="00332C8B">
        <w:rPr>
          <w:rFonts w:asciiTheme="minorHAnsi" w:hAnsiTheme="minorHAnsi" w:cstheme="minorHAnsi"/>
          <w:sz w:val="22"/>
          <w:szCs w:val="22"/>
          <w:lang w:eastAsia="en-GB"/>
        </w:rPr>
        <w:t xml:space="preserve"> included</w:t>
      </w:r>
      <w:r w:rsidR="00F25407" w:rsidRPr="00332C8B">
        <w:rPr>
          <w:rFonts w:asciiTheme="minorHAnsi" w:hAnsiTheme="minorHAnsi" w:cstheme="minorHAnsi"/>
          <w:sz w:val="22"/>
          <w:szCs w:val="22"/>
          <w:lang w:eastAsia="en-GB"/>
        </w:rPr>
        <w:t xml:space="preserve"> papers found </w:t>
      </w:r>
      <w:r w:rsidR="007C754E" w:rsidRPr="00332C8B">
        <w:rPr>
          <w:rFonts w:asciiTheme="minorHAnsi" w:hAnsiTheme="minorHAnsi" w:cstheme="minorHAnsi"/>
          <w:sz w:val="22"/>
          <w:szCs w:val="22"/>
          <w:lang w:eastAsia="en-GB"/>
        </w:rPr>
        <w:t>BIA</w:t>
      </w:r>
      <w:r w:rsidR="00F25407" w:rsidRPr="00332C8B">
        <w:rPr>
          <w:rFonts w:asciiTheme="minorHAnsi" w:hAnsiTheme="minorHAnsi" w:cstheme="minorHAnsi"/>
          <w:sz w:val="22"/>
          <w:szCs w:val="22"/>
          <w:lang w:eastAsia="en-GB"/>
        </w:rPr>
        <w:t xml:space="preserve"> </w:t>
      </w:r>
      <w:r w:rsidR="00764910" w:rsidRPr="00332C8B">
        <w:rPr>
          <w:rFonts w:asciiTheme="minorHAnsi" w:hAnsiTheme="minorHAnsi" w:cstheme="minorHAnsi"/>
          <w:sz w:val="22"/>
          <w:szCs w:val="22"/>
          <w:lang w:eastAsia="en-GB"/>
        </w:rPr>
        <w:t xml:space="preserve">measures </w:t>
      </w:r>
      <w:r w:rsidR="00F25407" w:rsidRPr="00332C8B">
        <w:rPr>
          <w:rFonts w:asciiTheme="minorHAnsi" w:hAnsiTheme="minorHAnsi" w:cstheme="minorHAnsi"/>
          <w:sz w:val="22"/>
          <w:szCs w:val="22"/>
          <w:lang w:eastAsia="en-GB"/>
        </w:rPr>
        <w:t xml:space="preserve">to be predictive of post-operative complications. </w:t>
      </w:r>
      <w:r w:rsidR="002F089B" w:rsidRPr="00332C8B">
        <w:rPr>
          <w:rFonts w:asciiTheme="minorHAnsi" w:hAnsiTheme="minorHAnsi" w:cstheme="minorHAnsi"/>
          <w:sz w:val="22"/>
          <w:szCs w:val="22"/>
          <w:lang w:eastAsia="en-GB"/>
        </w:rPr>
        <w:t>B</w:t>
      </w:r>
      <w:r w:rsidR="00747C04">
        <w:rPr>
          <w:rFonts w:asciiTheme="minorHAnsi" w:hAnsiTheme="minorHAnsi" w:cstheme="minorHAnsi"/>
          <w:sz w:val="22"/>
          <w:szCs w:val="22"/>
          <w:lang w:eastAsia="en-GB"/>
        </w:rPr>
        <w:t>ioelectrical impedance analysis</w:t>
      </w:r>
      <w:r w:rsidR="00F25407" w:rsidRPr="00332C8B">
        <w:rPr>
          <w:rFonts w:asciiTheme="minorHAnsi" w:hAnsiTheme="minorHAnsi" w:cstheme="minorHAnsi"/>
          <w:sz w:val="22"/>
          <w:szCs w:val="22"/>
          <w:lang w:eastAsia="en-GB"/>
        </w:rPr>
        <w:t xml:space="preserve"> was </w:t>
      </w:r>
      <w:r w:rsidR="002F089B" w:rsidRPr="00332C8B">
        <w:rPr>
          <w:rFonts w:asciiTheme="minorHAnsi" w:hAnsiTheme="minorHAnsi" w:cstheme="minorHAnsi"/>
          <w:sz w:val="22"/>
          <w:szCs w:val="22"/>
          <w:lang w:eastAsia="en-GB"/>
        </w:rPr>
        <w:t xml:space="preserve">more frequently </w:t>
      </w:r>
      <w:r w:rsidR="00F25407" w:rsidRPr="00332C8B">
        <w:rPr>
          <w:rFonts w:asciiTheme="minorHAnsi" w:hAnsiTheme="minorHAnsi" w:cstheme="minorHAnsi"/>
          <w:sz w:val="22"/>
          <w:szCs w:val="22"/>
          <w:lang w:eastAsia="en-GB"/>
        </w:rPr>
        <w:t>found to be predictive in the papers reporting phase angle rather than t</w:t>
      </w:r>
      <w:r w:rsidR="00B96EC6" w:rsidRPr="00332C8B">
        <w:rPr>
          <w:rFonts w:asciiTheme="minorHAnsi" w:hAnsiTheme="minorHAnsi" w:cstheme="minorHAnsi"/>
          <w:sz w:val="22"/>
          <w:szCs w:val="22"/>
          <w:lang w:eastAsia="en-GB"/>
        </w:rPr>
        <w:t>he derived measures</w:t>
      </w:r>
      <w:r w:rsidR="00F25407" w:rsidRPr="00332C8B">
        <w:rPr>
          <w:rFonts w:asciiTheme="minorHAnsi" w:hAnsiTheme="minorHAnsi" w:cstheme="minorHAnsi"/>
          <w:sz w:val="22"/>
          <w:szCs w:val="22"/>
          <w:lang w:eastAsia="en-GB"/>
        </w:rPr>
        <w:t>.</w:t>
      </w:r>
      <w:r w:rsidR="00F25407" w:rsidRPr="00332C8B">
        <w:rPr>
          <w:rFonts w:asciiTheme="minorHAnsi" w:hAnsiTheme="minorHAnsi" w:cstheme="minorHAnsi"/>
          <w:sz w:val="22"/>
          <w:szCs w:val="22"/>
        </w:rPr>
        <w:t xml:space="preserve"> There is biological plausibility in this finding given that phase angle is directly </w:t>
      </w:r>
      <w:r w:rsidR="009230F9" w:rsidRPr="00332C8B">
        <w:rPr>
          <w:rFonts w:asciiTheme="minorHAnsi" w:hAnsiTheme="minorHAnsi" w:cstheme="minorHAnsi"/>
          <w:sz w:val="22"/>
          <w:szCs w:val="22"/>
        </w:rPr>
        <w:t>calculated</w:t>
      </w:r>
      <w:r w:rsidR="00764910" w:rsidRPr="00332C8B">
        <w:rPr>
          <w:rFonts w:asciiTheme="minorHAnsi" w:hAnsiTheme="minorHAnsi" w:cstheme="minorHAnsi"/>
          <w:sz w:val="22"/>
          <w:szCs w:val="22"/>
        </w:rPr>
        <w:t xml:space="preserve"> </w:t>
      </w:r>
      <w:r w:rsidR="00F25407" w:rsidRPr="00332C8B">
        <w:rPr>
          <w:rFonts w:asciiTheme="minorHAnsi" w:hAnsiTheme="minorHAnsi" w:cstheme="minorHAnsi"/>
          <w:sz w:val="22"/>
          <w:szCs w:val="22"/>
        </w:rPr>
        <w:t xml:space="preserve">from resistance and reactance at a given frequency and </w:t>
      </w:r>
      <w:r w:rsidR="002F089B" w:rsidRPr="00332C8B">
        <w:rPr>
          <w:rFonts w:asciiTheme="minorHAnsi" w:hAnsiTheme="minorHAnsi" w:cstheme="minorHAnsi"/>
          <w:sz w:val="22"/>
          <w:szCs w:val="22"/>
        </w:rPr>
        <w:t xml:space="preserve">is </w:t>
      </w:r>
      <w:r w:rsidR="00F25407" w:rsidRPr="00332C8B">
        <w:rPr>
          <w:rFonts w:asciiTheme="minorHAnsi" w:hAnsiTheme="minorHAnsi" w:cstheme="minorHAnsi"/>
          <w:sz w:val="22"/>
          <w:szCs w:val="22"/>
        </w:rPr>
        <w:t>not affected by the assumptions made about an individuals’ state of hydration used in the formulae to derive lean mass</w:t>
      </w:r>
      <w:r w:rsidR="003662F1" w:rsidRPr="00332C8B">
        <w:rPr>
          <w:rFonts w:asciiTheme="minorHAnsi" w:hAnsiTheme="minorHAnsi" w:cstheme="minorHAnsi"/>
          <w:sz w:val="22"/>
          <w:szCs w:val="22"/>
        </w:rPr>
        <w:fldChar w:fldCharType="begin" w:fldLock="1"/>
      </w:r>
      <w:r w:rsidR="00F66CFF" w:rsidRPr="00332C8B">
        <w:rPr>
          <w:rFonts w:asciiTheme="minorHAnsi" w:hAnsiTheme="minorHAnsi" w:cstheme="minorHAnsi"/>
          <w:sz w:val="22"/>
          <w:szCs w:val="22"/>
        </w:rPr>
        <w:instrText>ADDIN CSL_CITATION {"citationItems":[{"id":"ITEM-1","itemData":{"DOI":"10.1093/ajcn/48.1.16","ISSN":"00029165","PMID":"3389323","abstract":"The use of bioelectric impedance phase angle for predicting body composition was determined in 53 males and 69 females 9-62 y of age. The phase angle describes the amount of reactance (X(c)) in a conductor relative to the amount of resistance (R). Bioelectric resistance (R) and reactance (X(c)) were determined for the whole body and separately for arm, leg, and trunk. Weight, stature, and skinfold thicknesses were measured. Body composition was determined from densitometry. Phase angles for the trunk (</w:instrText>
      </w:r>
      <w:r w:rsidR="00F66CFF" w:rsidRPr="00332C8B">
        <w:rPr>
          <w:rFonts w:ascii="Cambria Math" w:hAnsi="Cambria Math" w:cs="Cambria Math"/>
          <w:sz w:val="22"/>
          <w:szCs w:val="22"/>
        </w:rPr>
        <w:instrText>∅</w:instrText>
      </w:r>
      <w:r w:rsidR="00F66CFF" w:rsidRPr="00332C8B">
        <w:rPr>
          <w:rFonts w:asciiTheme="minorHAnsi" w:hAnsiTheme="minorHAnsi" w:cstheme="minorHAnsi"/>
          <w:sz w:val="22"/>
          <w:szCs w:val="22"/>
        </w:rPr>
        <w:instrText>(t)), leg (</w:instrText>
      </w:r>
      <w:r w:rsidR="00F66CFF" w:rsidRPr="00332C8B">
        <w:rPr>
          <w:rFonts w:ascii="Cambria Math" w:hAnsi="Cambria Math" w:cs="Cambria Math"/>
          <w:sz w:val="22"/>
          <w:szCs w:val="22"/>
        </w:rPr>
        <w:instrText>∅</w:instrText>
      </w:r>
      <w:r w:rsidR="00F66CFF" w:rsidRPr="00332C8B">
        <w:rPr>
          <w:rFonts w:asciiTheme="minorHAnsi" w:hAnsiTheme="minorHAnsi" w:cstheme="minorHAnsi"/>
          <w:sz w:val="22"/>
          <w:szCs w:val="22"/>
        </w:rPr>
        <w:instrText>(l)), and whole body (</w:instrText>
      </w:r>
      <w:r w:rsidR="00F66CFF" w:rsidRPr="00332C8B">
        <w:rPr>
          <w:rFonts w:ascii="Cambria Math" w:hAnsi="Cambria Math" w:cs="Cambria Math"/>
          <w:sz w:val="22"/>
          <w:szCs w:val="22"/>
        </w:rPr>
        <w:instrText>∅</w:instrText>
      </w:r>
      <w:r w:rsidR="00F66CFF" w:rsidRPr="00332C8B">
        <w:rPr>
          <w:rFonts w:asciiTheme="minorHAnsi" w:hAnsiTheme="minorHAnsi" w:cstheme="minorHAnsi"/>
          <w:sz w:val="22"/>
          <w:szCs w:val="22"/>
        </w:rPr>
        <w:instrText xml:space="preserve">w) had significant (p &lt; 0.05) negative correlations with percent body fat (%BF) in each sex, and positive correlations with fat-free mass (FFM) in males. In multiple regression analyses, </w:instrText>
      </w:r>
      <w:r w:rsidR="00F66CFF" w:rsidRPr="00332C8B">
        <w:rPr>
          <w:rFonts w:ascii="Cambria Math" w:hAnsi="Cambria Math" w:cs="Cambria Math"/>
          <w:sz w:val="22"/>
          <w:szCs w:val="22"/>
        </w:rPr>
        <w:instrText>∅</w:instrText>
      </w:r>
      <w:r w:rsidR="00F66CFF" w:rsidRPr="00332C8B">
        <w:rPr>
          <w:rFonts w:asciiTheme="minorHAnsi" w:hAnsiTheme="minorHAnsi" w:cstheme="minorHAnsi"/>
          <w:sz w:val="22"/>
          <w:szCs w:val="22"/>
        </w:rPr>
        <w:instrText>(t) was associated significantly with %BF after controlling for age, mean skinfold thickness, and weight/stature2 in each sex. Bioelectric phase angle for the trunk may be useful for predicting %BF inclinical and survey research.","author":[{"dropping-particle":"","family":"Baumgartner","given":"R. N.","non-dropping-particle":"","parse-names":false,"suffix":""},{"dropping-particle":"","family":"Chumlea","given":"W. C.","non-dropping-particle":"","parse-names":false,"suffix":""},{"dropping-particle":"","family":"Roche","given":"A. F.","non-dropping-particle":"","parse-names":false,"suffix":""}],"container-title":"American Journal of Clinical Nutrition","id":"ITEM-1","issued":{"date-parts":[["1988"]]},"title":"Bioelectric impedance phase angle and body composition","type":"article-journal"},"uris":["http://www.mendeley.com/documents/?uuid=7b9bfd06-81be-4e9a-9f97-b90fdea2855d"]}],"mendeley":{"formattedCitation":"[48]","plainTextFormattedCitation":"[48]","previouslyFormattedCitation":"[49]"},"properties":{"noteIndex":0},"schema":"https://github.com/citation-style-language/schema/raw/master/csl-citation.json"}</w:instrText>
      </w:r>
      <w:r w:rsidR="003662F1" w:rsidRPr="00332C8B">
        <w:rPr>
          <w:rFonts w:asciiTheme="minorHAnsi" w:hAnsiTheme="minorHAnsi" w:cstheme="minorHAnsi"/>
          <w:sz w:val="22"/>
          <w:szCs w:val="22"/>
        </w:rPr>
        <w:fldChar w:fldCharType="separate"/>
      </w:r>
      <w:r w:rsidR="00F66CFF" w:rsidRPr="00332C8B">
        <w:rPr>
          <w:rFonts w:asciiTheme="minorHAnsi" w:hAnsiTheme="minorHAnsi" w:cstheme="minorHAnsi"/>
          <w:noProof/>
          <w:sz w:val="22"/>
          <w:szCs w:val="22"/>
        </w:rPr>
        <w:t>[48]</w:t>
      </w:r>
      <w:r w:rsidR="003662F1" w:rsidRPr="00332C8B">
        <w:rPr>
          <w:rFonts w:asciiTheme="minorHAnsi" w:hAnsiTheme="minorHAnsi" w:cstheme="minorHAnsi"/>
          <w:sz w:val="22"/>
          <w:szCs w:val="22"/>
        </w:rPr>
        <w:fldChar w:fldCharType="end"/>
      </w:r>
      <w:r w:rsidR="00BB598A" w:rsidRPr="00332C8B">
        <w:rPr>
          <w:rFonts w:asciiTheme="minorHAnsi" w:hAnsiTheme="minorHAnsi" w:cstheme="minorHAnsi"/>
          <w:sz w:val="22"/>
          <w:szCs w:val="22"/>
        </w:rPr>
        <w:t>.</w:t>
      </w:r>
    </w:p>
    <w:p w14:paraId="711BE5CD" w14:textId="77777777" w:rsidR="00D53196" w:rsidRPr="00332C8B" w:rsidRDefault="00D53196" w:rsidP="00F0414E">
      <w:pPr>
        <w:spacing w:line="480" w:lineRule="auto"/>
        <w:rPr>
          <w:rFonts w:asciiTheme="minorHAnsi" w:hAnsiTheme="minorHAnsi" w:cstheme="minorHAnsi"/>
          <w:b/>
          <w:bCs/>
          <w:color w:val="000000" w:themeColor="text1"/>
          <w:sz w:val="22"/>
          <w:szCs w:val="22"/>
        </w:rPr>
      </w:pPr>
    </w:p>
    <w:p w14:paraId="564BD3F2" w14:textId="329CB274" w:rsidR="00D53196" w:rsidRPr="00332C8B" w:rsidRDefault="00A03FF6" w:rsidP="00F0414E">
      <w:pPr>
        <w:spacing w:line="480" w:lineRule="auto"/>
        <w:rPr>
          <w:rFonts w:asciiTheme="minorHAnsi" w:hAnsiTheme="minorHAnsi" w:cstheme="minorHAnsi"/>
          <w:color w:val="000000" w:themeColor="text1"/>
          <w:sz w:val="22"/>
          <w:szCs w:val="22"/>
        </w:rPr>
      </w:pPr>
      <w:r w:rsidRPr="00332C8B">
        <w:rPr>
          <w:rFonts w:asciiTheme="minorHAnsi" w:hAnsiTheme="minorHAnsi" w:cstheme="minorHAnsi"/>
          <w:color w:val="000000" w:themeColor="text1"/>
          <w:sz w:val="22"/>
          <w:szCs w:val="22"/>
        </w:rPr>
        <w:t xml:space="preserve">We found </w:t>
      </w:r>
      <w:r w:rsidR="00112F67" w:rsidRPr="00332C8B">
        <w:rPr>
          <w:rFonts w:asciiTheme="minorHAnsi" w:hAnsiTheme="minorHAnsi" w:cstheme="minorHAnsi"/>
          <w:color w:val="000000" w:themeColor="text1"/>
          <w:sz w:val="22"/>
          <w:szCs w:val="22"/>
        </w:rPr>
        <w:t xml:space="preserve">that </w:t>
      </w:r>
      <w:r w:rsidRPr="00332C8B">
        <w:rPr>
          <w:rFonts w:asciiTheme="minorHAnsi" w:hAnsiTheme="minorHAnsi" w:cstheme="minorHAnsi"/>
          <w:color w:val="000000" w:themeColor="text1"/>
          <w:sz w:val="22"/>
          <w:szCs w:val="22"/>
        </w:rPr>
        <w:t xml:space="preserve">the </w:t>
      </w:r>
      <w:r w:rsidR="00112F67" w:rsidRPr="00332C8B">
        <w:rPr>
          <w:rFonts w:asciiTheme="minorHAnsi" w:hAnsiTheme="minorHAnsi" w:cstheme="minorHAnsi"/>
          <w:color w:val="000000" w:themeColor="text1"/>
          <w:sz w:val="22"/>
          <w:szCs w:val="22"/>
        </w:rPr>
        <w:t xml:space="preserve">apparent </w:t>
      </w:r>
      <w:r w:rsidRPr="00332C8B">
        <w:rPr>
          <w:rFonts w:asciiTheme="minorHAnsi" w:hAnsiTheme="minorHAnsi" w:cstheme="minorHAnsi"/>
          <w:color w:val="000000" w:themeColor="text1"/>
          <w:sz w:val="22"/>
          <w:szCs w:val="22"/>
        </w:rPr>
        <w:t>prognostic utility of</w:t>
      </w:r>
      <w:r w:rsidR="00D53196" w:rsidRPr="00332C8B">
        <w:rPr>
          <w:rFonts w:asciiTheme="minorHAnsi" w:hAnsiTheme="minorHAnsi" w:cstheme="minorHAnsi"/>
          <w:color w:val="000000" w:themeColor="text1"/>
          <w:sz w:val="22"/>
          <w:szCs w:val="22"/>
        </w:rPr>
        <w:t xml:space="preserve"> </w:t>
      </w:r>
      <w:r w:rsidR="00996005" w:rsidRPr="00332C8B">
        <w:rPr>
          <w:rFonts w:asciiTheme="minorHAnsi" w:hAnsiTheme="minorHAnsi" w:cstheme="minorHAnsi"/>
          <w:color w:val="000000" w:themeColor="text1"/>
          <w:sz w:val="22"/>
          <w:szCs w:val="22"/>
        </w:rPr>
        <w:t>impedance</w:t>
      </w:r>
      <w:r w:rsidR="00112F67" w:rsidRPr="00332C8B">
        <w:rPr>
          <w:rFonts w:asciiTheme="minorHAnsi" w:hAnsiTheme="minorHAnsi" w:cstheme="minorHAnsi"/>
          <w:color w:val="000000" w:themeColor="text1"/>
          <w:sz w:val="22"/>
          <w:szCs w:val="22"/>
        </w:rPr>
        <w:t xml:space="preserve"> </w:t>
      </w:r>
      <w:r w:rsidR="00575D26" w:rsidRPr="00332C8B">
        <w:rPr>
          <w:rFonts w:asciiTheme="minorHAnsi" w:hAnsiTheme="minorHAnsi" w:cstheme="minorHAnsi"/>
          <w:color w:val="000000"/>
          <w:sz w:val="22"/>
          <w:szCs w:val="22"/>
          <w:lang w:eastAsia="en-GB"/>
        </w:rPr>
        <w:t>measures and estimates of body composition determined by BIA</w:t>
      </w:r>
      <w:r w:rsidR="00575D26" w:rsidRPr="00332C8B">
        <w:rPr>
          <w:rFonts w:asciiTheme="minorHAnsi" w:hAnsiTheme="minorHAnsi" w:cstheme="minorHAnsi"/>
          <w:color w:val="000000" w:themeColor="text1"/>
          <w:sz w:val="22"/>
          <w:szCs w:val="22"/>
        </w:rPr>
        <w:t xml:space="preserve"> </w:t>
      </w:r>
      <w:r w:rsidR="00112F67" w:rsidRPr="00332C8B">
        <w:rPr>
          <w:rFonts w:asciiTheme="minorHAnsi" w:hAnsiTheme="minorHAnsi" w:cstheme="minorHAnsi"/>
          <w:color w:val="000000" w:themeColor="text1"/>
          <w:sz w:val="22"/>
          <w:szCs w:val="22"/>
        </w:rPr>
        <w:t xml:space="preserve">differed depending on which type of cancer was studied. </w:t>
      </w:r>
      <w:r w:rsidR="00112F67" w:rsidRPr="00332C8B">
        <w:rPr>
          <w:rFonts w:ascii="Calibri" w:hAnsi="Calibri" w:cs="Calibri"/>
          <w:color w:val="000000"/>
          <w:sz w:val="22"/>
          <w:szCs w:val="22"/>
        </w:rPr>
        <w:t>Phase angle was predictive of complications in s</w:t>
      </w:r>
      <w:r w:rsidR="0048188D" w:rsidRPr="00332C8B">
        <w:rPr>
          <w:rFonts w:ascii="Calibri" w:hAnsi="Calibri" w:cs="Calibri"/>
          <w:color w:val="000000"/>
          <w:sz w:val="22"/>
          <w:szCs w:val="22"/>
        </w:rPr>
        <w:t>tudies of gynaecological cancers</w:t>
      </w:r>
      <w:r w:rsidR="0048188D" w:rsidRPr="00332C8B">
        <w:rPr>
          <w:rFonts w:asciiTheme="minorHAnsi" w:eastAsia="Calibri" w:hAnsiTheme="minorHAnsi" w:cstheme="minorHAnsi"/>
          <w:color w:val="000000" w:themeColor="text1"/>
          <w:sz w:val="22"/>
          <w:szCs w:val="22"/>
        </w:rPr>
        <w:fldChar w:fldCharType="begin" w:fldLock="1"/>
      </w:r>
      <w:r w:rsidR="00F66CFF" w:rsidRPr="00332C8B">
        <w:rPr>
          <w:rFonts w:asciiTheme="minorHAnsi" w:eastAsia="Calibri" w:hAnsiTheme="minorHAnsi" w:cstheme="minorHAnsi"/>
          <w:color w:val="000000" w:themeColor="text1"/>
          <w:sz w:val="22"/>
          <w:szCs w:val="22"/>
        </w:rPr>
        <w:instrText>ADDIN CSL_CITATION {"citationItems":[{"id":"ITEM-1","itemData":{"DOI":"http://dx.doi.org/10.1016/j.ygyno.2018.03.044","ISSN":"0090-8258","abstract":"Objective: To investigate whether patients' altered body composition (measured with bioimpedentiometry), due to a poor nutritional status, predicts the incidence of no residual disease at primary debulking and the risk of complications in patients with newly-diagnosed advanced epithelial ovarian cancer (EOC). Methods: Data regarding patients with newly-diagnosed stage IIIC-IV EOC undergoing elective nutritional assessment between December 2016 and March 2017, were prospectively collected. Bioelectrical impedance analysis (BIA) with measurement of BIA-derived phase angle [PhA] at 50 KHz, was accomplished. Only patients with disease which was considered resectable at staging laparoscopy were submitted to open primary cytoreduction. The rate of residual tumor (RT) = 0 and the incidence of complications were assessed. Results: Seventy patients were included. Fifty-two of them were submitted to primary cytoreduction (74.3%) and 48 (68.6% of the entire cohort, 92.3% of those who underwent primary debulking) had RT = 0 at the end of surgery. Median values of PhA were significantly lower in patients with RT &gt; vs. =0 (4.7, range: 3.6-5.8 vs. 5.3, range: 4.2-6.8; p = 0.001). Twenty-four (out of the 52 operated) patients (46.2%) developed at least one complication. PhA was significantly lower in patients with vs. without complications (5, range: 3.6-6.4, vs. 5.4, range 4.5-6.8; p = 0.03). After multivariable analysis, Fagotti score and PhA were the only independent predictors of residual disease (OR:13.56; 95%CI:1.33-137.6; p = 0.027 and 9.24; 1.16-73.43; p = 0.036, respectively) and of any complication (OR:4.9;95%CI:1.17-20.6; p = 0.03 and 7.27; 1.45-36.4; p = 0.01, respectively). Conclusions: Derangement of body composition (likely due to disease-related malnutrition) expressed as a low phase angle, is an independent predictor of residual disease and peri-operative complications at the time of upfront cytoreduction for advanced EOC.Copyright © 2018 Elsevier Inc.","author":[{"dropping-particle":"","family":"S.","given":"Uccella","non-dropping-particle":"","parse-names":false,"suffix":""},{"dropping-particle":"","family":"M.C.","given":"Mele","non-dropping-particle":"","parse-names":false,"suffix":""},{"dropping-particle":"","family":"L.","given":"Quagliozzi","non-dropping-particle":"","parse-names":false,"suffix":""},{"dropping-particle":"","family":"E.","given":"Rinninella","non-dropping-particle":"","parse-names":false,"suffix":""},{"dropping-particle":"","family":"C.","given":"Nero","non-dropping-particle":"","parse-names":false,"suffix":""},{"dropping-particle":"","family":"S.","given":"Cappuccio","non-dropping-particle":"","parse-names":false,"suffix":""},{"dropping-particle":"","family":"M.","given":"Cintoni","non-dropping-particle":"","parse-names":false,"suffix":""},{"dropping-particle":"","family":"A.","given":"Gasbarrini","non-dropping-particle":"","parse-names":false,"suffix":""},{"dropping-particle":"","family":"G.","given":"Scambia","non-dropping-particle":"","parse-names":false,"suffix":""},{"dropping-particle":"","family":"Fagotti A.  AO  - Uccella  Marco; ORCID: http://orcid.org/0000-0002-9610-0748 AO  - Nero, Camilla; ORCID: http://orcid.org/0000-0002-4442-4046","given":"Stefano; ORCID: http://orcid.org/0000-0002-4456-0822 A O - Cintoni","non-dropping-particle":"","parse-names":false,"suffix":""}],"container-title":"Gynecologic Oncology","id":"ITEM-1","issue":"2","issued":{"date-parts":[["2018"]]},"page":"263-269","publisher":"Academic Press Inc. (E-mail: apjcs@harcourt.com)","publisher-place":"S. Uccella, Department of Woman and Child Health, Fondazione Policlinico Agostino Gemelli, Rome, Italy. E-mail: stefucc@libero.it","title":"Assessment of preoperative nutritional status using BIA-derived phase angle (PhA) in patients with advanced ovarian cancer: Correlation with the extent of cytoreduction and complications","type":"article-journal","volume":"149"},"uris":["http://www.mendeley.com/documents/?uuid=740bc537-bfc4-43b1-b3c3-2ed9e7133df6"]}],"mendeley":{"formattedCitation":"[36]","plainTextFormattedCitation":"[36]","previouslyFormattedCitation":"[37]"},"properties":{"noteIndex":0},"schema":"https://github.com/citation-style-language/schema/raw/master/csl-citation.json"}</w:instrText>
      </w:r>
      <w:r w:rsidR="0048188D" w:rsidRPr="00332C8B">
        <w:rPr>
          <w:rFonts w:asciiTheme="minorHAnsi" w:eastAsia="Calibri" w:hAnsiTheme="minorHAnsi" w:cstheme="minorHAnsi"/>
          <w:color w:val="000000" w:themeColor="text1"/>
          <w:sz w:val="22"/>
          <w:szCs w:val="22"/>
        </w:rPr>
        <w:fldChar w:fldCharType="separate"/>
      </w:r>
      <w:r w:rsidR="00F66CFF" w:rsidRPr="00332C8B">
        <w:rPr>
          <w:rFonts w:asciiTheme="minorHAnsi" w:eastAsia="Calibri" w:hAnsiTheme="minorHAnsi" w:cstheme="minorHAnsi"/>
          <w:noProof/>
          <w:color w:val="000000" w:themeColor="text1"/>
          <w:sz w:val="22"/>
          <w:szCs w:val="22"/>
        </w:rPr>
        <w:t>[36]</w:t>
      </w:r>
      <w:r w:rsidR="0048188D" w:rsidRPr="00332C8B">
        <w:rPr>
          <w:rFonts w:asciiTheme="minorHAnsi" w:eastAsia="Calibri" w:hAnsiTheme="minorHAnsi" w:cstheme="minorHAnsi"/>
          <w:color w:val="000000" w:themeColor="text1"/>
          <w:sz w:val="22"/>
          <w:szCs w:val="22"/>
        </w:rPr>
        <w:fldChar w:fldCharType="end"/>
      </w:r>
      <w:r w:rsidR="0048188D" w:rsidRPr="00332C8B">
        <w:rPr>
          <w:rFonts w:asciiTheme="minorHAnsi" w:eastAsia="Calibri" w:hAnsiTheme="minorHAnsi" w:cstheme="minorHAnsi"/>
          <w:color w:val="000000" w:themeColor="text1"/>
          <w:sz w:val="22"/>
          <w:szCs w:val="22"/>
          <w:vertAlign w:val="superscript"/>
        </w:rPr>
        <w:t xml:space="preserve">, </w:t>
      </w:r>
      <w:r w:rsidR="0048188D" w:rsidRPr="00332C8B">
        <w:rPr>
          <w:rFonts w:asciiTheme="minorHAnsi" w:eastAsia="Calibri" w:hAnsiTheme="minorHAnsi" w:cstheme="minorHAnsi"/>
          <w:color w:val="000000" w:themeColor="text1"/>
          <w:sz w:val="22"/>
          <w:szCs w:val="22"/>
          <w:vertAlign w:val="superscript"/>
        </w:rPr>
        <w:fldChar w:fldCharType="begin" w:fldLock="1"/>
      </w:r>
      <w:r w:rsidR="00F66CFF" w:rsidRPr="00332C8B">
        <w:rPr>
          <w:rFonts w:asciiTheme="minorHAnsi" w:eastAsia="Calibri" w:hAnsiTheme="minorHAnsi" w:cstheme="minorHAnsi"/>
          <w:color w:val="000000" w:themeColor="text1"/>
          <w:sz w:val="22"/>
          <w:szCs w:val="22"/>
          <w:vertAlign w:val="superscript"/>
        </w:rPr>
        <w:instrText>ADDIN CSL_CITATION {"citationItems":[{"id":"ITEM-1","itemData":{"DOI":"http://dx.doi.org/10.1111/jog.12554","ISSN":"1341-8076","abstract":"Abstract Aim This study used the measure of percentage of body fat (%BF) to define obesity and evaluated the effect of percentage of %BF on clinical, surgical and pathological features in women with endometrial cancer. Methods Between 2011 and 2013, bioelectrical impedance analysis and body size measurements of 94 patients whose endometrial biopsy revealed endometrial cancer were obtained. Patients were divided into two groups according to body mass index (BMI) (normal, &lt;30 kg/m2; elevated, &gt;=30 kg/m2), and also classified by %BF (normal, &lt;32%; elevated, &gt;=32%). Results The patients' mean age was 55.0 +/- 10.9 years. Mean %BF and BMI were 40.8% +/- 9.8% and 32.9 +/- 7.5, respectively. Eighty-three (88%) patients were obese according to %BF; 54 (57%) were obese according to BMI. Patients with elevated %BF were more likely to have less than 50% myometrial invasion (P = 0.004). Significantly more para-aortic lymph nodes were retrieved in patients with normal %BF or BMI (P &lt; 0.001, P &lt; 0.001). Patients with elevated %BF had longer operating times (P = 0.043) and were more likely to have stage I disease than patients with normal %BF (P &lt; 0.001). Conclusion Endometrial cancer patients with an elevated %BF are more likely to have stage I disease and less than 50% myometrial invasion than patients with normal %BF. Defining obesity by BF may provide better estimation of obesity prevalence in patients with endometrial cancer and further understanding the relationship between BF with endometrial cancer may give more information about the effects of obesity on endometrial cancer.Copyright © 2014 The Authors.","author":[{"dropping-particle":"","family":"O.","given":"Secilmis Kerimoglu","non-dropping-particle":"","parse-names":false,"suffix":""},{"dropping-particle":"","family":"A.","given":"Pekin","non-dropping-particle":"","parse-names":false,"suffix":""},{"dropping-particle":"","family":"S.A.","given":"Yilmaz","non-dropping-particle":"","parse-names":false,"suffix":""},{"dropping-particle":"","family":"G.","given":"Yavas","non-dropping-particle":"","parse-names":false,"suffix":""},{"dropping-particle":"","family":"F.","given":"Beyhekim","non-dropping-particle":"","parse-names":false,"suffix":""},{"dropping-particle":"","family":"A.A.","given":"Demirtas","non-dropping-particle":"","parse-names":false,"suffix":""},{"dropping-particle":"","family":"N.U.","given":"Dogan","non-dropping-particle":"","parse-names":false,"suffix":""},{"dropping-particle":"","family":"T.T.","given":"Ilhan","non-dropping-particle":"","parse-names":false,"suffix":""}],"container-title":"Journal of Obstetrics and Gynaecology Research","id":"ITEM-1","issue":"3","issued":{"date-parts":[["2015"]]},"page":"449-455","publisher":"Blackwell Publishing (E-mail: info@asia.blackpublishing.com.au)","publisher-place":"O. Secilmis Kerimoglu, Selcuk Universitesi Tip Fakultesi, Kadin Hastaliklari ve Dogum ABD, Kampus, Selcuklu 42000, Turkey","title":"Effect of the percentage of body fat on surgical, clinical and pathological outcomes in women with endometrial cancer","type":"article-journal","volume":"41"},"uris":["http://www.mendeley.com/documents/?uuid=fab9c483-886b-4d5f-9d60-16cb99d77d36"]}],"mendeley":{"formattedCitation":"[38]","plainTextFormattedCitation":"[38]","previouslyFormattedCitation":"[39]"},"properties":{"noteIndex":0},"schema":"https://github.com/citation-style-language/schema/raw/master/csl-citation.json"}</w:instrText>
      </w:r>
      <w:r w:rsidR="0048188D" w:rsidRPr="00332C8B">
        <w:rPr>
          <w:rFonts w:asciiTheme="minorHAnsi" w:eastAsia="Calibri" w:hAnsiTheme="minorHAnsi" w:cstheme="minorHAnsi"/>
          <w:color w:val="000000" w:themeColor="text1"/>
          <w:sz w:val="22"/>
          <w:szCs w:val="22"/>
          <w:vertAlign w:val="superscript"/>
        </w:rPr>
        <w:fldChar w:fldCharType="separate"/>
      </w:r>
      <w:r w:rsidR="00F66CFF" w:rsidRPr="00332C8B">
        <w:rPr>
          <w:rFonts w:asciiTheme="minorHAnsi" w:eastAsia="Calibri" w:hAnsiTheme="minorHAnsi" w:cstheme="minorHAnsi"/>
          <w:noProof/>
          <w:color w:val="000000" w:themeColor="text1"/>
          <w:sz w:val="22"/>
          <w:szCs w:val="22"/>
        </w:rPr>
        <w:t>[38]</w:t>
      </w:r>
      <w:r w:rsidR="0048188D" w:rsidRPr="00332C8B">
        <w:rPr>
          <w:rFonts w:asciiTheme="minorHAnsi" w:eastAsia="Calibri" w:hAnsiTheme="minorHAnsi" w:cstheme="minorHAnsi"/>
          <w:color w:val="000000" w:themeColor="text1"/>
          <w:sz w:val="22"/>
          <w:szCs w:val="22"/>
          <w:vertAlign w:val="superscript"/>
        </w:rPr>
        <w:fldChar w:fldCharType="end"/>
      </w:r>
      <w:r w:rsidR="0048188D" w:rsidRPr="00332C8B">
        <w:rPr>
          <w:rFonts w:ascii="Calibri" w:hAnsi="Calibri" w:cs="Calibri"/>
          <w:color w:val="000000"/>
          <w:sz w:val="22"/>
          <w:szCs w:val="22"/>
        </w:rPr>
        <w:t xml:space="preserve"> (total n = 302) and mixed populations</w:t>
      </w:r>
      <w:r w:rsidR="0048188D" w:rsidRPr="00332C8B">
        <w:rPr>
          <w:rFonts w:asciiTheme="minorHAnsi" w:eastAsia="Calibri" w:hAnsiTheme="minorHAnsi" w:cstheme="minorHAnsi"/>
          <w:color w:val="000000" w:themeColor="text1"/>
        </w:rPr>
        <w:fldChar w:fldCharType="begin" w:fldLock="1"/>
      </w:r>
      <w:r w:rsidR="00F66CFF" w:rsidRPr="00332C8B">
        <w:rPr>
          <w:rFonts w:asciiTheme="minorHAnsi" w:eastAsia="Calibri" w:hAnsiTheme="minorHAnsi" w:cstheme="minorHAnsi"/>
          <w:color w:val="000000" w:themeColor="text1"/>
        </w:rPr>
        <w:instrText>ADDIN CSL_CITATION {"citationItems":[{"id":"ITEM-1","itemData":{"DOI":"https://dx.doi.org/10.1002/ncp.10110","ISSN":"1941-2452","abstract":"BACKGROUND: Different nutrition assessment tools in surgical cancer patients are used in clinical practice, which results in different prevalence rates of malnutrition. This may impact the interpretation of the association between nutrition status and clinical outcomes. Reduced standardized phase angle (SPA) values are associated with adverse outcomes in patients with cancer. Thus, it is important to assess the association of SPA with nutrition status and relate it to postoperative clinical outcomes., METHODS: This prospective observational study included 121 surgical cancer patients. Bioelectrical impedance analysis, subjective global assessment (SGA), anthropometric measurements, and assessment of muscle strength were used to provide nutrition diagnosis 1 day before surgery. The patients were followed for infectious and noninfectious postoperative complications from the first day after the operation until discharge or death., RESULTS: The prevalence of malnutrition was higher according to SGA (63.6%). Patients with an SPA &lt; -1.65 had a greater chance of being diagnosed as malnourished according to the SGA (3.66 [1.35-9.90]), midarm circumference (OR 4.24; CI95%; 1.72-10.43), midarm muscle area (OR 4.38; CI95%; 1.68-11.42), and low handgrip strength (3.84 [1.31-11.25]). Patients with an SPA &lt; -1.65 presented with more infectious complications (OR 4.19; CI95%; 1.52-11.53), but there was no association between SPA and other outcomes or death. SPA was the only significant predictor of infectious complications (AUC, 0.61; 95% CI, 0.51-0.71)., CONCLUSION: SPA was associated with different nutrition status parameters, and it was able to predict postoperative infectious complications.Copyright © 2018 American Society for Parenteral and Enteral Nutrition.","author":[{"dropping-particle":"","family":"Pena","given":"Natalia F","non-dropping-particle":"","parse-names":false,"suffix":""},{"dropping-particle":"","family":"Mauricio","given":"Silvia F","non-dropping-particle":"","parse-names":false,"suffix":""},{"dropping-particle":"","family":"Rodrigues","given":"Ana M S","non-dropping-particle":"","parse-names":false,"suffix":""},{"dropping-particle":"","family":"Carmo","given":"Ariene S","non-dropping-particle":"","parse-names":false,"suffix":""},{"dropping-particle":"","family":"Coury","given":"Nayara C","non-dropping-particle":"","parse-names":false,"suffix":""},{"dropping-particle":"","family":"Correia","given":"Maria I T D","non-dropping-particle":"","parse-names":false,"suffix":""},{"dropping-particle":"V","family":"Generoso","given":"Simone","non-dropping-particle":"","parse-names":false,"suffix":""}],"container-title":"Nutrition in clinical practice : official publication of the American Society for Parenteral and Enteral Nutrition","id":"ITEM-1","issued":{"date-parts":[["2018"]]},"publisher-place":"United States","title":"Association Between Standardized Phase Angle, Nutrition Status, and Clinical Outcomes in Surgical Cancer Patients.","type":"article-journal"},"uris":["http://www.mendeley.com/documents/?uuid=18b543ef-05e9-4a02-ba63-c32674dafbbc"]}],"mendeley":{"formattedCitation":"[39]","plainTextFormattedCitation":"[39]","previouslyFormattedCitation":"[40]"},"properties":{"noteIndex":0},"schema":"https://github.com/citation-style-language/schema/raw/master/csl-citation.json"}</w:instrText>
      </w:r>
      <w:r w:rsidR="0048188D" w:rsidRPr="00332C8B">
        <w:rPr>
          <w:rFonts w:asciiTheme="minorHAnsi" w:eastAsia="Calibri" w:hAnsiTheme="minorHAnsi" w:cstheme="minorHAnsi"/>
          <w:color w:val="000000" w:themeColor="text1"/>
        </w:rPr>
        <w:fldChar w:fldCharType="separate"/>
      </w:r>
      <w:r w:rsidR="00F66CFF" w:rsidRPr="00332C8B">
        <w:rPr>
          <w:rFonts w:asciiTheme="minorHAnsi" w:eastAsia="Calibri" w:hAnsiTheme="minorHAnsi" w:cstheme="minorHAnsi"/>
          <w:noProof/>
          <w:color w:val="000000" w:themeColor="text1"/>
        </w:rPr>
        <w:t>[39]</w:t>
      </w:r>
      <w:r w:rsidR="0048188D" w:rsidRPr="00332C8B">
        <w:rPr>
          <w:rFonts w:asciiTheme="minorHAnsi" w:eastAsia="Calibri" w:hAnsiTheme="minorHAnsi" w:cstheme="minorHAnsi"/>
          <w:color w:val="000000" w:themeColor="text1"/>
        </w:rPr>
        <w:fldChar w:fldCharType="end"/>
      </w:r>
      <w:r w:rsidR="0048188D" w:rsidRPr="00332C8B">
        <w:rPr>
          <w:rFonts w:asciiTheme="minorHAnsi" w:eastAsia="Calibri" w:hAnsiTheme="minorHAnsi" w:cstheme="minorHAnsi"/>
          <w:color w:val="000000" w:themeColor="text1"/>
          <w:vertAlign w:val="superscript"/>
        </w:rPr>
        <w:t xml:space="preserve">, </w:t>
      </w:r>
      <w:r w:rsidR="0048188D" w:rsidRPr="00332C8B">
        <w:rPr>
          <w:rFonts w:asciiTheme="minorHAnsi" w:eastAsia="Calibri" w:hAnsiTheme="minorHAnsi" w:cstheme="minorHAnsi"/>
          <w:color w:val="000000" w:themeColor="text1"/>
          <w:vertAlign w:val="superscript"/>
        </w:rPr>
        <w:fldChar w:fldCharType="begin" w:fldLock="1"/>
      </w:r>
      <w:r w:rsidR="00F66CFF" w:rsidRPr="00332C8B">
        <w:rPr>
          <w:rFonts w:asciiTheme="minorHAnsi" w:eastAsia="Calibri" w:hAnsiTheme="minorHAnsi" w:cstheme="minorHAnsi"/>
          <w:color w:val="000000" w:themeColor="text1"/>
          <w:vertAlign w:val="superscript"/>
        </w:rPr>
        <w:instrText>ADDIN CSL_CITATION {"citationItems":[{"id":"ITEM-1","itemData":{"DOI":"10.1007/s00520-017-3661-4","ISSN":"0941-4355","abstract":"Purpose: We evaluated phase angle, sarcopenia, and handgrip strength as prognostic factors of postoperative morbimortality in patients with cancer.Methodology: We conducted a prospective study with 60 oncology patients admitted for elective surgery between November 2015 and May 2016. We calculated the standardized phase angle (SPA) and the skeletal mass index of the subjects based on their bioelectrical impedance tests. Handgrip strength (HGS) was measured using a hydraulic dynamometer. Diagnosis of sarcopenia followed the criteria of the European Working Group on Sarcopenia in Older People. The nutritional status of each subject was evaluated through the Patient-Generated Subjective Global Assessment. Evaluation of postoperative complications followed the Clavien-Dindo classification. We also evaluated the duration of hospital stay. Outcomes were postoperative complications and duration of hospital stay.Results: The prevalence of malnutrition was 28.3%, and the prevalence of sarcopenia was 18.6%. The SPA was significantly lower among those who had severe postoperative complications or long hospital stays, while HGS and sarcopenia showed no relationship with these outcomes. Malnutrition was also related to postoperative outcomes.Conclusion: SPA can be considered a prognostic factor in postoperative morbimortality for patients with cancer.","author":[{"dropping-particle":"","family":"Härter","given":"Jéssica","non-dropping-particle":"","parse-names":false,"suffix":""},{"dropping-particle":"","family":"Orlandi","given":"Silvana","non-dropping-particle":"","parse-names":false,"suffix":""},{"dropping-particle":"","family":"Gonzalez","given":"Maria","non-dropping-particle":"","parse-names":false,"suffix":""},{"dropping-particle":"","family":"Härter","given":"Jéssica","non-dropping-particle":"","parse-names":false,"suffix":""},{"dropping-particle":"","family":"Orlandi","given":"Silvana Paiva","non-dropping-particle":"","parse-names":false,"suffix":""},{"dropping-particle":"","family":"Gonzalez","given":"Maria Cristina","non-dropping-particle":"","parse-names":false,"suffix":""}],"container-title":"Supportive Care in Cancer","id":"ITEM-1","issue":"8","issued":{"date-parts":[["2017","8"]]},"note":"Accession Number: 123716957. Language: English. Entry Date: 20180318. Revision Date: 20180517. Publication Type: journal article. Journal Subset: Biomedical; Continental Europe; Double Blind Peer Reviewed; Editorial Board Reviewed; Europe; Expert Peer Reviewed; Peer Reviewed. NLM UID: 9302957.","page":"2525-2530","publisher":"Springer Science &amp; Business Media B.V.","publisher-place":"Post-graduate Program, Nutrition and Food , Federal University of Pelotas , Rua Gomes Carneiro, 01 Pelotas 96010-610 Brazil","title":"Nutritional and functional factors as prognostic of surgical cancer patients.","type":"article-journal","volume":"25"},"uris":["http://www.mendeley.com/documents/?uuid=c4a486af-4def-4eb8-81fd-1ff9f790eb45"]}],"mendeley":{"formattedCitation":"[40]","plainTextFormattedCitation":"[40]","previouslyFormattedCitation":"[41]"},"properties":{"noteIndex":0},"schema":"https://github.com/citation-style-language/schema/raw/master/csl-citation.json"}</w:instrText>
      </w:r>
      <w:r w:rsidR="0048188D" w:rsidRPr="00332C8B">
        <w:rPr>
          <w:rFonts w:asciiTheme="minorHAnsi" w:eastAsia="Calibri" w:hAnsiTheme="minorHAnsi" w:cstheme="minorHAnsi"/>
          <w:color w:val="000000" w:themeColor="text1"/>
          <w:vertAlign w:val="superscript"/>
        </w:rPr>
        <w:fldChar w:fldCharType="separate"/>
      </w:r>
      <w:r w:rsidR="00F66CFF" w:rsidRPr="00332C8B">
        <w:rPr>
          <w:rFonts w:asciiTheme="minorHAnsi" w:eastAsia="Calibri" w:hAnsiTheme="minorHAnsi" w:cstheme="minorHAnsi"/>
          <w:noProof/>
          <w:color w:val="000000" w:themeColor="text1"/>
        </w:rPr>
        <w:t>[40]</w:t>
      </w:r>
      <w:r w:rsidR="0048188D" w:rsidRPr="00332C8B">
        <w:rPr>
          <w:rFonts w:asciiTheme="minorHAnsi" w:eastAsia="Calibri" w:hAnsiTheme="minorHAnsi" w:cstheme="minorHAnsi"/>
          <w:color w:val="000000" w:themeColor="text1"/>
          <w:vertAlign w:val="superscript"/>
        </w:rPr>
        <w:fldChar w:fldCharType="end"/>
      </w:r>
      <w:r w:rsidR="0048188D" w:rsidRPr="00332C8B">
        <w:rPr>
          <w:rFonts w:ascii="Calibri" w:hAnsi="Calibri" w:cs="Calibri"/>
          <w:color w:val="000000"/>
          <w:sz w:val="22"/>
          <w:szCs w:val="22"/>
        </w:rPr>
        <w:t xml:space="preserve"> (total n = 181) </w:t>
      </w:r>
      <w:r w:rsidR="00112F67" w:rsidRPr="00332C8B">
        <w:rPr>
          <w:rFonts w:ascii="Calibri" w:hAnsi="Calibri" w:cs="Calibri"/>
          <w:color w:val="000000"/>
          <w:sz w:val="22"/>
          <w:szCs w:val="22"/>
        </w:rPr>
        <w:t xml:space="preserve">but </w:t>
      </w:r>
      <w:r w:rsidR="00112F67" w:rsidRPr="00332C8B">
        <w:rPr>
          <w:rFonts w:asciiTheme="minorHAnsi" w:hAnsiTheme="minorHAnsi" w:cstheme="minorHAnsi"/>
          <w:color w:val="000000" w:themeColor="text1"/>
          <w:sz w:val="22"/>
          <w:szCs w:val="22"/>
        </w:rPr>
        <w:t xml:space="preserve">not apparent in either </w:t>
      </w:r>
      <w:r w:rsidR="00D53196" w:rsidRPr="00332C8B">
        <w:rPr>
          <w:rFonts w:asciiTheme="minorHAnsi" w:hAnsiTheme="minorHAnsi" w:cstheme="minorHAnsi"/>
          <w:color w:val="000000" w:themeColor="text1"/>
          <w:sz w:val="22"/>
          <w:szCs w:val="22"/>
        </w:rPr>
        <w:t>of the papers looking at a colorectal population</w:t>
      </w:r>
      <w:r w:rsidR="003662F1" w:rsidRPr="00332C8B">
        <w:rPr>
          <w:rFonts w:asciiTheme="minorHAnsi" w:eastAsia="Calibri" w:hAnsiTheme="minorHAnsi" w:cstheme="minorHAnsi"/>
          <w:color w:val="000000" w:themeColor="text1"/>
          <w:sz w:val="22"/>
          <w:szCs w:val="22"/>
        </w:rPr>
        <w:fldChar w:fldCharType="begin" w:fldLock="1"/>
      </w:r>
      <w:r w:rsidR="00F66CFF" w:rsidRPr="00332C8B">
        <w:rPr>
          <w:rFonts w:asciiTheme="minorHAnsi" w:eastAsia="Calibri" w:hAnsiTheme="minorHAnsi" w:cstheme="minorHAnsi"/>
          <w:color w:val="000000" w:themeColor="text1"/>
          <w:sz w:val="22"/>
          <w:szCs w:val="22"/>
        </w:rPr>
        <w:instrText>ADDIN CSL_CITATION {"citationItems":[{"id":"ITEM-1","itemData":{"DOI":"10.1016/j.clnu.2017.08.026","ISSN":"0261-5614","abstract":"Background &amp; aims: Malnutrition in patients with colorectal cancer contributes to increased postoperative complications. The aim of the study was to evaluate the prognostic value of several nutritional assessment parameters: body mass index versus percentage of weight loss grading system (BMI/%WL); Patient-Generated Subjective Global Assessment (PG-SGA); standardized phase angle (SPA) by BIA; muscle strength by handgrip strength; muscle mass by computerized tomography; and the combination of muscle mass and strength in patients undergoing resection surgery. Methods: Patients diagnosed with cancer of the colon or rectum, who were over 18 years old and were scheduled to undergo surgical treatment were invited to participate. Postoperative complications were assessed from the first day post-surgery until discharge. Complications classified as Grade II or above according to the Clavien-Dindo classification were considered. Chi-square test or Fisher's exact test, bivariate analysis, Poisson regression and receiver operator characteristic (ROC) curve were utilized and p &lt; 0.05 was considered significant. Results: 84 patients were evaluated, with 28 (33.3%) presenting with Grade II postoperative complications. SPA showed no association with postoperative complications (p = 0.199). In multivariate analysis, low skeletal muscle mass showed a relative risk (RR) of 1.80 (CI: 1.02-3.17), BMI/%WL equal or higher than grade 3 had a RR of 1.90 (95% CI: 1.22-3.39). PG-SGA classified as malnutrition showed a RR of 2.08 (95% CI: 1.06-4.06); and low muscle mass plus low muscle strength showed a RR 2.13 (95% CI: 1.23-3.69). Low strength alone was not associated with postoperative complications after controlling for confounding factors (p = 0.16; 95% CI: 0.83-2.77). Low muscle mass in combination with low strength showed the highest predictive power for postoperative complications (AUC: 0.68; CI: 0.56-0.80). Conclusions: BMI/%WL &gt; grade 3, PG-SGA defined malnutrition, low muscle mass and low muscle mass plus low strength were independent risk factors for complications controlling for confounding factors. However, low muscle mass in combination with low muscle strength were the strongest variables associated with complications. Clinical Trials identification number: NCT02901132 (www.clinicaltrials.gov).Copyright © 2017 Elsevier Ltd and European Society for Clinical Nutrition and Metabolism","author":[{"dropping-particle":"","family":"S.F.","given":"Mauricio","non-dropping-particle":"","parse-names":false,"suffix":""},{"dropping-particle":"","family":"J.","given":"Xiao","non-dropping-particle":"","parse-names":false,"suffix":""},{"dropping-particle":"","family":"C.M.","given":"Prado","non-dropping-particle":"","parse-names":false,"suffix":""},{"dropping-particle":"","family":"M.C.","given":"Gonzalez","non-dropping-particle":"","parse-names":false,"suffix":""},{"dropping-particle":"","family":"Maurício","given":"Sílvia Fernandes","non-dropping-particle":"","parse-names":false,"suffix":""},{"dropping-particle":"","family":"Xiao","given":"Jingjie","non-dropping-particle":"","parse-names":false,"suffix":""},{"dropping-particle":"","family":"Prado","given":"Carla M","non-dropping-particle":"","parse-names":false,"suffix":""},{"dropping-particle":"","family":"Gonzalez","given":"Maria Cristina","non-dropping-particle":"","parse-names":false,"suffix":""},{"dropping-particle":"","family":"Correia","given":"Maria Isabel Toulson Davisson","non-dropping-particle":"","parse-names":false,"suffix":""},{"dropping-particle":"","family":"Mauricio","given":"Silvia Fernandes","non-dropping-particle":"","parse-names":false,"suffix":""},{"dropping-particle":"","family":"Xiao","given":"Jingjie","non-dropping-particle":"","parse-names":false,"suffix":""},{"dropping-particle":"","family":"Prado","given":"Carla M","non-dropping-particle":"","parse-names":false,"suffix":""},{"dropping-particle":"","family":"Gonzalez","given":"Maria Cristina","non-dropping-particle":"","parse-names":false,"suffix":""},{"dropping-particle":"","family":"Toulson Davisson Correia","given":"Maria Isabel","non-dropping-particle":"","parse-names":false,"suffix":""}],"container-title":"Clinical Nutrition","id":"ITEM-1","issue":"5","issued":{"date-parts":[["2018","10"]]},"note":"From Duplicate 2 (Different nutritional assessment tools as predictors of postoperative complications in patients undergoing colorectal cancer resection. - Maurício, Sílvia Fernandes; Xiao, Jingjie; Prado, Carla M; Gonzalez, Maria Cristina; Correia, Maria Isabel Toulson Davisson)\n\nAccession Number: 131806549. Language: English. Entry Date: 20180924. Revision Date: 20180924. Publication Type: Article. Journal Subset: Allied Health; Biomedical; Continental Europe; Double Blind Peer Reviewed; Europe; Peer Reviewed. NLM UID: 8309603.","page":"1505-1511","publisher":"Elsevier B.V.","publisher-place":"Post-graduate Program on Surgery and Ophthalmology, Federal University of Minas Gerais, Belo Horizonte, Minas Gerais, Brazil","title":"Different nutritional assessment tools as predictors of postoperative complications in patients undergoing colorectal cancer resection","type":"article-journal","volume":"37"},"uris":["http://www.mendeley.com/documents/?uuid=204f43ab-b662-42ab-a81b-3ef41b0d9664"]}],"mendeley":{"formattedCitation":"[30]","plainTextFormattedCitation":"[30]","previouslyFormattedCitation":"[31]"},"properties":{"noteIndex":0},"schema":"https://github.com/citation-style-language/schema/raw/master/csl-citation.json"}</w:instrText>
      </w:r>
      <w:r w:rsidR="003662F1" w:rsidRPr="00332C8B">
        <w:rPr>
          <w:rFonts w:asciiTheme="minorHAnsi" w:eastAsia="Calibri" w:hAnsiTheme="minorHAnsi" w:cstheme="minorHAnsi"/>
          <w:color w:val="000000" w:themeColor="text1"/>
          <w:sz w:val="22"/>
          <w:szCs w:val="22"/>
        </w:rPr>
        <w:fldChar w:fldCharType="separate"/>
      </w:r>
      <w:r w:rsidR="00F66CFF" w:rsidRPr="00332C8B">
        <w:rPr>
          <w:rFonts w:asciiTheme="minorHAnsi" w:eastAsia="Calibri" w:hAnsiTheme="minorHAnsi" w:cstheme="minorHAnsi"/>
          <w:noProof/>
          <w:color w:val="000000" w:themeColor="text1"/>
          <w:sz w:val="22"/>
          <w:szCs w:val="22"/>
        </w:rPr>
        <w:t>[30]</w:t>
      </w:r>
      <w:r w:rsidR="003662F1" w:rsidRPr="00332C8B">
        <w:rPr>
          <w:rFonts w:asciiTheme="minorHAnsi" w:eastAsia="Calibri" w:hAnsiTheme="minorHAnsi" w:cstheme="minorHAnsi"/>
          <w:color w:val="000000" w:themeColor="text1"/>
          <w:sz w:val="22"/>
          <w:szCs w:val="22"/>
        </w:rPr>
        <w:fldChar w:fldCharType="end"/>
      </w:r>
      <w:r w:rsidR="00D53196" w:rsidRPr="00332C8B">
        <w:rPr>
          <w:rFonts w:asciiTheme="minorHAnsi" w:eastAsia="Calibri" w:hAnsiTheme="minorHAnsi" w:cstheme="minorHAnsi"/>
          <w:color w:val="000000" w:themeColor="text1"/>
          <w:sz w:val="22"/>
          <w:szCs w:val="22"/>
          <w:vertAlign w:val="superscript"/>
        </w:rPr>
        <w:t>,</w:t>
      </w:r>
      <w:r w:rsidR="003662F1" w:rsidRPr="00332C8B">
        <w:rPr>
          <w:rFonts w:asciiTheme="minorHAnsi" w:eastAsia="Calibri" w:hAnsiTheme="minorHAnsi" w:cstheme="minorHAnsi"/>
          <w:color w:val="000000" w:themeColor="text1"/>
          <w:sz w:val="22"/>
          <w:szCs w:val="22"/>
        </w:rPr>
        <w:fldChar w:fldCharType="begin" w:fldLock="1"/>
      </w:r>
      <w:r w:rsidR="00F66CFF" w:rsidRPr="00332C8B">
        <w:rPr>
          <w:rFonts w:asciiTheme="minorHAnsi" w:eastAsia="Calibri" w:hAnsiTheme="minorHAnsi" w:cstheme="minorHAnsi"/>
          <w:color w:val="000000" w:themeColor="text1"/>
          <w:sz w:val="22"/>
          <w:szCs w:val="22"/>
        </w:rPr>
        <w:instrText>ADDIN CSL_CITATION {"citationItems":[{"id":"ITEM-1","itemData":{"DOI":"10.1111/jhn.12002","ISSN":"0952-3871","abstract":"Background Both malnutrition and obesity are related to worsened post-operative outcomes after colorectal surgery. Obese cancer patients may be malnourished as a result of short-term weight loss. The present study aimed to evaluate preoperative nutritional status, body composition and dietary intake related to post-operative complications ( POC) and post-operative hospital days ( POHD) in elective colorectal cancer ( CRC) patients. Methods Anthropometry, body composition measured by bioelectric spectroscopy and dietary habits assessed by a validated food-frequency questionnaire were examined in 100 newly-diagnosed CRC patients. Data from 30-day POC and POHD were collected from medical records. Nonparametric and chi-squared tests and logistic regression were used to analyse associations between body and dietary variables and post-operative outcome. Results Twenty-nine patients had at least one POC. The median POHD was six. Body size and composition measures and short-term weight loss were no different between patients with and without POC, or between patients with POHD &lt;7 and ≥7. Dietary variables were otherwise no different between patients with and without POC, although the median intake of marine n-3 polyunsaturated fatty acids ( PUFA, the sum of eicosapentaenoic and docosahexaenoic acids) was significantly lower in patients with versus without POC (0.7 versus 1.2 g day−1, P = 0.04). Conclusions We found that preoperative body size, body composition and short-term weight loss were not related to 30-day post-operative outcomes in CRC patients. A high content of marine n-3 PUFA in preoperative habitual diets may protect against POC after CRC surgery.","author":[{"dropping-particle":"","family":"Berstad","given":"P","non-dropping-particle":"","parse-names":false,"suffix":""},{"dropping-particle":"","family":"Haugum","given":"B","non-dropping-particle":"","parse-names":false,"suffix":""},{"dropping-particle":"","family":"Helgeland","given":"M","non-dropping-particle":"","parse-names":false,"suffix":""},{"dropping-particle":"","family":"Bukholm","given":"I","non-dropping-particle":"","parse-names":false,"suffix":""},{"dropping-particle":"","family":"Almendingen","given":"K","non-dropping-particle":"","parse-names":false,"suffix":""}],"container-title":"Journal of Human Nutrition &amp; Dietetics","id":"ITEM-1","issue":"4","issued":{"date-parts":[["2013","8"]]},"note":"Accession Number: 104196215. Language: English. Entry Date: 20130716. Revision Date: 20150820. Publication Type: Journal Article; research; tables/charts. Journal Subset: Allied Health; Biomedical; Europe; Peer Reviewed; UK &amp;amp; Ireland. Special Interest: Nutrition; Oncologic Care; Perioperative Care. Instrumentation: Food Frequency Questionnaire (FFQ). Grant Information: This work was supported by grant no. 2006094 from Eastern Norway Regional Health Authority RHF and grants from Eckbo Foundation and Flatner Foundation.. NLM UID: 8904840.","page":"359-368","publisher":"Wiley-Blackwell","publisher-place":"Research Centre Akershus University Hospital","title":"Preoperative body size and composition, habitual diet, and post-operative complications in elective colorectal cancer patients in Norway.","type":"article-journal","volume":"26"},"uris":["http://www.mendeley.com/documents/?uuid=ed89d092-88dd-471d-99eb-e3ad956371cb"]}],"mendeley":{"formattedCitation":"[31]","plainTextFormattedCitation":"[31]","previouslyFormattedCitation":"[32]"},"properties":{"noteIndex":0},"schema":"https://github.com/citation-style-language/schema/raw/master/csl-citation.json"}</w:instrText>
      </w:r>
      <w:r w:rsidR="003662F1" w:rsidRPr="00332C8B">
        <w:rPr>
          <w:rFonts w:asciiTheme="minorHAnsi" w:eastAsia="Calibri" w:hAnsiTheme="minorHAnsi" w:cstheme="minorHAnsi"/>
          <w:color w:val="000000" w:themeColor="text1"/>
          <w:sz w:val="22"/>
          <w:szCs w:val="22"/>
        </w:rPr>
        <w:fldChar w:fldCharType="separate"/>
      </w:r>
      <w:r w:rsidR="00F66CFF" w:rsidRPr="00332C8B">
        <w:rPr>
          <w:rFonts w:asciiTheme="minorHAnsi" w:eastAsia="Calibri" w:hAnsiTheme="minorHAnsi" w:cstheme="minorHAnsi"/>
          <w:noProof/>
          <w:color w:val="000000" w:themeColor="text1"/>
          <w:sz w:val="22"/>
          <w:szCs w:val="22"/>
        </w:rPr>
        <w:t>[31]</w:t>
      </w:r>
      <w:r w:rsidR="003662F1" w:rsidRPr="00332C8B">
        <w:rPr>
          <w:rFonts w:asciiTheme="minorHAnsi" w:eastAsia="Calibri" w:hAnsiTheme="minorHAnsi" w:cstheme="minorHAnsi"/>
          <w:color w:val="000000" w:themeColor="text1"/>
          <w:sz w:val="22"/>
          <w:szCs w:val="22"/>
        </w:rPr>
        <w:fldChar w:fldCharType="end"/>
      </w:r>
      <w:r w:rsidR="00D53196" w:rsidRPr="00332C8B">
        <w:rPr>
          <w:rFonts w:ascii="Calibri" w:hAnsi="Calibri" w:cs="Calibri"/>
          <w:color w:val="000000"/>
          <w:sz w:val="22"/>
          <w:szCs w:val="22"/>
        </w:rPr>
        <w:t xml:space="preserve"> (total n = 184)</w:t>
      </w:r>
      <w:r w:rsidR="00E6704B" w:rsidRPr="00332C8B">
        <w:rPr>
          <w:rFonts w:ascii="Calibri" w:hAnsi="Calibri" w:cs="Calibri"/>
          <w:color w:val="000000"/>
          <w:sz w:val="22"/>
          <w:szCs w:val="22"/>
        </w:rPr>
        <w:t>.</w:t>
      </w:r>
      <w:r w:rsidR="00CB6DA6">
        <w:rPr>
          <w:rFonts w:ascii="Calibri" w:hAnsi="Calibri" w:cs="Calibri"/>
          <w:color w:val="000000"/>
          <w:sz w:val="22"/>
          <w:szCs w:val="22"/>
        </w:rPr>
        <w:t xml:space="preserve"> T</w:t>
      </w:r>
      <w:r w:rsidR="00397ED4">
        <w:rPr>
          <w:rFonts w:ascii="Calibri" w:hAnsi="Calibri" w:cs="Calibri"/>
          <w:color w:val="000000"/>
          <w:sz w:val="22"/>
          <w:szCs w:val="22"/>
        </w:rPr>
        <w:t>he variability in cancers included in this review limits</w:t>
      </w:r>
      <w:r w:rsidR="00CB6DA6">
        <w:rPr>
          <w:rFonts w:ascii="Calibri" w:hAnsi="Calibri" w:cs="Calibri"/>
          <w:color w:val="000000"/>
          <w:sz w:val="22"/>
          <w:szCs w:val="22"/>
        </w:rPr>
        <w:t xml:space="preserve"> the conclusions that can be drawn. However, i</w:t>
      </w:r>
      <w:r w:rsidR="00E6704B" w:rsidRPr="00332C8B">
        <w:rPr>
          <w:rFonts w:ascii="Calibri" w:hAnsi="Calibri" w:cs="Calibri"/>
          <w:color w:val="000000"/>
          <w:sz w:val="22"/>
          <w:szCs w:val="22"/>
        </w:rPr>
        <w:t xml:space="preserve">t is </w:t>
      </w:r>
      <w:r w:rsidR="00BD6E44" w:rsidRPr="00332C8B">
        <w:rPr>
          <w:rFonts w:ascii="Calibri" w:hAnsi="Calibri" w:cs="Calibri"/>
          <w:color w:val="000000"/>
          <w:sz w:val="22"/>
          <w:szCs w:val="22"/>
        </w:rPr>
        <w:t>conceivable</w:t>
      </w:r>
      <w:r w:rsidR="00E6704B" w:rsidRPr="00332C8B">
        <w:rPr>
          <w:rFonts w:ascii="Calibri" w:hAnsi="Calibri" w:cs="Calibri"/>
          <w:color w:val="000000"/>
          <w:sz w:val="22"/>
          <w:szCs w:val="22"/>
        </w:rPr>
        <w:t xml:space="preserve"> that </w:t>
      </w:r>
      <w:r w:rsidR="00BD6E44" w:rsidRPr="00332C8B">
        <w:rPr>
          <w:rFonts w:ascii="Calibri" w:hAnsi="Calibri" w:cs="Calibri"/>
          <w:color w:val="000000"/>
          <w:sz w:val="22"/>
          <w:szCs w:val="22"/>
        </w:rPr>
        <w:t>the</w:t>
      </w:r>
      <w:r w:rsidR="00112F67" w:rsidRPr="00332C8B">
        <w:rPr>
          <w:rFonts w:ascii="Calibri" w:hAnsi="Calibri" w:cs="Calibri"/>
          <w:color w:val="000000"/>
          <w:sz w:val="22"/>
          <w:szCs w:val="22"/>
        </w:rPr>
        <w:t xml:space="preserve">se differences reflect </w:t>
      </w:r>
      <w:r w:rsidR="00DD790A" w:rsidRPr="00332C8B">
        <w:rPr>
          <w:rFonts w:ascii="Calibri" w:hAnsi="Calibri" w:cs="Calibri"/>
          <w:color w:val="000000"/>
          <w:sz w:val="22"/>
          <w:szCs w:val="22"/>
        </w:rPr>
        <w:t xml:space="preserve">the impact </w:t>
      </w:r>
      <w:r w:rsidR="00BD6E44" w:rsidRPr="00332C8B">
        <w:rPr>
          <w:rFonts w:ascii="Calibri" w:hAnsi="Calibri" w:cs="Calibri"/>
          <w:color w:val="000000"/>
          <w:sz w:val="22"/>
          <w:szCs w:val="22"/>
        </w:rPr>
        <w:t xml:space="preserve">of </w:t>
      </w:r>
      <w:r w:rsidR="00F25407" w:rsidRPr="00332C8B">
        <w:rPr>
          <w:rFonts w:ascii="Calibri" w:hAnsi="Calibri" w:cs="Calibri"/>
          <w:color w:val="000000"/>
          <w:sz w:val="22"/>
          <w:szCs w:val="22"/>
        </w:rPr>
        <w:t>a particular</w:t>
      </w:r>
      <w:r w:rsidR="00BD6E44" w:rsidRPr="00332C8B">
        <w:rPr>
          <w:rFonts w:ascii="Calibri" w:hAnsi="Calibri" w:cs="Calibri"/>
          <w:color w:val="000000"/>
          <w:sz w:val="22"/>
          <w:szCs w:val="22"/>
        </w:rPr>
        <w:t xml:space="preserve"> </w:t>
      </w:r>
      <w:r w:rsidR="00E6704B" w:rsidRPr="00332C8B">
        <w:rPr>
          <w:rFonts w:ascii="Calibri" w:hAnsi="Calibri" w:cs="Calibri"/>
          <w:color w:val="000000"/>
          <w:sz w:val="22"/>
          <w:szCs w:val="22"/>
        </w:rPr>
        <w:t>malignancy</w:t>
      </w:r>
      <w:r w:rsidR="00BD6E44" w:rsidRPr="00332C8B">
        <w:rPr>
          <w:rFonts w:ascii="Calibri" w:hAnsi="Calibri" w:cs="Calibri"/>
          <w:color w:val="000000"/>
          <w:sz w:val="22"/>
          <w:szCs w:val="22"/>
        </w:rPr>
        <w:t xml:space="preserve"> on the nutritional</w:t>
      </w:r>
      <w:r w:rsidR="00E6704B" w:rsidRPr="00332C8B">
        <w:rPr>
          <w:rFonts w:ascii="Calibri" w:hAnsi="Calibri" w:cs="Calibri"/>
          <w:color w:val="000000"/>
          <w:sz w:val="22"/>
          <w:szCs w:val="22"/>
        </w:rPr>
        <w:t xml:space="preserve"> </w:t>
      </w:r>
      <w:r w:rsidR="00F25407" w:rsidRPr="00332C8B">
        <w:rPr>
          <w:rFonts w:ascii="Calibri" w:hAnsi="Calibri" w:cs="Calibri"/>
          <w:color w:val="000000"/>
          <w:sz w:val="22"/>
          <w:szCs w:val="22"/>
        </w:rPr>
        <w:t xml:space="preserve">and </w:t>
      </w:r>
      <w:r w:rsidR="00E6704B" w:rsidRPr="00332C8B">
        <w:rPr>
          <w:rFonts w:ascii="Calibri" w:hAnsi="Calibri" w:cs="Calibri"/>
          <w:color w:val="000000"/>
          <w:sz w:val="22"/>
          <w:szCs w:val="22"/>
        </w:rPr>
        <w:t>metabolic state of</w:t>
      </w:r>
      <w:r w:rsidR="00BD6E44" w:rsidRPr="00332C8B">
        <w:rPr>
          <w:rFonts w:ascii="Calibri" w:hAnsi="Calibri" w:cs="Calibri"/>
          <w:color w:val="000000"/>
          <w:sz w:val="22"/>
          <w:szCs w:val="22"/>
        </w:rPr>
        <w:t xml:space="preserve"> </w:t>
      </w:r>
      <w:r w:rsidR="005356A0" w:rsidRPr="00332C8B">
        <w:rPr>
          <w:rFonts w:ascii="Calibri" w:hAnsi="Calibri" w:cs="Calibri"/>
          <w:color w:val="000000"/>
          <w:sz w:val="22"/>
          <w:szCs w:val="22"/>
        </w:rPr>
        <w:t>a patient</w:t>
      </w:r>
      <w:r w:rsidR="00BD6E44" w:rsidRPr="00332C8B">
        <w:rPr>
          <w:rFonts w:ascii="Calibri" w:hAnsi="Calibri" w:cs="Calibri"/>
          <w:color w:val="000000"/>
          <w:sz w:val="22"/>
          <w:szCs w:val="22"/>
        </w:rPr>
        <w:t>. For example, a person with colorectal cancer is less likely to experience dysphagia than someone with an upper gastro-intestinal malignancy</w:t>
      </w:r>
      <w:r w:rsidR="003662F1" w:rsidRPr="00332C8B">
        <w:rPr>
          <w:rFonts w:ascii="Calibri" w:hAnsi="Calibri" w:cs="Calibri"/>
          <w:color w:val="000000"/>
          <w:sz w:val="22"/>
          <w:szCs w:val="22"/>
        </w:rPr>
        <w:fldChar w:fldCharType="begin" w:fldLock="1"/>
      </w:r>
      <w:r w:rsidR="00F66CFF" w:rsidRPr="00332C8B">
        <w:rPr>
          <w:rFonts w:ascii="Calibri" w:hAnsi="Calibri" w:cs="Calibri"/>
          <w:color w:val="000000"/>
          <w:sz w:val="22"/>
          <w:szCs w:val="22"/>
        </w:rPr>
        <w:instrText>ADDIN CSL_CITATION {"citationItems":[{"id":"ITEM-1","itemData":{"ISSN":"10727515","PMID":"10801023","abstract":"Background: The last two decades have seen changes in the prevalence, histologic type, and management algorithms for patients with esophageal cancer. The purpose of this study was to evaluate the presentation, stage distribution, and treatment of patients with esophageal cancer using the National Cancer Database of the American College of Surgeons. Study Design: Consecutively accessed patients (n = 5,044) with esophageal cancer from 828 hospitals during 1994 were evaluated in 1997 for case mix, diagnostic tests, and treatment modalities. Results: The mean age of patients was 67.3 years with a male to female ratio of 3:1; non-Hispanic Caucasians made up most patients. Only 16.6% reported no tobacco use. Dysphagia (74%), weight loss (57.3%), gastrointestinal reflux (20.5%), odynophagia (16.6%), and dyspnea (12.1%) were the most common symptoms. Approximately 50% of patients had the tumor in the lower third of the esophagus. Of all patients, 51.6% had squamous cell histology and 41.9% had adenocarcinoma. Barrett's esophagus occurred in 777 patients, or 39% of those with adenocarcinoma. Of those patients that underwent surgery initially, pathology revealed stage I (13.3%), II (34.7%), III (35.7%), and IV (12.3%) disease. For patients with various stages of squamous cell cancer, radiation therapy plus chemotherapy were the most common treatment modalities (39.5%) compared with surgery plus adjuvant therapy (13.2%). For patients with adenocarcinoma, surgery plus adjuvant therapy were the most common treatment methods. Disease-specific overall survival at 1 year was 43%, ranging from 70% to 18% from stages I to IV. Conclusions: Cancer of the esophagus shows an increasing occurrence of adenocarcinoma in the lower third of the esophagus and is frequently associated with Barrett's esophagus. Choice of treatment was influenced by rumor histology and rumor site. Multimodality (neoadjuvant) therapy was the most common treatment method for patients with esophageal adenocarcinoma. The use of multimodality treatment did not appear to increase postoperative morbidity. (C) 2000 by the American College of Surgeons.","author":[{"dropping-particle":"","family":"Daly","given":"John M.","non-dropping-particle":"","parse-names":false,"suffix":""},{"dropping-particle":"","family":"Fry","given":"Willard A.","non-dropping-particle":"","parse-names":false,"suffix":""},{"dropping-particle":"","family":"Little","given":"Alex G.","non-dropping-particle":"","parse-names":false,"suffix":""},{"dropping-particle":"","family":"Winchester","given":"David P.","non-dropping-particle":"","parse-names":false,"suffix":""},{"dropping-particle":"","family":"McKee","given":"Rosemary F.","non-dropping-particle":"","parse-names":false,"suffix":""},{"dropping-particle":"","family":"Stewart","given":"Andrew K.","non-dropping-particle":"","parse-names":false,"suffix":""},{"dropping-particle":"","family":"Fremgen","given":"Amy M.","non-dropping-particle":"","parse-names":false,"suffix":""}],"container-title":"Journal of the American College of Surgeons","id":"ITEM-1","issued":{"date-parts":[["2000"]]},"title":"Esophageal cancer: Results of American College of Surgeons patient care evaluation study","type":"article-journal"},"uris":["http://www.mendeley.com/documents/?uuid=24f8b635-e7a2-4e35-ab01-0616c0f9c520"]}],"mendeley":{"formattedCitation":"[49]","plainTextFormattedCitation":"[49]","previouslyFormattedCitation":"[50]"},"properties":{"noteIndex":0},"schema":"https://github.com/citation-style-language/schema/raw/master/csl-citation.json"}</w:instrText>
      </w:r>
      <w:r w:rsidR="003662F1" w:rsidRPr="00332C8B">
        <w:rPr>
          <w:rFonts w:ascii="Calibri" w:hAnsi="Calibri" w:cs="Calibri"/>
          <w:color w:val="000000"/>
          <w:sz w:val="22"/>
          <w:szCs w:val="22"/>
        </w:rPr>
        <w:fldChar w:fldCharType="separate"/>
      </w:r>
      <w:r w:rsidR="00F66CFF" w:rsidRPr="00332C8B">
        <w:rPr>
          <w:rFonts w:ascii="Calibri" w:hAnsi="Calibri" w:cs="Calibri"/>
          <w:noProof/>
          <w:color w:val="000000"/>
          <w:sz w:val="22"/>
          <w:szCs w:val="22"/>
        </w:rPr>
        <w:t>[49]</w:t>
      </w:r>
      <w:r w:rsidR="003662F1" w:rsidRPr="00332C8B">
        <w:rPr>
          <w:rFonts w:ascii="Calibri" w:hAnsi="Calibri" w:cs="Calibri"/>
          <w:color w:val="000000"/>
          <w:sz w:val="22"/>
          <w:szCs w:val="22"/>
        </w:rPr>
        <w:fldChar w:fldCharType="end"/>
      </w:r>
      <w:r w:rsidR="005356A0" w:rsidRPr="00332C8B">
        <w:rPr>
          <w:rFonts w:ascii="Calibri" w:hAnsi="Calibri" w:cs="Calibri"/>
          <w:color w:val="000000"/>
          <w:sz w:val="22"/>
          <w:szCs w:val="22"/>
        </w:rPr>
        <w:t xml:space="preserve"> and</w:t>
      </w:r>
      <w:r w:rsidR="00BD6E44" w:rsidRPr="00332C8B">
        <w:rPr>
          <w:rFonts w:ascii="Calibri" w:hAnsi="Calibri" w:cs="Calibri"/>
          <w:color w:val="000000"/>
          <w:sz w:val="22"/>
          <w:szCs w:val="22"/>
        </w:rPr>
        <w:t xml:space="preserve"> less likely to experience odynophagia and mucositis than someone undergoing treatment for head and neck cancer</w:t>
      </w:r>
      <w:r w:rsidR="003662F1" w:rsidRPr="00332C8B">
        <w:rPr>
          <w:rFonts w:ascii="Calibri" w:hAnsi="Calibri" w:cs="Calibri"/>
          <w:color w:val="000000"/>
          <w:sz w:val="22"/>
          <w:szCs w:val="22"/>
        </w:rPr>
        <w:fldChar w:fldCharType="begin" w:fldLock="1"/>
      </w:r>
      <w:r w:rsidR="00F66CFF" w:rsidRPr="00332C8B">
        <w:rPr>
          <w:rFonts w:ascii="Calibri" w:hAnsi="Calibri" w:cs="Calibri"/>
          <w:color w:val="000000"/>
          <w:sz w:val="22"/>
          <w:szCs w:val="22"/>
        </w:rPr>
        <w:instrText>ADDIN CSL_CITATION {"citationItems":[{"id":"ITEM-1","itemData":{"DOI":"10.1007/s00520-006-0212-9","ISSN":"09414355","abstract":"Goals of work: Critical weight loss (≥5% in 1 month or ≥10% in 6 months) is a common phenomenon in head and neck cancer patients. It is unknown which complaints are most strongly related to critical weight loss in head and neck cancer patients at the time of diagnosis. The aim of this explorative study was to assess the prevalence of critical weight loss and to analyze risk factors for critical weight loss in head and neck cancer patients before treatment. Materials and methods: Critical weight loss and factors reducing dietary intake were assessed in 447 patients referred to an ear, nose and throat clinic at the time of diagnosis. Main results: In total, data of 407 patients were analyzed. Critical weight loss was present in 19% of the patients. Patients with cancer in the hypopharynx, oropharynx/oral cavity and supraglottic larynx had the highest risk for critical weight loss. Loss of appetite, dysphagia/passage difficulties and loss of taste/aversion were significantly (p &lt; 0.05) associated with critical weight loss. Conclusions: Already before treatment, critical weight loss is a considerable problem in head and neck cancer patients. Critical weight loss is frequently observed in patients with cancer in the hypopharynx, oropharynx/oral cavity and supraglottic larynx. © 2007 Springer-Verlag.","author":[{"dropping-particle":"","family":"Jager-Wittenaar","given":"Harriët","non-dropping-particle":"","parse-names":false,"suffix":""},{"dropping-particle":"","family":"Dijkstra","given":"Pieter U.","non-dropping-particle":"","parse-names":false,"suffix":""},{"dropping-particle":"","family":"Vissink","given":"Arjan","non-dropping-particle":"","parse-names":false,"suffix":""},{"dropping-particle":"","family":"Laan","given":"Bernard F.A.M.","non-dropping-particle":"Van Der","parse-names":false,"suffix":""},{"dropping-particle":"","family":"Oort","given":"Rob P.","non-dropping-particle":"Van","parse-names":false,"suffix":""},{"dropping-particle":"","family":"Roodenburg","given":"Jan L.N.","non-dropping-particle":"","parse-names":false,"suffix":""}],"container-title":"Supportive Care in Cancer","id":"ITEM-1","issued":{"date-parts":[["2007"]]},"title":"Critical weight loss in head and neck cancer - Prevalence and risk factors at diagnosis: An explorative study","type":"article-journal"},"uris":["http://www.mendeley.com/documents/?uuid=d73e667e-ba99-44fc-809e-2d8353ac373b"]}],"mendeley":{"formattedCitation":"[50]","plainTextFormattedCitation":"[50]","previouslyFormattedCitation":"[51]"},"properties":{"noteIndex":0},"schema":"https://github.com/citation-style-language/schema/raw/master/csl-citation.json"}</w:instrText>
      </w:r>
      <w:r w:rsidR="003662F1" w:rsidRPr="00332C8B">
        <w:rPr>
          <w:rFonts w:ascii="Calibri" w:hAnsi="Calibri" w:cs="Calibri"/>
          <w:color w:val="000000"/>
          <w:sz w:val="22"/>
          <w:szCs w:val="22"/>
        </w:rPr>
        <w:fldChar w:fldCharType="separate"/>
      </w:r>
      <w:r w:rsidR="00F66CFF" w:rsidRPr="00332C8B">
        <w:rPr>
          <w:rFonts w:ascii="Calibri" w:hAnsi="Calibri" w:cs="Calibri"/>
          <w:noProof/>
          <w:color w:val="000000"/>
          <w:sz w:val="22"/>
          <w:szCs w:val="22"/>
        </w:rPr>
        <w:t>[50]</w:t>
      </w:r>
      <w:r w:rsidR="003662F1" w:rsidRPr="00332C8B">
        <w:rPr>
          <w:rFonts w:ascii="Calibri" w:hAnsi="Calibri" w:cs="Calibri"/>
          <w:color w:val="000000"/>
          <w:sz w:val="22"/>
          <w:szCs w:val="22"/>
        </w:rPr>
        <w:fldChar w:fldCharType="end"/>
      </w:r>
      <w:r w:rsidR="00BD6E44" w:rsidRPr="00332C8B">
        <w:rPr>
          <w:rFonts w:ascii="Calibri" w:hAnsi="Calibri" w:cs="Calibri"/>
          <w:color w:val="000000"/>
          <w:sz w:val="22"/>
          <w:szCs w:val="22"/>
        </w:rPr>
        <w:t>.</w:t>
      </w:r>
    </w:p>
    <w:p w14:paraId="3BA28311" w14:textId="77777777" w:rsidR="00D53196" w:rsidRPr="00332C8B" w:rsidRDefault="00D53196" w:rsidP="00F0414E">
      <w:pPr>
        <w:spacing w:line="480" w:lineRule="auto"/>
        <w:rPr>
          <w:rFonts w:asciiTheme="minorHAnsi" w:hAnsiTheme="minorHAnsi" w:cstheme="minorHAnsi"/>
          <w:b/>
          <w:bCs/>
          <w:color w:val="000000" w:themeColor="text1"/>
          <w:sz w:val="22"/>
          <w:szCs w:val="22"/>
        </w:rPr>
      </w:pPr>
    </w:p>
    <w:p w14:paraId="53256A25" w14:textId="6D6A3DF3" w:rsidR="00623DD0" w:rsidRPr="00332C8B" w:rsidRDefault="00D53196" w:rsidP="00F0414E">
      <w:pPr>
        <w:spacing w:line="480" w:lineRule="auto"/>
        <w:rPr>
          <w:rFonts w:asciiTheme="minorHAnsi" w:hAnsiTheme="minorHAnsi" w:cstheme="minorHAnsi"/>
          <w:color w:val="000000"/>
          <w:sz w:val="22"/>
          <w:szCs w:val="22"/>
        </w:rPr>
      </w:pPr>
      <w:r w:rsidRPr="00332C8B">
        <w:rPr>
          <w:rFonts w:asciiTheme="minorHAnsi" w:hAnsiTheme="minorHAnsi" w:cstheme="minorHAnsi"/>
          <w:color w:val="000000"/>
          <w:sz w:val="22"/>
          <w:szCs w:val="22"/>
        </w:rPr>
        <w:t xml:space="preserve">One of the difficulties in drawing strong conclusions from the studies reporting phase angle is that the raw data from which it is calculated is rarely reported. </w:t>
      </w:r>
      <w:r w:rsidR="005356A0" w:rsidRPr="00332C8B">
        <w:rPr>
          <w:rFonts w:asciiTheme="minorHAnsi" w:hAnsiTheme="minorHAnsi" w:cstheme="minorHAnsi"/>
          <w:color w:val="000000"/>
          <w:sz w:val="22"/>
          <w:szCs w:val="22"/>
        </w:rPr>
        <w:t>P</w:t>
      </w:r>
      <w:r w:rsidRPr="00332C8B">
        <w:rPr>
          <w:rFonts w:asciiTheme="minorHAnsi" w:hAnsiTheme="minorHAnsi" w:cstheme="minorHAnsi"/>
          <w:color w:val="000000"/>
          <w:sz w:val="22"/>
          <w:szCs w:val="22"/>
        </w:rPr>
        <w:t xml:space="preserve">hase angle is the arc tangent of the ratio of resistance to reactance </w:t>
      </w:r>
      <w:r w:rsidR="005356A0" w:rsidRPr="00332C8B">
        <w:rPr>
          <w:rFonts w:asciiTheme="minorHAnsi" w:hAnsiTheme="minorHAnsi" w:cstheme="minorHAnsi"/>
          <w:color w:val="000000"/>
          <w:sz w:val="22"/>
          <w:szCs w:val="22"/>
        </w:rPr>
        <w:t>and will, th</w:t>
      </w:r>
      <w:r w:rsidR="004F5A87" w:rsidRPr="00332C8B">
        <w:rPr>
          <w:rFonts w:asciiTheme="minorHAnsi" w:hAnsiTheme="minorHAnsi" w:cstheme="minorHAnsi"/>
          <w:color w:val="000000"/>
          <w:sz w:val="22"/>
          <w:szCs w:val="22"/>
        </w:rPr>
        <w:t>erefore</w:t>
      </w:r>
      <w:r w:rsidR="005356A0" w:rsidRPr="00332C8B">
        <w:rPr>
          <w:rFonts w:asciiTheme="minorHAnsi" w:hAnsiTheme="minorHAnsi" w:cstheme="minorHAnsi"/>
          <w:color w:val="000000"/>
          <w:sz w:val="22"/>
          <w:szCs w:val="22"/>
        </w:rPr>
        <w:t>,</w:t>
      </w:r>
      <w:r w:rsidRPr="00332C8B">
        <w:rPr>
          <w:rFonts w:asciiTheme="minorHAnsi" w:hAnsiTheme="minorHAnsi" w:cstheme="minorHAnsi"/>
          <w:color w:val="000000"/>
          <w:sz w:val="22"/>
          <w:szCs w:val="22"/>
        </w:rPr>
        <w:t xml:space="preserve"> increase or decrease depending on changes in </w:t>
      </w:r>
      <w:r w:rsidR="002551CD" w:rsidRPr="00332C8B">
        <w:rPr>
          <w:rFonts w:asciiTheme="minorHAnsi" w:hAnsiTheme="minorHAnsi" w:cstheme="minorHAnsi"/>
          <w:color w:val="000000"/>
          <w:sz w:val="22"/>
          <w:szCs w:val="22"/>
        </w:rPr>
        <w:t xml:space="preserve">either or both of </w:t>
      </w:r>
      <w:r w:rsidRPr="00332C8B">
        <w:rPr>
          <w:rFonts w:asciiTheme="minorHAnsi" w:hAnsiTheme="minorHAnsi" w:cstheme="minorHAnsi"/>
          <w:color w:val="000000"/>
          <w:sz w:val="22"/>
          <w:szCs w:val="22"/>
        </w:rPr>
        <w:t>these two variables</w:t>
      </w:r>
      <w:r w:rsidR="003662F1" w:rsidRPr="00332C8B">
        <w:rPr>
          <w:rFonts w:asciiTheme="minorHAnsi" w:hAnsiTheme="minorHAnsi" w:cstheme="minorHAnsi"/>
          <w:color w:val="000000"/>
          <w:sz w:val="22"/>
          <w:szCs w:val="22"/>
        </w:rPr>
        <w:fldChar w:fldCharType="begin" w:fldLock="1"/>
      </w:r>
      <w:r w:rsidR="00F66CFF" w:rsidRPr="00332C8B">
        <w:rPr>
          <w:rFonts w:asciiTheme="minorHAnsi" w:hAnsiTheme="minorHAnsi" w:cstheme="minorHAnsi"/>
          <w:color w:val="000000"/>
          <w:sz w:val="22"/>
          <w:szCs w:val="22"/>
        </w:rPr>
        <w:instrText>ADDIN CSL_CITATION {"citationItems":[{"id":"ITEM-1","itemData":{"DOI":"10.1093/ajcn/48.1.16","ISSN":"00029165","PMID":"3389323","abstract":"The use of bioelectric impedance phase angle for predicting body composition was determined in 53 males and 69 females 9-62 y of age. The phase angle describes the amount of reactance (X(c)) in a conductor relative to the amount of resistance (R). Bioelectric resistance (R) and reactance (X(c)) were determined for the whole body and separately for arm, leg, and trunk. Weight, stature, and skinfold thicknesses were measured. Body composition was determined from densitometry. Phase angles for the trunk (</w:instrText>
      </w:r>
      <w:r w:rsidR="00F66CFF" w:rsidRPr="00332C8B">
        <w:rPr>
          <w:rFonts w:ascii="Cambria Math" w:hAnsi="Cambria Math" w:cs="Cambria Math"/>
          <w:color w:val="000000"/>
          <w:sz w:val="22"/>
          <w:szCs w:val="22"/>
        </w:rPr>
        <w:instrText>∅</w:instrText>
      </w:r>
      <w:r w:rsidR="00F66CFF" w:rsidRPr="00332C8B">
        <w:rPr>
          <w:rFonts w:asciiTheme="minorHAnsi" w:hAnsiTheme="minorHAnsi" w:cstheme="minorHAnsi"/>
          <w:color w:val="000000"/>
          <w:sz w:val="22"/>
          <w:szCs w:val="22"/>
        </w:rPr>
        <w:instrText>(t)), leg (</w:instrText>
      </w:r>
      <w:r w:rsidR="00F66CFF" w:rsidRPr="00332C8B">
        <w:rPr>
          <w:rFonts w:ascii="Cambria Math" w:hAnsi="Cambria Math" w:cs="Cambria Math"/>
          <w:color w:val="000000"/>
          <w:sz w:val="22"/>
          <w:szCs w:val="22"/>
        </w:rPr>
        <w:instrText>∅</w:instrText>
      </w:r>
      <w:r w:rsidR="00F66CFF" w:rsidRPr="00332C8B">
        <w:rPr>
          <w:rFonts w:asciiTheme="minorHAnsi" w:hAnsiTheme="minorHAnsi" w:cstheme="minorHAnsi"/>
          <w:color w:val="000000"/>
          <w:sz w:val="22"/>
          <w:szCs w:val="22"/>
        </w:rPr>
        <w:instrText>(l)), and whole body (</w:instrText>
      </w:r>
      <w:r w:rsidR="00F66CFF" w:rsidRPr="00332C8B">
        <w:rPr>
          <w:rFonts w:ascii="Cambria Math" w:hAnsi="Cambria Math" w:cs="Cambria Math"/>
          <w:color w:val="000000"/>
          <w:sz w:val="22"/>
          <w:szCs w:val="22"/>
        </w:rPr>
        <w:instrText>∅</w:instrText>
      </w:r>
      <w:r w:rsidR="00F66CFF" w:rsidRPr="00332C8B">
        <w:rPr>
          <w:rFonts w:asciiTheme="minorHAnsi" w:hAnsiTheme="minorHAnsi" w:cstheme="minorHAnsi"/>
          <w:color w:val="000000"/>
          <w:sz w:val="22"/>
          <w:szCs w:val="22"/>
        </w:rPr>
        <w:instrText xml:space="preserve">w) had significant (p &lt; 0.05) negative correlations with percent body fat (%BF) in each sex, and positive correlations with fat-free mass (FFM) in males. In multiple regression analyses, </w:instrText>
      </w:r>
      <w:r w:rsidR="00F66CFF" w:rsidRPr="00332C8B">
        <w:rPr>
          <w:rFonts w:ascii="Cambria Math" w:hAnsi="Cambria Math" w:cs="Cambria Math"/>
          <w:color w:val="000000"/>
          <w:sz w:val="22"/>
          <w:szCs w:val="22"/>
        </w:rPr>
        <w:instrText>∅</w:instrText>
      </w:r>
      <w:r w:rsidR="00F66CFF" w:rsidRPr="00332C8B">
        <w:rPr>
          <w:rFonts w:asciiTheme="minorHAnsi" w:hAnsiTheme="minorHAnsi" w:cstheme="minorHAnsi"/>
          <w:color w:val="000000"/>
          <w:sz w:val="22"/>
          <w:szCs w:val="22"/>
        </w:rPr>
        <w:instrText>(t) was associated significantly with %BF after controlling for age, mean skinfold thickness, and weight/stature2 in each sex. Bioelectric phase angle for the trunk may be useful for predicting %BF inclinical and survey research.","author":[{"dropping-particle":"","family":"Baumgartner","given":"R. N.","non-dropping-particle":"","parse-names":false,"suffix":""},{"dropping-particle":"","family":"Chumlea","given":"W. C.","non-dropping-particle":"","parse-names":false,"suffix":""},{"dropping-particle":"","family":"Roche","given":"A. F.","non-dropping-particle":"","parse-names":false,"suffix":""}],"container-title":"American Journal of Clinical Nutrition","id":"ITEM-1","issued":{"date-parts":[["1988"]]},"title":"Bioelectric impedance phase angle and body composition","type":"article-journal"},"uris":["http://www.mendeley.com/documents/?uuid=7b9bfd06-81be-4e9a-9f97-b90fdea2855d"]}],"mendeley":{"formattedCitation":"[48]","plainTextFormattedCitation":"[48]","previouslyFormattedCitation":"[49]"},"properties":{"noteIndex":0},"schema":"https://github.com/citation-style-language/schema/raw/master/csl-citation.json"}</w:instrText>
      </w:r>
      <w:r w:rsidR="003662F1" w:rsidRPr="00332C8B">
        <w:rPr>
          <w:rFonts w:asciiTheme="minorHAnsi" w:hAnsiTheme="minorHAnsi" w:cstheme="minorHAnsi"/>
          <w:color w:val="000000"/>
          <w:sz w:val="22"/>
          <w:szCs w:val="22"/>
        </w:rPr>
        <w:fldChar w:fldCharType="separate"/>
      </w:r>
      <w:r w:rsidR="00F66CFF" w:rsidRPr="00332C8B">
        <w:rPr>
          <w:rFonts w:asciiTheme="minorHAnsi" w:hAnsiTheme="minorHAnsi" w:cstheme="minorHAnsi"/>
          <w:noProof/>
          <w:color w:val="000000"/>
          <w:sz w:val="22"/>
          <w:szCs w:val="22"/>
        </w:rPr>
        <w:t>[48]</w:t>
      </w:r>
      <w:r w:rsidR="003662F1" w:rsidRPr="00332C8B">
        <w:rPr>
          <w:rFonts w:asciiTheme="minorHAnsi" w:hAnsiTheme="minorHAnsi" w:cstheme="minorHAnsi"/>
          <w:color w:val="000000"/>
          <w:sz w:val="22"/>
          <w:szCs w:val="22"/>
        </w:rPr>
        <w:fldChar w:fldCharType="end"/>
      </w:r>
      <w:r w:rsidR="00112F67" w:rsidRPr="00332C8B">
        <w:rPr>
          <w:rFonts w:asciiTheme="minorHAnsi" w:hAnsiTheme="minorHAnsi" w:cstheme="minorHAnsi"/>
          <w:color w:val="000000"/>
          <w:sz w:val="22"/>
          <w:szCs w:val="22"/>
        </w:rPr>
        <w:t>.  I</w:t>
      </w:r>
      <w:r w:rsidRPr="00332C8B">
        <w:rPr>
          <w:rFonts w:asciiTheme="minorHAnsi" w:hAnsiTheme="minorHAnsi" w:cstheme="minorHAnsi"/>
          <w:color w:val="000000"/>
          <w:sz w:val="22"/>
          <w:szCs w:val="22"/>
        </w:rPr>
        <w:t>t is</w:t>
      </w:r>
      <w:r w:rsidR="00112F67" w:rsidRPr="00332C8B">
        <w:rPr>
          <w:rFonts w:asciiTheme="minorHAnsi" w:hAnsiTheme="minorHAnsi" w:cstheme="minorHAnsi"/>
          <w:color w:val="000000"/>
          <w:sz w:val="22"/>
          <w:szCs w:val="22"/>
        </w:rPr>
        <w:t xml:space="preserve"> not </w:t>
      </w:r>
      <w:r w:rsidRPr="00332C8B">
        <w:rPr>
          <w:rFonts w:asciiTheme="minorHAnsi" w:hAnsiTheme="minorHAnsi" w:cstheme="minorHAnsi"/>
          <w:color w:val="000000"/>
          <w:sz w:val="22"/>
          <w:szCs w:val="22"/>
        </w:rPr>
        <w:t>possible to know whether changes in phase angle</w:t>
      </w:r>
      <w:r w:rsidRPr="00332C8B">
        <w:rPr>
          <w:rFonts w:asciiTheme="minorHAnsi" w:hAnsiTheme="minorHAnsi" w:cstheme="minorHAnsi"/>
          <w:color w:val="222222"/>
          <w:sz w:val="22"/>
          <w:szCs w:val="22"/>
        </w:rPr>
        <w:t xml:space="preserve"> result from a change in resistance, reactance or both</w:t>
      </w:r>
      <w:r w:rsidR="00112F67" w:rsidRPr="00332C8B">
        <w:rPr>
          <w:rFonts w:asciiTheme="minorHAnsi" w:hAnsiTheme="minorHAnsi" w:cstheme="minorHAnsi"/>
          <w:color w:val="222222"/>
          <w:sz w:val="22"/>
          <w:szCs w:val="22"/>
        </w:rPr>
        <w:t xml:space="preserve"> as these measures were not reported in any of the studies in this review. </w:t>
      </w:r>
      <w:r w:rsidRPr="00332C8B">
        <w:rPr>
          <w:rFonts w:asciiTheme="minorHAnsi" w:hAnsiTheme="minorHAnsi" w:cstheme="minorHAnsi"/>
          <w:color w:val="000000"/>
          <w:sz w:val="22"/>
          <w:szCs w:val="22"/>
        </w:rPr>
        <w:t xml:space="preserve">Only one paper reported </w:t>
      </w:r>
      <w:r w:rsidR="00380D7B" w:rsidRPr="00332C8B">
        <w:rPr>
          <w:rFonts w:asciiTheme="minorHAnsi" w:hAnsiTheme="minorHAnsi" w:cstheme="minorHAnsi"/>
          <w:color w:val="000000"/>
          <w:sz w:val="22"/>
          <w:szCs w:val="22"/>
        </w:rPr>
        <w:t>impedance variables</w:t>
      </w:r>
      <w:r w:rsidRPr="00332C8B">
        <w:rPr>
          <w:rFonts w:asciiTheme="minorHAnsi" w:hAnsiTheme="minorHAnsi" w:cstheme="minorHAnsi"/>
          <w:color w:val="000000"/>
          <w:sz w:val="22"/>
          <w:szCs w:val="22"/>
        </w:rPr>
        <w:t>, but this was in the context of bioimpedance vector analysis rather than calculating the phase angle</w:t>
      </w:r>
      <w:r w:rsidR="003662F1" w:rsidRPr="00332C8B">
        <w:rPr>
          <w:rFonts w:asciiTheme="minorHAnsi" w:eastAsia="Calibri" w:hAnsiTheme="minorHAnsi" w:cstheme="minorHAnsi"/>
          <w:color w:val="000000" w:themeColor="text1"/>
          <w:sz w:val="22"/>
          <w:szCs w:val="22"/>
        </w:rPr>
        <w:fldChar w:fldCharType="begin" w:fldLock="1"/>
      </w:r>
      <w:r w:rsidR="00F66CFF" w:rsidRPr="00332C8B">
        <w:rPr>
          <w:rFonts w:asciiTheme="minorHAnsi" w:eastAsia="Calibri" w:hAnsiTheme="minorHAnsi" w:cstheme="minorHAnsi"/>
          <w:color w:val="000000" w:themeColor="text1"/>
          <w:sz w:val="22"/>
          <w:szCs w:val="22"/>
        </w:rPr>
        <w:instrText>ADDIN CSL_CITATION {"citationItems":[{"id":"ITEM-1","itemData":{"DOI":"http://dx.doi.org/10.1038/ejcn.2017.115","ISSN":"0954-3007","abstract":"BACKGROUND/OBJECTIVES: Bioelectrical impedance vector analysis (BIVA) has been considered a promising technique in monitoring the nutritional and hydration status of patients with different types of diseases. The aim of this study was to assess the nutritional status provided by direct parameters of bioelectrical impedance analysis (BIA), BIVA and phase angle (PA), in patients with cervical and endometrial cancer undergoing surgical treatment, associating to other parameters of nutritional status and surgical outcomes. SUBJECTS/METHODS: In a prospective cohort, 208 women eligible to surgical treatment, admitted from January to December 2015, were enrolled. Patients were assessed according to the body mass index (BMI), Patient Generated Subjective Global Assessment (PG-SGA) and BIA. The PA was categorized as below and above percentiles 25 and 50 of studied population. RESULTS: According to BMI and PG-SGA, most of them were classified as obese (69%) and well nourished (84%), respectively. PA was significantly lower in patients with endometrial cancer, PG-SGA B or C, and in those who remained longer in hospital. PA below 25th percentile was also associated with surgical complications. Comparison of BIVA detachment of our population with a reference population showed significant impedance vector displacement, characterized by decreased reactance value and increased resistance value in our group of patients. CONCLUSIONS: PA was associated with other parameters of nutritional status and surgical outcomes. BIVA was associated with nutritional status and length of hospital, but did not present significant result for surgical complications.Copyright © 2017 Macmillan Publishers Limited, part of Springer Nature.","author":[{"dropping-particle":"","family":"I.C.R.","given":"Cardoso","non-dropping-particle":"","parse-names":false,"suffix":""},{"dropping-particle":"","family":"M.A.","given":"Aredes","non-dropping-particle":"","parse-names":false,"suffix":""}],"container-title":"European Journal of Clinical Nutrition","id":"ITEM-1","issue":"11","issued":{"date-parts":[["2017"]]},"page":"1278-1284","publisher":"Nature Publishing Group (Houndmills, Basingstoke, Hampshire RG21 6XS, United Kingdom)","publisher-place":"G.V. Chaves, Department of Nutrition and Dietetics, Brazilian National Cancer Institute-INCA, Rua Equador, 831, Santo Cristo, Rio de Janeiro 22010-050, Brazil. E-mail: gabrielavc@gmail.com","title":"Applicability of the direct parameters of bioelectrical impedance in assessing nutritional status and surgical complications of women with gynecological cancer","type":"article-journal","volume":"71"},"uris":["http://www.mendeley.com/documents/?uuid=3c95cc9d-eb4a-4292-a54f-67ca3bafefc1"]}],"mendeley":{"formattedCitation":"[37]","plainTextFormattedCitation":"[37]","previouslyFormattedCitation":"[38]"},"properties":{"noteIndex":0},"schema":"https://github.com/citation-style-language/schema/raw/master/csl-citation.json"}</w:instrText>
      </w:r>
      <w:r w:rsidR="003662F1" w:rsidRPr="00332C8B">
        <w:rPr>
          <w:rFonts w:asciiTheme="minorHAnsi" w:eastAsia="Calibri" w:hAnsiTheme="minorHAnsi" w:cstheme="minorHAnsi"/>
          <w:color w:val="000000" w:themeColor="text1"/>
          <w:sz w:val="22"/>
          <w:szCs w:val="22"/>
        </w:rPr>
        <w:fldChar w:fldCharType="separate"/>
      </w:r>
      <w:r w:rsidR="00F66CFF" w:rsidRPr="00332C8B">
        <w:rPr>
          <w:rFonts w:asciiTheme="minorHAnsi" w:eastAsia="Calibri" w:hAnsiTheme="minorHAnsi" w:cstheme="minorHAnsi"/>
          <w:noProof/>
          <w:color w:val="000000" w:themeColor="text1"/>
          <w:sz w:val="22"/>
          <w:szCs w:val="22"/>
        </w:rPr>
        <w:t>[37]</w:t>
      </w:r>
      <w:r w:rsidR="003662F1" w:rsidRPr="00332C8B">
        <w:rPr>
          <w:rFonts w:asciiTheme="minorHAnsi" w:eastAsia="Calibri" w:hAnsiTheme="minorHAnsi" w:cstheme="minorHAnsi"/>
          <w:color w:val="000000" w:themeColor="text1"/>
          <w:sz w:val="22"/>
          <w:szCs w:val="22"/>
        </w:rPr>
        <w:fldChar w:fldCharType="end"/>
      </w:r>
      <w:r w:rsidRPr="00332C8B">
        <w:rPr>
          <w:rFonts w:asciiTheme="minorHAnsi" w:hAnsiTheme="minorHAnsi" w:cstheme="minorHAnsi"/>
          <w:color w:val="000000"/>
          <w:sz w:val="22"/>
          <w:szCs w:val="22"/>
        </w:rPr>
        <w:t xml:space="preserve">. </w:t>
      </w:r>
      <w:r w:rsidR="00C103DC" w:rsidRPr="00332C8B">
        <w:rPr>
          <w:rFonts w:asciiTheme="minorHAnsi" w:hAnsiTheme="minorHAnsi" w:cstheme="minorHAnsi"/>
          <w:color w:val="000000"/>
          <w:sz w:val="22"/>
          <w:szCs w:val="22"/>
        </w:rPr>
        <w:t>I</w:t>
      </w:r>
      <w:r w:rsidR="00E15BEF" w:rsidRPr="00332C8B">
        <w:rPr>
          <w:rFonts w:asciiTheme="minorHAnsi" w:hAnsiTheme="minorHAnsi" w:cstheme="minorHAnsi"/>
          <w:color w:val="000000"/>
          <w:sz w:val="22"/>
          <w:szCs w:val="22"/>
        </w:rPr>
        <w:t>mpedance</w:t>
      </w:r>
      <w:r w:rsidR="00380D7B" w:rsidRPr="00332C8B">
        <w:rPr>
          <w:rFonts w:asciiTheme="minorHAnsi" w:hAnsiTheme="minorHAnsi" w:cstheme="minorHAnsi"/>
          <w:color w:val="000000"/>
          <w:sz w:val="22"/>
          <w:szCs w:val="22"/>
        </w:rPr>
        <w:t xml:space="preserve"> is </w:t>
      </w:r>
      <w:r w:rsidR="00C103DC" w:rsidRPr="00332C8B">
        <w:rPr>
          <w:rFonts w:asciiTheme="minorHAnsi" w:hAnsiTheme="minorHAnsi" w:cstheme="minorHAnsi"/>
          <w:color w:val="000000"/>
          <w:sz w:val="22"/>
          <w:szCs w:val="22"/>
        </w:rPr>
        <w:t xml:space="preserve">also </w:t>
      </w:r>
      <w:r w:rsidR="00380D7B" w:rsidRPr="00332C8B">
        <w:rPr>
          <w:rFonts w:asciiTheme="minorHAnsi" w:hAnsiTheme="minorHAnsi" w:cstheme="minorHAnsi"/>
          <w:color w:val="000000"/>
          <w:sz w:val="22"/>
          <w:szCs w:val="22"/>
        </w:rPr>
        <w:t>known to change with age and gender</w:t>
      </w:r>
      <w:r w:rsidR="00380D7B" w:rsidRPr="00332C8B">
        <w:rPr>
          <w:rFonts w:asciiTheme="minorHAnsi" w:hAnsiTheme="minorHAnsi" w:cstheme="minorHAnsi"/>
          <w:color w:val="000000"/>
          <w:sz w:val="22"/>
          <w:szCs w:val="22"/>
        </w:rPr>
        <w:fldChar w:fldCharType="begin" w:fldLock="1"/>
      </w:r>
      <w:r w:rsidR="00F66CFF" w:rsidRPr="00332C8B">
        <w:rPr>
          <w:rFonts w:asciiTheme="minorHAnsi" w:hAnsiTheme="minorHAnsi" w:cstheme="minorHAnsi"/>
          <w:color w:val="000000"/>
          <w:sz w:val="22"/>
          <w:szCs w:val="22"/>
        </w:rPr>
        <w:instrText>ADDIN CSL_CITATION {"citationItems":[{"id":"ITEM-1","itemData":{"DOI":"10.1038/ejcn.2012.149","ISBN":"1476-5640","ISSN":"14765640","PMID":"23299867","abstract":"BACKGROUND/OBJECTIVES: Bioimpedance is the collective term that describes safe, non-invasive methods to measure the electrical responses to the introduction of a low-level, alternating current into a living organism, and the biophysical models to estimate body composition from bioelectrical measurements. Although bioimpedance techniques have been used for more than 100 years to monitor assorted biological components, the desire to translate bioelectrical measurements into physiological variables advanced the creation of empirical prediction models that produced inconsistent results.\\n\\nSUBJECTS/METHODS: This paper succinctly reviews the origin, and critically evaluates the conceptual models and the implementation of bioimpedance in clinical research, including indirect assessment of assorted physiological functions and body composition (fluid volumes and fat-free mass), classification of hydration, regional fluid accumulation, prognosis in disease and wound healing.\\n\\nRESULTS: Despite widespread and mounting interest in the use of bioimpedance to characterise body structure and function, most experimental findings reveal the limitations of existing physical models and reliance on multiple regression models for use in assessments of an individual.\\n\\nCONCLUSIONS: Contemporary applications of bioimpedance emphasise the value of bioimpedance variables per se in some novel biomedical applications with the objective of identifying opportunities for future outcome-based research.","author":[{"dropping-particle":"","family":"Lukaski","given":"H. C.","non-dropping-particle":"","parse-names":false,"suffix":""}],"container-title":"European Journal of Clinical Nutrition","id":"ITEM-1","issued":{"date-parts":[["2013"]]},"page":"S2-S9","title":"Evolution of bioimpedance: A circuitous journey from estimation of physiological function to assessment of body composition and a return to clinical research","type":"article-journal","volume":"67"},"uris":["http://www.mendeley.com/documents/?uuid=2777e6c5-4829-42d8-b53b-e403c3e757b8"]}],"mendeley":{"formattedCitation":"[51]","plainTextFormattedCitation":"[51]","previouslyFormattedCitation":"[52]"},"properties":{"noteIndex":0},"schema":"https://github.com/citation-style-language/schema/raw/master/csl-citation.json"}</w:instrText>
      </w:r>
      <w:r w:rsidR="00380D7B" w:rsidRPr="00332C8B">
        <w:rPr>
          <w:rFonts w:asciiTheme="minorHAnsi" w:hAnsiTheme="minorHAnsi" w:cstheme="minorHAnsi"/>
          <w:color w:val="000000"/>
          <w:sz w:val="22"/>
          <w:szCs w:val="22"/>
        </w:rPr>
        <w:fldChar w:fldCharType="separate"/>
      </w:r>
      <w:r w:rsidR="00F66CFF" w:rsidRPr="00332C8B">
        <w:rPr>
          <w:rFonts w:asciiTheme="minorHAnsi" w:hAnsiTheme="minorHAnsi" w:cstheme="minorHAnsi"/>
          <w:noProof/>
          <w:color w:val="000000"/>
          <w:sz w:val="22"/>
          <w:szCs w:val="22"/>
        </w:rPr>
        <w:t>[51]</w:t>
      </w:r>
      <w:r w:rsidR="00380D7B" w:rsidRPr="00332C8B">
        <w:rPr>
          <w:rFonts w:asciiTheme="minorHAnsi" w:hAnsiTheme="minorHAnsi" w:cstheme="minorHAnsi"/>
          <w:color w:val="000000"/>
          <w:sz w:val="22"/>
          <w:szCs w:val="22"/>
        </w:rPr>
        <w:fldChar w:fldCharType="end"/>
      </w:r>
      <w:r w:rsidR="00380D7B" w:rsidRPr="00332C8B">
        <w:rPr>
          <w:rFonts w:asciiTheme="minorHAnsi" w:hAnsiTheme="minorHAnsi" w:cstheme="minorHAnsi"/>
          <w:color w:val="000000"/>
          <w:sz w:val="22"/>
          <w:szCs w:val="22"/>
        </w:rPr>
        <w:t xml:space="preserve"> which will impact interpretation of the phase angle as well as the validity of any derived variables, but few papers either acknowledged or adjusted for this in their reporting.</w:t>
      </w:r>
      <w:r w:rsidR="00C103DC" w:rsidRPr="00332C8B">
        <w:rPr>
          <w:rFonts w:asciiTheme="minorHAnsi" w:hAnsiTheme="minorHAnsi" w:cstheme="minorHAnsi"/>
          <w:color w:val="000000"/>
          <w:sz w:val="22"/>
          <w:szCs w:val="22"/>
        </w:rPr>
        <w:t xml:space="preserve"> </w:t>
      </w:r>
      <w:r w:rsidR="00623DD0" w:rsidRPr="00332C8B">
        <w:rPr>
          <w:rFonts w:asciiTheme="minorHAnsi" w:hAnsiTheme="minorHAnsi" w:cstheme="minorHAnsi"/>
          <w:color w:val="000000"/>
          <w:sz w:val="22"/>
          <w:szCs w:val="22"/>
        </w:rPr>
        <w:t>Interpretation is further complicated by the variability in the use of cut-offs to determine what is deemed a “low” or “normal” phase angle</w:t>
      </w:r>
      <w:r w:rsidR="00DA5709" w:rsidRPr="00332C8B">
        <w:rPr>
          <w:rFonts w:asciiTheme="minorHAnsi" w:hAnsiTheme="minorHAnsi" w:cstheme="minorHAnsi"/>
          <w:color w:val="000000"/>
          <w:sz w:val="22"/>
          <w:szCs w:val="22"/>
        </w:rPr>
        <w:t xml:space="preserve"> or derived measure of lean mass</w:t>
      </w:r>
      <w:r w:rsidR="007B5755" w:rsidRPr="00332C8B">
        <w:rPr>
          <w:rFonts w:asciiTheme="minorHAnsi" w:hAnsiTheme="minorHAnsi" w:cstheme="minorHAnsi"/>
          <w:color w:val="000000"/>
          <w:sz w:val="22"/>
          <w:szCs w:val="22"/>
        </w:rPr>
        <w:t>.</w:t>
      </w:r>
      <w:r w:rsidR="00E15BEF" w:rsidRPr="00332C8B">
        <w:rPr>
          <w:rFonts w:asciiTheme="minorHAnsi" w:hAnsiTheme="minorHAnsi" w:cstheme="minorHAnsi"/>
          <w:color w:val="000000"/>
          <w:sz w:val="22"/>
          <w:szCs w:val="22"/>
        </w:rPr>
        <w:t xml:space="preserve"> Some studies clearly state they use device-generated cut-offs</w:t>
      </w:r>
      <w:r w:rsidR="00E15BEF" w:rsidRPr="00332C8B">
        <w:rPr>
          <w:rFonts w:asciiTheme="minorHAnsi" w:eastAsia="Calibri" w:hAnsiTheme="minorHAnsi" w:cstheme="minorHAnsi"/>
          <w:color w:val="000000" w:themeColor="text1"/>
          <w:sz w:val="22"/>
          <w:szCs w:val="22"/>
        </w:rPr>
        <w:fldChar w:fldCharType="begin" w:fldLock="1"/>
      </w:r>
      <w:r w:rsidR="00F66CFF" w:rsidRPr="00332C8B">
        <w:rPr>
          <w:rFonts w:asciiTheme="minorHAnsi" w:eastAsia="Calibri" w:hAnsiTheme="minorHAnsi" w:cstheme="minorHAnsi"/>
          <w:color w:val="000000" w:themeColor="text1"/>
          <w:sz w:val="22"/>
          <w:szCs w:val="22"/>
        </w:rPr>
        <w:instrText>ADDIN CSL_CITATION {"citationItems":[{"id":"ITEM-1","itemData":{"DOI":"https://dx.doi.org/10.1245/s10434-015-4559-3","ISSN":"1534-4681","abstract":"BACKGROUND: Depletion of skeletal muscle mass (sarcopenia) indicates a poor prognosis for patients with several kinds of cancer, but it remains unclear whether esophageal squamous cell carcinoma (ESCC) is among these cancers. The aim of this study was to clarify the relationship between sarcopenia and postoperative outcome in patients with ESCC treated by esophagectomy., METHODS: Skeletal muscle mass was assessed in 138 patients who underwent esophagectomy from August 2009 to May 2014. A multifrequency bioelectrical impedance analysis (InBody 720; Biospace, Tokyo, Japan) was used to assess skeletal muscle mass just before surgery. Postoperative complications were graded according to the Clavien-Dindo classification, and univariate and multivariate analyses were performed for postoperative respiratory complications., RESULTS: Sarcopenia was determined in 61 patients (44.2 %). Preoperative pulmonary function was significantly lower and the rate of respiratory complications significantly higher in the sarcopenia group than in the non-sarcopenia group (p &lt; 0.01). For other complications, the differences were not significant. Multivariate analysis showed that sarcopenia [odds ratio (OR) 5.82; p = 0.0001] and longer operation time (OR 3.09; p = 0.04) were risk factors for the occurrence of respiratory complications., CONCLUSIONS: Sarcopenia may be a predictor of pulmonary complications after esophagectomy. Further analysis is needed to clarify whether nutritional intervention improves skeletal muscle mass and thus contributes to reducing postoperative respiratory complications in sarcopenic patients.","author":[{"dropping-particle":"","family":"Ida","given":"Satoshi","non-dropping-particle":"","parse-names":false,"suffix":""},{"dropping-particle":"","family":"Watanabe","given":"Masayuki","non-dropping-particle":"","parse-names":false,"suffix":""},{"dropping-particle":"","family":"Yoshida","given":"Naoya","non-dropping-particle":"","parse-names":false,"suffix":""},{"dropping-particle":"","family":"Baba","given":"Yoshifumi","non-dropping-particle":"","parse-names":false,"suffix":""},{"dropping-particle":"","family":"Umezaki","given":"Naoki","non-dropping-particle":"","parse-names":false,"suffix":""},{"dropping-particle":"","family":"Harada","given":"Kazuto","non-dropping-particle":"","parse-names":false,"suffix":""},{"dropping-particle":"","family":"Karashima","given":"Ryuichi","non-dropping-particle":"","parse-names":false,"suffix":""},{"dropping-particle":"","family":"Imamura","given":"Yu","non-dropping-particle":"","parse-names":false,"suffix":""},{"dropping-particle":"","family":"Iwagami","given":"Shiro","non-dropping-particle":"","parse-names":false,"suffix":""},{"dropping-particle":"","family":"Baba","given":"Hideo","non-dropping-particle":"","parse-names":false,"suffix":""}],"container-title":"Annals of surgical oncology","id":"ITEM-1","issue":"13","issued":{"date-parts":[["2015"]]},"page":"4432-4437","publisher-place":"United States","title":"Sarcopenia is a Predictor of Postoperative Respiratory Complications in Patients with Esophageal Cancer.","type":"article-journal","volume":"22"},"uris":["http://www.mendeley.com/documents/?uuid=1f3d9e6a-f97f-44b3-9e01-564de97b3919"]}],"mendeley":{"formattedCitation":"[35]","plainTextFormattedCitation":"[35]","previouslyFormattedCitation":"[36]"},"properties":{"noteIndex":0},"schema":"https://github.com/citation-style-language/schema/raw/master/csl-citation.json"}</w:instrText>
      </w:r>
      <w:r w:rsidR="00E15BEF" w:rsidRPr="00332C8B">
        <w:rPr>
          <w:rFonts w:asciiTheme="minorHAnsi" w:eastAsia="Calibri" w:hAnsiTheme="minorHAnsi" w:cstheme="minorHAnsi"/>
          <w:color w:val="000000" w:themeColor="text1"/>
          <w:sz w:val="22"/>
          <w:szCs w:val="22"/>
        </w:rPr>
        <w:fldChar w:fldCharType="separate"/>
      </w:r>
      <w:r w:rsidR="00F66CFF" w:rsidRPr="00332C8B">
        <w:rPr>
          <w:rFonts w:asciiTheme="minorHAnsi" w:eastAsia="Calibri" w:hAnsiTheme="minorHAnsi" w:cstheme="minorHAnsi"/>
          <w:noProof/>
          <w:color w:val="000000" w:themeColor="text1"/>
          <w:sz w:val="22"/>
          <w:szCs w:val="22"/>
        </w:rPr>
        <w:t>[35]</w:t>
      </w:r>
      <w:r w:rsidR="00E15BEF" w:rsidRPr="00332C8B">
        <w:rPr>
          <w:rFonts w:asciiTheme="minorHAnsi" w:eastAsia="Calibri" w:hAnsiTheme="minorHAnsi" w:cstheme="minorHAnsi"/>
          <w:color w:val="000000" w:themeColor="text1"/>
          <w:sz w:val="22"/>
          <w:szCs w:val="22"/>
        </w:rPr>
        <w:fldChar w:fldCharType="end"/>
      </w:r>
      <w:r w:rsidR="00E15BEF" w:rsidRPr="00332C8B">
        <w:rPr>
          <w:rFonts w:asciiTheme="minorHAnsi" w:hAnsiTheme="minorHAnsi" w:cstheme="minorHAnsi"/>
          <w:color w:val="000000"/>
          <w:sz w:val="22"/>
          <w:szCs w:val="22"/>
        </w:rPr>
        <w:t>, others use a reference population</w:t>
      </w:r>
      <w:r w:rsidR="00E15BEF" w:rsidRPr="00332C8B">
        <w:rPr>
          <w:rFonts w:asciiTheme="minorHAnsi" w:eastAsia="Calibri" w:hAnsiTheme="minorHAnsi" w:cstheme="minorHAnsi"/>
          <w:bCs/>
          <w:color w:val="000000" w:themeColor="text1"/>
          <w:sz w:val="22"/>
          <w:szCs w:val="22"/>
        </w:rPr>
        <w:fldChar w:fldCharType="begin" w:fldLock="1"/>
      </w:r>
      <w:r w:rsidR="00F66CFF" w:rsidRPr="00332C8B">
        <w:rPr>
          <w:rFonts w:asciiTheme="minorHAnsi" w:eastAsia="Calibri" w:hAnsiTheme="minorHAnsi" w:cstheme="minorHAnsi"/>
          <w:bCs/>
          <w:color w:val="000000" w:themeColor="text1"/>
          <w:sz w:val="22"/>
          <w:szCs w:val="22"/>
        </w:rPr>
        <w:instrText>ADDIN CSL_CITATION {"citationItems":[{"id":"ITEM-1","itemData":{"DOI":"10.1016/j.clnu.2017.08.026","ISSN":"0261-5614","abstract":"Background &amp; aims: Malnutrition in patients with colorectal cancer contributes to increased postoperative complications. The aim of the study was to evaluate the prognostic value of several nutritional assessment parameters: body mass index versus percentage of weight loss grading system (BMI/%WL); Patient-Generated Subjective Global Assessment (PG-SGA); standardized phase angle (SPA) by BIA; muscle strength by handgrip strength; muscle mass by computerized tomography; and the combination of muscle mass and strength in patients undergoing resection surgery. Methods: Patients diagnosed with cancer of the colon or rectum, who were over 18 years old and were scheduled to undergo surgical treatment were invited to participate. Postoperative complications were assessed from the first day post-surgery until discharge. Complications classified as Grade II or above according to the Clavien-Dindo classification were considered. Chi-square test or Fisher's exact test, bivariate analysis, Poisson regression and receiver operator characteristic (ROC) curve were utilized and p &lt; 0.05 was considered significant. Results: 84 patients were evaluated, with 28 (33.3%) presenting with Grade II postoperative complications. SPA showed no association with postoperative complications (p = 0.199). In multivariate analysis, low skeletal muscle mass showed a relative risk (RR) of 1.80 (CI: 1.02-3.17), BMI/%WL equal or higher than grade 3 had a RR of 1.90 (95% CI: 1.22-3.39). PG-SGA classified as malnutrition showed a RR of 2.08 (95% CI: 1.06-4.06); and low muscle mass plus low muscle strength showed a RR 2.13 (95% CI: 1.23-3.69). Low strength alone was not associated with postoperative complications after controlling for confounding factors (p = 0.16; 95% CI: 0.83-2.77). Low muscle mass in combination with low strength showed the highest predictive power for postoperative complications (AUC: 0.68; CI: 0.56-0.80). Conclusions: BMI/%WL &gt; grade 3, PG-SGA defined malnutrition, low muscle mass and low muscle mass plus low strength were independent risk factors for complications controlling for confounding factors. However, low muscle mass in combination with low muscle strength were the strongest variables associated with complications. Clinical Trials identification number: NCT02901132 (www.clinicaltrials.gov).Copyright © 2017 Elsevier Ltd and European Society for Clinical Nutrition and Metabolism","author":[{"dropping-particle":"","family":"S.F.","given":"Mauricio","non-dropping-particle":"","parse-names":false,"suffix":""},{"dropping-particle":"","family":"J.","given":"Xiao","non-dropping-particle":"","parse-names":false,"suffix":""},{"dropping-particle":"","family":"C.M.","given":"Prado","non-dropping-particle":"","parse-names":false,"suffix":""},{"dropping-particle":"","family":"M.C.","given":"Gonzalez","non-dropping-particle":"","parse-names":false,"suffix":""},{"dropping-particle":"","family":"Maurício","given":"Sílvia Fernandes","non-dropping-particle":"","parse-names":false,"suffix":""},{"dropping-particle":"","family":"Xiao","given":"Jingjie","non-dropping-particle":"","parse-names":false,"suffix":""},{"dropping-particle":"","family":"Prado","given":"Carla M","non-dropping-particle":"","parse-names":false,"suffix":""},{"dropping-particle":"","family":"Gonzalez","given":"Maria Cristina","non-dropping-particle":"","parse-names":false,"suffix":""},{"dropping-particle":"","family":"Correia","given":"Maria Isabel Toulson Davisson","non-dropping-particle":"","parse-names":false,"suffix":""},{"dropping-particle":"","family":"Mauricio","given":"Silvia Fernandes","non-dropping-particle":"","parse-names":false,"suffix":""},{"dropping-particle":"","family":"Xiao","given":"Jingjie","non-dropping-particle":"","parse-names":false,"suffix":""},{"dropping-particle":"","family":"Prado","given":"Carla M","non-dropping-particle":"","parse-names":false,"suffix":""},{"dropping-particle":"","family":"Gonzalez","given":"Maria Cristina","non-dropping-particle":"","parse-names":false,"suffix":""},{"dropping-particle":"","family":"Toulson Davisson Correia","given":"Maria Isabel","non-dropping-particle":"","parse-names":false,"suffix":""}],"container-title":"Clinical Nutrition","id":"ITEM-1","issue":"5","issued":{"date-parts":[["2018","10"]]},"note":"From Duplicate 2 (Different nutritional assessment tools as predictors of postoperative complications in patients undergoing colorectal cancer resection. - Maurício, Sílvia Fernandes; Xiao, Jingjie; Prado, Carla M; Gonzalez, Maria Cristina; Correia, Maria Isabel Toulson Davisson)\n\nAccession Number: 131806549. Language: English. Entry Date: 20180924. Revision Date: 20180924. Publication Type: Article. Journal Subset: Allied Health; Biomedical; Continental Europe; Double Blind Peer Reviewed; Europe; Peer Reviewed. NLM UID: 8309603.","page":"1505-1511","publisher":"Elsevier B.V.","publisher-place":"Post-graduate Program on Surgery and Ophthalmology, Federal University of Minas Gerais, Belo Horizonte, Minas Gerais, Brazil","title":"Different nutritional assessment tools as predictors of postoperative complications in patients undergoing colorectal cancer resection","type":"article-journal","volume":"37"},"uris":["http://www.mendeley.com/documents/?uuid=204f43ab-b662-42ab-a81b-3ef41b0d9664"]}],"mendeley":{"formattedCitation":"[30]","plainTextFormattedCitation":"[30]","previouslyFormattedCitation":"[31]"},"properties":{"noteIndex":0},"schema":"https://github.com/citation-style-language/schema/raw/master/csl-citation.json"}</w:instrText>
      </w:r>
      <w:r w:rsidR="00E15BEF" w:rsidRPr="00332C8B">
        <w:rPr>
          <w:rFonts w:asciiTheme="minorHAnsi" w:eastAsia="Calibri" w:hAnsiTheme="minorHAnsi" w:cstheme="minorHAnsi"/>
          <w:bCs/>
          <w:color w:val="000000" w:themeColor="text1"/>
          <w:sz w:val="22"/>
          <w:szCs w:val="22"/>
        </w:rPr>
        <w:fldChar w:fldCharType="separate"/>
      </w:r>
      <w:r w:rsidR="00F66CFF" w:rsidRPr="00332C8B">
        <w:rPr>
          <w:rFonts w:asciiTheme="minorHAnsi" w:eastAsia="Calibri" w:hAnsiTheme="minorHAnsi" w:cstheme="minorHAnsi"/>
          <w:bCs/>
          <w:noProof/>
          <w:color w:val="000000" w:themeColor="text1"/>
          <w:sz w:val="22"/>
          <w:szCs w:val="22"/>
        </w:rPr>
        <w:t>[30]</w:t>
      </w:r>
      <w:r w:rsidR="00E15BEF" w:rsidRPr="00332C8B">
        <w:rPr>
          <w:rFonts w:asciiTheme="minorHAnsi" w:eastAsia="Calibri" w:hAnsiTheme="minorHAnsi" w:cstheme="minorHAnsi"/>
          <w:bCs/>
          <w:color w:val="000000" w:themeColor="text1"/>
          <w:sz w:val="22"/>
          <w:szCs w:val="22"/>
        </w:rPr>
        <w:fldChar w:fldCharType="end"/>
      </w:r>
      <w:r w:rsidR="00E15BEF" w:rsidRPr="00332C8B">
        <w:rPr>
          <w:rFonts w:asciiTheme="minorHAnsi" w:eastAsia="Calibri" w:hAnsiTheme="minorHAnsi" w:cstheme="minorHAnsi"/>
          <w:bCs/>
          <w:color w:val="000000" w:themeColor="text1"/>
          <w:sz w:val="22"/>
          <w:szCs w:val="22"/>
          <w:vertAlign w:val="superscript"/>
        </w:rPr>
        <w:t xml:space="preserve">, </w:t>
      </w:r>
      <w:r w:rsidR="00E15BEF" w:rsidRPr="00332C8B">
        <w:rPr>
          <w:rFonts w:asciiTheme="minorHAnsi" w:eastAsia="Calibri" w:hAnsiTheme="minorHAnsi" w:cstheme="minorHAnsi"/>
          <w:color w:val="000000" w:themeColor="text1"/>
          <w:sz w:val="22"/>
          <w:szCs w:val="22"/>
        </w:rPr>
        <w:fldChar w:fldCharType="begin" w:fldLock="1"/>
      </w:r>
      <w:r w:rsidR="00F66CFF" w:rsidRPr="00332C8B">
        <w:rPr>
          <w:rFonts w:asciiTheme="minorHAnsi" w:eastAsia="Calibri" w:hAnsiTheme="minorHAnsi" w:cstheme="minorHAnsi"/>
          <w:color w:val="000000" w:themeColor="text1"/>
          <w:sz w:val="22"/>
          <w:szCs w:val="22"/>
        </w:rPr>
        <w:instrText>ADDIN CSL_CITATION {"citationItems":[{"id":"ITEM-1","itemData":{"DOI":"https://dx.doi.org/10.1002/ncp.10110","ISSN":"1941-2452","abstract":"BACKGROUND: Different nutrition assessment tools in surgical cancer patients are used in clinical practice, which results in different prevalence rates of malnutrition. This may impact the interpretation of the association between nutrition status and clinical outcomes. Reduced standardized phase angle (SPA) values are associated with adverse outcomes in patients with cancer. Thus, it is important to assess the association of SPA with nutrition status and relate it to postoperative clinical outcomes., METHODS: This prospective observational study included 121 surgical cancer patients. Bioelectrical impedance analysis, subjective global assessment (SGA), anthropometric measurements, and assessment of muscle strength were used to provide nutrition diagnosis 1 day before surgery. The patients were followed for infectious and noninfectious postoperative complications from the first day after the operation until discharge or death., RESULTS: The prevalence of malnutrition was higher according to SGA (63.6%). Patients with an SPA &lt; -1.65 had a greater chance of being diagnosed as malnourished according to the SGA (3.66 [1.35-9.90]), midarm circumference (OR 4.24; CI95%; 1.72-10.43), midarm muscle area (OR 4.38; CI95%; 1.68-11.42), and low handgrip strength (3.84 [1.31-11.25]). Patients with an SPA &lt; -1.65 presented with more infectious complications (OR 4.19; CI95%; 1.52-11.53), but there was no association between SPA and other outcomes or death. SPA was the only significant predictor of infectious complications (AUC, 0.61; 95% CI, 0.51-0.71)., CONCLUSION: SPA was associated with different nutrition status parameters, and it was able to predict postoperative infectious complications.Copyright © 2018 American Society for Parenteral and Enteral Nutrition.","author":[{"dropping-particle":"","family":"Pena","given":"Natalia F","non-dropping-particle":"","parse-names":false,"suffix":""},{"dropping-particle":"","family":"Mauricio","given":"Silvia F","non-dropping-particle":"","parse-names":false,"suffix":""},{"dropping-particle":"","family":"Rodrigues","given":"Ana M S","non-dropping-particle":"","parse-names":false,"suffix":""},{"dropping-particle":"","family":"Carmo","given":"Ariene S","non-dropping-particle":"","parse-names":false,"suffix":""},{"dropping-particle":"","family":"Coury","given":"Nayara C","non-dropping-particle":"","parse-names":false,"suffix":""},{"dropping-particle":"","family":"Correia","given":"Maria I T D","non-dropping-particle":"","parse-names":false,"suffix":""},{"dropping-particle":"V","family":"Generoso","given":"Simone","non-dropping-particle":"","parse-names":false,"suffix":""}],"container-title":"Nutrition in clinical practice : official publication of the American Society for Parenteral and Enteral Nutrition","id":"ITEM-1","issued":{"date-parts":[["2018"]]},"publisher-place":"United States","title":"Association Between Standardized Phase Angle, Nutrition Status, and Clinical Outcomes in Surgical Cancer Patients.","type":"article-journal"},"uris":["http://www.mendeley.com/documents/?uuid=18b543ef-05e9-4a02-ba63-c32674dafbbc"]}],"mendeley":{"formattedCitation":"[39]","plainTextFormattedCitation":"[39]","previouslyFormattedCitation":"[40]"},"properties":{"noteIndex":0},"schema":"https://github.com/citation-style-language/schema/raw/master/csl-citation.json"}</w:instrText>
      </w:r>
      <w:r w:rsidR="00E15BEF" w:rsidRPr="00332C8B">
        <w:rPr>
          <w:rFonts w:asciiTheme="minorHAnsi" w:eastAsia="Calibri" w:hAnsiTheme="minorHAnsi" w:cstheme="minorHAnsi"/>
          <w:color w:val="000000" w:themeColor="text1"/>
          <w:sz w:val="22"/>
          <w:szCs w:val="22"/>
        </w:rPr>
        <w:fldChar w:fldCharType="separate"/>
      </w:r>
      <w:r w:rsidR="00F66CFF" w:rsidRPr="00332C8B">
        <w:rPr>
          <w:rFonts w:asciiTheme="minorHAnsi" w:eastAsia="Calibri" w:hAnsiTheme="minorHAnsi" w:cstheme="minorHAnsi"/>
          <w:noProof/>
          <w:color w:val="000000" w:themeColor="text1"/>
          <w:sz w:val="22"/>
          <w:szCs w:val="22"/>
        </w:rPr>
        <w:t>[39]</w:t>
      </w:r>
      <w:r w:rsidR="00E15BEF" w:rsidRPr="00332C8B">
        <w:rPr>
          <w:rFonts w:asciiTheme="minorHAnsi" w:eastAsia="Calibri" w:hAnsiTheme="minorHAnsi" w:cstheme="minorHAnsi"/>
          <w:color w:val="000000" w:themeColor="text1"/>
          <w:sz w:val="22"/>
          <w:szCs w:val="22"/>
        </w:rPr>
        <w:fldChar w:fldCharType="end"/>
      </w:r>
      <w:r w:rsidR="00E15BEF" w:rsidRPr="00332C8B">
        <w:rPr>
          <w:rFonts w:asciiTheme="minorHAnsi" w:hAnsiTheme="minorHAnsi" w:cstheme="minorHAnsi"/>
          <w:color w:val="000000"/>
          <w:sz w:val="22"/>
          <w:szCs w:val="22"/>
        </w:rPr>
        <w:t xml:space="preserve"> and some a cut-off within the study population</w:t>
      </w:r>
      <w:r w:rsidR="00E15BEF" w:rsidRPr="00332C8B">
        <w:rPr>
          <w:rFonts w:asciiTheme="minorHAnsi" w:eastAsia="Calibri" w:hAnsiTheme="minorHAnsi" w:cstheme="minorHAnsi"/>
          <w:color w:val="000000" w:themeColor="text1"/>
          <w:sz w:val="22"/>
          <w:szCs w:val="22"/>
          <w:vertAlign w:val="superscript"/>
        </w:rPr>
        <w:fldChar w:fldCharType="begin" w:fldLock="1"/>
      </w:r>
      <w:r w:rsidR="00F66CFF" w:rsidRPr="00332C8B">
        <w:rPr>
          <w:rFonts w:asciiTheme="minorHAnsi" w:eastAsia="Calibri" w:hAnsiTheme="minorHAnsi" w:cstheme="minorHAnsi"/>
          <w:color w:val="000000" w:themeColor="text1"/>
          <w:sz w:val="22"/>
          <w:szCs w:val="22"/>
          <w:vertAlign w:val="superscript"/>
        </w:rPr>
        <w:instrText>ADDIN CSL_CITATION {"citationItems":[{"id":"ITEM-1","itemData":{"DOI":"10.21873/anticanres.13203","ISSN":"0250-7005","abstract":"Background: Sarcopenia is known to have an important influence on\npostoperative complications in several diseases, and on the prognosis of\npatients with cancer. However, whether sarcopenia is associated with\ncomplications and prognosis after gastrectomy in patients with gastric\ncancer remains controversial. This study evaluated the impact of the\npreoperative muscle mass on postoperative complications of gastric\ncancer surgery. Materials and Methods: The muscle mass of 153 patients\nwho underwent gastrectomy for gastric cancer from January 2014 to August\n2016 was assessed before surgery by a multifrequency bioelectrical\nimpedance analysis (In Body 3.0; Biospace, Tokyo, Japan) and was\nexpressed as the muscle mass index (MMI). Sarcopenia was defined as an\nMMI value of one standard deviation or more below the gender-specific\nmean MMI. Complications of Clavien-Dindo grade 2 or more were defined as\nsignificant postoperative complications. The impact of preoperative\nsarcopenia on postoperative infectious complications was analyzed by\nunivariate and multivariate analyses. Results: A total of 153 patients\nwere analyzed, sarcopenia was present in 24 out of 153 patients\n(15.7%). Thirty (19.6%) patients developed postoperative\ncomplications, 20 (13.1%) of which were infectious complications.\nSarcopenia was significantly associated with age, body mass index, serum\nalbumin, pulmonary disease in comorbidities, operative time, surgical\napproach, and postoperative complications. The univariate analyses\nrevealed that male sex, sarcopenia, total gastrectomy, laparotomy, and\nintraoperative blood loss were associated with postoperative infectious\ncomplications. In the multivariate analyses, sarcopenia and\nintraoperative blood loss &gt;= 400 ml were independently associated with\npostoperative infectious complications. Conclusion: Preoperative\nsarcopenia was found to be an independent risk factor for postoperative\ninfectious complications in gastric cancer patients.","author":[{"dropping-particle":"","family":"Tamura","given":"Tatsuro","non-dropping-particle":"","parse-names":false,"suffix":""},{"dropping-particle":"","family":"Sakurai","given":"Katsunobu","non-dropping-particle":"","parse-names":false,"suffix":""},{"dropping-particle":"","family":"Nambara","given":"Mikio","non-dropping-particle":"","parse-names":false,"suffix":""},{"dropping-particle":"","family":"Miki","given":"Yuichiro","non-dropping-particle":"","parse-names":false,"suffix":""},{"dropping-particle":"","family":"Toyokawa","given":"Takahiro","non-dropping-particle":"","parse-names":false,"suffix":""},{"dropping-particle":"","family":"Kubo","given":"Naoshi","non-dropping-particle":"","parse-names":false,"suffix":""},{"dropping-particle":"","family":"Tanaka","given":"Hiroaki","non-dropping-particle":"","parse-names":false,"suffix":""},{"dropping-particle":"","family":"Muguruma","given":"Kazuya","non-dropping-particle":"","parse-names":false,"suffix":""},{"dropping-particle":"","family":"Yashiro","given":"Masakazu","non-dropping-particle":"","parse-names":false,"suffix":""},{"dropping-particle":"","family":"Ohira","given":"Masaichi","non-dropping-particle":"","parse-names":false,"suffix":""}],"container-title":"ANTICANCER RESEARCH","id":"ITEM-1","issue":"2","issued":{"date-parts":[["2019","2"]]},"page":"987-992","title":"Adverse Effects of Preoperative Sarcopenia on Postoperative Complications of Patients With Gastric Cancer","type":"article-journal","volume":"39"},"uris":["http://www.mendeley.com/documents/?uuid=b0dc6cbe-eae3-4fb0-979a-e02b6496d53b"]}],"mendeley":{"formattedCitation":"[33]","plainTextFormattedCitation":"[33]","previouslyFormattedCitation":"[34]"},"properties":{"noteIndex":0},"schema":"https://github.com/citation-style-language/schema/raw/master/csl-citation.json"}</w:instrText>
      </w:r>
      <w:r w:rsidR="00E15BEF" w:rsidRPr="00332C8B">
        <w:rPr>
          <w:rFonts w:asciiTheme="minorHAnsi" w:eastAsia="Calibri" w:hAnsiTheme="minorHAnsi" w:cstheme="minorHAnsi"/>
          <w:color w:val="000000" w:themeColor="text1"/>
          <w:sz w:val="22"/>
          <w:szCs w:val="22"/>
          <w:vertAlign w:val="superscript"/>
        </w:rPr>
        <w:fldChar w:fldCharType="separate"/>
      </w:r>
      <w:r w:rsidR="00F66CFF" w:rsidRPr="00332C8B">
        <w:rPr>
          <w:rFonts w:asciiTheme="minorHAnsi" w:eastAsia="Calibri" w:hAnsiTheme="minorHAnsi" w:cstheme="minorHAnsi"/>
          <w:noProof/>
          <w:color w:val="000000" w:themeColor="text1"/>
          <w:sz w:val="22"/>
          <w:szCs w:val="22"/>
        </w:rPr>
        <w:t>[33]</w:t>
      </w:r>
      <w:r w:rsidR="00E15BEF" w:rsidRPr="00332C8B">
        <w:rPr>
          <w:rFonts w:asciiTheme="minorHAnsi" w:eastAsia="Calibri" w:hAnsiTheme="minorHAnsi" w:cstheme="minorHAnsi"/>
          <w:color w:val="000000" w:themeColor="text1"/>
          <w:sz w:val="22"/>
          <w:szCs w:val="22"/>
          <w:vertAlign w:val="superscript"/>
        </w:rPr>
        <w:fldChar w:fldCharType="end"/>
      </w:r>
      <w:r w:rsidR="00E15BEF" w:rsidRPr="00332C8B">
        <w:rPr>
          <w:rFonts w:asciiTheme="minorHAnsi" w:eastAsia="Calibri" w:hAnsiTheme="minorHAnsi" w:cstheme="minorHAnsi"/>
          <w:color w:val="000000" w:themeColor="text1"/>
          <w:sz w:val="22"/>
          <w:szCs w:val="22"/>
          <w:vertAlign w:val="superscript"/>
        </w:rPr>
        <w:t xml:space="preserve">, </w:t>
      </w:r>
      <w:r w:rsidR="00E15BEF" w:rsidRPr="00332C8B">
        <w:rPr>
          <w:rFonts w:asciiTheme="minorHAnsi" w:eastAsia="Calibri" w:hAnsiTheme="minorHAnsi" w:cstheme="minorHAnsi"/>
          <w:color w:val="000000" w:themeColor="text1"/>
          <w:sz w:val="22"/>
          <w:szCs w:val="22"/>
          <w:vertAlign w:val="superscript"/>
        </w:rPr>
        <w:fldChar w:fldCharType="begin" w:fldLock="1"/>
      </w:r>
      <w:r w:rsidR="00F66CFF" w:rsidRPr="00332C8B">
        <w:rPr>
          <w:rFonts w:asciiTheme="minorHAnsi" w:eastAsia="Calibri" w:hAnsiTheme="minorHAnsi" w:cstheme="minorHAnsi"/>
          <w:color w:val="000000" w:themeColor="text1"/>
          <w:sz w:val="22"/>
          <w:szCs w:val="22"/>
          <w:vertAlign w:val="superscript"/>
        </w:rPr>
        <w:instrText>ADDIN CSL_CITATION {"citationItems":[{"id":"ITEM-1","itemData":{"DOI":"https://dx.doi.org/10.1007/s10120-015-0554-4","ISSN":"1436-3305","abstract":"BACKGROUND: Sarcopenia is a decrease in both muscle mass and strength. It remains unclear whether sarcopenia is associated with morbidity after gastric cancer surgery. This study evaluated the impact of sarcopenia on the morbidity of gastric cancer surgery., METHODS: A total of 293 gastric cancer patients who underwent curative surgery between May 2011 and June 2013 were retrospectively examined. Patients with performance status 3 or 4 were excluded. Preoperative lean body mass (LBM) was evaluated by bioelectrical impedance analysis and expressed as LBM index. Preoperative muscle function was measured by hand grip strength (HGS). The cutoff values were the gender-specific lowest 20 %. Grade 2 or higher morbidities, as retrospectively evaluated by the Clavien-Dindo classification, were obtained from the patient record. The risk factors for morbidity were examined by univariate and multivariate analyses., RESULTS: Morbidity was observed in 39 patients (13.3 %), including 7 with pancreatic leakage, 12 with anastomotic leakage, and 4 with intraabdominal abscesses, but no mortality was observed. The univariate analysis showed that male gender, total gastrectomy, splenectomy, and a low HGS were significant risk factors for morbidity. A low LBM was not a significant risk factor. A low HGS, male gender, and total gastrectomy remained significant in the multivariate analysis., CONCLUSIONS: A low hand grip strength was a significant risk factor for morbidity after gastric cancer surgery. The importance of the hand grip strength as a risk factor should be examined in future prospective studies.","author":[{"dropping-particle":"","family":"Sato","given":"Tsutomu","non-dropping-particle":"","parse-names":false,"suffix":""},{"dropping-particle":"","family":"Aoyama","given":"Toru","non-dropping-particle":"","parse-names":false,"suffix":""},{"dropping-particle":"","family":"Hayashi","given":"Tsutomu","non-dropping-particle":"","parse-names":false,"suffix":""},{"dropping-particle":"","family":"Segami","given":"Kenki","non-dropping-particle":"","parse-names":false,"suffix":""},{"dropping-particle":"","family":"Kawabe","given":"Taiichi","non-dropping-particle":"","parse-names":false,"suffix":""},{"dropping-particle":"","family":"Fujikawa","given":"Hirohito","non-dropping-particle":"","parse-names":false,"suffix":""},{"dropping-particle":"","family":"Yamada","given":"Takanobu","non-dropping-particle":"","parse-names":false,"suffix":""},{"dropping-particle":"","family":"Yamamoto","given":"Naoto","non-dropping-particle":"","parse-names":false,"suffix":""},{"dropping-particle":"","family":"Oshima","given":"Takashi","non-dropping-particle":"","parse-names":false,"suffix":""},{"dropping-particle":"","family":"Rino","given":"Yasushi","non-dropping-particle":"","parse-names":false,"suffix":""},{"dropping-particle":"","family":"Masuda","given":"Munetaka","non-dropping-particle":"","parse-names":false,"suffix":""},{"dropping-particle":"","family":"Ogata","given":"Takashi","non-dropping-particle":"","parse-names":false,"suffix":""},{"dropping-particle":"","family":"Cho","given":"Haruhiko","non-dropping-particle":"","parse-names":false,"suffix":""},{"dropping-particle":"","family":"Yoshikawa","given":"Takaki","non-dropping-particle":"","parse-names":false,"suffix":""}],"container-title":"Gastric cancer : official journal of the International Gastric Cancer Association and the Japanese Gastric Cancer Association","id":"ITEM-1","issue":"3","issued":{"date-parts":[["2016"]]},"page":"1008-1015","publisher-place":"Japan","title":"Impact of preoperative hand grip strength on morbidity following gastric cancer surgery.","type":"article-journal","volume":"19"},"uris":["http://www.mendeley.com/documents/?uuid=a7720521-e083-46bf-88a1-5a1149d42876"]}],"mendeley":{"formattedCitation":"[34]","plainTextFormattedCitation":"[34]","previouslyFormattedCitation":"[35]"},"properties":{"noteIndex":0},"schema":"https://github.com/citation-style-language/schema/raw/master/csl-citation.json"}</w:instrText>
      </w:r>
      <w:r w:rsidR="00E15BEF" w:rsidRPr="00332C8B">
        <w:rPr>
          <w:rFonts w:asciiTheme="minorHAnsi" w:eastAsia="Calibri" w:hAnsiTheme="minorHAnsi" w:cstheme="minorHAnsi"/>
          <w:color w:val="000000" w:themeColor="text1"/>
          <w:sz w:val="22"/>
          <w:szCs w:val="22"/>
          <w:vertAlign w:val="superscript"/>
        </w:rPr>
        <w:fldChar w:fldCharType="separate"/>
      </w:r>
      <w:r w:rsidR="00F66CFF" w:rsidRPr="00332C8B">
        <w:rPr>
          <w:rFonts w:asciiTheme="minorHAnsi" w:eastAsia="Calibri" w:hAnsiTheme="minorHAnsi" w:cstheme="minorHAnsi"/>
          <w:noProof/>
          <w:color w:val="000000" w:themeColor="text1"/>
          <w:sz w:val="22"/>
          <w:szCs w:val="22"/>
        </w:rPr>
        <w:t>[34]</w:t>
      </w:r>
      <w:r w:rsidR="00E15BEF" w:rsidRPr="00332C8B">
        <w:rPr>
          <w:rFonts w:asciiTheme="minorHAnsi" w:eastAsia="Calibri" w:hAnsiTheme="minorHAnsi" w:cstheme="minorHAnsi"/>
          <w:color w:val="000000" w:themeColor="text1"/>
          <w:sz w:val="22"/>
          <w:szCs w:val="22"/>
          <w:vertAlign w:val="superscript"/>
        </w:rPr>
        <w:fldChar w:fldCharType="end"/>
      </w:r>
      <w:r w:rsidR="00E15BEF" w:rsidRPr="00332C8B">
        <w:rPr>
          <w:rFonts w:asciiTheme="minorHAnsi" w:eastAsia="Calibri" w:hAnsiTheme="minorHAnsi" w:cstheme="minorHAnsi"/>
          <w:color w:val="000000" w:themeColor="text1"/>
          <w:sz w:val="22"/>
          <w:szCs w:val="22"/>
          <w:vertAlign w:val="superscript"/>
        </w:rPr>
        <w:t xml:space="preserve">, </w:t>
      </w:r>
      <w:r w:rsidR="00E15BEF" w:rsidRPr="00332C8B">
        <w:rPr>
          <w:rFonts w:asciiTheme="minorHAnsi" w:eastAsia="Calibri" w:hAnsiTheme="minorHAnsi" w:cstheme="minorHAnsi"/>
          <w:color w:val="000000" w:themeColor="text1"/>
          <w:sz w:val="22"/>
          <w:szCs w:val="22"/>
        </w:rPr>
        <w:fldChar w:fldCharType="begin" w:fldLock="1"/>
      </w:r>
      <w:r w:rsidR="00F66CFF" w:rsidRPr="00332C8B">
        <w:rPr>
          <w:rFonts w:asciiTheme="minorHAnsi" w:eastAsia="Calibri" w:hAnsiTheme="minorHAnsi" w:cstheme="minorHAnsi"/>
          <w:color w:val="000000" w:themeColor="text1"/>
          <w:sz w:val="22"/>
          <w:szCs w:val="22"/>
        </w:rPr>
        <w:instrText>ADDIN CSL_CITATION {"citationItems":[{"id":"ITEM-1","itemData":{"DOI":"http://dx.doi.org/10.1038/ejcn.2017.115","ISSN":"0954-3007","abstract":"BACKGROUND/OBJECTIVES: Bioelectrical impedance vector analysis (BIVA) has been considered a promising technique in monitoring the nutritional and hydration status of patients with different types of diseases. The aim of this study was to assess the nutritional status provided by direct parameters of bioelectrical impedance analysis (BIA), BIVA and phase angle (PA), in patients with cervical and endometrial cancer undergoing surgical treatment, associating to other parameters of nutritional status and surgical outcomes. SUBJECTS/METHODS: In a prospective cohort, 208 women eligible to surgical treatment, admitted from January to December 2015, were enrolled. Patients were assessed according to the body mass index (BMI), Patient Generated Subjective Global Assessment (PG-SGA) and BIA. The PA was categorized as below and above percentiles 25 and 50 of studied population. RESULTS: According to BMI and PG-SGA, most of them were classified as obese (69%) and well nourished (84%), respectively. PA was significantly lower in patients with endometrial cancer, PG-SGA B or C, and in those who remained longer in hospital. PA below 25th percentile was also associated with surgical complications. Comparison of BIVA detachment of our population with a reference population showed significant impedance vector displacement, characterized by decreased reactance value and increased resistance value in our group of patients. CONCLUSIONS: PA was associated with other parameters of nutritional status and surgical outcomes. BIVA was associated with nutritional status and length of hospital, but did not present significant result for surgical complications.Copyright © 2017 Macmillan Publishers Limited, part of Springer Nature.","author":[{"dropping-particle":"","family":"I.C.R.","given":"Cardoso","non-dropping-particle":"","parse-names":false,"suffix":""},{"dropping-particle":"","family":"M.A.","given":"Aredes","non-dropping-particle":"","parse-names":false,"suffix":""}],"container-title":"European Journal of Clinical Nutrition","id":"ITEM-1","issue":"11","issued":{"date-parts":[["2017"]]},"page":"1278-1284","publisher":"Nature Publishing Group (Houndmills, Basingstoke, Hampshire RG21 6XS, United Kingdom)","publisher-place":"G.V. Chaves, Department of Nutrition and Dietetics, Brazilian National Cancer Institute-INCA, Rua Equador, 831, Santo Cristo, Rio de Janeiro 22010-050, Brazil. E-mail: gabrielavc@gmail.com","title":"Applicability of the direct parameters of bioelectrical impedance in assessing nutritional status and surgical complications of women with gynecological cancer","type":"article-journal","volume":"71"},"uris":["http://www.mendeley.com/documents/?uuid=3c95cc9d-eb4a-4292-a54f-67ca3bafefc1"]}],"mendeley":{"formattedCitation":"[37]","plainTextFormattedCitation":"[37]","previouslyFormattedCitation":"[38]"},"properties":{"noteIndex":0},"schema":"https://github.com/citation-style-language/schema/raw/master/csl-citation.json"}</w:instrText>
      </w:r>
      <w:r w:rsidR="00E15BEF" w:rsidRPr="00332C8B">
        <w:rPr>
          <w:rFonts w:asciiTheme="minorHAnsi" w:eastAsia="Calibri" w:hAnsiTheme="minorHAnsi" w:cstheme="minorHAnsi"/>
          <w:color w:val="000000" w:themeColor="text1"/>
          <w:sz w:val="22"/>
          <w:szCs w:val="22"/>
        </w:rPr>
        <w:fldChar w:fldCharType="separate"/>
      </w:r>
      <w:r w:rsidR="00F66CFF" w:rsidRPr="00332C8B">
        <w:rPr>
          <w:rFonts w:asciiTheme="minorHAnsi" w:eastAsia="Calibri" w:hAnsiTheme="minorHAnsi" w:cstheme="minorHAnsi"/>
          <w:noProof/>
          <w:color w:val="000000" w:themeColor="text1"/>
          <w:sz w:val="22"/>
          <w:szCs w:val="22"/>
        </w:rPr>
        <w:t>[37]</w:t>
      </w:r>
      <w:r w:rsidR="00E15BEF" w:rsidRPr="00332C8B">
        <w:rPr>
          <w:rFonts w:asciiTheme="minorHAnsi" w:eastAsia="Calibri" w:hAnsiTheme="minorHAnsi" w:cstheme="minorHAnsi"/>
          <w:color w:val="000000" w:themeColor="text1"/>
          <w:sz w:val="22"/>
          <w:szCs w:val="22"/>
        </w:rPr>
        <w:fldChar w:fldCharType="end"/>
      </w:r>
      <w:r w:rsidR="00E15BEF" w:rsidRPr="00332C8B">
        <w:rPr>
          <w:rFonts w:asciiTheme="minorHAnsi" w:hAnsiTheme="minorHAnsi" w:cstheme="minorHAnsi"/>
          <w:color w:val="000000"/>
          <w:sz w:val="22"/>
          <w:szCs w:val="22"/>
        </w:rPr>
        <w:t xml:space="preserve">. </w:t>
      </w:r>
      <w:r w:rsidR="00380D7B" w:rsidRPr="00332C8B">
        <w:rPr>
          <w:rFonts w:asciiTheme="minorHAnsi" w:hAnsiTheme="minorHAnsi" w:cstheme="minorHAnsi"/>
          <w:color w:val="000000"/>
          <w:sz w:val="22"/>
          <w:szCs w:val="22"/>
          <w:lang w:eastAsia="en-GB"/>
        </w:rPr>
        <w:t xml:space="preserve"> </w:t>
      </w:r>
      <w:r w:rsidR="00913EC3" w:rsidRPr="00332C8B">
        <w:rPr>
          <w:rFonts w:asciiTheme="minorHAnsi" w:hAnsiTheme="minorHAnsi" w:cstheme="minorHAnsi"/>
          <w:color w:val="000000"/>
          <w:sz w:val="22"/>
          <w:szCs w:val="22"/>
          <w:lang w:eastAsia="en-GB"/>
        </w:rPr>
        <w:t>Fina</w:t>
      </w:r>
      <w:r w:rsidR="00380D7B" w:rsidRPr="00332C8B">
        <w:rPr>
          <w:rFonts w:asciiTheme="minorHAnsi" w:hAnsiTheme="minorHAnsi" w:cstheme="minorHAnsi"/>
          <w:color w:val="000000"/>
          <w:sz w:val="22"/>
          <w:szCs w:val="22"/>
          <w:lang w:eastAsia="en-GB"/>
        </w:rPr>
        <w:t xml:space="preserve">lly, none of the studies reporting </w:t>
      </w:r>
      <w:r w:rsidR="00996005" w:rsidRPr="00332C8B">
        <w:rPr>
          <w:rFonts w:asciiTheme="minorHAnsi" w:hAnsiTheme="minorHAnsi" w:cstheme="minorHAnsi"/>
          <w:color w:val="000000"/>
          <w:sz w:val="22"/>
          <w:szCs w:val="22"/>
          <w:lang w:eastAsia="en-GB"/>
        </w:rPr>
        <w:t>estimates</w:t>
      </w:r>
      <w:r w:rsidR="00DD790A" w:rsidRPr="00332C8B">
        <w:rPr>
          <w:rFonts w:asciiTheme="minorHAnsi" w:hAnsiTheme="minorHAnsi" w:cstheme="minorHAnsi"/>
          <w:color w:val="000000"/>
          <w:sz w:val="22"/>
          <w:szCs w:val="22"/>
          <w:lang w:eastAsia="en-GB"/>
        </w:rPr>
        <w:t xml:space="preserve"> of l</w:t>
      </w:r>
      <w:r w:rsidR="00380D7B" w:rsidRPr="00332C8B">
        <w:rPr>
          <w:rFonts w:asciiTheme="minorHAnsi" w:hAnsiTheme="minorHAnsi" w:cstheme="minorHAnsi"/>
          <w:color w:val="000000"/>
          <w:sz w:val="22"/>
          <w:szCs w:val="22"/>
          <w:lang w:eastAsia="en-GB"/>
        </w:rPr>
        <w:t>ean mass provided the proprietary equations used to derive the values reported. Hence, these measures should be considered potentially insecure and reinforces the argument to report the raw data.</w:t>
      </w:r>
      <w:r w:rsidR="00380D7B" w:rsidRPr="00332C8B">
        <w:rPr>
          <w:rFonts w:asciiTheme="minorHAnsi" w:hAnsiTheme="minorHAnsi" w:cstheme="minorHAnsi"/>
          <w:color w:val="000000"/>
          <w:sz w:val="22"/>
          <w:szCs w:val="22"/>
        </w:rPr>
        <w:t xml:space="preserve"> </w:t>
      </w:r>
      <w:r w:rsidR="00623DD0" w:rsidRPr="00332C8B">
        <w:rPr>
          <w:rFonts w:asciiTheme="minorHAnsi" w:hAnsiTheme="minorHAnsi" w:cstheme="minorHAnsi"/>
          <w:color w:val="000000"/>
          <w:sz w:val="22"/>
          <w:szCs w:val="22"/>
        </w:rPr>
        <w:t xml:space="preserve"> </w:t>
      </w:r>
    </w:p>
    <w:p w14:paraId="5D65E841" w14:textId="77777777" w:rsidR="00623DD0" w:rsidRPr="00332C8B" w:rsidRDefault="00623DD0" w:rsidP="00F0414E">
      <w:pPr>
        <w:spacing w:line="480" w:lineRule="auto"/>
        <w:rPr>
          <w:rFonts w:asciiTheme="minorHAnsi" w:hAnsiTheme="minorHAnsi" w:cstheme="minorHAnsi"/>
          <w:color w:val="000000"/>
          <w:sz w:val="22"/>
          <w:szCs w:val="22"/>
        </w:rPr>
      </w:pPr>
    </w:p>
    <w:p w14:paraId="76E2ACFB" w14:textId="0DBE7132" w:rsidR="00201244" w:rsidRPr="00332C8B" w:rsidRDefault="00DD790A" w:rsidP="00F0414E">
      <w:pPr>
        <w:spacing w:line="480" w:lineRule="auto"/>
        <w:rPr>
          <w:rFonts w:ascii="Calibri" w:hAnsi="Calibri" w:cs="Calibri"/>
          <w:color w:val="000000"/>
          <w:sz w:val="22"/>
          <w:szCs w:val="22"/>
        </w:rPr>
      </w:pPr>
      <w:r w:rsidRPr="00332C8B">
        <w:rPr>
          <w:rFonts w:ascii="Calibri" w:hAnsi="Calibri" w:cs="Calibri"/>
          <w:color w:val="000000"/>
          <w:sz w:val="22"/>
          <w:szCs w:val="22"/>
        </w:rPr>
        <w:t>A</w:t>
      </w:r>
      <w:r w:rsidR="0097472E" w:rsidRPr="00332C8B">
        <w:rPr>
          <w:rFonts w:ascii="Calibri" w:hAnsi="Calibri" w:cs="Calibri"/>
          <w:color w:val="000000"/>
          <w:sz w:val="22"/>
          <w:szCs w:val="22"/>
        </w:rPr>
        <w:t xml:space="preserve"> wide range of reported </w:t>
      </w:r>
      <w:r w:rsidR="007B5755" w:rsidRPr="00332C8B">
        <w:rPr>
          <w:rFonts w:ascii="Calibri" w:hAnsi="Calibri" w:cs="Calibri"/>
          <w:color w:val="000000"/>
          <w:sz w:val="22"/>
          <w:szCs w:val="22"/>
        </w:rPr>
        <w:t xml:space="preserve">complication rates </w:t>
      </w:r>
      <w:r w:rsidR="0097472E" w:rsidRPr="00332C8B">
        <w:rPr>
          <w:rFonts w:ascii="Calibri" w:hAnsi="Calibri" w:cs="Calibri"/>
          <w:color w:val="000000"/>
          <w:sz w:val="22"/>
          <w:szCs w:val="22"/>
        </w:rPr>
        <w:t>(6% - 46.7%)</w:t>
      </w:r>
      <w:r w:rsidR="00C05A76" w:rsidRPr="00332C8B">
        <w:rPr>
          <w:rFonts w:ascii="Calibri" w:hAnsi="Calibri" w:cs="Calibri"/>
          <w:color w:val="000000"/>
          <w:sz w:val="22"/>
          <w:szCs w:val="22"/>
        </w:rPr>
        <w:t xml:space="preserve"> in the included studies</w:t>
      </w:r>
      <w:r w:rsidRPr="00332C8B">
        <w:rPr>
          <w:rFonts w:ascii="Calibri" w:hAnsi="Calibri" w:cs="Calibri"/>
          <w:color w:val="000000"/>
          <w:sz w:val="22"/>
          <w:szCs w:val="22"/>
        </w:rPr>
        <w:t xml:space="preserve"> was evident which may </w:t>
      </w:r>
      <w:r w:rsidR="00996005" w:rsidRPr="00332C8B">
        <w:rPr>
          <w:rFonts w:ascii="Calibri" w:hAnsi="Calibri" w:cs="Calibri"/>
          <w:color w:val="000000"/>
          <w:sz w:val="22"/>
          <w:szCs w:val="22"/>
        </w:rPr>
        <w:t>reflect</w:t>
      </w:r>
      <w:r w:rsidR="0097472E" w:rsidRPr="00332C8B">
        <w:rPr>
          <w:rFonts w:ascii="Calibri" w:hAnsi="Calibri" w:cs="Calibri"/>
          <w:color w:val="000000"/>
          <w:sz w:val="22"/>
          <w:szCs w:val="22"/>
        </w:rPr>
        <w:t xml:space="preserve"> </w:t>
      </w:r>
      <w:r w:rsidRPr="00332C8B">
        <w:rPr>
          <w:rFonts w:ascii="Calibri" w:hAnsi="Calibri" w:cs="Calibri"/>
          <w:color w:val="000000"/>
          <w:sz w:val="22"/>
          <w:szCs w:val="22"/>
        </w:rPr>
        <w:t xml:space="preserve">differences in study populations </w:t>
      </w:r>
      <w:r w:rsidR="00C05A76" w:rsidRPr="00332C8B">
        <w:rPr>
          <w:rFonts w:ascii="Calibri" w:hAnsi="Calibri" w:cs="Calibri"/>
          <w:color w:val="000000"/>
          <w:sz w:val="22"/>
          <w:szCs w:val="22"/>
        </w:rPr>
        <w:t xml:space="preserve">and the </w:t>
      </w:r>
      <w:r w:rsidR="0097472E" w:rsidRPr="00332C8B">
        <w:rPr>
          <w:rFonts w:ascii="Calibri" w:hAnsi="Calibri" w:cs="Calibri"/>
          <w:color w:val="000000"/>
          <w:sz w:val="22"/>
          <w:szCs w:val="22"/>
        </w:rPr>
        <w:t>different reporting tools used</w:t>
      </w:r>
      <w:r w:rsidRPr="00332C8B">
        <w:rPr>
          <w:rFonts w:ascii="Calibri" w:hAnsi="Calibri" w:cs="Calibri"/>
          <w:color w:val="000000"/>
          <w:sz w:val="22"/>
          <w:szCs w:val="22"/>
        </w:rPr>
        <w:t>. W</w:t>
      </w:r>
      <w:r w:rsidR="0097472E" w:rsidRPr="00332C8B">
        <w:rPr>
          <w:rFonts w:ascii="Calibri" w:hAnsi="Calibri" w:cs="Calibri"/>
          <w:color w:val="000000"/>
          <w:sz w:val="22"/>
          <w:szCs w:val="22"/>
        </w:rPr>
        <w:t>e also found a wide range of complication rates between studies using the same tool. This could reflect poor administration of the tool, genuine differences in complication rates between studies or selection bias.</w:t>
      </w:r>
      <w:r w:rsidR="002D77FB" w:rsidRPr="00332C8B">
        <w:rPr>
          <w:rFonts w:ascii="Calibri" w:hAnsi="Calibri" w:cs="Calibri"/>
          <w:color w:val="000000"/>
          <w:sz w:val="22"/>
          <w:szCs w:val="22"/>
        </w:rPr>
        <w:t xml:space="preserve"> It should also be noted that the included studies are from different ethnic groups</w:t>
      </w:r>
      <w:r w:rsidR="00517AD1" w:rsidRPr="00332C8B">
        <w:rPr>
          <w:rFonts w:ascii="Calibri" w:hAnsi="Calibri" w:cs="Calibri"/>
          <w:color w:val="000000"/>
          <w:sz w:val="22"/>
          <w:szCs w:val="22"/>
        </w:rPr>
        <w:t xml:space="preserve">, </w:t>
      </w:r>
      <w:r w:rsidR="002D77FB" w:rsidRPr="00332C8B">
        <w:rPr>
          <w:rFonts w:ascii="Calibri" w:hAnsi="Calibri" w:cs="Calibri"/>
          <w:color w:val="000000"/>
          <w:sz w:val="22"/>
          <w:szCs w:val="22"/>
        </w:rPr>
        <w:t xml:space="preserve">continents </w:t>
      </w:r>
      <w:r w:rsidR="00517AD1" w:rsidRPr="00332C8B">
        <w:rPr>
          <w:rFonts w:ascii="Calibri" w:hAnsi="Calibri" w:cs="Calibri"/>
          <w:color w:val="000000"/>
          <w:sz w:val="22"/>
          <w:szCs w:val="22"/>
        </w:rPr>
        <w:t>and</w:t>
      </w:r>
      <w:r w:rsidR="002D77FB" w:rsidRPr="00332C8B">
        <w:rPr>
          <w:rFonts w:ascii="Calibri" w:hAnsi="Calibri" w:cs="Calibri"/>
          <w:color w:val="000000"/>
          <w:sz w:val="22"/>
          <w:szCs w:val="22"/>
        </w:rPr>
        <w:t xml:space="preserve"> healthcare settings.</w:t>
      </w:r>
      <w:r w:rsidR="0097472E" w:rsidRPr="00332C8B">
        <w:rPr>
          <w:rFonts w:ascii="Calibri" w:hAnsi="Calibri" w:cs="Calibri"/>
          <w:color w:val="000000"/>
          <w:sz w:val="22"/>
          <w:szCs w:val="22"/>
        </w:rPr>
        <w:t xml:space="preserve"> </w:t>
      </w:r>
      <w:r w:rsidR="00C05A76" w:rsidRPr="00332C8B">
        <w:rPr>
          <w:rFonts w:ascii="Calibri" w:hAnsi="Calibri" w:cs="Calibri"/>
          <w:color w:val="000000"/>
          <w:sz w:val="22"/>
          <w:szCs w:val="22"/>
        </w:rPr>
        <w:t xml:space="preserve">As a consequence of this variability </w:t>
      </w:r>
      <w:r w:rsidR="007B5755" w:rsidRPr="00332C8B">
        <w:rPr>
          <w:rFonts w:ascii="Calibri" w:hAnsi="Calibri" w:cs="Calibri"/>
          <w:color w:val="000000"/>
          <w:sz w:val="22"/>
          <w:szCs w:val="22"/>
        </w:rPr>
        <w:t xml:space="preserve">it </w:t>
      </w:r>
      <w:r w:rsidR="00C05A76" w:rsidRPr="00332C8B">
        <w:rPr>
          <w:rFonts w:ascii="Calibri" w:hAnsi="Calibri" w:cs="Calibri"/>
          <w:color w:val="000000"/>
          <w:sz w:val="22"/>
          <w:szCs w:val="22"/>
        </w:rPr>
        <w:t xml:space="preserve">is </w:t>
      </w:r>
      <w:r w:rsidR="007B5755" w:rsidRPr="00332C8B">
        <w:rPr>
          <w:rFonts w:ascii="Calibri" w:hAnsi="Calibri" w:cs="Calibri"/>
          <w:color w:val="000000"/>
          <w:sz w:val="22"/>
          <w:szCs w:val="22"/>
        </w:rPr>
        <w:t xml:space="preserve">difficult to generalise findings to populations </w:t>
      </w:r>
      <w:r w:rsidR="00C05A76" w:rsidRPr="00332C8B">
        <w:rPr>
          <w:rFonts w:ascii="Calibri" w:hAnsi="Calibri" w:cs="Calibri"/>
          <w:color w:val="000000"/>
          <w:sz w:val="22"/>
          <w:szCs w:val="22"/>
        </w:rPr>
        <w:t>that may have</w:t>
      </w:r>
      <w:r w:rsidR="007B5755" w:rsidRPr="00332C8B">
        <w:rPr>
          <w:rFonts w:ascii="Calibri" w:hAnsi="Calibri" w:cs="Calibri"/>
          <w:color w:val="000000"/>
          <w:sz w:val="22"/>
          <w:szCs w:val="22"/>
        </w:rPr>
        <w:t xml:space="preserve"> significantly different complication rates</w:t>
      </w:r>
      <w:r w:rsidR="00B96EC6" w:rsidRPr="00332C8B">
        <w:rPr>
          <w:rFonts w:ascii="Calibri" w:hAnsi="Calibri" w:cs="Calibri"/>
          <w:color w:val="000000"/>
          <w:sz w:val="22"/>
          <w:szCs w:val="22"/>
        </w:rPr>
        <w:t xml:space="preserve"> </w:t>
      </w:r>
      <w:r w:rsidR="00C05A76" w:rsidRPr="00332C8B">
        <w:rPr>
          <w:rFonts w:ascii="Calibri" w:hAnsi="Calibri" w:cs="Calibri"/>
          <w:color w:val="000000"/>
          <w:sz w:val="22"/>
          <w:szCs w:val="22"/>
        </w:rPr>
        <w:t xml:space="preserve">due to underlying differences in </w:t>
      </w:r>
      <w:r w:rsidR="00E15BEF" w:rsidRPr="00332C8B">
        <w:rPr>
          <w:rFonts w:ascii="Calibri" w:hAnsi="Calibri" w:cs="Calibri"/>
          <w:color w:val="000000"/>
          <w:sz w:val="22"/>
          <w:szCs w:val="22"/>
        </w:rPr>
        <w:t>peri-operative care</w:t>
      </w:r>
      <w:r w:rsidR="00517AD1" w:rsidRPr="00332C8B">
        <w:rPr>
          <w:rFonts w:ascii="Calibri" w:hAnsi="Calibri" w:cs="Calibri"/>
          <w:color w:val="000000"/>
          <w:sz w:val="22"/>
          <w:szCs w:val="22"/>
        </w:rPr>
        <w:t>,</w:t>
      </w:r>
      <w:r w:rsidR="00C05A76" w:rsidRPr="00332C8B">
        <w:rPr>
          <w:rFonts w:ascii="Calibri" w:hAnsi="Calibri" w:cs="Calibri"/>
          <w:color w:val="000000"/>
          <w:sz w:val="22"/>
          <w:szCs w:val="22"/>
        </w:rPr>
        <w:t xml:space="preserve"> surgical expertise</w:t>
      </w:r>
      <w:r w:rsidR="00201244" w:rsidRPr="00332C8B">
        <w:rPr>
          <w:rFonts w:ascii="Calibri" w:hAnsi="Calibri" w:cs="Calibri"/>
          <w:color w:val="000000"/>
          <w:sz w:val="22"/>
          <w:szCs w:val="22"/>
        </w:rPr>
        <w:t xml:space="preserve"> </w:t>
      </w:r>
      <w:r w:rsidR="00C05A76" w:rsidRPr="00332C8B">
        <w:rPr>
          <w:rFonts w:ascii="Calibri" w:hAnsi="Calibri" w:cs="Calibri"/>
          <w:color w:val="000000"/>
          <w:sz w:val="22"/>
          <w:szCs w:val="22"/>
        </w:rPr>
        <w:t xml:space="preserve">and </w:t>
      </w:r>
      <w:r w:rsidR="00E15BEF" w:rsidRPr="00332C8B">
        <w:rPr>
          <w:rFonts w:ascii="Calibri" w:hAnsi="Calibri" w:cs="Calibri"/>
          <w:color w:val="000000"/>
          <w:sz w:val="22"/>
          <w:szCs w:val="22"/>
        </w:rPr>
        <w:t>cancer pathways</w:t>
      </w:r>
      <w:r w:rsidR="007B5755" w:rsidRPr="00332C8B">
        <w:rPr>
          <w:rFonts w:ascii="Calibri" w:hAnsi="Calibri" w:cs="Calibri"/>
          <w:color w:val="000000"/>
          <w:sz w:val="22"/>
          <w:szCs w:val="22"/>
        </w:rPr>
        <w:t>.</w:t>
      </w:r>
    </w:p>
    <w:p w14:paraId="03BF085B" w14:textId="77777777" w:rsidR="002D77FB" w:rsidRPr="00332C8B" w:rsidRDefault="002D77FB" w:rsidP="00F0414E">
      <w:pPr>
        <w:spacing w:line="480" w:lineRule="auto"/>
        <w:rPr>
          <w:rFonts w:asciiTheme="minorHAnsi" w:hAnsiTheme="minorHAnsi" w:cstheme="minorHAnsi"/>
          <w:color w:val="000000" w:themeColor="text1"/>
          <w:sz w:val="22"/>
          <w:szCs w:val="22"/>
        </w:rPr>
      </w:pPr>
    </w:p>
    <w:p w14:paraId="52B03864" w14:textId="60EF6ADD" w:rsidR="006917D2" w:rsidRPr="00332C8B" w:rsidRDefault="00407075" w:rsidP="00F0414E">
      <w:pPr>
        <w:spacing w:line="480" w:lineRule="auto"/>
        <w:rPr>
          <w:rFonts w:ascii="Calibri" w:hAnsi="Calibri" w:cs="Calibri"/>
          <w:color w:val="000000"/>
          <w:sz w:val="22"/>
          <w:szCs w:val="22"/>
        </w:rPr>
      </w:pPr>
      <w:r w:rsidRPr="00332C8B">
        <w:rPr>
          <w:rFonts w:asciiTheme="minorHAnsi" w:hAnsiTheme="minorHAnsi" w:cstheme="minorHAnsi"/>
          <w:color w:val="000000" w:themeColor="text1"/>
          <w:sz w:val="22"/>
          <w:szCs w:val="22"/>
        </w:rPr>
        <w:t xml:space="preserve">Is it </w:t>
      </w:r>
      <w:r w:rsidR="00566706" w:rsidRPr="00332C8B">
        <w:rPr>
          <w:rFonts w:asciiTheme="minorHAnsi" w:hAnsiTheme="minorHAnsi" w:cstheme="minorHAnsi"/>
          <w:color w:val="000000" w:themeColor="text1"/>
          <w:sz w:val="22"/>
          <w:szCs w:val="22"/>
        </w:rPr>
        <w:t>possible that p</w:t>
      </w:r>
      <w:r w:rsidR="006917D2" w:rsidRPr="00332C8B">
        <w:rPr>
          <w:rFonts w:asciiTheme="minorHAnsi" w:hAnsiTheme="minorHAnsi" w:cstheme="minorHAnsi"/>
          <w:color w:val="000000" w:themeColor="text1"/>
          <w:sz w:val="22"/>
          <w:szCs w:val="22"/>
        </w:rPr>
        <w:t xml:space="preserve">hase angle </w:t>
      </w:r>
      <w:r w:rsidR="00362892" w:rsidRPr="00332C8B">
        <w:rPr>
          <w:rFonts w:asciiTheme="minorHAnsi" w:hAnsiTheme="minorHAnsi" w:cstheme="minorHAnsi"/>
          <w:color w:val="000000" w:themeColor="text1"/>
          <w:sz w:val="22"/>
          <w:szCs w:val="22"/>
        </w:rPr>
        <w:t>offers</w:t>
      </w:r>
      <w:r w:rsidR="006917D2" w:rsidRPr="00332C8B">
        <w:rPr>
          <w:rFonts w:asciiTheme="minorHAnsi" w:hAnsiTheme="minorHAnsi" w:cstheme="minorHAnsi"/>
          <w:color w:val="000000" w:themeColor="text1"/>
          <w:sz w:val="22"/>
          <w:szCs w:val="22"/>
        </w:rPr>
        <w:t xml:space="preserve"> </w:t>
      </w:r>
      <w:r w:rsidR="00362892" w:rsidRPr="00332C8B">
        <w:rPr>
          <w:rFonts w:asciiTheme="minorHAnsi" w:hAnsiTheme="minorHAnsi" w:cstheme="minorHAnsi"/>
          <w:color w:val="000000" w:themeColor="text1"/>
          <w:sz w:val="22"/>
          <w:szCs w:val="22"/>
        </w:rPr>
        <w:t>a different vantage point from current measures</w:t>
      </w:r>
      <w:r w:rsidRPr="00332C8B">
        <w:rPr>
          <w:rFonts w:asciiTheme="minorHAnsi" w:hAnsiTheme="minorHAnsi" w:cstheme="minorHAnsi"/>
          <w:color w:val="000000" w:themeColor="text1"/>
          <w:sz w:val="22"/>
          <w:szCs w:val="22"/>
        </w:rPr>
        <w:t>?</w:t>
      </w:r>
      <w:r w:rsidR="006917D2" w:rsidRPr="00332C8B">
        <w:rPr>
          <w:rFonts w:asciiTheme="minorHAnsi" w:hAnsiTheme="minorHAnsi" w:cstheme="minorHAnsi"/>
          <w:color w:val="000000" w:themeColor="text1"/>
          <w:sz w:val="22"/>
          <w:szCs w:val="22"/>
        </w:rPr>
        <w:t xml:space="preserve"> Whilst the severely malnourished patient is usually </w:t>
      </w:r>
      <w:r w:rsidR="006917D2" w:rsidRPr="00332C8B">
        <w:rPr>
          <w:rFonts w:ascii="Calibri" w:hAnsi="Calibri" w:cs="Calibri"/>
          <w:color w:val="000000"/>
          <w:sz w:val="22"/>
          <w:szCs w:val="22"/>
        </w:rPr>
        <w:t xml:space="preserve">apparent following </w:t>
      </w:r>
      <w:r w:rsidR="00566706" w:rsidRPr="00332C8B">
        <w:rPr>
          <w:rFonts w:ascii="Calibri" w:hAnsi="Calibri" w:cs="Calibri"/>
          <w:color w:val="000000"/>
          <w:sz w:val="22"/>
          <w:szCs w:val="22"/>
        </w:rPr>
        <w:t>screening</w:t>
      </w:r>
      <w:r w:rsidR="00C865FF" w:rsidRPr="00332C8B">
        <w:rPr>
          <w:rFonts w:ascii="Calibri" w:hAnsi="Calibri" w:cs="Calibri"/>
          <w:color w:val="000000"/>
          <w:sz w:val="22"/>
          <w:szCs w:val="22"/>
        </w:rPr>
        <w:t>, diet</w:t>
      </w:r>
      <w:r w:rsidR="00CB6DA6">
        <w:rPr>
          <w:rFonts w:ascii="Calibri" w:hAnsi="Calibri" w:cs="Calibri"/>
          <w:color w:val="000000"/>
          <w:sz w:val="22"/>
          <w:szCs w:val="22"/>
        </w:rPr>
        <w:t>et</w:t>
      </w:r>
      <w:r w:rsidR="00C865FF" w:rsidRPr="00332C8B">
        <w:rPr>
          <w:rFonts w:ascii="Calibri" w:hAnsi="Calibri" w:cs="Calibri"/>
          <w:color w:val="000000"/>
          <w:sz w:val="22"/>
          <w:szCs w:val="22"/>
        </w:rPr>
        <w:t xml:space="preserve">ic assessment or </w:t>
      </w:r>
      <w:r w:rsidR="00362892" w:rsidRPr="00332C8B">
        <w:rPr>
          <w:rFonts w:ascii="Calibri" w:hAnsi="Calibri" w:cs="Calibri"/>
          <w:color w:val="000000"/>
          <w:sz w:val="22"/>
          <w:szCs w:val="22"/>
        </w:rPr>
        <w:t>bedside examination</w:t>
      </w:r>
      <w:r w:rsidR="00C865FF" w:rsidRPr="00332C8B">
        <w:rPr>
          <w:rFonts w:ascii="Calibri" w:hAnsi="Calibri" w:cs="Calibri"/>
          <w:color w:val="000000"/>
          <w:sz w:val="22"/>
          <w:szCs w:val="22"/>
        </w:rPr>
        <w:t xml:space="preserve"> it </w:t>
      </w:r>
      <w:r w:rsidR="00566706" w:rsidRPr="00332C8B">
        <w:rPr>
          <w:rFonts w:ascii="Calibri" w:hAnsi="Calibri" w:cs="Calibri"/>
          <w:color w:val="000000"/>
          <w:sz w:val="22"/>
          <w:szCs w:val="22"/>
        </w:rPr>
        <w:t xml:space="preserve">may be that phase angle identifies </w:t>
      </w:r>
      <w:r w:rsidR="00C865FF" w:rsidRPr="00332C8B">
        <w:rPr>
          <w:rFonts w:ascii="Calibri" w:hAnsi="Calibri" w:cs="Calibri"/>
          <w:color w:val="000000"/>
          <w:sz w:val="22"/>
          <w:szCs w:val="22"/>
        </w:rPr>
        <w:t xml:space="preserve">a sub-set of patients who </w:t>
      </w:r>
      <w:r w:rsidR="00362892" w:rsidRPr="00332C8B">
        <w:rPr>
          <w:rFonts w:ascii="Calibri" w:hAnsi="Calibri" w:cs="Calibri"/>
          <w:color w:val="000000"/>
          <w:sz w:val="22"/>
          <w:szCs w:val="22"/>
        </w:rPr>
        <w:t>do no</w:t>
      </w:r>
      <w:r w:rsidR="00C62F8F" w:rsidRPr="00332C8B">
        <w:rPr>
          <w:rFonts w:ascii="Calibri" w:hAnsi="Calibri" w:cs="Calibri"/>
          <w:color w:val="000000"/>
          <w:sz w:val="22"/>
          <w:szCs w:val="22"/>
        </w:rPr>
        <w:t>t</w:t>
      </w:r>
      <w:r w:rsidR="00362892" w:rsidRPr="00332C8B">
        <w:rPr>
          <w:rFonts w:ascii="Calibri" w:hAnsi="Calibri" w:cs="Calibri"/>
          <w:color w:val="000000"/>
          <w:sz w:val="22"/>
          <w:szCs w:val="22"/>
        </w:rPr>
        <w:t xml:space="preserve"> appear overtly malnourished</w:t>
      </w:r>
      <w:r w:rsidR="00C865FF" w:rsidRPr="00332C8B">
        <w:rPr>
          <w:rFonts w:ascii="Calibri" w:hAnsi="Calibri" w:cs="Calibri"/>
          <w:color w:val="000000"/>
          <w:sz w:val="22"/>
          <w:szCs w:val="22"/>
        </w:rPr>
        <w:t xml:space="preserve"> but have</w:t>
      </w:r>
      <w:r w:rsidR="00C62F8F" w:rsidRPr="00332C8B">
        <w:rPr>
          <w:rFonts w:ascii="Calibri" w:hAnsi="Calibri" w:cs="Calibri"/>
          <w:color w:val="000000"/>
          <w:sz w:val="22"/>
          <w:szCs w:val="22"/>
        </w:rPr>
        <w:t xml:space="preserve"> underlying</w:t>
      </w:r>
      <w:r w:rsidR="00C865FF" w:rsidRPr="00332C8B">
        <w:rPr>
          <w:rFonts w:ascii="Calibri" w:hAnsi="Calibri" w:cs="Calibri"/>
          <w:color w:val="000000"/>
          <w:sz w:val="22"/>
          <w:szCs w:val="22"/>
        </w:rPr>
        <w:t xml:space="preserve"> metabolic </w:t>
      </w:r>
      <w:r w:rsidR="00C62F8F" w:rsidRPr="00332C8B">
        <w:rPr>
          <w:rFonts w:ascii="Calibri" w:hAnsi="Calibri" w:cs="Calibri"/>
          <w:color w:val="000000"/>
          <w:sz w:val="22"/>
          <w:szCs w:val="22"/>
        </w:rPr>
        <w:t xml:space="preserve">derangement and </w:t>
      </w:r>
      <w:r w:rsidR="000F6631" w:rsidRPr="00332C8B">
        <w:rPr>
          <w:rFonts w:ascii="Calibri" w:hAnsi="Calibri" w:cs="Calibri"/>
          <w:color w:val="000000"/>
          <w:sz w:val="22"/>
          <w:szCs w:val="22"/>
        </w:rPr>
        <w:t xml:space="preserve">are </w:t>
      </w:r>
      <w:r w:rsidR="00C62F8F" w:rsidRPr="00332C8B">
        <w:rPr>
          <w:rFonts w:ascii="Calibri" w:hAnsi="Calibri" w:cs="Calibri"/>
          <w:color w:val="000000"/>
          <w:sz w:val="22"/>
          <w:szCs w:val="22"/>
        </w:rPr>
        <w:t>at risk of poor outcome</w:t>
      </w:r>
      <w:r w:rsidR="00C865FF" w:rsidRPr="00332C8B">
        <w:rPr>
          <w:rFonts w:ascii="Calibri" w:hAnsi="Calibri" w:cs="Calibri"/>
          <w:color w:val="000000"/>
          <w:sz w:val="22"/>
          <w:szCs w:val="22"/>
        </w:rPr>
        <w:t>.</w:t>
      </w:r>
      <w:r w:rsidR="003C37F5" w:rsidRPr="00332C8B">
        <w:rPr>
          <w:rFonts w:ascii="Calibri" w:hAnsi="Calibri" w:cs="Calibri"/>
          <w:color w:val="000000"/>
          <w:sz w:val="22"/>
          <w:szCs w:val="22"/>
        </w:rPr>
        <w:t xml:space="preserve"> Phase angle has been consistently shown to be an indicator of risk of</w:t>
      </w:r>
      <w:r w:rsidR="001544AB" w:rsidRPr="00332C8B">
        <w:rPr>
          <w:rFonts w:ascii="Calibri" w:hAnsi="Calibri" w:cs="Calibri"/>
          <w:color w:val="000000"/>
          <w:sz w:val="22"/>
          <w:szCs w:val="22"/>
        </w:rPr>
        <w:t xml:space="preserve"> </w:t>
      </w:r>
      <w:r w:rsidR="003C37F5" w:rsidRPr="00332C8B">
        <w:rPr>
          <w:rFonts w:ascii="Calibri" w:hAnsi="Calibri" w:cs="Calibri"/>
          <w:color w:val="000000"/>
          <w:sz w:val="22"/>
          <w:szCs w:val="22"/>
        </w:rPr>
        <w:t>mortality</w:t>
      </w:r>
      <w:r w:rsidR="003662F1" w:rsidRPr="00332C8B">
        <w:rPr>
          <w:rFonts w:ascii="Calibri" w:hAnsi="Calibri" w:cs="Calibri"/>
          <w:color w:val="000000"/>
          <w:sz w:val="22"/>
          <w:szCs w:val="22"/>
        </w:rPr>
        <w:fldChar w:fldCharType="begin" w:fldLock="1"/>
      </w:r>
      <w:r w:rsidR="00F66CFF" w:rsidRPr="00332C8B">
        <w:rPr>
          <w:rFonts w:ascii="Calibri" w:hAnsi="Calibri" w:cs="Calibri"/>
          <w:color w:val="000000"/>
          <w:sz w:val="22"/>
          <w:szCs w:val="22"/>
        </w:rPr>
        <w:instrText>ADDIN CSL_CITATION {"citationItems":[{"id":"ITEM-1","itemData":{"DOI":"10.1038/s41430-018-0159-1","ISSN":"14765640","abstract":"BACKGROUND/OBJECTIVES The phase angle, expressed through bioelectrical impedance, has been studied as a prognostic marker in several health conditions. As this issue is still conflicting, the question whether this parameter correlates with mortality in the most diverse clinical situations remains. Therefore, this study aimed to evaluate the relationship between phase angle and mortality through a systematic review of the literature. SUBJECTS/METHODS This research was conducted in electronic databases (Pubmed, Embase, Cochrane, Lilacs, Scielo, e Scopus), and included studies that had phase angle as a variable of interest and mortality/survival as an outcome. Data were extracted independently by two reviewers and disagreements were assessed by a third reviewer. RESULTS Forty-eight of 455 papers were assessed and an amount of 42 showed a correlation between phase angle and mortality. CONCLUSIONS Phase angle seems to be a good indicator for mortality in many clinical situations and can be used in screening individuals prone to this outcome.","author":[{"dropping-particle":"","family":"Garlini","given":"Luíza M.","non-dropping-particle":"","parse-names":false,"suffix":""},{"dropping-particle":"","family":"Alves","given":"Fernanda D.","non-dropping-particle":"","parse-names":false,"suffix":""},{"dropping-particle":"","family":"Ceretta","given":"Luciane B.","non-dropping-particle":"","parse-names":false,"suffix":""},{"dropping-particle":"","family":"Perry","given":"Ingrid S.","non-dropping-particle":"","parse-names":false,"suffix":""},{"dropping-particle":"","family":"Souza","given":"Gabriela C.","non-dropping-particle":"","parse-names":false,"suffix":""},{"dropping-particle":"","family":"Clausell","given":"Nadine O.","non-dropping-particle":"","parse-names":false,"suffix":""}],"container-title":"European Journal of Clinical Nutrition","id":"ITEM-1","issued":{"date-parts":[["2019"]]},"title":"Phase angle and mortality: a systematic review","type":"article"},"uris":["http://www.mendeley.com/documents/?uuid=410e0c64-2179-44af-b44b-1c3ecbb8d9f7"]}],"mendeley":{"formattedCitation":"[24]","plainTextFormattedCitation":"[24]","previouslyFormattedCitation":"[25]"},"properties":{"noteIndex":0},"schema":"https://github.com/citation-style-language/schema/raw/master/csl-citation.json"}</w:instrText>
      </w:r>
      <w:r w:rsidR="003662F1" w:rsidRPr="00332C8B">
        <w:rPr>
          <w:rFonts w:ascii="Calibri" w:hAnsi="Calibri" w:cs="Calibri"/>
          <w:color w:val="000000"/>
          <w:sz w:val="22"/>
          <w:szCs w:val="22"/>
        </w:rPr>
        <w:fldChar w:fldCharType="separate"/>
      </w:r>
      <w:r w:rsidR="00F66CFF" w:rsidRPr="00332C8B">
        <w:rPr>
          <w:rFonts w:ascii="Calibri" w:hAnsi="Calibri" w:cs="Calibri"/>
          <w:noProof/>
          <w:color w:val="000000"/>
          <w:sz w:val="22"/>
          <w:szCs w:val="22"/>
        </w:rPr>
        <w:t>[24]</w:t>
      </w:r>
      <w:r w:rsidR="003662F1" w:rsidRPr="00332C8B">
        <w:rPr>
          <w:rFonts w:ascii="Calibri" w:hAnsi="Calibri" w:cs="Calibri"/>
          <w:color w:val="000000"/>
          <w:sz w:val="22"/>
          <w:szCs w:val="22"/>
        </w:rPr>
        <w:fldChar w:fldCharType="end"/>
      </w:r>
      <w:r w:rsidR="00B96EC6" w:rsidRPr="00332C8B">
        <w:rPr>
          <w:rFonts w:ascii="Calibri" w:hAnsi="Calibri" w:cs="Calibri"/>
          <w:color w:val="000000"/>
          <w:sz w:val="22"/>
          <w:szCs w:val="22"/>
        </w:rPr>
        <w:t xml:space="preserve"> in</w:t>
      </w:r>
      <w:r w:rsidR="001544AB" w:rsidRPr="00332C8B">
        <w:rPr>
          <w:rFonts w:ascii="Calibri" w:hAnsi="Calibri" w:cs="Calibri"/>
          <w:color w:val="000000"/>
          <w:sz w:val="22"/>
          <w:szCs w:val="22"/>
        </w:rPr>
        <w:t xml:space="preserve"> </w:t>
      </w:r>
      <w:r w:rsidR="003C37F5" w:rsidRPr="00332C8B">
        <w:rPr>
          <w:rFonts w:ascii="Calibri" w:hAnsi="Calibri" w:cs="Calibri"/>
          <w:color w:val="000000"/>
          <w:sz w:val="22"/>
          <w:szCs w:val="22"/>
        </w:rPr>
        <w:t>those patients with advanced cancer</w:t>
      </w:r>
      <w:r w:rsidR="003662F1" w:rsidRPr="00332C8B">
        <w:rPr>
          <w:rFonts w:ascii="Calibri" w:hAnsi="Calibri" w:cs="Calibri"/>
          <w:color w:val="000000"/>
          <w:sz w:val="22"/>
          <w:szCs w:val="22"/>
        </w:rPr>
        <w:fldChar w:fldCharType="begin" w:fldLock="1"/>
      </w:r>
      <w:r w:rsidR="00F66CFF" w:rsidRPr="00332C8B">
        <w:rPr>
          <w:rFonts w:ascii="Calibri" w:hAnsi="Calibri" w:cs="Calibri"/>
          <w:color w:val="000000"/>
          <w:sz w:val="22"/>
          <w:szCs w:val="22"/>
        </w:rPr>
        <w:instrText>ADDIN CSL_CITATION {"citationItems":[{"id":"ITEM-1","itemData":{"DOI":"https://dx.doi.org/10.1002/ncp.10100","ISSN":"1941-2452","abstract":"Phase angle (PA) is a ratio between the reactance and resistance obtained by bioelectric impedance analysis and has been interpreted as a cell membrane integrity indicator and a predictor of total body cell mass. A low PA may suggest deterioration of the cell membrane, which in advanced cancer patients may result in a reduced overall survival (OS). This systematic review sought to investigate the current evidence regarding whether there is an association between PA and OS in patients with advanced cancer (ie, metastatic disease). The search was conducted on electronic databases in August 2017. A total of 34 articles were identified in the initial literature search. Nine studies reporting on 1496 patients were deemed eligible according to our inclusion criteria. PA data were analyzed as continuous variables or according to different cutoffs, under a frequency of 50 Khz. Low PA was associated with worse nutrition status evaluated by body mass index, serum albumin level, transferrin, and fat-free mass. The median OS of the included papers varied from 25.5-330 days, and all studies analyzed showed a significant association between PA and OS, in that patients with low PA had worse OS. Future studies are necessary to justify the use of PA in therapeutic decisions for this population and to evaluate whether nutrition status can influence the association between PA and survival. Copyright © 2018 American Society for Parenteral and Enteral Nutrition.","author":[{"dropping-particle":"","family":"Pereira","given":"Mayane Marinho Esteves","non-dropping-particle":"","parse-names":false,"suffix":""},{"dropping-particle":"","family":"Queiroz","given":"Mariana Dos Santos Campello","non-dropping-particle":"","parse-names":false,"suffix":""},{"dropping-particle":"","family":"Albuquerque","given":"Nathalia Masiero Cavalcanti","non-dropping-particle":"de","parse-names":false,"suffix":""},{"dropping-particle":"","family":"Rodrigues","given":"Juliana","non-dropping-particle":"","parse-names":false,"suffix":""},{"dropping-particle":"","family":"Wiegert","given":"Emanuelly Varea Maria","non-dropping-particle":"","parse-names":false,"suffix":""},{"dropping-particle":"","family":"Calixto-Lima","given":"Larissa","non-dropping-particle":"","parse-names":false,"suffix":""},{"dropping-particle":"","family":"Oliveira","given":"Livia Costa","non-dropping-particle":"de","parse-names":false,"suffix":""}],"container-title":"Nutrition in clinical practice : official publication of the American Society for Parenteral and Enteral Nutrition","id":"ITEM-1","issue":"6","issued":{"date-parts":[["2018"]]},"page":"813-824","publisher-place":"United States","title":"The Prognostic Role of Phase Angle in Advanced Cancer Patients: A Systematic Review.","type":"article-journal","volume":"33"},"uris":["http://www.mendeley.com/documents/?uuid=044e1c21-1da9-425d-b124-f49415f4a5f6"]}],"mendeley":{"formattedCitation":"[52]","plainTextFormattedCitation":"[52]","previouslyFormattedCitation":"[53]"},"properties":{"noteIndex":0},"schema":"https://github.com/citation-style-language/schema/raw/master/csl-citation.json"}</w:instrText>
      </w:r>
      <w:r w:rsidR="003662F1" w:rsidRPr="00332C8B">
        <w:rPr>
          <w:rFonts w:ascii="Calibri" w:hAnsi="Calibri" w:cs="Calibri"/>
          <w:color w:val="000000"/>
          <w:sz w:val="22"/>
          <w:szCs w:val="22"/>
        </w:rPr>
        <w:fldChar w:fldCharType="separate"/>
      </w:r>
      <w:r w:rsidR="00F66CFF" w:rsidRPr="00332C8B">
        <w:rPr>
          <w:rFonts w:ascii="Calibri" w:hAnsi="Calibri" w:cs="Calibri"/>
          <w:noProof/>
          <w:color w:val="000000"/>
          <w:sz w:val="22"/>
          <w:szCs w:val="22"/>
        </w:rPr>
        <w:t>[52]</w:t>
      </w:r>
      <w:r w:rsidR="003662F1" w:rsidRPr="00332C8B">
        <w:rPr>
          <w:rFonts w:ascii="Calibri" w:hAnsi="Calibri" w:cs="Calibri"/>
          <w:color w:val="000000"/>
          <w:sz w:val="22"/>
          <w:szCs w:val="22"/>
        </w:rPr>
        <w:fldChar w:fldCharType="end"/>
      </w:r>
      <w:r w:rsidR="001544AB" w:rsidRPr="00332C8B">
        <w:rPr>
          <w:rFonts w:ascii="Calibri" w:hAnsi="Calibri" w:cs="Calibri"/>
          <w:color w:val="000000"/>
          <w:sz w:val="22"/>
          <w:szCs w:val="22"/>
        </w:rPr>
        <w:t xml:space="preserve"> </w:t>
      </w:r>
      <w:r w:rsidR="00362892" w:rsidRPr="00332C8B">
        <w:rPr>
          <w:rFonts w:ascii="Calibri" w:hAnsi="Calibri" w:cs="Calibri"/>
          <w:color w:val="000000"/>
          <w:sz w:val="22"/>
          <w:szCs w:val="22"/>
        </w:rPr>
        <w:t>and, relevant to this review,</w:t>
      </w:r>
      <w:r w:rsidR="001544AB" w:rsidRPr="00332C8B">
        <w:rPr>
          <w:rFonts w:ascii="Calibri" w:hAnsi="Calibri" w:cs="Calibri"/>
          <w:color w:val="000000"/>
          <w:sz w:val="22"/>
          <w:szCs w:val="22"/>
        </w:rPr>
        <w:t xml:space="preserve"> those with pathology amenable to surgical intervention</w:t>
      </w:r>
      <w:r w:rsidR="003662F1" w:rsidRPr="00332C8B">
        <w:rPr>
          <w:rFonts w:ascii="Calibri" w:hAnsi="Calibri" w:cs="Calibri"/>
          <w:color w:val="000000"/>
          <w:sz w:val="22"/>
          <w:szCs w:val="22"/>
        </w:rPr>
        <w:fldChar w:fldCharType="begin" w:fldLock="1"/>
      </w:r>
      <w:r w:rsidR="00F66CFF" w:rsidRPr="00332C8B">
        <w:rPr>
          <w:rFonts w:ascii="Calibri" w:hAnsi="Calibri" w:cs="Calibri"/>
          <w:color w:val="000000"/>
          <w:sz w:val="22"/>
          <w:szCs w:val="22"/>
        </w:rPr>
        <w:instrText>ADDIN CSL_CITATION {"citationItems":[{"id":"ITEM-1","itemData":{"DOI":"http://dx.doi.org/10.1177/0884533617706894","ISSN":"0884-5336","abstract":"Background: Aging patients with cancer have a higher risk of mortality and treatment-associated morbidity than younger patients. Nutrition status may play an important role in cancer mortality. We aimed to evaluate the survival time of elderly patients with colorectal cancer and its association with body mass index (BMI), the patient-generated subjective global assessment (PG-SGA), and phase angle (PA). Materials and Methods: BMI, PG-SGA, and PA were determined for all patients (n = 250) at first assessment. Results: Seventy-one (28.4%) patients were in active oncologic treatment (group 1) and 179 (71.6%) were in remission (group 2). At the time of the analysis, 73 (29.2%) patients had died and 177 (70.8%) were censored. The mean (standard deviation) age was 70.9 (7.49) years; 17.2% were undernourished, 56% normal weight, and 26.8% were overweight. According to the PG-SGA, 35.2% of patients needed some nutrition intervention and 4.4% needed it urgently. The mean PA was 4.94 +/- 1degree. PG-SGA, tumor stage, and PA differed significantly (P &lt;.001) between the groups; BMI did not (P =.459). Severe malnutrition (PG-SGA C), compared with PG-SGA A, was associated with a relative hazard of death of 12.04 (95% confidence interval [CI], 3.43-42.19, P &lt;.001). PA &gt;5degree was associated with better prognosis: a relative hazard of 0.456 (95% CI, 0.263-0.792; P &lt;.005). Conclusion: Among elderly patients with colorectal cancer, PA and PG-SGA were prognosis factors. PA &gt;5degree was associated with best survival and PG-SGA C with worst survival.Copyright © 2017 The American Society for Parenteral and Enteral Nutrition.","author":[{"dropping-particle":"","family":"K.","given":"Barao","non-dropping-particle":"","parse-names":false,"suffix":""},{"dropping-particle":"","family":"M.","given":"Abe Vicente Cavagnari","non-dropping-particle":"","parse-names":false,"suffix":""},{"dropping-particle":"","family":"P.","given":"Silva Fucuta","non-dropping-particle":"","parse-names":false,"suffix":""}],"container-title":"Nutrition in Clinical Practice","id":"ITEM-1","issue":"5","issued":{"date-parts":[["2017"]]},"page":"658-663","publisher":"SAGE Publications Inc. (E-mail: claims@sagepub.com)","publisher-place":"K. Barao, Department of Gastrointestinal Oncology, Universidade Federal de Sao Paulo (Unifesp), Rua Botucatu 740-2degreeandar, Sao Paulo, SP 04023-900, Brazil. E-mail: katiabarao@hotmail.com","title":"Association between Nutrition Status and Survival in Elderly Patients with Colorectal Cancer","type":"article-journal","volume":"32"},"uris":["http://www.mendeley.com/documents/?uuid=83c49b1e-7f55-4f64-a733-456e6b422bc4"]}],"mendeley":{"formattedCitation":"[53]","plainTextFormattedCitation":"[53]","previouslyFormattedCitation":"[54]"},"properties":{"noteIndex":0},"schema":"https://github.com/citation-style-language/schema/raw/master/csl-citation.json"}</w:instrText>
      </w:r>
      <w:r w:rsidR="003662F1" w:rsidRPr="00332C8B">
        <w:rPr>
          <w:rFonts w:ascii="Calibri" w:hAnsi="Calibri" w:cs="Calibri"/>
          <w:color w:val="000000"/>
          <w:sz w:val="22"/>
          <w:szCs w:val="22"/>
        </w:rPr>
        <w:fldChar w:fldCharType="separate"/>
      </w:r>
      <w:r w:rsidR="00F66CFF" w:rsidRPr="00332C8B">
        <w:rPr>
          <w:rFonts w:ascii="Calibri" w:hAnsi="Calibri" w:cs="Calibri"/>
          <w:noProof/>
          <w:color w:val="000000"/>
          <w:sz w:val="22"/>
          <w:szCs w:val="22"/>
        </w:rPr>
        <w:t>[53]</w:t>
      </w:r>
      <w:r w:rsidR="003662F1" w:rsidRPr="00332C8B">
        <w:rPr>
          <w:rFonts w:ascii="Calibri" w:hAnsi="Calibri" w:cs="Calibri"/>
          <w:color w:val="000000"/>
          <w:sz w:val="22"/>
          <w:szCs w:val="22"/>
        </w:rPr>
        <w:fldChar w:fldCharType="end"/>
      </w:r>
      <w:r w:rsidR="001544AB" w:rsidRPr="00332C8B">
        <w:rPr>
          <w:rFonts w:ascii="Calibri" w:hAnsi="Calibri" w:cs="Calibri"/>
          <w:color w:val="000000"/>
          <w:sz w:val="22"/>
          <w:szCs w:val="22"/>
          <w:vertAlign w:val="superscript"/>
        </w:rPr>
        <w:t>,</w:t>
      </w:r>
      <w:r w:rsidR="003662F1" w:rsidRPr="00332C8B">
        <w:rPr>
          <w:rFonts w:ascii="Calibri" w:hAnsi="Calibri" w:cs="Calibri"/>
          <w:color w:val="000000"/>
          <w:sz w:val="22"/>
          <w:szCs w:val="22"/>
          <w:vertAlign w:val="superscript"/>
        </w:rPr>
        <w:fldChar w:fldCharType="begin" w:fldLock="1"/>
      </w:r>
      <w:r w:rsidR="00F66CFF" w:rsidRPr="00332C8B">
        <w:rPr>
          <w:rFonts w:ascii="Calibri" w:hAnsi="Calibri" w:cs="Calibri"/>
          <w:color w:val="000000"/>
          <w:sz w:val="22"/>
          <w:szCs w:val="22"/>
          <w:vertAlign w:val="superscript"/>
        </w:rPr>
        <w:instrText>ADDIN CSL_CITATION {"citationItems":[{"id":"ITEM-1","itemData":{"DOI":"https://dx.doi.org/10.1186/1471-2407-8-249","ISSN":"1471-2407","abstract":"BACKGROUND: Bioelectrical impedance analysis (BIA) is an easy-to-use, non-invasive, and reproducible technique to evaluate changes in body composition and nutritional status. Phase angle, determined by bioelectrical impedance analysis (BIA), detects changes in tissue electrical properties and has been hypothesized to be a marker of malnutrition. Since malnutrition can be found in patients with breast cancer, we investigated the prognostic role of phase angle in breast cancer., METHODS: We evaluated a case series of 259 histologically confirmed breast cancer patients treated at Cancer Treatment Centers of America. Kaplan Meier method was used to calculate survival. Cox proportional hazard models were constructed to evaluate the prognostic effect of phase angle independent of stage at diagnosis and prior treatment history. Survival was calculated as the time interval between the date of first patient visit to the hospital and the date of death from any cause or date of last contact/last known to be alive., RESULTS: Of 259 patients, 81 were newly diagnosed at our hospital while 178 had received prior treatment elsewhere. 56 had stage I disease at diagnosis, 110 had stage II, 46 had stage III and 34 had stage IV. The median age at diagnosis was 49 years (range 25-74 years). The median phase angle score was 5.6 (range = 1.5-8.9). Patients with phase angle  5.6 had 49.9 months (95% CI: 35.6 to 77.8; n = 130); the difference being statistically significant (p = 0.031). Multivariate Cox modeling, after adjusting for stage at diagnosis and prior treatment history found that every one unit increase in phase angle score was associated with a relative risk of 0.82 (95% CI: 0.68 to 0.99, P = 0.041). Stage at diagnosis (p = 0.006) and prior treatment history (p = 0.001) were also predictive of survival independent of each other and phase angle., CONCLUSION: This study demonstrates that BIA-derived phase angle is an independent prognostic indicator in patients with breast cancer. Nutritional interventions targeted at improving phase angle could potentially lead to an improved survival in patients with breast cancer.","author":[{"dropping-particle":"","family":"Gupta","given":"Digant","non-dropping-particle":"","parse-names":false,"suffix":""},{"dropping-particle":"","family":"Lammersfeld","given":"Carolyn A","non-dropping-particle":"","parse-names":false,"suffix":""},{"dropping-particle":"","family":"Vashi","given":"Pankaj G","non-dropping-particle":"","parse-names":false,"suffix":""},{"dropping-particle":"","family":"King","given":"Jessica","non-dropping-particle":"","parse-names":false,"suffix":""},{"dropping-particle":"","family":"Dahlk","given":"Sadie L","non-dropping-particle":"","parse-names":false,"suffix":""},{"dropping-particle":"","family":"Grutsch","given":"James F","non-dropping-particle":"","parse-names":false,"suffix":""},{"dropping-particle":"","family":"Lis","given":"Christopher G","non-dropping-particle":"","parse-names":false,"suffix":""}],"container-title":"BMC cancer","id":"ITEM-1","issued":{"date-parts":[["2008"]]},"page":"249","publisher-place":"England","title":"Bioelectrical impedance phase angle as a prognostic indicator in breast cancer.","type":"article-journal","volume":"8"},"uris":["http://www.mendeley.com/documents/?uuid=c684a4cd-29f0-4292-b3b0-4b2d19e67a6e"]}],"mendeley":{"formattedCitation":"[54]","plainTextFormattedCitation":"[54]","previouslyFormattedCitation":"[56]"},"properties":{"noteIndex":0},"schema":"https://github.com/citation-style-language/schema/raw/master/csl-citation.json"}</w:instrText>
      </w:r>
      <w:r w:rsidR="003662F1" w:rsidRPr="00332C8B">
        <w:rPr>
          <w:rFonts w:ascii="Calibri" w:hAnsi="Calibri" w:cs="Calibri"/>
          <w:color w:val="000000"/>
          <w:sz w:val="22"/>
          <w:szCs w:val="22"/>
          <w:vertAlign w:val="superscript"/>
        </w:rPr>
        <w:fldChar w:fldCharType="separate"/>
      </w:r>
      <w:r w:rsidR="00F66CFF" w:rsidRPr="00332C8B">
        <w:rPr>
          <w:rFonts w:ascii="Calibri" w:hAnsi="Calibri" w:cs="Calibri"/>
          <w:noProof/>
          <w:color w:val="000000"/>
          <w:sz w:val="22"/>
          <w:szCs w:val="22"/>
        </w:rPr>
        <w:t>[54]</w:t>
      </w:r>
      <w:r w:rsidR="003662F1" w:rsidRPr="00332C8B">
        <w:rPr>
          <w:rFonts w:ascii="Calibri" w:hAnsi="Calibri" w:cs="Calibri"/>
          <w:color w:val="000000"/>
          <w:sz w:val="22"/>
          <w:szCs w:val="22"/>
          <w:vertAlign w:val="superscript"/>
        </w:rPr>
        <w:fldChar w:fldCharType="end"/>
      </w:r>
      <w:r w:rsidR="00C62F8F" w:rsidRPr="00332C8B">
        <w:rPr>
          <w:rFonts w:ascii="Calibri" w:hAnsi="Calibri" w:cs="Calibri"/>
          <w:color w:val="000000"/>
          <w:sz w:val="22"/>
          <w:szCs w:val="22"/>
          <w:vertAlign w:val="superscript"/>
        </w:rPr>
        <w:t>,</w:t>
      </w:r>
      <w:r w:rsidR="003662F1" w:rsidRPr="00332C8B">
        <w:rPr>
          <w:rFonts w:ascii="Calibri" w:hAnsi="Calibri" w:cs="Calibri"/>
          <w:color w:val="000000"/>
          <w:sz w:val="22"/>
          <w:szCs w:val="22"/>
          <w:vertAlign w:val="superscript"/>
        </w:rPr>
        <w:fldChar w:fldCharType="begin" w:fldLock="1"/>
      </w:r>
      <w:r w:rsidR="00F66CFF" w:rsidRPr="00332C8B">
        <w:rPr>
          <w:rFonts w:ascii="Calibri" w:hAnsi="Calibri" w:cs="Calibri"/>
          <w:color w:val="000000"/>
          <w:sz w:val="22"/>
          <w:szCs w:val="22"/>
          <w:vertAlign w:val="superscript"/>
        </w:rPr>
        <w:instrText>ADDIN CSL_CITATION {"citationItems":[{"id":"ITEM-1","itemData":{"DOI":"https://dx.doi.org/10.1080/01635581.2012.668744","ISSN":"1532-7914","abstract":"Early identification and treatment of nutritional deficiencies can lead to improved outcomes in the quality of life (QoL) and survival of patients with nonsmall cell lung cancer (NSCLC). Noninvasive techniques are needed to evaluate changes in body composition as part of determining nutritional status. The aim of the study was to evaluate the association of nutritional parameters in health-related quality of life (HRQL) and survival in patients with advanced NSCLC. Chemotherapy-naive patients with advanced NSCLC with good performance status Eastern Cooperative Oncology Group (ECOG) 0-2 were included prospectively in the study. We evaluated inflammatory parameters such as C-reactive protein, platelet/lymphocyte index, neutrophil/lymphocyte index, serum interleukin (IL)-6, and tumor necrosis factor-alpha, and nutritional variables such as body mass index (BMI) and serum albumin levels. Bioelectrical impedance analysis including phase angle was obtained before cisplatin-based chemotherapy was started. HRQL was assessed by application of the European Organization for Research and Treatment of Cancer Quality of Life Questionnaire (QLQ)-C30 and QLQ-LC13 instruments at baseline. Overall survival (OS) was calculated with the Kaplan-Meier method and analyzed with log-rank and Cox proportional hazard models. One hundred nineteen patients were included. Mean BMI was 24.8 +/- 4.5 kg/m(2), average weight loss of patients was 8.4%, and median phase angle was 5.8degree. Malnutrition measured by subjective global assessment (SGA), weight loss &gt;10%, BMI &gt;20 was associated with lower HRQL scales. Patients with ECOG 2, high content serum IL-6, lower phase angle, and malnutrition parameters showed lower OS; however, after multivariate analysis, only ECOG 2 [Hazard ratio (HR), 2.7; 95% confidence interval (95% CI), 1.5-4.7; P = 0.001], phase angle &lt;=5.8degree (HR = 3.02; 95% CI: 1.2-7.11; P = 0.011), and SGA (HR = 2.7; 95% CI, 1.31-5.5; P = 0.005) were associated with poor survival. Patients were divided into low-, intermediate-, and high-risk groups according to regression coefficients; OS at 1 yr was 78.4, 53, and 13.8%, respectively. Malnutrition is associated with low HRQL and is an independent prognostic factor in advanced NSCLC. The results warrant prospective trials to evaluate the impact of different nutritional interventions on HRQL and survival.","author":[{"dropping-particle":"","family":"Sanchez-Lara","given":"Karla","non-dropping-particle":"","parse-names":false,"suffix":""},{"dropping-particle":"","family":"Turcott","given":"Jenny G","non-dropping-particle":"","parse-names":false,"suffix":""},{"dropping-particle":"","family":"Juarez","given":"Eva","non-dropping-particle":"","parse-names":false,"suffix":""},{"dropping-particle":"","family":"Guevara","given":"Patricia","non-dropping-particle":"","parse-names":false,"suffix":""},{"dropping-particle":"","family":"Nunez-Valencia","given":"Carolina","non-dropping-particle":"","parse-names":false,"suffix":""},{"dropping-particle":"","family":"Onate-Ocana","given":"Luis F","non-dropping-particle":"","parse-names":false,"suffix":""},{"dropping-particle":"","family":"Flores","given":"Diana","non-dropping-particle":"","parse-names":false,"suffix":""},{"dropping-particle":"","family":"Arrieta","given":"Oscar","non-dropping-particle":"","parse-names":false,"suffix":""}],"container-title":"Nutrition and cancer","id":"ITEM-1","issue":"4","issued":{"date-parts":[["2012"]]},"page":"526-534","publisher-place":"United States","title":"Association of nutrition parameters including bioelectrical impedance and systemic inflammatory response with quality of life and prognosis in patients with advanced non-small-cell lung cancer: a prospective study.","type":"article-journal","volume":"64"},"uris":["http://www.mendeley.com/documents/?uuid=563f40bc-f820-48b6-850e-03ee2bfea85a"]}],"mendeley":{"formattedCitation":"[23]","plainTextFormattedCitation":"[23]","previouslyFormattedCitation":"[24]"},"properties":{"noteIndex":0},"schema":"https://github.com/citation-style-language/schema/raw/master/csl-citation.json"}</w:instrText>
      </w:r>
      <w:r w:rsidR="003662F1" w:rsidRPr="00332C8B">
        <w:rPr>
          <w:rFonts w:ascii="Calibri" w:hAnsi="Calibri" w:cs="Calibri"/>
          <w:color w:val="000000"/>
          <w:sz w:val="22"/>
          <w:szCs w:val="22"/>
          <w:vertAlign w:val="superscript"/>
        </w:rPr>
        <w:fldChar w:fldCharType="separate"/>
      </w:r>
      <w:r w:rsidR="00F66CFF" w:rsidRPr="00332C8B">
        <w:rPr>
          <w:rFonts w:ascii="Calibri" w:hAnsi="Calibri" w:cs="Calibri"/>
          <w:noProof/>
          <w:color w:val="000000"/>
          <w:sz w:val="22"/>
          <w:szCs w:val="22"/>
        </w:rPr>
        <w:t>[23]</w:t>
      </w:r>
      <w:r w:rsidR="003662F1" w:rsidRPr="00332C8B">
        <w:rPr>
          <w:rFonts w:ascii="Calibri" w:hAnsi="Calibri" w:cs="Calibri"/>
          <w:color w:val="000000"/>
          <w:sz w:val="22"/>
          <w:szCs w:val="22"/>
          <w:vertAlign w:val="superscript"/>
        </w:rPr>
        <w:fldChar w:fldCharType="end"/>
      </w:r>
      <w:r w:rsidR="003C37F5" w:rsidRPr="00332C8B">
        <w:rPr>
          <w:rFonts w:ascii="Calibri" w:hAnsi="Calibri" w:cs="Calibri"/>
          <w:color w:val="000000"/>
          <w:sz w:val="22"/>
          <w:szCs w:val="22"/>
        </w:rPr>
        <w:t>. Whether or not it is a good indicator of nutritional and metabolic health remains open to debate</w:t>
      </w:r>
      <w:r w:rsidR="003662F1" w:rsidRPr="00332C8B">
        <w:rPr>
          <w:rFonts w:ascii="Calibri" w:hAnsi="Calibri" w:cs="Calibri"/>
          <w:color w:val="000000"/>
          <w:sz w:val="22"/>
          <w:szCs w:val="22"/>
        </w:rPr>
        <w:fldChar w:fldCharType="begin" w:fldLock="1"/>
      </w:r>
      <w:r w:rsidR="00F66CFF" w:rsidRPr="00332C8B">
        <w:rPr>
          <w:rFonts w:ascii="Calibri" w:hAnsi="Calibri" w:cs="Calibri"/>
          <w:color w:val="000000"/>
          <w:sz w:val="22"/>
          <w:szCs w:val="22"/>
        </w:rPr>
        <w:instrText>ADDIN CSL_CITATION {"citationItems":[{"id":"ITEM-1","itemData":{"DOI":"10.1016/j.clnesp.2018.10.010","ISSN":"24054577","abstract":"Background &amp; aims: Subjective Global Assessment (SGA) classifies malnutrition severity via a simple bedside assessment. Phase angle (PhA) is an indicator of cell integrity and has been suggested to be indicator of nutritional status. Objective: To explore the relationship between PhA and SGA. Methods: Relevant studies published through October 31, 2017 were identified using 7 electronic databases. Articles were included for review if they included comparison data between SGA and PhA within adult disease populations. Evidence quality was assessed using the Grading of Recommendations, Assessment, Development and Evaluation (GRADE) guidelines and methodological quality was assessed using the Quality Assessment of Diagnostic Accuracy Studies (QUADAS-2) tool. Results: 33 articles within four disease states (liver, hospitalization, oncology and renal) met inclusion criteria for review. Results were limited by restricting the database search to articles published in English only, and by the inherent difficulty of comparing 2 methods which are both influenced by the operator. Conclusion: Based on GRADE guidelines, evidence quality received a grade of Low. Based on QUADAS-2, 61% of studies had high risk of bias in the index test (PhA), while all other domains had low risk. It is not possible to conclude that PhA is an accurate independent indicator of malnutrition. PROSPERO no. CRD42016050876.","author":[{"dropping-particle":"","family":"Rinaldi","given":"Sylvia","non-dropping-particle":"","parse-names":false,"suffix":""},{"dropping-particle":"","family":"Gilliland","given":"Jason","non-dropping-particle":"","parse-names":false,"suffix":""},{"dropping-particle":"","family":"O'Connor","given":"Colleen","non-dropping-particle":"","parse-names":false,"suffix":""},{"dropping-particle":"","family":"Chesworth","given":"Bert","non-dropping-particle":"","parse-names":false,"suffix":""},{"dropping-particle":"","family":"Madill","given":"Janet","non-dropping-particle":"","parse-names":false,"suffix":""}],"container-title":"Clinical Nutrition ESPEN","id":"ITEM-1","issued":{"date-parts":[["2019"]]},"title":"Is phase angle an appropriate indicator of malnutrition in different disease states? A systematic review","type":"article"},"uris":["http://www.mendeley.com/documents/?uuid=aabffda7-2087-475b-a5dd-bb86eacdab2a"]}],"mendeley":{"formattedCitation":"[55]","plainTextFormattedCitation":"[55]","previouslyFormattedCitation":"[57]"},"properties":{"noteIndex":0},"schema":"https://github.com/citation-style-language/schema/raw/master/csl-citation.json"}</w:instrText>
      </w:r>
      <w:r w:rsidR="003662F1" w:rsidRPr="00332C8B">
        <w:rPr>
          <w:rFonts w:ascii="Calibri" w:hAnsi="Calibri" w:cs="Calibri"/>
          <w:color w:val="000000"/>
          <w:sz w:val="22"/>
          <w:szCs w:val="22"/>
        </w:rPr>
        <w:fldChar w:fldCharType="separate"/>
      </w:r>
      <w:r w:rsidR="00F66CFF" w:rsidRPr="00332C8B">
        <w:rPr>
          <w:rFonts w:ascii="Calibri" w:hAnsi="Calibri" w:cs="Calibri"/>
          <w:noProof/>
          <w:color w:val="000000"/>
          <w:sz w:val="22"/>
          <w:szCs w:val="22"/>
        </w:rPr>
        <w:t>[55]</w:t>
      </w:r>
      <w:r w:rsidR="003662F1" w:rsidRPr="00332C8B">
        <w:rPr>
          <w:rFonts w:ascii="Calibri" w:hAnsi="Calibri" w:cs="Calibri"/>
          <w:color w:val="000000"/>
          <w:sz w:val="22"/>
          <w:szCs w:val="22"/>
        </w:rPr>
        <w:fldChar w:fldCharType="end"/>
      </w:r>
      <w:r w:rsidR="003C37F5" w:rsidRPr="00332C8B">
        <w:rPr>
          <w:rFonts w:ascii="Calibri" w:hAnsi="Calibri" w:cs="Calibri"/>
          <w:color w:val="000000"/>
          <w:sz w:val="22"/>
          <w:szCs w:val="22"/>
        </w:rPr>
        <w:t xml:space="preserve">, though </w:t>
      </w:r>
      <w:r w:rsidR="004322CC" w:rsidRPr="00332C8B">
        <w:rPr>
          <w:rFonts w:ascii="Calibri" w:hAnsi="Calibri" w:cs="Calibri"/>
          <w:color w:val="000000"/>
          <w:sz w:val="22"/>
          <w:szCs w:val="22"/>
        </w:rPr>
        <w:t xml:space="preserve">it </w:t>
      </w:r>
      <w:r w:rsidR="00CF5F39" w:rsidRPr="00332C8B">
        <w:rPr>
          <w:rFonts w:ascii="Calibri" w:hAnsi="Calibri" w:cs="Calibri"/>
          <w:color w:val="000000"/>
          <w:sz w:val="22"/>
          <w:szCs w:val="22"/>
        </w:rPr>
        <w:t>is of interest</w:t>
      </w:r>
      <w:r w:rsidR="004322CC" w:rsidRPr="00332C8B">
        <w:rPr>
          <w:rFonts w:ascii="Calibri" w:hAnsi="Calibri" w:cs="Calibri"/>
          <w:color w:val="000000"/>
          <w:sz w:val="22"/>
          <w:szCs w:val="22"/>
        </w:rPr>
        <w:t xml:space="preserve"> that </w:t>
      </w:r>
      <w:r w:rsidR="00C62F8F" w:rsidRPr="00332C8B">
        <w:rPr>
          <w:rFonts w:ascii="Calibri" w:hAnsi="Calibri" w:cs="Calibri"/>
          <w:color w:val="000000"/>
          <w:sz w:val="22"/>
          <w:szCs w:val="22"/>
        </w:rPr>
        <w:t xml:space="preserve">it is positively associated with </w:t>
      </w:r>
      <w:r w:rsidR="004322CC" w:rsidRPr="00332C8B">
        <w:rPr>
          <w:rFonts w:ascii="Calibri" w:hAnsi="Calibri" w:cs="Calibri"/>
          <w:color w:val="000000"/>
          <w:sz w:val="22"/>
          <w:szCs w:val="22"/>
        </w:rPr>
        <w:t>improvements in health from interventions such as exercise therapy</w:t>
      </w:r>
      <w:r w:rsidR="003662F1" w:rsidRPr="00332C8B">
        <w:rPr>
          <w:rFonts w:ascii="Calibri" w:hAnsi="Calibri" w:cs="Calibri"/>
          <w:color w:val="000000"/>
          <w:sz w:val="22"/>
          <w:szCs w:val="22"/>
        </w:rPr>
        <w:fldChar w:fldCharType="begin" w:fldLock="1"/>
      </w:r>
      <w:r w:rsidR="00F66CFF" w:rsidRPr="00332C8B">
        <w:rPr>
          <w:rFonts w:ascii="Calibri" w:hAnsi="Calibri" w:cs="Calibri"/>
          <w:color w:val="000000"/>
          <w:sz w:val="22"/>
          <w:szCs w:val="22"/>
        </w:rPr>
        <w:instrText>ADDIN CSL_CITATION {"citationItems":[{"id":"ITEM-1","itemData":{"DOI":"10.1016/j.clnu.2018.08.031","ISSN":"15321983","abstract":"Objective: To evaluate the relationship between physical activity and phase angle. Design: Systematic Review and Meta-analysis. Data sources: Electronic searches of MEDLINE (via PUBMED), EMBASE, Cochrane Central Register of Controlled Trials (CENTRAL, The Cochrane Library), SciELO, LILACS, SPORTDiscus, Scopus, and Web of Science from inception to December 10th, 2017. Eligibility criteria for selecting studies: The PICOS strategy was defined, in which “P” corresponded to participants of any age, sex or ethnicity, “I” indicated any type of physical activity program, “C” denoted lack of exercise or irregular physical activity, “O” corresponded to the phase angle obtained by bio-impedance, and “S” indicated longitudinal or cross-sectional studies. Results: In cross-sectional studies the phase angle was higher among the active individuals (MD = 0.70; 95% CI: 0.48, 0.92, P &lt; 0.001), with low heterogeneity (I2 = 0%; P = 0.619). In longitudinal studies, the mean of the difference of phase angles from the baseline was significantly higher for the active group than the control group (MD = 0.30; 95% CI: 0.11, 0.49, P = 0.001), with low heterogeneity (I2 = 13%, P = 0.331). No evidence of publication bias was found and the overall risk of bias was moderate to high. Summary/conclusion: The positive association of physical activity with phase angle reinforces the importance of routinely including exercise in health care. We also identified the need for further studies to define with different types, intensities and frequencies of exercises should be conducted in order to find the best dose-effect relationship.","author":[{"dropping-particle":"","family":"Mundstock","given":"Eduardo","non-dropping-particle":"","parse-names":false,"suffix":""},{"dropping-particle":"","family":"Amaral","given":"Marina Azambuja","non-dropping-particle":"","parse-names":false,"suffix":""},{"dropping-particle":"","family":"Baptista","given":"Rafael R.","non-dropping-particle":"","parse-names":false,"suffix":""},{"dropping-particle":"","family":"Sarria","given":"Edgar E.","non-dropping-particle":"","parse-names":false,"suffix":""},{"dropping-particle":"","family":"Santos","given":"Rejane Rosaria Grecco","non-dropping-particle":"dos","parse-names":false,"suffix":""},{"dropping-particle":"","family":"Filho","given":"Adriano Detoni","non-dropping-particle":"","parse-names":false,"suffix":""},{"dropping-particle":"","family":"Rodrigues","given":"Carlos Alberto S.","non-dropping-particle":"","parse-names":false,"suffix":""},{"dropping-particle":"","family":"Forte","given":"Gabriele Carra","non-dropping-particle":"","parse-names":false,"suffix":""},{"dropping-particle":"","family":"Castro","given":"Luciano","non-dropping-particle":"","parse-names":false,"suffix":""},{"dropping-particle":"","family":"Padoin","given":"Alexandre Vontobel","non-dropping-particle":"","parse-names":false,"suffix":""},{"dropping-particle":"","family":"Stein","given":"Ricardo","non-dropping-particle":"","parse-names":false,"suffix":""},{"dropping-particle":"","family":"Perez","given":"Lisiane Marçal","non-dropping-particle":"","parse-names":false,"suffix":""},{"dropping-particle":"","family":"Ziegelmann","given":"Patrícia Klarmann","non-dropping-particle":"","parse-names":false,"suffix":""},{"dropping-particle":"","family":"Mattiello","given":"Rita","non-dropping-particle":"","parse-names":false,"suffix":""}],"container-title":"Clinical Nutrition","id":"ITEM-1","issued":{"date-parts":[["2019"]]},"title":"Association between phase angle from bioelectrical impedance analysis and level of physical activity: Systematic review and meta-analysis","type":"article-journal"},"uris":["http://www.mendeley.com/documents/?uuid=caade954-6a89-4795-ab14-6db9685904e3"]}],"mendeley":{"formattedCitation":"[56]","plainTextFormattedCitation":"[56]","previouslyFormattedCitation":"[58]"},"properties":{"noteIndex":0},"schema":"https://github.com/citation-style-language/schema/raw/master/csl-citation.json"}</w:instrText>
      </w:r>
      <w:r w:rsidR="003662F1" w:rsidRPr="00332C8B">
        <w:rPr>
          <w:rFonts w:ascii="Calibri" w:hAnsi="Calibri" w:cs="Calibri"/>
          <w:color w:val="000000"/>
          <w:sz w:val="22"/>
          <w:szCs w:val="22"/>
        </w:rPr>
        <w:fldChar w:fldCharType="separate"/>
      </w:r>
      <w:r w:rsidR="00F66CFF" w:rsidRPr="00332C8B">
        <w:rPr>
          <w:rFonts w:ascii="Calibri" w:hAnsi="Calibri" w:cs="Calibri"/>
          <w:noProof/>
          <w:color w:val="000000"/>
          <w:sz w:val="22"/>
          <w:szCs w:val="22"/>
        </w:rPr>
        <w:t>[56]</w:t>
      </w:r>
      <w:r w:rsidR="003662F1" w:rsidRPr="00332C8B">
        <w:rPr>
          <w:rFonts w:ascii="Calibri" w:hAnsi="Calibri" w:cs="Calibri"/>
          <w:color w:val="000000"/>
          <w:sz w:val="22"/>
          <w:szCs w:val="22"/>
        </w:rPr>
        <w:fldChar w:fldCharType="end"/>
      </w:r>
      <w:r w:rsidR="003C37F5" w:rsidRPr="00332C8B">
        <w:rPr>
          <w:rFonts w:ascii="Calibri" w:hAnsi="Calibri" w:cs="Calibri"/>
          <w:color w:val="000000"/>
          <w:sz w:val="22"/>
          <w:szCs w:val="22"/>
        </w:rPr>
        <w:t xml:space="preserve">. </w:t>
      </w:r>
    </w:p>
    <w:p w14:paraId="0EF68577" w14:textId="0A7E98A2" w:rsidR="001D6220" w:rsidRPr="00332C8B" w:rsidRDefault="001D6220" w:rsidP="00F0414E">
      <w:pPr>
        <w:spacing w:line="480" w:lineRule="auto"/>
        <w:rPr>
          <w:rFonts w:asciiTheme="minorHAnsi" w:hAnsiTheme="minorHAnsi" w:cstheme="minorHAnsi"/>
          <w:color w:val="000000" w:themeColor="text1"/>
          <w:sz w:val="22"/>
          <w:szCs w:val="22"/>
        </w:rPr>
      </w:pPr>
    </w:p>
    <w:p w14:paraId="11B34118" w14:textId="10686BCC" w:rsidR="001F4085" w:rsidRPr="00332C8B" w:rsidRDefault="00E15BEF" w:rsidP="00F0414E">
      <w:pPr>
        <w:spacing w:line="480" w:lineRule="auto"/>
        <w:rPr>
          <w:rFonts w:asciiTheme="minorHAnsi" w:hAnsiTheme="minorHAnsi" w:cstheme="minorHAnsi"/>
          <w:color w:val="000000" w:themeColor="text1"/>
          <w:sz w:val="22"/>
          <w:szCs w:val="22"/>
        </w:rPr>
      </w:pPr>
      <w:r w:rsidRPr="00332C8B">
        <w:rPr>
          <w:rFonts w:ascii="Calibri" w:hAnsi="Calibri" w:cs="Calibri"/>
          <w:color w:val="000000"/>
          <w:sz w:val="22"/>
          <w:szCs w:val="22"/>
        </w:rPr>
        <w:t>Like all</w:t>
      </w:r>
      <w:r w:rsidR="001D6220" w:rsidRPr="00332C8B">
        <w:rPr>
          <w:rFonts w:ascii="Calibri" w:hAnsi="Calibri" w:cs="Calibri"/>
          <w:color w:val="000000"/>
          <w:sz w:val="22"/>
          <w:szCs w:val="22"/>
        </w:rPr>
        <w:t xml:space="preserve"> clinical</w:t>
      </w:r>
      <w:r w:rsidRPr="00332C8B">
        <w:rPr>
          <w:rFonts w:ascii="Calibri" w:hAnsi="Calibri" w:cs="Calibri"/>
          <w:color w:val="000000"/>
          <w:sz w:val="22"/>
          <w:szCs w:val="22"/>
        </w:rPr>
        <w:t xml:space="preserve"> tools, </w:t>
      </w:r>
      <w:r w:rsidR="001D6220" w:rsidRPr="00332C8B">
        <w:rPr>
          <w:rFonts w:ascii="Calibri" w:hAnsi="Calibri" w:cs="Calibri"/>
          <w:color w:val="000000"/>
          <w:sz w:val="22"/>
          <w:szCs w:val="22"/>
        </w:rPr>
        <w:t>BIA will</w:t>
      </w:r>
      <w:r w:rsidRPr="00332C8B">
        <w:rPr>
          <w:rFonts w:ascii="Calibri" w:hAnsi="Calibri" w:cs="Calibri"/>
          <w:color w:val="000000"/>
          <w:sz w:val="22"/>
          <w:szCs w:val="22"/>
        </w:rPr>
        <w:t xml:space="preserve"> be best used when applied to the right population, in the right mode, at the right time. To have benefit in the peri-operative setting it </w:t>
      </w:r>
      <w:r w:rsidRPr="00332C8B">
        <w:rPr>
          <w:rFonts w:asciiTheme="minorHAnsi" w:hAnsiTheme="minorHAnsi" w:cstheme="minorHAnsi"/>
          <w:color w:val="000000" w:themeColor="text1"/>
          <w:sz w:val="22"/>
          <w:szCs w:val="22"/>
        </w:rPr>
        <w:t xml:space="preserve">must either outperform the tools currently in use, be simpler or safer to use, or add some additional discrimination that current methods are unable to offer. </w:t>
      </w:r>
      <w:r w:rsidR="00140F99" w:rsidRPr="00332C8B">
        <w:rPr>
          <w:rFonts w:asciiTheme="minorHAnsi" w:hAnsiTheme="minorHAnsi" w:cstheme="minorHAnsi"/>
          <w:color w:val="000000" w:themeColor="text1"/>
          <w:sz w:val="22"/>
          <w:szCs w:val="22"/>
        </w:rPr>
        <w:t xml:space="preserve">It is also </w:t>
      </w:r>
      <w:r w:rsidR="00A97AFA" w:rsidRPr="00332C8B">
        <w:rPr>
          <w:rFonts w:asciiTheme="minorHAnsi" w:hAnsiTheme="minorHAnsi" w:cstheme="minorHAnsi"/>
          <w:color w:val="000000" w:themeColor="text1"/>
          <w:sz w:val="22"/>
          <w:szCs w:val="22"/>
        </w:rPr>
        <w:t xml:space="preserve">important </w:t>
      </w:r>
      <w:r w:rsidR="00140F99" w:rsidRPr="00332C8B">
        <w:rPr>
          <w:rFonts w:asciiTheme="minorHAnsi" w:hAnsiTheme="minorHAnsi" w:cstheme="minorHAnsi"/>
          <w:color w:val="000000" w:themeColor="text1"/>
          <w:sz w:val="22"/>
          <w:szCs w:val="22"/>
        </w:rPr>
        <w:t xml:space="preserve">that the clinician determine whether BIA is being used as a marker of nutritional and metabolic health or to </w:t>
      </w:r>
      <w:r w:rsidR="00A97AFA" w:rsidRPr="00332C8B">
        <w:rPr>
          <w:rFonts w:asciiTheme="minorHAnsi" w:hAnsiTheme="minorHAnsi" w:cstheme="minorHAnsi"/>
          <w:color w:val="000000" w:themeColor="text1"/>
          <w:sz w:val="22"/>
          <w:szCs w:val="22"/>
        </w:rPr>
        <w:t xml:space="preserve">assess </w:t>
      </w:r>
      <w:r w:rsidR="00140F99" w:rsidRPr="00332C8B">
        <w:rPr>
          <w:rFonts w:asciiTheme="minorHAnsi" w:hAnsiTheme="minorHAnsi" w:cstheme="minorHAnsi"/>
          <w:color w:val="000000" w:themeColor="text1"/>
          <w:sz w:val="22"/>
          <w:szCs w:val="22"/>
        </w:rPr>
        <w:t xml:space="preserve">risk on the basis of a derived measurement of body composition. </w:t>
      </w:r>
      <w:r w:rsidR="001D6220" w:rsidRPr="00332C8B">
        <w:rPr>
          <w:rFonts w:asciiTheme="minorHAnsi" w:hAnsiTheme="minorHAnsi" w:cstheme="minorHAnsi"/>
          <w:color w:val="000000" w:themeColor="text1"/>
          <w:sz w:val="22"/>
          <w:szCs w:val="22"/>
        </w:rPr>
        <w:t>Whilst</w:t>
      </w:r>
      <w:r w:rsidRPr="00332C8B">
        <w:rPr>
          <w:rFonts w:asciiTheme="minorHAnsi" w:hAnsiTheme="minorHAnsi" w:cstheme="minorHAnsi"/>
          <w:color w:val="000000" w:themeColor="text1"/>
          <w:sz w:val="22"/>
          <w:szCs w:val="22"/>
        </w:rPr>
        <w:t xml:space="preserve"> alternative </w:t>
      </w:r>
      <w:r w:rsidR="00140F99" w:rsidRPr="00332C8B">
        <w:rPr>
          <w:rFonts w:asciiTheme="minorHAnsi" w:hAnsiTheme="minorHAnsi" w:cstheme="minorHAnsi"/>
          <w:color w:val="000000" w:themeColor="text1"/>
          <w:sz w:val="22"/>
          <w:szCs w:val="22"/>
        </w:rPr>
        <w:t xml:space="preserve">body composition assessment </w:t>
      </w:r>
      <w:r w:rsidRPr="00332C8B">
        <w:rPr>
          <w:rFonts w:asciiTheme="minorHAnsi" w:hAnsiTheme="minorHAnsi" w:cstheme="minorHAnsi"/>
          <w:color w:val="000000" w:themeColor="text1"/>
          <w:sz w:val="22"/>
          <w:szCs w:val="22"/>
        </w:rPr>
        <w:t>methods</w:t>
      </w:r>
      <w:r w:rsidR="00271008" w:rsidRPr="00332C8B">
        <w:rPr>
          <w:rFonts w:asciiTheme="minorHAnsi" w:hAnsiTheme="minorHAnsi" w:cstheme="minorHAnsi"/>
          <w:color w:val="000000" w:themeColor="text1"/>
          <w:sz w:val="22"/>
          <w:szCs w:val="22"/>
        </w:rPr>
        <w:t>, such as</w:t>
      </w:r>
      <w:r w:rsidR="00D201F3" w:rsidRPr="00332C8B">
        <w:rPr>
          <w:rFonts w:asciiTheme="minorHAnsi" w:hAnsiTheme="minorHAnsi" w:cstheme="minorHAnsi"/>
          <w:color w:val="000000" w:themeColor="text1"/>
          <w:sz w:val="22"/>
          <w:szCs w:val="22"/>
        </w:rPr>
        <w:t xml:space="preserve"> </w:t>
      </w:r>
      <w:r w:rsidR="00FD4AB6" w:rsidRPr="00332C8B">
        <w:rPr>
          <w:rFonts w:asciiTheme="minorHAnsi" w:hAnsiTheme="minorHAnsi" w:cstheme="minorHAnsi"/>
          <w:color w:val="000000" w:themeColor="text1"/>
          <w:sz w:val="22"/>
          <w:szCs w:val="22"/>
        </w:rPr>
        <w:t xml:space="preserve">DEXA and </w:t>
      </w:r>
      <w:r w:rsidR="00D201F3" w:rsidRPr="00332C8B">
        <w:rPr>
          <w:rFonts w:asciiTheme="minorHAnsi" w:hAnsiTheme="minorHAnsi" w:cstheme="minorHAnsi"/>
          <w:color w:val="000000" w:themeColor="text1"/>
          <w:sz w:val="22"/>
          <w:szCs w:val="22"/>
        </w:rPr>
        <w:t>CT</w:t>
      </w:r>
      <w:r w:rsidR="00271008" w:rsidRPr="00332C8B">
        <w:rPr>
          <w:rFonts w:asciiTheme="minorHAnsi" w:hAnsiTheme="minorHAnsi" w:cstheme="minorHAnsi"/>
          <w:color w:val="000000" w:themeColor="text1"/>
          <w:sz w:val="22"/>
          <w:szCs w:val="22"/>
        </w:rPr>
        <w:t xml:space="preserve">, are </w:t>
      </w:r>
      <w:r w:rsidR="00FD4AB6" w:rsidRPr="00332C8B">
        <w:rPr>
          <w:rFonts w:asciiTheme="minorHAnsi" w:hAnsiTheme="minorHAnsi" w:cstheme="minorHAnsi"/>
          <w:color w:val="000000" w:themeColor="text1"/>
          <w:sz w:val="22"/>
          <w:szCs w:val="22"/>
        </w:rPr>
        <w:t>recommended</w:t>
      </w:r>
      <w:r w:rsidR="00271008" w:rsidRPr="00332C8B">
        <w:rPr>
          <w:rFonts w:asciiTheme="minorHAnsi" w:hAnsiTheme="minorHAnsi" w:cstheme="minorHAnsi"/>
          <w:color w:val="000000" w:themeColor="text1"/>
          <w:sz w:val="22"/>
          <w:szCs w:val="22"/>
        </w:rPr>
        <w:t xml:space="preserve"> for </w:t>
      </w:r>
      <w:r w:rsidR="00566552" w:rsidRPr="00332C8B">
        <w:rPr>
          <w:rFonts w:asciiTheme="minorHAnsi" w:hAnsiTheme="minorHAnsi" w:cstheme="minorHAnsi"/>
          <w:color w:val="000000" w:themeColor="text1"/>
          <w:sz w:val="22"/>
          <w:szCs w:val="22"/>
        </w:rPr>
        <w:t>patients with cancer</w:t>
      </w:r>
      <w:r w:rsidR="003662F1" w:rsidRPr="00332C8B">
        <w:rPr>
          <w:rFonts w:asciiTheme="minorHAnsi" w:hAnsiTheme="minorHAnsi" w:cstheme="minorHAnsi"/>
          <w:color w:val="000000" w:themeColor="text1"/>
          <w:sz w:val="22"/>
          <w:szCs w:val="22"/>
        </w:rPr>
        <w:fldChar w:fldCharType="begin" w:fldLock="1"/>
      </w:r>
      <w:r w:rsidR="00F66CFF" w:rsidRPr="00332C8B">
        <w:rPr>
          <w:rFonts w:asciiTheme="minorHAnsi" w:hAnsiTheme="minorHAnsi" w:cstheme="minorHAnsi"/>
          <w:color w:val="000000" w:themeColor="text1"/>
          <w:sz w:val="22"/>
          <w:szCs w:val="22"/>
        </w:rPr>
        <w:instrText>ADDIN CSL_CITATION {"citationItems":[{"id":"ITEM-1","itemData":{"DOI":"10.1016/S1470-2045(10)70218-7","ISSN":"1474-5488","PMID":"21296615","abstract":"To develop a framework for the definition and classification of cancer cachexia a panel of experts participated in a formal consensus process, including focus groups and two Delphi rounds. Cancer cachexia was defined as a multifactorial syndrome defined by an ongoing loss of skeletal muscle mass (with or without loss of fat mass) that cannot be fully reversed by conventional nutritional support and leads to progressive functional impairment. Its pathophysiology is characterised by a negative protein and energy balance driven by a variable combination of reduced food intake and abnormal metabolism. The agreed diagnostic criterion for cachexia was weight loss greater than 5%, or weight loss greater than 2% in individuals already showing depletion according to current bodyweight and height (body-mass index [BMI] &lt;20 kg/m2) or skeletal muscle mass (sarcopenia). An agreement was made that the cachexia syndrome can develop progressively through various stages-precachexia to cachexia to refractory cachexia. Severity can be classified according to degree of depletion of energy stores and body protein (BMI) in combination with degree of ongoing weight loss. Assessment for classification and clinical management should include the following domains: anorexia or reduced food intake, catabolic drive, muscle mass and strength, functional and psychosocial impairment. Consensus exists on a framework for the definition and classification of cancer cachexia. After validation, this should aid clinical trial design, development of practice guidelines, and, eventually, routine clinical management. © 2011 Elsevier Ltd.","author":[{"dropping-particle":"","family":"Fearon","given":"Kenneth","non-dropping-particle":"","parse-names":false,"suffix":""},{"dropping-particle":"","family":"Strasser","given":"Florian","non-dropping-particle":"","parse-names":false,"suffix":""},{"dropping-particle":"","family":"Anker","given":"Stefan D","non-dropping-particle":"","parse-names":false,"suffix":""},{"dropping-particle":"","family":"Bosaeus","given":"Ingvar","non-dropping-particle":"","parse-names":false,"suffix":""},{"dropping-particle":"","family":"Bruera","given":"Eduardo","non-dropping-particle":"","parse-names":false,"suffix":""},{"dropping-particle":"","family":"Fainsinger","given":"Robin L","non-dropping-particle":"","parse-names":false,"suffix":""},{"dropping-particle":"","family":"Jatoi","given":"Aminah","non-dropping-particle":"","parse-names":false,"suffix":""},{"dropping-particle":"","family":"Loprinzi","given":"Charles","non-dropping-particle":"","parse-names":false,"suffix":""},{"dropping-particle":"","family":"MacDonald","given":"Neil","non-dropping-particle":"","parse-names":false,"suffix":""},{"dropping-particle":"","family":"Mantovani","given":"Giovanni","non-dropping-particle":"","parse-names":false,"suffix":""},{"dropping-particle":"","family":"Davis","given":"Mellar","non-dropping-particle":"","parse-names":false,"suffix":""},{"dropping-particle":"","family":"Muscaritoli","given":"Maurizio","non-dropping-particle":"","parse-names":false,"suffix":""},{"dropping-particle":"","family":"Ottery","given":"Faith","non-dropping-particle":"","parse-names":false,"suffix":""},{"dropping-particle":"","family":"Radbruch","given":"Lukas","non-dropping-particle":"","parse-names":false,"suffix":""},{"dropping-particle":"","family":"Ravasco","given":"Paula","non-dropping-particle":"","parse-names":false,"suffix":""},{"dropping-particle":"","family":"Walsh","given":"Declan","non-dropping-particle":"","parse-names":false,"suffix":""},{"dropping-particle":"","family":"Wilcock","given":"Andrew","non-dropping-particle":"","parse-names":false,"suffix":""},{"dropping-particle":"","family":"Kaasa","given":"Stein","non-dropping-particle":"","parse-names":false,"suffix":""},{"dropping-particle":"","family":"Baracos","given":"Vickie E","non-dropping-particle":"","parse-names":false,"suffix":""}],"container-title":"The Lancet. Oncology","id":"ITEM-1","issued":{"date-parts":[["2011"]]},"title":"Definition and classification of cancer cachexia: an international consensus.","type":"article-journal"},"uris":["http://www.mendeley.com/documents/?uuid=dd4980b9-1eaa-42d9-b9da-a421b77bbcca"]}],"mendeley":{"formattedCitation":"[57]","plainTextFormattedCitation":"[57]","previouslyFormattedCitation":"[59]"},"properties":{"noteIndex":0},"schema":"https://github.com/citation-style-language/schema/raw/master/csl-citation.json"}</w:instrText>
      </w:r>
      <w:r w:rsidR="003662F1" w:rsidRPr="00332C8B">
        <w:rPr>
          <w:rFonts w:asciiTheme="minorHAnsi" w:hAnsiTheme="minorHAnsi" w:cstheme="minorHAnsi"/>
          <w:color w:val="000000" w:themeColor="text1"/>
          <w:sz w:val="22"/>
          <w:szCs w:val="22"/>
        </w:rPr>
        <w:fldChar w:fldCharType="separate"/>
      </w:r>
      <w:r w:rsidR="00F66CFF" w:rsidRPr="00332C8B">
        <w:rPr>
          <w:rFonts w:asciiTheme="minorHAnsi" w:hAnsiTheme="minorHAnsi" w:cstheme="minorHAnsi"/>
          <w:noProof/>
          <w:color w:val="000000" w:themeColor="text1"/>
          <w:sz w:val="22"/>
          <w:szCs w:val="22"/>
        </w:rPr>
        <w:t>[57]</w:t>
      </w:r>
      <w:r w:rsidR="003662F1" w:rsidRPr="00332C8B">
        <w:rPr>
          <w:rFonts w:asciiTheme="minorHAnsi" w:hAnsiTheme="minorHAnsi" w:cstheme="minorHAnsi"/>
          <w:color w:val="000000" w:themeColor="text1"/>
          <w:sz w:val="22"/>
          <w:szCs w:val="22"/>
        </w:rPr>
        <w:fldChar w:fldCharType="end"/>
      </w:r>
      <w:r w:rsidR="001D6220" w:rsidRPr="00332C8B">
        <w:rPr>
          <w:rFonts w:asciiTheme="minorHAnsi" w:hAnsiTheme="minorHAnsi" w:cstheme="minorHAnsi"/>
          <w:color w:val="000000" w:themeColor="text1"/>
          <w:sz w:val="22"/>
          <w:szCs w:val="22"/>
        </w:rPr>
        <w:t xml:space="preserve"> </w:t>
      </w:r>
      <w:r w:rsidR="00FD4AB6" w:rsidRPr="00332C8B">
        <w:rPr>
          <w:rFonts w:asciiTheme="minorHAnsi" w:hAnsiTheme="minorHAnsi" w:cstheme="minorHAnsi"/>
          <w:color w:val="000000" w:themeColor="text1"/>
          <w:sz w:val="22"/>
          <w:szCs w:val="22"/>
        </w:rPr>
        <w:t xml:space="preserve">both share the </w:t>
      </w:r>
      <w:r w:rsidR="00566552" w:rsidRPr="00332C8B">
        <w:rPr>
          <w:rFonts w:asciiTheme="minorHAnsi" w:hAnsiTheme="minorHAnsi" w:cstheme="minorHAnsi"/>
          <w:color w:val="000000" w:themeColor="text1"/>
          <w:sz w:val="22"/>
          <w:szCs w:val="22"/>
        </w:rPr>
        <w:t>risks of ionising radiation and neither are portable</w:t>
      </w:r>
      <w:r w:rsidR="00140F99" w:rsidRPr="00332C8B">
        <w:rPr>
          <w:rFonts w:asciiTheme="minorHAnsi" w:hAnsiTheme="minorHAnsi" w:cstheme="minorHAnsi"/>
          <w:color w:val="000000" w:themeColor="text1"/>
          <w:sz w:val="22"/>
          <w:szCs w:val="22"/>
        </w:rPr>
        <w:t xml:space="preserve"> making them suitable only for research settings</w:t>
      </w:r>
      <w:r w:rsidR="00A97AFA" w:rsidRPr="00332C8B">
        <w:rPr>
          <w:rFonts w:asciiTheme="minorHAnsi" w:hAnsiTheme="minorHAnsi" w:cstheme="minorHAnsi"/>
          <w:color w:val="000000" w:themeColor="text1"/>
          <w:sz w:val="22"/>
          <w:szCs w:val="22"/>
        </w:rPr>
        <w:t xml:space="preserve"> or where </w:t>
      </w:r>
      <w:r w:rsidR="00140F99" w:rsidRPr="00332C8B">
        <w:rPr>
          <w:rFonts w:asciiTheme="minorHAnsi" w:hAnsiTheme="minorHAnsi" w:cstheme="minorHAnsi"/>
          <w:color w:val="000000" w:themeColor="text1"/>
          <w:sz w:val="22"/>
          <w:szCs w:val="22"/>
        </w:rPr>
        <w:t xml:space="preserve">CT </w:t>
      </w:r>
      <w:r w:rsidR="00A97AFA" w:rsidRPr="00332C8B">
        <w:rPr>
          <w:rFonts w:asciiTheme="minorHAnsi" w:hAnsiTheme="minorHAnsi" w:cstheme="minorHAnsi"/>
          <w:color w:val="000000" w:themeColor="text1"/>
          <w:sz w:val="22"/>
          <w:szCs w:val="22"/>
        </w:rPr>
        <w:t>i</w:t>
      </w:r>
      <w:r w:rsidR="00140F99" w:rsidRPr="00332C8B">
        <w:rPr>
          <w:rFonts w:asciiTheme="minorHAnsi" w:hAnsiTheme="minorHAnsi" w:cstheme="minorHAnsi"/>
          <w:color w:val="000000" w:themeColor="text1"/>
          <w:sz w:val="22"/>
          <w:szCs w:val="22"/>
        </w:rPr>
        <w:t>s part of routine care</w:t>
      </w:r>
      <w:r w:rsidR="00FD4AB6" w:rsidRPr="00332C8B">
        <w:rPr>
          <w:rFonts w:asciiTheme="minorHAnsi" w:hAnsiTheme="minorHAnsi" w:cstheme="minorHAnsi"/>
          <w:color w:val="000000" w:themeColor="text1"/>
          <w:sz w:val="22"/>
          <w:szCs w:val="22"/>
        </w:rPr>
        <w:t>.</w:t>
      </w:r>
      <w:r w:rsidR="00112F67" w:rsidRPr="00332C8B">
        <w:rPr>
          <w:rFonts w:asciiTheme="minorHAnsi" w:hAnsiTheme="minorHAnsi" w:cstheme="minorHAnsi"/>
          <w:color w:val="000000" w:themeColor="text1"/>
          <w:sz w:val="22"/>
          <w:szCs w:val="22"/>
        </w:rPr>
        <w:t xml:space="preserve"> </w:t>
      </w:r>
      <w:r w:rsidR="009978AB" w:rsidRPr="00332C8B">
        <w:rPr>
          <w:rFonts w:asciiTheme="minorHAnsi" w:hAnsiTheme="minorHAnsi" w:cstheme="minorHAnsi"/>
          <w:color w:val="000000" w:themeColor="text1"/>
          <w:sz w:val="22"/>
          <w:szCs w:val="22"/>
        </w:rPr>
        <w:t>Bioelectrical</w:t>
      </w:r>
      <w:r w:rsidR="00112F67" w:rsidRPr="00332C8B">
        <w:rPr>
          <w:rFonts w:asciiTheme="minorHAnsi" w:hAnsiTheme="minorHAnsi" w:cstheme="minorHAnsi"/>
          <w:color w:val="000000" w:themeColor="text1"/>
          <w:sz w:val="22"/>
          <w:szCs w:val="22"/>
        </w:rPr>
        <w:t xml:space="preserve"> </w:t>
      </w:r>
      <w:r w:rsidR="009978AB" w:rsidRPr="00332C8B">
        <w:rPr>
          <w:rFonts w:asciiTheme="minorHAnsi" w:hAnsiTheme="minorHAnsi" w:cstheme="minorHAnsi"/>
          <w:color w:val="000000" w:themeColor="text1"/>
          <w:sz w:val="22"/>
          <w:szCs w:val="22"/>
        </w:rPr>
        <w:t>impedance</w:t>
      </w:r>
      <w:r w:rsidR="00112F67" w:rsidRPr="00332C8B">
        <w:rPr>
          <w:rFonts w:asciiTheme="minorHAnsi" w:hAnsiTheme="minorHAnsi" w:cstheme="minorHAnsi"/>
          <w:color w:val="000000" w:themeColor="text1"/>
          <w:sz w:val="22"/>
          <w:szCs w:val="22"/>
        </w:rPr>
        <w:t xml:space="preserve"> </w:t>
      </w:r>
      <w:r w:rsidR="00FD4AB6" w:rsidRPr="00332C8B">
        <w:rPr>
          <w:rFonts w:asciiTheme="minorHAnsi" w:hAnsiTheme="minorHAnsi" w:cstheme="minorHAnsi"/>
          <w:color w:val="000000" w:themeColor="text1"/>
          <w:sz w:val="22"/>
          <w:szCs w:val="22"/>
        </w:rPr>
        <w:t xml:space="preserve">has neither of these drawbacks and </w:t>
      </w:r>
      <w:r w:rsidR="00140F99" w:rsidRPr="00332C8B">
        <w:rPr>
          <w:rFonts w:asciiTheme="minorHAnsi" w:hAnsiTheme="minorHAnsi" w:cstheme="minorHAnsi"/>
          <w:color w:val="000000" w:themeColor="text1"/>
          <w:sz w:val="22"/>
          <w:szCs w:val="22"/>
        </w:rPr>
        <w:t>may be</w:t>
      </w:r>
      <w:r w:rsidR="00FD4AB6" w:rsidRPr="00332C8B">
        <w:rPr>
          <w:rFonts w:asciiTheme="minorHAnsi" w:hAnsiTheme="minorHAnsi" w:cstheme="minorHAnsi"/>
          <w:color w:val="000000" w:themeColor="text1"/>
          <w:sz w:val="22"/>
          <w:szCs w:val="22"/>
        </w:rPr>
        <w:t xml:space="preserve"> </w:t>
      </w:r>
      <w:r w:rsidR="00112F67" w:rsidRPr="00332C8B">
        <w:rPr>
          <w:rFonts w:asciiTheme="minorHAnsi" w:hAnsiTheme="minorHAnsi" w:cstheme="minorHAnsi"/>
          <w:color w:val="000000" w:themeColor="text1"/>
          <w:sz w:val="22"/>
          <w:szCs w:val="22"/>
        </w:rPr>
        <w:t xml:space="preserve">offer </w:t>
      </w:r>
      <w:r w:rsidR="00FD4AB6" w:rsidRPr="00332C8B">
        <w:rPr>
          <w:rFonts w:asciiTheme="minorHAnsi" w:hAnsiTheme="minorHAnsi" w:cstheme="minorHAnsi"/>
          <w:color w:val="000000" w:themeColor="text1"/>
          <w:sz w:val="22"/>
          <w:szCs w:val="22"/>
        </w:rPr>
        <w:t>a point-of-care tool suited to repeated use throughout</w:t>
      </w:r>
      <w:r w:rsidR="00A97AFA" w:rsidRPr="00332C8B">
        <w:rPr>
          <w:rFonts w:asciiTheme="minorHAnsi" w:hAnsiTheme="minorHAnsi" w:cstheme="minorHAnsi"/>
          <w:color w:val="000000" w:themeColor="text1"/>
          <w:sz w:val="22"/>
          <w:szCs w:val="22"/>
        </w:rPr>
        <w:t xml:space="preserve"> a surgical cancer</w:t>
      </w:r>
      <w:r w:rsidR="00FD4AB6" w:rsidRPr="00332C8B">
        <w:rPr>
          <w:rFonts w:asciiTheme="minorHAnsi" w:hAnsiTheme="minorHAnsi" w:cstheme="minorHAnsi"/>
          <w:color w:val="000000" w:themeColor="text1"/>
          <w:sz w:val="22"/>
          <w:szCs w:val="22"/>
        </w:rPr>
        <w:t xml:space="preserve"> pathway</w:t>
      </w:r>
      <w:r w:rsidR="00A97AFA" w:rsidRPr="00332C8B">
        <w:rPr>
          <w:rFonts w:asciiTheme="minorHAnsi" w:hAnsiTheme="minorHAnsi" w:cstheme="minorHAnsi"/>
          <w:color w:val="000000" w:themeColor="text1"/>
          <w:sz w:val="22"/>
          <w:szCs w:val="22"/>
        </w:rPr>
        <w:t xml:space="preserve"> to give perioperative clinicians</w:t>
      </w:r>
      <w:r w:rsidR="00140F99" w:rsidRPr="00332C8B">
        <w:rPr>
          <w:rFonts w:asciiTheme="minorHAnsi" w:hAnsiTheme="minorHAnsi" w:cstheme="minorHAnsi"/>
          <w:color w:val="000000" w:themeColor="text1"/>
          <w:sz w:val="22"/>
          <w:szCs w:val="22"/>
        </w:rPr>
        <w:t xml:space="preserve"> additional </w:t>
      </w:r>
      <w:r w:rsidR="00A97AFA" w:rsidRPr="00332C8B">
        <w:rPr>
          <w:rFonts w:asciiTheme="minorHAnsi" w:hAnsiTheme="minorHAnsi" w:cstheme="minorHAnsi"/>
          <w:color w:val="000000" w:themeColor="text1"/>
          <w:sz w:val="22"/>
          <w:szCs w:val="22"/>
        </w:rPr>
        <w:t>information about</w:t>
      </w:r>
      <w:r w:rsidR="00140F99" w:rsidRPr="00332C8B">
        <w:rPr>
          <w:rFonts w:asciiTheme="minorHAnsi" w:hAnsiTheme="minorHAnsi" w:cstheme="minorHAnsi"/>
          <w:color w:val="000000" w:themeColor="text1"/>
          <w:sz w:val="22"/>
          <w:szCs w:val="22"/>
        </w:rPr>
        <w:t xml:space="preserve"> risk from either metabolic derangement or changes in body composition.</w:t>
      </w:r>
    </w:p>
    <w:p w14:paraId="33A19E20" w14:textId="12A5F39A" w:rsidR="008F6E63" w:rsidRPr="00332C8B" w:rsidRDefault="008F6E63" w:rsidP="00F0414E">
      <w:pPr>
        <w:spacing w:line="480" w:lineRule="auto"/>
        <w:rPr>
          <w:rFonts w:asciiTheme="minorHAnsi" w:hAnsiTheme="minorHAnsi" w:cstheme="minorHAnsi"/>
          <w:color w:val="000000" w:themeColor="text1"/>
          <w:sz w:val="22"/>
          <w:szCs w:val="22"/>
        </w:rPr>
      </w:pPr>
    </w:p>
    <w:p w14:paraId="4C011741" w14:textId="4076D100" w:rsidR="00140F99" w:rsidRPr="00332C8B" w:rsidRDefault="008F6E63" w:rsidP="00F0414E">
      <w:pPr>
        <w:spacing w:line="480" w:lineRule="auto"/>
        <w:rPr>
          <w:rFonts w:asciiTheme="minorHAnsi" w:hAnsiTheme="minorHAnsi" w:cstheme="minorHAnsi"/>
          <w:color w:val="000000" w:themeColor="text1"/>
          <w:sz w:val="22"/>
          <w:szCs w:val="22"/>
        </w:rPr>
      </w:pPr>
      <w:r w:rsidRPr="00332C8B">
        <w:rPr>
          <w:rFonts w:asciiTheme="minorHAnsi" w:hAnsiTheme="minorHAnsi" w:cstheme="minorHAnsi"/>
          <w:color w:val="000000" w:themeColor="text1"/>
          <w:sz w:val="22"/>
          <w:szCs w:val="22"/>
        </w:rPr>
        <w:t>T</w:t>
      </w:r>
      <w:r w:rsidR="001F4085" w:rsidRPr="00332C8B">
        <w:rPr>
          <w:rFonts w:asciiTheme="minorHAnsi" w:hAnsiTheme="minorHAnsi" w:cstheme="minorHAnsi"/>
          <w:color w:val="000000" w:themeColor="text1"/>
          <w:sz w:val="22"/>
          <w:szCs w:val="22"/>
        </w:rPr>
        <w:t>here are a number o</w:t>
      </w:r>
      <w:r w:rsidR="00A16EDF" w:rsidRPr="00332C8B">
        <w:rPr>
          <w:rFonts w:asciiTheme="minorHAnsi" w:hAnsiTheme="minorHAnsi" w:cstheme="minorHAnsi"/>
          <w:color w:val="000000" w:themeColor="text1"/>
          <w:sz w:val="22"/>
          <w:szCs w:val="22"/>
        </w:rPr>
        <w:t>f problems</w:t>
      </w:r>
      <w:r w:rsidR="001F4085" w:rsidRPr="00332C8B">
        <w:rPr>
          <w:rFonts w:asciiTheme="minorHAnsi" w:hAnsiTheme="minorHAnsi" w:cstheme="minorHAnsi"/>
          <w:color w:val="000000" w:themeColor="text1"/>
          <w:sz w:val="22"/>
          <w:szCs w:val="22"/>
        </w:rPr>
        <w:t>, many highlighted within this review</w:t>
      </w:r>
      <w:r w:rsidR="00913EC3" w:rsidRPr="00332C8B">
        <w:rPr>
          <w:rFonts w:asciiTheme="minorHAnsi" w:hAnsiTheme="minorHAnsi" w:cstheme="minorHAnsi"/>
          <w:color w:val="000000" w:themeColor="text1"/>
          <w:sz w:val="22"/>
          <w:szCs w:val="22"/>
        </w:rPr>
        <w:t xml:space="preserve">, </w:t>
      </w:r>
      <w:r w:rsidR="00DA5D1A" w:rsidRPr="00332C8B">
        <w:rPr>
          <w:rFonts w:asciiTheme="minorHAnsi" w:hAnsiTheme="minorHAnsi" w:cstheme="minorHAnsi"/>
          <w:color w:val="000000" w:themeColor="text1"/>
          <w:sz w:val="22"/>
          <w:szCs w:val="22"/>
        </w:rPr>
        <w:t>that limit the synthesis and interpretation of published studies. Incomplete description of BIA methodology and restricted reporting of BIA results constrains our ability to assess the utility of BIA in the setting of peri</w:t>
      </w:r>
      <w:r w:rsidR="00B96EC6" w:rsidRPr="00332C8B">
        <w:rPr>
          <w:rFonts w:asciiTheme="minorHAnsi" w:hAnsiTheme="minorHAnsi" w:cstheme="minorHAnsi"/>
          <w:color w:val="000000" w:themeColor="text1"/>
          <w:sz w:val="22"/>
          <w:szCs w:val="22"/>
        </w:rPr>
        <w:t>-</w:t>
      </w:r>
      <w:r w:rsidR="00DA5D1A" w:rsidRPr="00332C8B">
        <w:rPr>
          <w:rFonts w:asciiTheme="minorHAnsi" w:hAnsiTheme="minorHAnsi" w:cstheme="minorHAnsi"/>
          <w:color w:val="000000" w:themeColor="text1"/>
          <w:sz w:val="22"/>
          <w:szCs w:val="22"/>
        </w:rPr>
        <w:t>operative risk prediction for patients undergoing surgery for cancer</w:t>
      </w:r>
      <w:r w:rsidR="00004570">
        <w:rPr>
          <w:rFonts w:asciiTheme="minorHAnsi" w:hAnsiTheme="minorHAnsi" w:cstheme="minorHAnsi"/>
          <w:color w:val="000000" w:themeColor="text1"/>
          <w:sz w:val="22"/>
          <w:szCs w:val="22"/>
        </w:rPr>
        <w:t xml:space="preserve"> and limit the strength of conclusions that can be drawn</w:t>
      </w:r>
      <w:r w:rsidR="00DA5D1A" w:rsidRPr="00332C8B">
        <w:rPr>
          <w:rFonts w:asciiTheme="minorHAnsi" w:hAnsiTheme="minorHAnsi" w:cstheme="minorHAnsi"/>
          <w:color w:val="000000" w:themeColor="text1"/>
          <w:sz w:val="22"/>
          <w:szCs w:val="22"/>
        </w:rPr>
        <w:t xml:space="preserve">. </w:t>
      </w:r>
      <w:r w:rsidR="00841FE7">
        <w:rPr>
          <w:rFonts w:asciiTheme="minorHAnsi" w:hAnsiTheme="minorHAnsi" w:cstheme="minorHAnsi"/>
          <w:color w:val="000000" w:themeColor="text1"/>
          <w:sz w:val="22"/>
          <w:szCs w:val="22"/>
        </w:rPr>
        <w:t xml:space="preserve">Different measurements reported in different ways against different outcomes </w:t>
      </w:r>
      <w:r w:rsidR="009D6AA5">
        <w:rPr>
          <w:rFonts w:asciiTheme="minorHAnsi" w:hAnsiTheme="minorHAnsi" w:cstheme="minorHAnsi"/>
          <w:color w:val="000000" w:themeColor="text1"/>
          <w:sz w:val="22"/>
          <w:szCs w:val="22"/>
        </w:rPr>
        <w:t>mean</w:t>
      </w:r>
      <w:r w:rsidR="00841FE7">
        <w:rPr>
          <w:rFonts w:asciiTheme="minorHAnsi" w:hAnsiTheme="minorHAnsi" w:cstheme="minorHAnsi"/>
          <w:color w:val="000000" w:themeColor="text1"/>
          <w:sz w:val="22"/>
          <w:szCs w:val="22"/>
        </w:rPr>
        <w:t xml:space="preserve"> it is not possible to pres</w:t>
      </w:r>
      <w:r w:rsidR="004150ED">
        <w:rPr>
          <w:rFonts w:asciiTheme="minorHAnsi" w:hAnsiTheme="minorHAnsi" w:cstheme="minorHAnsi"/>
          <w:color w:val="000000" w:themeColor="text1"/>
          <w:sz w:val="22"/>
          <w:szCs w:val="22"/>
        </w:rPr>
        <w:t>ent the findings in a standardiz</w:t>
      </w:r>
      <w:r w:rsidR="00841FE7">
        <w:rPr>
          <w:rFonts w:asciiTheme="minorHAnsi" w:hAnsiTheme="minorHAnsi" w:cstheme="minorHAnsi"/>
          <w:color w:val="000000" w:themeColor="text1"/>
          <w:sz w:val="22"/>
          <w:szCs w:val="22"/>
        </w:rPr>
        <w:t xml:space="preserve">ed way. </w:t>
      </w:r>
      <w:r w:rsidR="00A73882" w:rsidRPr="00332C8B">
        <w:rPr>
          <w:rFonts w:asciiTheme="minorHAnsi" w:hAnsiTheme="minorHAnsi" w:cstheme="minorHAnsi"/>
          <w:color w:val="000000" w:themeColor="text1"/>
          <w:sz w:val="22"/>
          <w:szCs w:val="22"/>
        </w:rPr>
        <w:t xml:space="preserve">We recommend that future studies consider i) better consistency and completeness of </w:t>
      </w:r>
      <w:r w:rsidR="00A16EDF" w:rsidRPr="00332C8B">
        <w:rPr>
          <w:rFonts w:asciiTheme="minorHAnsi" w:hAnsiTheme="minorHAnsi" w:cstheme="minorHAnsi"/>
          <w:color w:val="000000" w:themeColor="text1"/>
          <w:sz w:val="22"/>
          <w:szCs w:val="22"/>
        </w:rPr>
        <w:t xml:space="preserve">reporting </w:t>
      </w:r>
      <w:r w:rsidR="00A73882" w:rsidRPr="00332C8B">
        <w:rPr>
          <w:rFonts w:asciiTheme="minorHAnsi" w:hAnsiTheme="minorHAnsi" w:cstheme="minorHAnsi"/>
          <w:color w:val="000000" w:themeColor="text1"/>
          <w:sz w:val="22"/>
          <w:szCs w:val="22"/>
        </w:rPr>
        <w:t xml:space="preserve">BIA measurements as </w:t>
      </w:r>
      <w:r w:rsidR="00A16EDF" w:rsidRPr="00332C8B">
        <w:rPr>
          <w:rFonts w:asciiTheme="minorHAnsi" w:hAnsiTheme="minorHAnsi" w:cstheme="minorHAnsi"/>
          <w:color w:val="000000" w:themeColor="text1"/>
          <w:sz w:val="22"/>
          <w:szCs w:val="22"/>
        </w:rPr>
        <w:t xml:space="preserve">both the </w:t>
      </w:r>
      <w:r w:rsidR="00A73882" w:rsidRPr="00332C8B">
        <w:rPr>
          <w:rFonts w:asciiTheme="minorHAnsi" w:hAnsiTheme="minorHAnsi" w:cstheme="minorHAnsi"/>
          <w:color w:val="000000" w:themeColor="text1"/>
          <w:sz w:val="22"/>
          <w:szCs w:val="22"/>
        </w:rPr>
        <w:t xml:space="preserve">measured </w:t>
      </w:r>
      <w:r w:rsidR="006E215A" w:rsidRPr="00332C8B">
        <w:rPr>
          <w:rFonts w:asciiTheme="minorHAnsi" w:hAnsiTheme="minorHAnsi" w:cstheme="minorHAnsi"/>
          <w:color w:val="000000" w:themeColor="text1"/>
          <w:sz w:val="22"/>
          <w:szCs w:val="22"/>
        </w:rPr>
        <w:t>impedance</w:t>
      </w:r>
      <w:r w:rsidR="00A73882" w:rsidRPr="00332C8B">
        <w:rPr>
          <w:rFonts w:asciiTheme="minorHAnsi" w:hAnsiTheme="minorHAnsi" w:cstheme="minorHAnsi"/>
          <w:color w:val="000000" w:themeColor="text1"/>
          <w:sz w:val="22"/>
          <w:szCs w:val="22"/>
        </w:rPr>
        <w:t xml:space="preserve"> values as well as the </w:t>
      </w:r>
      <w:r w:rsidR="00A16EDF" w:rsidRPr="00332C8B">
        <w:rPr>
          <w:rFonts w:asciiTheme="minorHAnsi" w:hAnsiTheme="minorHAnsi" w:cstheme="minorHAnsi"/>
          <w:color w:val="000000" w:themeColor="text1"/>
          <w:sz w:val="22"/>
          <w:szCs w:val="22"/>
        </w:rPr>
        <w:t xml:space="preserve">derived </w:t>
      </w:r>
      <w:r w:rsidR="00371EC8" w:rsidRPr="00332C8B">
        <w:rPr>
          <w:rFonts w:asciiTheme="minorHAnsi" w:hAnsiTheme="minorHAnsi" w:cstheme="minorHAnsi"/>
          <w:color w:val="000000" w:themeColor="text1"/>
          <w:sz w:val="22"/>
          <w:szCs w:val="22"/>
        </w:rPr>
        <w:t>estimates</w:t>
      </w:r>
      <w:r w:rsidR="00A73882" w:rsidRPr="00332C8B">
        <w:rPr>
          <w:rFonts w:asciiTheme="minorHAnsi" w:hAnsiTheme="minorHAnsi" w:cstheme="minorHAnsi"/>
          <w:color w:val="000000" w:themeColor="text1"/>
          <w:sz w:val="22"/>
          <w:szCs w:val="22"/>
        </w:rPr>
        <w:t xml:space="preserve"> of body composition</w:t>
      </w:r>
      <w:r w:rsidR="00A16EDF" w:rsidRPr="00332C8B">
        <w:rPr>
          <w:rFonts w:asciiTheme="minorHAnsi" w:hAnsiTheme="minorHAnsi" w:cstheme="minorHAnsi"/>
          <w:color w:val="000000" w:themeColor="text1"/>
          <w:sz w:val="22"/>
          <w:szCs w:val="22"/>
        </w:rPr>
        <w:t>;</w:t>
      </w:r>
      <w:r w:rsidR="00B8184D" w:rsidRPr="00332C8B">
        <w:rPr>
          <w:rFonts w:asciiTheme="minorHAnsi" w:hAnsiTheme="minorHAnsi" w:cstheme="minorHAnsi"/>
          <w:color w:val="000000" w:themeColor="text1"/>
          <w:sz w:val="22"/>
          <w:szCs w:val="22"/>
        </w:rPr>
        <w:t xml:space="preserve"> ii</w:t>
      </w:r>
      <w:r w:rsidR="00A16EDF" w:rsidRPr="00332C8B">
        <w:rPr>
          <w:rFonts w:asciiTheme="minorHAnsi" w:hAnsiTheme="minorHAnsi" w:cstheme="minorHAnsi"/>
          <w:color w:val="000000" w:themeColor="text1"/>
          <w:sz w:val="22"/>
          <w:szCs w:val="22"/>
        </w:rPr>
        <w:t xml:space="preserve">) </w:t>
      </w:r>
      <w:r w:rsidR="00A73882" w:rsidRPr="00332C8B">
        <w:rPr>
          <w:rFonts w:asciiTheme="minorHAnsi" w:hAnsiTheme="minorHAnsi" w:cstheme="minorHAnsi"/>
          <w:color w:val="000000" w:themeColor="text1"/>
          <w:sz w:val="22"/>
          <w:szCs w:val="22"/>
        </w:rPr>
        <w:t xml:space="preserve">reporting </w:t>
      </w:r>
      <w:r w:rsidR="00A16EDF" w:rsidRPr="00332C8B">
        <w:rPr>
          <w:rFonts w:asciiTheme="minorHAnsi" w:hAnsiTheme="minorHAnsi" w:cstheme="minorHAnsi"/>
          <w:color w:val="000000" w:themeColor="text1"/>
          <w:sz w:val="22"/>
          <w:szCs w:val="22"/>
        </w:rPr>
        <w:t>the standard</w:t>
      </w:r>
      <w:r w:rsidR="00A73882" w:rsidRPr="00332C8B">
        <w:rPr>
          <w:rFonts w:asciiTheme="minorHAnsi" w:hAnsiTheme="minorHAnsi" w:cstheme="minorHAnsi"/>
          <w:color w:val="000000" w:themeColor="text1"/>
          <w:sz w:val="22"/>
          <w:szCs w:val="22"/>
        </w:rPr>
        <w:t>i</w:t>
      </w:r>
      <w:r w:rsidR="004150ED">
        <w:rPr>
          <w:rFonts w:asciiTheme="minorHAnsi" w:hAnsiTheme="minorHAnsi" w:cstheme="minorHAnsi"/>
          <w:color w:val="000000" w:themeColor="text1"/>
          <w:sz w:val="22"/>
          <w:szCs w:val="22"/>
        </w:rPr>
        <w:t>z</w:t>
      </w:r>
      <w:r w:rsidR="00A73882" w:rsidRPr="00332C8B">
        <w:rPr>
          <w:rFonts w:asciiTheme="minorHAnsi" w:hAnsiTheme="minorHAnsi" w:cstheme="minorHAnsi"/>
          <w:color w:val="000000" w:themeColor="text1"/>
          <w:sz w:val="22"/>
          <w:szCs w:val="22"/>
        </w:rPr>
        <w:t xml:space="preserve">ed </w:t>
      </w:r>
      <w:r w:rsidR="00A16EDF" w:rsidRPr="00332C8B">
        <w:rPr>
          <w:rFonts w:asciiTheme="minorHAnsi" w:hAnsiTheme="minorHAnsi" w:cstheme="minorHAnsi"/>
          <w:color w:val="000000" w:themeColor="text1"/>
          <w:sz w:val="22"/>
          <w:szCs w:val="22"/>
        </w:rPr>
        <w:t xml:space="preserve">phase angle to mitigate the </w:t>
      </w:r>
      <w:r w:rsidR="00B8184D" w:rsidRPr="00332C8B">
        <w:rPr>
          <w:rFonts w:asciiTheme="minorHAnsi" w:hAnsiTheme="minorHAnsi" w:cstheme="minorHAnsi"/>
          <w:color w:val="000000" w:themeColor="text1"/>
          <w:sz w:val="22"/>
          <w:szCs w:val="22"/>
        </w:rPr>
        <w:t>influence of BMI, age and gender</w:t>
      </w:r>
      <w:r w:rsidR="00A73882" w:rsidRPr="00332C8B">
        <w:rPr>
          <w:rFonts w:asciiTheme="minorHAnsi" w:hAnsiTheme="minorHAnsi" w:cstheme="minorHAnsi"/>
          <w:color w:val="000000" w:themeColor="text1"/>
          <w:sz w:val="22"/>
          <w:szCs w:val="22"/>
        </w:rPr>
        <w:t xml:space="preserve"> using </w:t>
      </w:r>
      <w:r w:rsidR="00A16EDF" w:rsidRPr="00332C8B">
        <w:rPr>
          <w:rFonts w:asciiTheme="minorHAnsi" w:hAnsiTheme="minorHAnsi" w:cstheme="minorHAnsi"/>
          <w:color w:val="000000" w:themeColor="text1"/>
          <w:sz w:val="22"/>
          <w:szCs w:val="22"/>
        </w:rPr>
        <w:t xml:space="preserve">a reference population </w:t>
      </w:r>
      <w:r w:rsidR="00A73882" w:rsidRPr="00332C8B">
        <w:rPr>
          <w:rFonts w:asciiTheme="minorHAnsi" w:hAnsiTheme="minorHAnsi" w:cstheme="minorHAnsi"/>
          <w:color w:val="000000" w:themeColor="text1"/>
          <w:sz w:val="22"/>
          <w:szCs w:val="22"/>
        </w:rPr>
        <w:t xml:space="preserve">that </w:t>
      </w:r>
      <w:r w:rsidR="00371EC8" w:rsidRPr="00332C8B">
        <w:rPr>
          <w:rFonts w:asciiTheme="minorHAnsi" w:hAnsiTheme="minorHAnsi" w:cstheme="minorHAnsi"/>
          <w:color w:val="000000" w:themeColor="text1"/>
          <w:sz w:val="22"/>
          <w:szCs w:val="22"/>
        </w:rPr>
        <w:t xml:space="preserve">appropriately </w:t>
      </w:r>
      <w:r w:rsidR="00A73882" w:rsidRPr="00332C8B">
        <w:rPr>
          <w:rFonts w:asciiTheme="minorHAnsi" w:hAnsiTheme="minorHAnsi" w:cstheme="minorHAnsi"/>
          <w:color w:val="000000" w:themeColor="text1"/>
          <w:sz w:val="22"/>
          <w:szCs w:val="22"/>
        </w:rPr>
        <w:t xml:space="preserve">reflects </w:t>
      </w:r>
      <w:r w:rsidR="00A16EDF" w:rsidRPr="00332C8B">
        <w:rPr>
          <w:rFonts w:asciiTheme="minorHAnsi" w:hAnsiTheme="minorHAnsi" w:cstheme="minorHAnsi"/>
          <w:color w:val="000000" w:themeColor="text1"/>
          <w:sz w:val="22"/>
          <w:szCs w:val="22"/>
        </w:rPr>
        <w:t>the population being sampled;</w:t>
      </w:r>
      <w:r w:rsidR="00B8184D" w:rsidRPr="00332C8B">
        <w:rPr>
          <w:rFonts w:asciiTheme="minorHAnsi" w:hAnsiTheme="minorHAnsi" w:cstheme="minorHAnsi"/>
          <w:color w:val="000000" w:themeColor="text1"/>
          <w:sz w:val="22"/>
          <w:szCs w:val="22"/>
        </w:rPr>
        <w:t xml:space="preserve"> </w:t>
      </w:r>
      <w:r w:rsidR="00A73882" w:rsidRPr="00332C8B">
        <w:rPr>
          <w:rFonts w:asciiTheme="minorHAnsi" w:hAnsiTheme="minorHAnsi" w:cstheme="minorHAnsi"/>
          <w:color w:val="000000" w:themeColor="text1"/>
          <w:sz w:val="22"/>
          <w:szCs w:val="22"/>
        </w:rPr>
        <w:t xml:space="preserve">and iii) ensuring that </w:t>
      </w:r>
      <w:r w:rsidR="001F4085" w:rsidRPr="00332C8B">
        <w:rPr>
          <w:rFonts w:asciiTheme="minorHAnsi" w:hAnsiTheme="minorHAnsi" w:cstheme="minorHAnsi"/>
          <w:color w:val="000000" w:themeColor="text1"/>
          <w:sz w:val="22"/>
          <w:szCs w:val="22"/>
        </w:rPr>
        <w:t xml:space="preserve">proprietary algorithms </w:t>
      </w:r>
      <w:r w:rsidR="00371EC8" w:rsidRPr="00332C8B">
        <w:rPr>
          <w:rFonts w:asciiTheme="minorHAnsi" w:hAnsiTheme="minorHAnsi" w:cstheme="minorHAnsi"/>
          <w:color w:val="000000" w:themeColor="text1"/>
          <w:sz w:val="22"/>
          <w:szCs w:val="22"/>
        </w:rPr>
        <w:t xml:space="preserve">used </w:t>
      </w:r>
      <w:r w:rsidR="00A73882" w:rsidRPr="00332C8B">
        <w:rPr>
          <w:rFonts w:asciiTheme="minorHAnsi" w:hAnsiTheme="minorHAnsi" w:cstheme="minorHAnsi"/>
          <w:color w:val="000000" w:themeColor="text1"/>
          <w:sz w:val="22"/>
          <w:szCs w:val="22"/>
        </w:rPr>
        <w:t xml:space="preserve">to derive estimates of body composition have been </w:t>
      </w:r>
      <w:r w:rsidR="001F4085" w:rsidRPr="00332C8B">
        <w:rPr>
          <w:rFonts w:asciiTheme="minorHAnsi" w:hAnsiTheme="minorHAnsi" w:cstheme="minorHAnsi"/>
          <w:color w:val="000000" w:themeColor="text1"/>
          <w:sz w:val="22"/>
          <w:szCs w:val="22"/>
        </w:rPr>
        <w:t xml:space="preserve">validated in </w:t>
      </w:r>
      <w:r w:rsidR="00B8184D" w:rsidRPr="00332C8B">
        <w:rPr>
          <w:rFonts w:asciiTheme="minorHAnsi" w:hAnsiTheme="minorHAnsi" w:cstheme="minorHAnsi"/>
          <w:color w:val="000000" w:themeColor="text1"/>
          <w:sz w:val="22"/>
          <w:szCs w:val="22"/>
        </w:rPr>
        <w:t xml:space="preserve">the population being sampled. </w:t>
      </w:r>
      <w:r w:rsidR="00371EC8" w:rsidRPr="00332C8B">
        <w:rPr>
          <w:rFonts w:asciiTheme="minorHAnsi" w:hAnsiTheme="minorHAnsi" w:cstheme="minorHAnsi"/>
          <w:color w:val="000000" w:themeColor="text1"/>
          <w:sz w:val="22"/>
          <w:szCs w:val="22"/>
        </w:rPr>
        <w:t>The apparent differences in risk thresholds or cut offs reported between studies may be attributable to both differences in study populations and/or technical aspects of measurement and so need further study as does whether interventions targeted at those below such thresholds are associated with better outcomes for patients with cancer undergoing surgery.</w:t>
      </w:r>
    </w:p>
    <w:p w14:paraId="26A149D3" w14:textId="77777777" w:rsidR="00140F99" w:rsidRPr="00332C8B" w:rsidRDefault="00140F99" w:rsidP="00F0414E">
      <w:pPr>
        <w:spacing w:line="480" w:lineRule="auto"/>
        <w:rPr>
          <w:rFonts w:asciiTheme="minorHAnsi" w:hAnsiTheme="minorHAnsi" w:cstheme="minorHAnsi"/>
          <w:color w:val="000000" w:themeColor="text1"/>
          <w:sz w:val="22"/>
          <w:szCs w:val="22"/>
        </w:rPr>
      </w:pPr>
    </w:p>
    <w:p w14:paraId="6B9EDADF" w14:textId="77777777" w:rsidR="00F72368" w:rsidRPr="00332C8B" w:rsidRDefault="00F72368" w:rsidP="00F0414E">
      <w:pPr>
        <w:pStyle w:val="ListParagraph"/>
        <w:numPr>
          <w:ilvl w:val="0"/>
          <w:numId w:val="9"/>
        </w:numPr>
        <w:spacing w:line="480" w:lineRule="auto"/>
        <w:rPr>
          <w:rFonts w:asciiTheme="minorHAnsi" w:hAnsiTheme="minorHAnsi" w:cstheme="minorHAnsi"/>
          <w:b/>
          <w:bCs/>
          <w:color w:val="000000" w:themeColor="text1"/>
          <w:sz w:val="22"/>
          <w:szCs w:val="22"/>
        </w:rPr>
      </w:pPr>
      <w:r w:rsidRPr="00332C8B">
        <w:rPr>
          <w:rFonts w:asciiTheme="minorHAnsi" w:hAnsiTheme="minorHAnsi" w:cstheme="minorHAnsi"/>
          <w:b/>
          <w:bCs/>
          <w:color w:val="000000" w:themeColor="text1"/>
          <w:sz w:val="22"/>
          <w:szCs w:val="22"/>
        </w:rPr>
        <w:t>Conclusions and future directions</w:t>
      </w:r>
    </w:p>
    <w:p w14:paraId="483F8BAE" w14:textId="77777777" w:rsidR="002D62C1" w:rsidRPr="00332C8B" w:rsidRDefault="002D62C1" w:rsidP="00F0414E">
      <w:pPr>
        <w:spacing w:line="480" w:lineRule="auto"/>
        <w:rPr>
          <w:rFonts w:asciiTheme="minorHAnsi" w:hAnsiTheme="minorHAnsi" w:cstheme="minorHAnsi"/>
          <w:color w:val="000000" w:themeColor="text1"/>
          <w:sz w:val="22"/>
          <w:szCs w:val="22"/>
        </w:rPr>
      </w:pPr>
    </w:p>
    <w:p w14:paraId="31ECBC11" w14:textId="1B3A9C91" w:rsidR="00757C49" w:rsidRPr="00332C8B" w:rsidRDefault="008F6E63" w:rsidP="00F0414E">
      <w:pPr>
        <w:spacing w:line="480" w:lineRule="auto"/>
        <w:rPr>
          <w:rFonts w:asciiTheme="minorHAnsi" w:hAnsiTheme="minorHAnsi" w:cstheme="minorHAnsi"/>
          <w:color w:val="000000" w:themeColor="text1"/>
          <w:sz w:val="22"/>
          <w:szCs w:val="22"/>
        </w:rPr>
      </w:pPr>
      <w:r w:rsidRPr="00332C8B">
        <w:rPr>
          <w:rFonts w:asciiTheme="minorHAnsi" w:hAnsiTheme="minorHAnsi" w:cstheme="minorHAnsi"/>
          <w:color w:val="000000" w:themeColor="text1"/>
          <w:sz w:val="22"/>
          <w:szCs w:val="22"/>
        </w:rPr>
        <w:t>T</w:t>
      </w:r>
      <w:r w:rsidR="00757C49" w:rsidRPr="00332C8B">
        <w:rPr>
          <w:rFonts w:asciiTheme="minorHAnsi" w:hAnsiTheme="minorHAnsi" w:cstheme="minorHAnsi"/>
          <w:color w:val="000000" w:themeColor="text1"/>
          <w:sz w:val="22"/>
          <w:szCs w:val="22"/>
        </w:rPr>
        <w:t>he findings of this review</w:t>
      </w:r>
      <w:r w:rsidR="00757C49" w:rsidRPr="00332C8B">
        <w:rPr>
          <w:rFonts w:ascii="Calibri" w:hAnsi="Calibri" w:cs="Calibri"/>
          <w:color w:val="000000"/>
          <w:sz w:val="22"/>
          <w:szCs w:val="22"/>
        </w:rPr>
        <w:t xml:space="preserve"> suggest that impedance</w:t>
      </w:r>
      <w:r w:rsidR="00757C49" w:rsidRPr="00332C8B">
        <w:rPr>
          <w:rFonts w:asciiTheme="minorHAnsi" w:hAnsiTheme="minorHAnsi" w:cstheme="minorHAnsi"/>
          <w:color w:val="000000"/>
          <w:sz w:val="22"/>
          <w:szCs w:val="22"/>
          <w:lang w:eastAsia="en-GB"/>
        </w:rPr>
        <w:t xml:space="preserve"> measures and </w:t>
      </w:r>
      <w:r w:rsidR="00B8184D" w:rsidRPr="00332C8B">
        <w:rPr>
          <w:rFonts w:asciiTheme="minorHAnsi" w:hAnsiTheme="minorHAnsi" w:cstheme="minorHAnsi"/>
          <w:color w:val="000000"/>
          <w:sz w:val="22"/>
          <w:szCs w:val="22"/>
          <w:lang w:eastAsia="en-GB"/>
        </w:rPr>
        <w:t xml:space="preserve">derived </w:t>
      </w:r>
      <w:r w:rsidR="00757C49" w:rsidRPr="00332C8B">
        <w:rPr>
          <w:rFonts w:asciiTheme="minorHAnsi" w:hAnsiTheme="minorHAnsi" w:cstheme="minorHAnsi"/>
          <w:color w:val="000000"/>
          <w:sz w:val="22"/>
          <w:szCs w:val="22"/>
          <w:lang w:eastAsia="en-GB"/>
        </w:rPr>
        <w:t xml:space="preserve">estimates of body composition determined by BIA </w:t>
      </w:r>
      <w:r w:rsidR="00757C49" w:rsidRPr="00332C8B">
        <w:rPr>
          <w:rFonts w:ascii="Calibri" w:hAnsi="Calibri" w:cs="Calibri"/>
          <w:color w:val="000000"/>
          <w:sz w:val="22"/>
          <w:szCs w:val="22"/>
        </w:rPr>
        <w:t xml:space="preserve">may have a role in predicting the likelihood of a patient with cancer having complications after planned surgery. </w:t>
      </w:r>
      <w:r w:rsidR="00B8184D" w:rsidRPr="00332C8B">
        <w:rPr>
          <w:rFonts w:ascii="Calibri" w:hAnsi="Calibri" w:cs="Calibri"/>
          <w:color w:val="000000"/>
          <w:sz w:val="22"/>
          <w:szCs w:val="22"/>
        </w:rPr>
        <w:t>Lack of standardi</w:t>
      </w:r>
      <w:r w:rsidR="004150ED">
        <w:rPr>
          <w:rFonts w:ascii="Calibri" w:hAnsi="Calibri" w:cs="Calibri"/>
          <w:color w:val="000000"/>
          <w:sz w:val="22"/>
          <w:szCs w:val="22"/>
        </w:rPr>
        <w:t>z</w:t>
      </w:r>
      <w:r w:rsidR="00B8184D" w:rsidRPr="00332C8B">
        <w:rPr>
          <w:rFonts w:ascii="Calibri" w:hAnsi="Calibri" w:cs="Calibri"/>
          <w:color w:val="000000"/>
          <w:sz w:val="22"/>
          <w:szCs w:val="22"/>
        </w:rPr>
        <w:t xml:space="preserve">ation in the reporting of BIA makes comparisons between studies difficult, however phase angle more consistently demonstrated an association with complications than </w:t>
      </w:r>
      <w:r w:rsidR="00226ED8" w:rsidRPr="00332C8B">
        <w:rPr>
          <w:rFonts w:ascii="Calibri" w:hAnsi="Calibri" w:cs="Calibri"/>
          <w:color w:val="000000"/>
          <w:sz w:val="22"/>
          <w:szCs w:val="22"/>
        </w:rPr>
        <w:t xml:space="preserve">derived </w:t>
      </w:r>
      <w:r w:rsidR="00B8184D" w:rsidRPr="00332C8B">
        <w:rPr>
          <w:rFonts w:ascii="Calibri" w:hAnsi="Calibri" w:cs="Calibri"/>
          <w:color w:val="000000"/>
          <w:sz w:val="22"/>
          <w:szCs w:val="22"/>
        </w:rPr>
        <w:t>estimates of body composition. W</w:t>
      </w:r>
      <w:r w:rsidR="00757C49" w:rsidRPr="00332C8B">
        <w:rPr>
          <w:rFonts w:ascii="Calibri" w:hAnsi="Calibri" w:cs="Calibri"/>
          <w:color w:val="000000"/>
          <w:sz w:val="22"/>
          <w:szCs w:val="22"/>
        </w:rPr>
        <w:t xml:space="preserve">e encourage future work to report both the </w:t>
      </w:r>
      <w:r w:rsidR="00B8184D" w:rsidRPr="00332C8B">
        <w:rPr>
          <w:rFonts w:ascii="Calibri" w:hAnsi="Calibri" w:cs="Calibri"/>
          <w:color w:val="000000"/>
          <w:sz w:val="22"/>
          <w:szCs w:val="22"/>
        </w:rPr>
        <w:t xml:space="preserve">raw impedance </w:t>
      </w:r>
      <w:r w:rsidR="00757C49" w:rsidRPr="00332C8B">
        <w:rPr>
          <w:rFonts w:ascii="Calibri" w:hAnsi="Calibri" w:cs="Calibri"/>
          <w:color w:val="000000"/>
          <w:sz w:val="22"/>
          <w:szCs w:val="22"/>
        </w:rPr>
        <w:t>values</w:t>
      </w:r>
      <w:r w:rsidR="00B8184D" w:rsidRPr="00332C8B">
        <w:rPr>
          <w:rFonts w:ascii="Calibri" w:hAnsi="Calibri" w:cs="Calibri"/>
          <w:color w:val="000000"/>
          <w:sz w:val="22"/>
          <w:szCs w:val="22"/>
        </w:rPr>
        <w:t>, standardi</w:t>
      </w:r>
      <w:r w:rsidR="004150ED">
        <w:rPr>
          <w:rFonts w:ascii="Calibri" w:hAnsi="Calibri" w:cs="Calibri"/>
          <w:color w:val="000000"/>
          <w:sz w:val="22"/>
          <w:szCs w:val="22"/>
        </w:rPr>
        <w:t>z</w:t>
      </w:r>
      <w:r w:rsidR="00B8184D" w:rsidRPr="00332C8B">
        <w:rPr>
          <w:rFonts w:ascii="Calibri" w:hAnsi="Calibri" w:cs="Calibri"/>
          <w:color w:val="000000"/>
          <w:sz w:val="22"/>
          <w:szCs w:val="22"/>
        </w:rPr>
        <w:t xml:space="preserve">ed phase angle and the </w:t>
      </w:r>
      <w:r w:rsidR="00757C49" w:rsidRPr="00332C8B">
        <w:rPr>
          <w:rFonts w:ascii="Calibri" w:hAnsi="Calibri" w:cs="Calibri"/>
          <w:color w:val="000000"/>
          <w:sz w:val="22"/>
          <w:szCs w:val="22"/>
        </w:rPr>
        <w:t xml:space="preserve">equations used to derive lean mass, where relevant. </w:t>
      </w:r>
      <w:r w:rsidR="00387C44" w:rsidRPr="00332C8B">
        <w:rPr>
          <w:rFonts w:ascii="Calibri" w:hAnsi="Calibri" w:cs="Calibri"/>
          <w:color w:val="000000"/>
          <w:sz w:val="22"/>
          <w:szCs w:val="22"/>
        </w:rPr>
        <w:t xml:space="preserve">These studies should be adequately powered to detect a difference in complications. </w:t>
      </w:r>
      <w:r w:rsidR="006E215A" w:rsidRPr="00332C8B">
        <w:rPr>
          <w:rFonts w:ascii="Calibri" w:hAnsi="Calibri" w:cs="Calibri"/>
          <w:color w:val="000000"/>
          <w:sz w:val="22"/>
          <w:szCs w:val="22"/>
        </w:rPr>
        <w:t>Bioelectrical</w:t>
      </w:r>
      <w:r w:rsidRPr="00332C8B">
        <w:rPr>
          <w:rFonts w:ascii="Calibri" w:hAnsi="Calibri" w:cs="Calibri"/>
          <w:color w:val="000000"/>
          <w:sz w:val="22"/>
          <w:szCs w:val="22"/>
        </w:rPr>
        <w:t xml:space="preserve"> </w:t>
      </w:r>
      <w:r w:rsidR="006E215A" w:rsidRPr="00332C8B">
        <w:rPr>
          <w:rFonts w:ascii="Calibri" w:hAnsi="Calibri" w:cs="Calibri"/>
          <w:color w:val="000000"/>
          <w:sz w:val="22"/>
          <w:szCs w:val="22"/>
        </w:rPr>
        <w:t>impedance</w:t>
      </w:r>
      <w:r w:rsidRPr="00332C8B">
        <w:rPr>
          <w:rFonts w:ascii="Calibri" w:hAnsi="Calibri" w:cs="Calibri"/>
          <w:color w:val="000000"/>
          <w:sz w:val="22"/>
          <w:szCs w:val="22"/>
        </w:rPr>
        <w:t xml:space="preserve"> </w:t>
      </w:r>
      <w:r w:rsidR="00112F67" w:rsidRPr="00332C8B">
        <w:rPr>
          <w:rFonts w:ascii="Calibri" w:hAnsi="Calibri" w:cs="Calibri"/>
          <w:color w:val="000000"/>
          <w:sz w:val="22"/>
          <w:szCs w:val="22"/>
        </w:rPr>
        <w:t>a</w:t>
      </w:r>
      <w:r w:rsidRPr="00332C8B">
        <w:rPr>
          <w:rFonts w:ascii="Calibri" w:hAnsi="Calibri" w:cs="Calibri"/>
          <w:color w:val="000000"/>
          <w:sz w:val="22"/>
          <w:szCs w:val="22"/>
        </w:rPr>
        <w:t xml:space="preserve">nalysis may be a useful adjunct in identifying </w:t>
      </w:r>
      <w:r w:rsidR="00757C49" w:rsidRPr="00332C8B">
        <w:rPr>
          <w:rFonts w:ascii="Calibri" w:hAnsi="Calibri" w:cs="Calibri"/>
          <w:color w:val="000000"/>
          <w:sz w:val="22"/>
          <w:szCs w:val="22"/>
        </w:rPr>
        <w:t>those with complex needs requiring specialist personalised care packages</w:t>
      </w:r>
      <w:r w:rsidR="003662F1" w:rsidRPr="00332C8B">
        <w:rPr>
          <w:rFonts w:ascii="Calibri" w:hAnsi="Calibri" w:cs="Calibri"/>
          <w:color w:val="000000"/>
          <w:sz w:val="22"/>
          <w:szCs w:val="22"/>
        </w:rPr>
        <w:fldChar w:fldCharType="begin" w:fldLock="1"/>
      </w:r>
      <w:r w:rsidR="00F66CFF" w:rsidRPr="00332C8B">
        <w:rPr>
          <w:rFonts w:ascii="Calibri" w:hAnsi="Calibri" w:cs="Calibri"/>
          <w:color w:val="000000"/>
          <w:sz w:val="22"/>
          <w:szCs w:val="22"/>
        </w:rPr>
        <w:instrText>ADDIN CSL_CITATION {"citationItems":[{"id":"ITEM-1","itemData":{"URL":"https://www.england.nhs.uk/wp-content/uploads/2019/02/comprehensive-model-of-personalised-care.pdf","accessed":{"date-parts":[["2019","8","6"]]},"author":[{"dropping-particle":"","family":"England","given":"NHS","non-dropping-particle":"","parse-names":false,"suffix":""}],"id":"ITEM-1","issued":{"date-parts":[["0"]]},"title":"Comprehensive Personalised Care Model","type":"webpage"},"uris":["http://www.mendeley.com/documents/?uuid=e2860e30-4df9-4c41-977b-a8296dca713e"]}],"mendeley":{"formattedCitation":"[58]","plainTextFormattedCitation":"[58]","previouslyFormattedCitation":"[60]"},"properties":{"noteIndex":0},"schema":"https://github.com/citation-style-language/schema/raw/master/csl-citation.json"}</w:instrText>
      </w:r>
      <w:r w:rsidR="003662F1" w:rsidRPr="00332C8B">
        <w:rPr>
          <w:rFonts w:ascii="Calibri" w:hAnsi="Calibri" w:cs="Calibri"/>
          <w:color w:val="000000"/>
          <w:sz w:val="22"/>
          <w:szCs w:val="22"/>
        </w:rPr>
        <w:fldChar w:fldCharType="separate"/>
      </w:r>
      <w:r w:rsidR="00F66CFF" w:rsidRPr="00332C8B">
        <w:rPr>
          <w:rFonts w:ascii="Calibri" w:hAnsi="Calibri" w:cs="Calibri"/>
          <w:noProof/>
          <w:color w:val="000000"/>
          <w:sz w:val="22"/>
          <w:szCs w:val="22"/>
        </w:rPr>
        <w:t>[58]</w:t>
      </w:r>
      <w:r w:rsidR="003662F1" w:rsidRPr="00332C8B">
        <w:rPr>
          <w:rFonts w:ascii="Calibri" w:hAnsi="Calibri" w:cs="Calibri"/>
          <w:color w:val="000000"/>
          <w:sz w:val="22"/>
          <w:szCs w:val="22"/>
        </w:rPr>
        <w:fldChar w:fldCharType="end"/>
      </w:r>
      <w:r w:rsidR="00757C49" w:rsidRPr="00332C8B">
        <w:rPr>
          <w:rFonts w:ascii="Calibri" w:hAnsi="Calibri" w:cs="Calibri"/>
          <w:color w:val="000000"/>
          <w:sz w:val="22"/>
          <w:szCs w:val="22"/>
        </w:rPr>
        <w:t xml:space="preserve"> early in cancer treatment pathways</w:t>
      </w:r>
      <w:r w:rsidR="006D055C" w:rsidRPr="00332C8B">
        <w:rPr>
          <w:rFonts w:ascii="Calibri" w:hAnsi="Calibri" w:cs="Calibri"/>
          <w:color w:val="000000"/>
          <w:sz w:val="22"/>
          <w:szCs w:val="22"/>
        </w:rPr>
        <w:t>,</w:t>
      </w:r>
      <w:r w:rsidR="00757C49" w:rsidRPr="00332C8B">
        <w:rPr>
          <w:rFonts w:ascii="Calibri" w:hAnsi="Calibri" w:cs="Calibri"/>
          <w:color w:val="000000"/>
          <w:sz w:val="22"/>
          <w:szCs w:val="22"/>
        </w:rPr>
        <w:t xml:space="preserve"> informing peri-operative risk</w:t>
      </w:r>
      <w:r w:rsidR="006D055C" w:rsidRPr="00332C8B">
        <w:rPr>
          <w:rFonts w:ascii="Calibri" w:hAnsi="Calibri" w:cs="Calibri"/>
          <w:color w:val="000000"/>
          <w:sz w:val="22"/>
          <w:szCs w:val="22"/>
        </w:rPr>
        <w:t>,</w:t>
      </w:r>
      <w:r w:rsidR="00757C49" w:rsidRPr="00332C8B">
        <w:rPr>
          <w:rFonts w:ascii="Calibri" w:hAnsi="Calibri" w:cs="Calibri"/>
          <w:color w:val="000000"/>
          <w:sz w:val="22"/>
          <w:szCs w:val="22"/>
        </w:rPr>
        <w:t xml:space="preserve"> stratification and guiding key interventions such as multimodal prehabilitation</w:t>
      </w:r>
      <w:r w:rsidR="00112F67" w:rsidRPr="00332C8B">
        <w:rPr>
          <w:rFonts w:ascii="Calibri" w:hAnsi="Calibri" w:cs="Calibri"/>
          <w:color w:val="000000"/>
          <w:sz w:val="22"/>
          <w:szCs w:val="22"/>
        </w:rPr>
        <w:t xml:space="preserve"> but further high quality studies are needed. </w:t>
      </w:r>
    </w:p>
    <w:p w14:paraId="56EB5B53" w14:textId="77777777" w:rsidR="007D4EDC" w:rsidRPr="00332C8B" w:rsidRDefault="007D4EDC" w:rsidP="00F0414E">
      <w:pPr>
        <w:spacing w:line="480" w:lineRule="auto"/>
        <w:rPr>
          <w:rFonts w:asciiTheme="minorHAnsi" w:hAnsiTheme="minorHAnsi" w:cstheme="minorHAnsi"/>
          <w:color w:val="000000" w:themeColor="text1"/>
          <w:sz w:val="22"/>
          <w:szCs w:val="22"/>
        </w:rPr>
      </w:pPr>
      <w:r w:rsidRPr="00332C8B">
        <w:rPr>
          <w:rFonts w:asciiTheme="minorHAnsi" w:hAnsiTheme="minorHAnsi" w:cstheme="minorHAnsi"/>
          <w:color w:val="000000" w:themeColor="text1"/>
          <w:sz w:val="22"/>
          <w:szCs w:val="22"/>
        </w:rPr>
        <w:br w:type="page"/>
      </w:r>
    </w:p>
    <w:p w14:paraId="22BF86F4" w14:textId="6F4B4D2F" w:rsidR="000101AB" w:rsidRPr="00332C8B" w:rsidRDefault="000101AB" w:rsidP="00F0414E">
      <w:pPr>
        <w:spacing w:line="480" w:lineRule="auto"/>
        <w:rPr>
          <w:rFonts w:asciiTheme="minorHAnsi" w:hAnsiTheme="minorHAnsi" w:cstheme="minorHAnsi"/>
          <w:b/>
          <w:color w:val="000000" w:themeColor="text1"/>
          <w:sz w:val="22"/>
          <w:szCs w:val="22"/>
        </w:rPr>
      </w:pPr>
      <w:r w:rsidRPr="00332C8B">
        <w:rPr>
          <w:rFonts w:asciiTheme="minorHAnsi" w:hAnsiTheme="minorHAnsi" w:cstheme="minorHAnsi"/>
          <w:b/>
          <w:color w:val="000000" w:themeColor="text1"/>
          <w:sz w:val="22"/>
          <w:szCs w:val="22"/>
        </w:rPr>
        <w:t>Author contributions</w:t>
      </w:r>
    </w:p>
    <w:p w14:paraId="36DCF465" w14:textId="28C4F823" w:rsidR="000101AB" w:rsidRPr="00332C8B" w:rsidRDefault="000101AB" w:rsidP="00F0414E">
      <w:pPr>
        <w:spacing w:line="480" w:lineRule="auto"/>
        <w:rPr>
          <w:rFonts w:asciiTheme="minorHAnsi" w:hAnsiTheme="minorHAnsi" w:cstheme="minorHAnsi"/>
          <w:b/>
          <w:color w:val="000000" w:themeColor="text1"/>
          <w:sz w:val="22"/>
          <w:szCs w:val="22"/>
        </w:rPr>
      </w:pPr>
    </w:p>
    <w:p w14:paraId="2770288A" w14:textId="3F179CD3" w:rsidR="000101AB" w:rsidRPr="00332C8B" w:rsidRDefault="000101AB" w:rsidP="00F0414E">
      <w:pPr>
        <w:spacing w:line="480" w:lineRule="auto"/>
        <w:rPr>
          <w:rFonts w:asciiTheme="minorHAnsi" w:hAnsiTheme="minorHAnsi" w:cstheme="minorHAnsi"/>
          <w:color w:val="000000" w:themeColor="text1"/>
          <w:sz w:val="22"/>
          <w:szCs w:val="22"/>
        </w:rPr>
      </w:pPr>
      <w:r w:rsidRPr="00332C8B">
        <w:rPr>
          <w:rFonts w:asciiTheme="minorHAnsi" w:hAnsiTheme="minorHAnsi" w:cstheme="minorHAnsi"/>
          <w:b/>
          <w:color w:val="000000" w:themeColor="text1"/>
          <w:sz w:val="22"/>
          <w:szCs w:val="22"/>
        </w:rPr>
        <w:t xml:space="preserve">Lewis Matthews: </w:t>
      </w:r>
      <w:r w:rsidRPr="00332C8B">
        <w:rPr>
          <w:rFonts w:asciiTheme="minorHAnsi" w:hAnsiTheme="minorHAnsi" w:cstheme="minorHAnsi"/>
          <w:color w:val="000000" w:themeColor="text1"/>
          <w:sz w:val="22"/>
          <w:szCs w:val="22"/>
        </w:rPr>
        <w:t xml:space="preserve">Conceptualization, </w:t>
      </w:r>
      <w:r w:rsidR="00FF1A39" w:rsidRPr="00332C8B">
        <w:rPr>
          <w:rFonts w:asciiTheme="minorHAnsi" w:hAnsiTheme="minorHAnsi" w:cstheme="minorHAnsi"/>
          <w:color w:val="000000" w:themeColor="text1"/>
          <w:sz w:val="22"/>
          <w:szCs w:val="22"/>
        </w:rPr>
        <w:t xml:space="preserve">Formal analysis, </w:t>
      </w:r>
      <w:r w:rsidRPr="00332C8B">
        <w:rPr>
          <w:rFonts w:asciiTheme="minorHAnsi" w:hAnsiTheme="minorHAnsi" w:cstheme="minorHAnsi"/>
          <w:color w:val="000000" w:themeColor="text1"/>
          <w:sz w:val="22"/>
          <w:szCs w:val="22"/>
        </w:rPr>
        <w:t>Investigation</w:t>
      </w:r>
      <w:r w:rsidR="00FF1A39" w:rsidRPr="00332C8B">
        <w:rPr>
          <w:rFonts w:asciiTheme="minorHAnsi" w:hAnsiTheme="minorHAnsi" w:cstheme="minorHAnsi"/>
          <w:color w:val="000000" w:themeColor="text1"/>
          <w:sz w:val="22"/>
          <w:szCs w:val="22"/>
        </w:rPr>
        <w:t>, Writing – Original draft</w:t>
      </w:r>
    </w:p>
    <w:p w14:paraId="4E943734" w14:textId="40C8AB14" w:rsidR="000101AB" w:rsidRPr="00332C8B" w:rsidRDefault="000101AB" w:rsidP="00F0414E">
      <w:pPr>
        <w:spacing w:line="480" w:lineRule="auto"/>
        <w:rPr>
          <w:rFonts w:asciiTheme="minorHAnsi" w:hAnsiTheme="minorHAnsi" w:cstheme="minorHAnsi"/>
          <w:b/>
          <w:color w:val="000000" w:themeColor="text1"/>
          <w:sz w:val="22"/>
          <w:szCs w:val="22"/>
        </w:rPr>
      </w:pPr>
      <w:r w:rsidRPr="00332C8B">
        <w:rPr>
          <w:rFonts w:asciiTheme="minorHAnsi" w:hAnsiTheme="minorHAnsi" w:cstheme="minorHAnsi"/>
          <w:b/>
          <w:color w:val="000000" w:themeColor="text1"/>
          <w:sz w:val="22"/>
          <w:szCs w:val="22"/>
        </w:rPr>
        <w:t xml:space="preserve">Andrew Bates: </w:t>
      </w:r>
      <w:r w:rsidR="00FF1A39" w:rsidRPr="00332C8B">
        <w:rPr>
          <w:rFonts w:asciiTheme="minorHAnsi" w:hAnsiTheme="minorHAnsi" w:cstheme="minorHAnsi"/>
          <w:color w:val="000000" w:themeColor="text1"/>
          <w:sz w:val="22"/>
          <w:szCs w:val="22"/>
        </w:rPr>
        <w:t>Formal analysis</w:t>
      </w:r>
      <w:r w:rsidRPr="00332C8B">
        <w:rPr>
          <w:rFonts w:asciiTheme="minorHAnsi" w:hAnsiTheme="minorHAnsi" w:cstheme="minorHAnsi"/>
          <w:color w:val="000000" w:themeColor="text1"/>
          <w:sz w:val="22"/>
          <w:szCs w:val="22"/>
        </w:rPr>
        <w:t>, Investigation</w:t>
      </w:r>
      <w:r w:rsidR="00FF1A39" w:rsidRPr="00332C8B">
        <w:rPr>
          <w:rFonts w:asciiTheme="minorHAnsi" w:hAnsiTheme="minorHAnsi" w:cstheme="minorHAnsi"/>
          <w:color w:val="000000" w:themeColor="text1"/>
          <w:sz w:val="22"/>
          <w:szCs w:val="22"/>
        </w:rPr>
        <w:t>, Writing – Review and editing</w:t>
      </w:r>
    </w:p>
    <w:p w14:paraId="5EC35E38" w14:textId="5DC4FC81" w:rsidR="000101AB" w:rsidRPr="00332C8B" w:rsidRDefault="000101AB" w:rsidP="00F0414E">
      <w:pPr>
        <w:spacing w:line="480" w:lineRule="auto"/>
        <w:rPr>
          <w:rFonts w:asciiTheme="minorHAnsi" w:hAnsiTheme="minorHAnsi" w:cstheme="minorHAnsi"/>
          <w:b/>
          <w:color w:val="000000" w:themeColor="text1"/>
          <w:sz w:val="22"/>
          <w:szCs w:val="22"/>
        </w:rPr>
      </w:pPr>
      <w:r w:rsidRPr="00332C8B">
        <w:rPr>
          <w:rFonts w:asciiTheme="minorHAnsi" w:hAnsiTheme="minorHAnsi" w:cstheme="minorHAnsi"/>
          <w:b/>
          <w:color w:val="000000" w:themeColor="text1"/>
          <w:sz w:val="22"/>
          <w:szCs w:val="22"/>
        </w:rPr>
        <w:t>Stephen Wootton</w:t>
      </w:r>
      <w:r w:rsidR="00FF1A39" w:rsidRPr="00332C8B">
        <w:rPr>
          <w:rFonts w:asciiTheme="minorHAnsi" w:hAnsiTheme="minorHAnsi" w:cstheme="minorHAnsi"/>
          <w:b/>
          <w:color w:val="000000" w:themeColor="text1"/>
          <w:sz w:val="22"/>
          <w:szCs w:val="22"/>
        </w:rPr>
        <w:t xml:space="preserve">: </w:t>
      </w:r>
      <w:r w:rsidR="00FF1A39" w:rsidRPr="00332C8B">
        <w:rPr>
          <w:rFonts w:asciiTheme="minorHAnsi" w:hAnsiTheme="minorHAnsi" w:cstheme="minorHAnsi"/>
          <w:color w:val="000000" w:themeColor="text1"/>
          <w:sz w:val="22"/>
          <w:szCs w:val="22"/>
        </w:rPr>
        <w:t>Writing – Review and editing, Supervision</w:t>
      </w:r>
    </w:p>
    <w:p w14:paraId="4ADA7082" w14:textId="2FDC98F7" w:rsidR="000101AB" w:rsidRPr="00332C8B" w:rsidRDefault="000101AB" w:rsidP="00F0414E">
      <w:pPr>
        <w:spacing w:line="480" w:lineRule="auto"/>
        <w:rPr>
          <w:rFonts w:asciiTheme="minorHAnsi" w:hAnsiTheme="minorHAnsi" w:cstheme="minorHAnsi"/>
          <w:b/>
          <w:color w:val="000000" w:themeColor="text1"/>
          <w:sz w:val="22"/>
          <w:szCs w:val="22"/>
        </w:rPr>
      </w:pPr>
      <w:r w:rsidRPr="00332C8B">
        <w:rPr>
          <w:rFonts w:asciiTheme="minorHAnsi" w:hAnsiTheme="minorHAnsi" w:cstheme="minorHAnsi"/>
          <w:b/>
          <w:color w:val="000000" w:themeColor="text1"/>
          <w:sz w:val="22"/>
          <w:szCs w:val="22"/>
        </w:rPr>
        <w:t>Denny Levett</w:t>
      </w:r>
      <w:r w:rsidR="00FF1A39" w:rsidRPr="00332C8B">
        <w:rPr>
          <w:rFonts w:asciiTheme="minorHAnsi" w:hAnsiTheme="minorHAnsi" w:cstheme="minorHAnsi"/>
          <w:b/>
          <w:color w:val="000000" w:themeColor="text1"/>
          <w:sz w:val="22"/>
          <w:szCs w:val="22"/>
        </w:rPr>
        <w:t xml:space="preserve">: </w:t>
      </w:r>
      <w:r w:rsidR="00FF1A39" w:rsidRPr="00332C8B">
        <w:rPr>
          <w:rFonts w:asciiTheme="minorHAnsi" w:hAnsiTheme="minorHAnsi" w:cstheme="minorHAnsi"/>
          <w:color w:val="000000" w:themeColor="text1"/>
          <w:sz w:val="22"/>
          <w:szCs w:val="22"/>
        </w:rPr>
        <w:t>Writing – Review and editing, Supervision</w:t>
      </w:r>
    </w:p>
    <w:p w14:paraId="250D67BE" w14:textId="77777777" w:rsidR="000101AB" w:rsidRPr="00332C8B" w:rsidRDefault="000101AB" w:rsidP="00F0414E">
      <w:pPr>
        <w:spacing w:line="480" w:lineRule="auto"/>
        <w:rPr>
          <w:rFonts w:asciiTheme="minorHAnsi" w:hAnsiTheme="minorHAnsi" w:cstheme="minorHAnsi"/>
          <w:b/>
          <w:color w:val="000000" w:themeColor="text1"/>
          <w:sz w:val="22"/>
          <w:szCs w:val="22"/>
        </w:rPr>
      </w:pPr>
    </w:p>
    <w:p w14:paraId="572BF100" w14:textId="3F4DC1B7" w:rsidR="00591A6C" w:rsidRPr="00332C8B" w:rsidRDefault="00591A6C" w:rsidP="00F0414E">
      <w:pPr>
        <w:spacing w:line="480" w:lineRule="auto"/>
        <w:rPr>
          <w:rFonts w:asciiTheme="minorHAnsi" w:hAnsiTheme="minorHAnsi" w:cstheme="minorHAnsi"/>
          <w:b/>
          <w:color w:val="000000" w:themeColor="text1"/>
          <w:sz w:val="22"/>
          <w:szCs w:val="22"/>
        </w:rPr>
      </w:pPr>
      <w:r w:rsidRPr="00332C8B">
        <w:rPr>
          <w:rFonts w:asciiTheme="minorHAnsi" w:hAnsiTheme="minorHAnsi" w:cstheme="minorHAnsi"/>
          <w:b/>
          <w:color w:val="000000" w:themeColor="text1"/>
          <w:sz w:val="22"/>
          <w:szCs w:val="22"/>
        </w:rPr>
        <w:t>Acknowledgements</w:t>
      </w:r>
    </w:p>
    <w:p w14:paraId="1966AB59" w14:textId="60B9B3FE" w:rsidR="004E31C3" w:rsidRPr="00332C8B" w:rsidRDefault="004E31C3" w:rsidP="00F0414E">
      <w:pPr>
        <w:spacing w:line="480" w:lineRule="auto"/>
        <w:rPr>
          <w:rFonts w:asciiTheme="minorHAnsi" w:hAnsiTheme="minorHAnsi" w:cstheme="minorHAnsi"/>
          <w:b/>
          <w:color w:val="000000" w:themeColor="text1"/>
          <w:sz w:val="22"/>
          <w:szCs w:val="22"/>
        </w:rPr>
      </w:pPr>
    </w:p>
    <w:p w14:paraId="4F3AF41C" w14:textId="3446296C" w:rsidR="004E31C3" w:rsidRPr="00332C8B" w:rsidRDefault="004E31C3" w:rsidP="00F0414E">
      <w:pPr>
        <w:spacing w:line="480" w:lineRule="auto"/>
        <w:rPr>
          <w:rFonts w:asciiTheme="minorHAnsi" w:hAnsiTheme="minorHAnsi" w:cstheme="minorHAnsi"/>
          <w:color w:val="000000" w:themeColor="text1"/>
          <w:sz w:val="22"/>
          <w:szCs w:val="22"/>
        </w:rPr>
      </w:pPr>
      <w:r w:rsidRPr="00332C8B">
        <w:rPr>
          <w:rFonts w:asciiTheme="minorHAnsi" w:hAnsiTheme="minorHAnsi" w:cstheme="minorHAnsi"/>
          <w:color w:val="000000" w:themeColor="text1"/>
          <w:sz w:val="22"/>
          <w:szCs w:val="22"/>
        </w:rPr>
        <w:t>The authors would like to thank Paula Sands, Librarian at University Hospital Southampton, for her assistance with design of the search strategy.</w:t>
      </w:r>
    </w:p>
    <w:p w14:paraId="684B9076" w14:textId="77777777" w:rsidR="00591A6C" w:rsidRPr="00332C8B" w:rsidRDefault="00591A6C" w:rsidP="00F0414E">
      <w:pPr>
        <w:spacing w:line="480" w:lineRule="auto"/>
        <w:rPr>
          <w:rFonts w:asciiTheme="minorHAnsi" w:hAnsiTheme="minorHAnsi" w:cstheme="minorHAnsi"/>
          <w:b/>
          <w:color w:val="000000" w:themeColor="text1"/>
          <w:sz w:val="22"/>
          <w:szCs w:val="22"/>
        </w:rPr>
      </w:pPr>
    </w:p>
    <w:p w14:paraId="687E2A2C" w14:textId="4208D7CC" w:rsidR="00371EC8" w:rsidRPr="00332C8B" w:rsidRDefault="00591A6C" w:rsidP="00F0414E">
      <w:pPr>
        <w:spacing w:line="480" w:lineRule="auto"/>
        <w:rPr>
          <w:rFonts w:asciiTheme="minorHAnsi" w:hAnsiTheme="minorHAnsi" w:cstheme="minorHAnsi"/>
          <w:b/>
          <w:color w:val="000000" w:themeColor="text1"/>
          <w:sz w:val="22"/>
          <w:szCs w:val="22"/>
        </w:rPr>
      </w:pPr>
      <w:r w:rsidRPr="00332C8B">
        <w:rPr>
          <w:rFonts w:asciiTheme="minorHAnsi" w:hAnsiTheme="minorHAnsi" w:cstheme="minorHAnsi"/>
          <w:b/>
          <w:color w:val="000000" w:themeColor="text1"/>
          <w:sz w:val="22"/>
          <w:szCs w:val="22"/>
        </w:rPr>
        <w:t>Funding</w:t>
      </w:r>
    </w:p>
    <w:p w14:paraId="39B74D6E" w14:textId="2C31C622" w:rsidR="0049256B" w:rsidRPr="00332C8B" w:rsidRDefault="0049256B" w:rsidP="00F0414E">
      <w:pPr>
        <w:spacing w:line="480" w:lineRule="auto"/>
        <w:rPr>
          <w:rFonts w:asciiTheme="minorHAnsi" w:hAnsiTheme="minorHAnsi" w:cstheme="minorHAnsi"/>
          <w:color w:val="000000" w:themeColor="text1"/>
          <w:sz w:val="22"/>
          <w:szCs w:val="22"/>
        </w:rPr>
      </w:pPr>
    </w:p>
    <w:p w14:paraId="0C8AD3E8" w14:textId="52320807" w:rsidR="0049256B" w:rsidRPr="00332C8B" w:rsidRDefault="0049256B" w:rsidP="00F0414E">
      <w:pPr>
        <w:spacing w:line="480" w:lineRule="auto"/>
        <w:rPr>
          <w:rFonts w:asciiTheme="minorHAnsi" w:hAnsiTheme="minorHAnsi" w:cstheme="minorHAnsi"/>
          <w:color w:val="000000" w:themeColor="text1"/>
          <w:sz w:val="22"/>
          <w:szCs w:val="22"/>
        </w:rPr>
      </w:pPr>
      <w:r w:rsidRPr="00332C8B">
        <w:rPr>
          <w:rFonts w:asciiTheme="minorHAnsi" w:hAnsiTheme="minorHAnsi" w:cstheme="minorHAnsi"/>
          <w:color w:val="000000"/>
          <w:sz w:val="22"/>
          <w:szCs w:val="22"/>
          <w:shd w:val="clear" w:color="auto" w:fill="FFFFFF"/>
        </w:rPr>
        <w:t>This work was completed whilst LM was funded by a National Institute for Health Research (NIHR) academic clinical fellowship</w:t>
      </w:r>
      <w:r w:rsidR="004E31C3" w:rsidRPr="00332C8B">
        <w:rPr>
          <w:rFonts w:asciiTheme="minorHAnsi" w:hAnsiTheme="minorHAnsi" w:cstheme="minorHAnsi"/>
          <w:color w:val="000000"/>
          <w:sz w:val="22"/>
          <w:szCs w:val="22"/>
          <w:shd w:val="clear" w:color="auto" w:fill="FFFFFF"/>
        </w:rPr>
        <w:t>.</w:t>
      </w:r>
      <w:r w:rsidRPr="00332C8B">
        <w:rPr>
          <w:rFonts w:asciiTheme="minorHAnsi" w:hAnsiTheme="minorHAnsi" w:cstheme="minorHAnsi"/>
          <w:color w:val="000000"/>
          <w:sz w:val="22"/>
          <w:szCs w:val="22"/>
          <w:shd w:val="clear" w:color="auto" w:fill="FFFFFF"/>
        </w:rPr>
        <w:t xml:space="preserve"> AB is currently funded by a National Institute for Health Research NIHR pre-doctoral clinical academic fellowship for this research project. This article presents independent rese</w:t>
      </w:r>
      <w:r w:rsidR="00D96884" w:rsidRPr="00332C8B">
        <w:rPr>
          <w:rFonts w:asciiTheme="minorHAnsi" w:hAnsiTheme="minorHAnsi" w:cstheme="minorHAnsi"/>
          <w:color w:val="000000"/>
          <w:sz w:val="22"/>
          <w:szCs w:val="22"/>
          <w:shd w:val="clear" w:color="auto" w:fill="FFFFFF"/>
        </w:rPr>
        <w:t>arch funded by the NIHR</w:t>
      </w:r>
      <w:r w:rsidRPr="00332C8B">
        <w:rPr>
          <w:rFonts w:asciiTheme="minorHAnsi" w:hAnsiTheme="minorHAnsi" w:cstheme="minorHAnsi"/>
          <w:color w:val="000000"/>
          <w:sz w:val="22"/>
          <w:szCs w:val="22"/>
          <w:shd w:val="clear" w:color="auto" w:fill="FFFFFF"/>
        </w:rPr>
        <w:t>. The views expressed are those of the authors and not necessarily those of the NHS, the NIHR or the Department of Health and Social Care.</w:t>
      </w:r>
    </w:p>
    <w:p w14:paraId="5D29F3C2" w14:textId="77777777" w:rsidR="00371EC8" w:rsidRPr="00332C8B" w:rsidRDefault="00371EC8" w:rsidP="00F0414E">
      <w:pPr>
        <w:spacing w:line="480" w:lineRule="auto"/>
        <w:rPr>
          <w:rFonts w:asciiTheme="minorHAnsi" w:hAnsiTheme="minorHAnsi" w:cstheme="minorHAnsi"/>
          <w:color w:val="000000" w:themeColor="text1"/>
          <w:sz w:val="22"/>
          <w:szCs w:val="22"/>
        </w:rPr>
      </w:pPr>
    </w:p>
    <w:p w14:paraId="247224F4" w14:textId="77777777" w:rsidR="007D4EDC" w:rsidRPr="00332C8B" w:rsidRDefault="00371EC8" w:rsidP="00F0414E">
      <w:pPr>
        <w:spacing w:line="480" w:lineRule="auto"/>
        <w:rPr>
          <w:rFonts w:asciiTheme="minorHAnsi" w:hAnsiTheme="minorHAnsi" w:cstheme="minorHAnsi"/>
          <w:b/>
          <w:color w:val="000000" w:themeColor="text1"/>
          <w:sz w:val="22"/>
          <w:szCs w:val="22"/>
        </w:rPr>
      </w:pPr>
      <w:r w:rsidRPr="00332C8B">
        <w:rPr>
          <w:rFonts w:asciiTheme="minorHAnsi" w:hAnsiTheme="minorHAnsi" w:cstheme="minorHAnsi"/>
          <w:b/>
          <w:color w:val="000000" w:themeColor="text1"/>
          <w:sz w:val="22"/>
          <w:szCs w:val="22"/>
        </w:rPr>
        <w:t>Potential conflicts of interest</w:t>
      </w:r>
    </w:p>
    <w:p w14:paraId="74A5E938" w14:textId="72C4AEDD" w:rsidR="00112F67" w:rsidRPr="00332C8B" w:rsidRDefault="00112F67" w:rsidP="00F0414E">
      <w:pPr>
        <w:spacing w:line="480" w:lineRule="auto"/>
        <w:rPr>
          <w:rFonts w:asciiTheme="minorHAnsi" w:hAnsiTheme="minorHAnsi" w:cstheme="minorHAnsi"/>
          <w:color w:val="000000" w:themeColor="text1"/>
          <w:sz w:val="22"/>
          <w:szCs w:val="22"/>
        </w:rPr>
      </w:pPr>
    </w:p>
    <w:p w14:paraId="25185EA1" w14:textId="6ACC7C57" w:rsidR="00313D5A" w:rsidRDefault="00371EC8" w:rsidP="00F0414E">
      <w:pPr>
        <w:spacing w:line="480" w:lineRule="auto"/>
        <w:rPr>
          <w:rFonts w:asciiTheme="minorHAnsi" w:hAnsiTheme="minorHAnsi" w:cstheme="minorHAnsi"/>
          <w:b/>
          <w:bCs/>
          <w:color w:val="000000" w:themeColor="text1"/>
          <w:sz w:val="22"/>
          <w:szCs w:val="22"/>
        </w:rPr>
      </w:pPr>
      <w:r w:rsidRPr="00332C8B">
        <w:rPr>
          <w:rFonts w:asciiTheme="minorHAnsi" w:hAnsiTheme="minorHAnsi" w:cstheme="minorHAnsi"/>
          <w:color w:val="000000" w:themeColor="text1"/>
          <w:sz w:val="22"/>
          <w:szCs w:val="22"/>
        </w:rPr>
        <w:t>SAW h</w:t>
      </w:r>
      <w:r w:rsidR="00112F67" w:rsidRPr="00332C8B">
        <w:rPr>
          <w:rFonts w:asciiTheme="minorHAnsi" w:hAnsiTheme="minorHAnsi" w:cstheme="minorHAnsi"/>
          <w:color w:val="000000" w:themeColor="text1"/>
          <w:sz w:val="22"/>
          <w:szCs w:val="22"/>
        </w:rPr>
        <w:t xml:space="preserve">olds </w:t>
      </w:r>
      <w:r w:rsidRPr="00332C8B">
        <w:rPr>
          <w:rFonts w:asciiTheme="minorHAnsi" w:hAnsiTheme="minorHAnsi" w:cstheme="minorHAnsi"/>
          <w:color w:val="000000" w:themeColor="text1"/>
          <w:sz w:val="22"/>
          <w:szCs w:val="22"/>
        </w:rPr>
        <w:t xml:space="preserve">an Investigator-led Collaborative Research Agreement </w:t>
      </w:r>
      <w:r w:rsidR="00112F67" w:rsidRPr="00332C8B">
        <w:rPr>
          <w:rFonts w:asciiTheme="minorHAnsi" w:hAnsiTheme="minorHAnsi" w:cstheme="minorHAnsi"/>
          <w:color w:val="000000" w:themeColor="text1"/>
          <w:sz w:val="22"/>
          <w:szCs w:val="22"/>
        </w:rPr>
        <w:t xml:space="preserve">between </w:t>
      </w:r>
      <w:r w:rsidR="009A0E6A" w:rsidRPr="00332C8B">
        <w:rPr>
          <w:rFonts w:asciiTheme="minorHAnsi" w:hAnsiTheme="minorHAnsi" w:cstheme="minorHAnsi"/>
          <w:color w:val="000000" w:themeColor="text1"/>
          <w:sz w:val="22"/>
          <w:szCs w:val="22"/>
        </w:rPr>
        <w:t>S</w:t>
      </w:r>
      <w:r w:rsidRPr="00332C8B">
        <w:rPr>
          <w:rFonts w:asciiTheme="minorHAnsi" w:hAnsiTheme="minorHAnsi" w:cstheme="minorHAnsi"/>
          <w:color w:val="000000" w:themeColor="text1"/>
          <w:sz w:val="22"/>
          <w:szCs w:val="22"/>
        </w:rPr>
        <w:t xml:space="preserve">eca </w:t>
      </w:r>
      <w:r w:rsidR="00112F67" w:rsidRPr="00332C8B">
        <w:rPr>
          <w:rFonts w:asciiTheme="minorHAnsi" w:hAnsiTheme="minorHAnsi" w:cstheme="minorHAnsi"/>
          <w:color w:val="000000" w:themeColor="text1"/>
          <w:sz w:val="22"/>
          <w:szCs w:val="22"/>
        </w:rPr>
        <w:t xml:space="preserve">Medical Measuring Systems and Scales </w:t>
      </w:r>
      <w:r w:rsidRPr="00332C8B">
        <w:rPr>
          <w:rFonts w:asciiTheme="minorHAnsi" w:hAnsiTheme="minorHAnsi" w:cstheme="minorHAnsi"/>
          <w:color w:val="000000" w:themeColor="text1"/>
          <w:sz w:val="22"/>
          <w:szCs w:val="22"/>
        </w:rPr>
        <w:t>and the University of Southampton</w:t>
      </w:r>
      <w:r w:rsidR="00112F67" w:rsidRPr="00332C8B">
        <w:rPr>
          <w:rFonts w:asciiTheme="minorHAnsi" w:hAnsiTheme="minorHAnsi" w:cstheme="minorHAnsi"/>
          <w:color w:val="000000" w:themeColor="text1"/>
          <w:sz w:val="22"/>
          <w:szCs w:val="22"/>
        </w:rPr>
        <w:t>/</w:t>
      </w:r>
      <w:r w:rsidRPr="00332C8B">
        <w:rPr>
          <w:rFonts w:asciiTheme="minorHAnsi" w:hAnsiTheme="minorHAnsi" w:cstheme="minorHAnsi"/>
          <w:color w:val="000000" w:themeColor="text1"/>
          <w:sz w:val="22"/>
          <w:szCs w:val="22"/>
        </w:rPr>
        <w:t xml:space="preserve">Southampton University Hospitals NHS Trust; </w:t>
      </w:r>
      <w:r w:rsidR="0049256B" w:rsidRPr="00332C8B">
        <w:rPr>
          <w:rFonts w:asciiTheme="minorHAnsi" w:hAnsiTheme="minorHAnsi" w:cstheme="minorHAnsi"/>
          <w:color w:val="000000" w:themeColor="text1"/>
          <w:sz w:val="22"/>
          <w:szCs w:val="22"/>
        </w:rPr>
        <w:t>S</w:t>
      </w:r>
      <w:r w:rsidRPr="00332C8B">
        <w:rPr>
          <w:rFonts w:asciiTheme="minorHAnsi" w:hAnsiTheme="minorHAnsi" w:cstheme="minorHAnsi"/>
          <w:color w:val="000000" w:themeColor="text1"/>
          <w:sz w:val="22"/>
          <w:szCs w:val="22"/>
        </w:rPr>
        <w:t>eca played no part in the design, conduct or interpretation of the work reported in this publication.</w:t>
      </w:r>
      <w:r>
        <w:rPr>
          <w:rFonts w:asciiTheme="minorHAnsi" w:hAnsiTheme="minorHAnsi" w:cstheme="minorHAnsi"/>
          <w:color w:val="000000" w:themeColor="text1"/>
          <w:sz w:val="22"/>
          <w:szCs w:val="22"/>
        </w:rPr>
        <w:t xml:space="preserve"> </w:t>
      </w:r>
      <w:r w:rsidR="00313D5A">
        <w:rPr>
          <w:rFonts w:asciiTheme="minorHAnsi" w:hAnsiTheme="minorHAnsi" w:cstheme="minorHAnsi"/>
          <w:b/>
          <w:bCs/>
          <w:color w:val="000000" w:themeColor="text1"/>
          <w:sz w:val="22"/>
          <w:szCs w:val="22"/>
        </w:rPr>
        <w:br w:type="page"/>
      </w:r>
    </w:p>
    <w:p w14:paraId="61F7AC3E" w14:textId="589D4978" w:rsidR="002D62C1" w:rsidRPr="00591E11" w:rsidRDefault="002D62C1" w:rsidP="00F0414E">
      <w:pPr>
        <w:spacing w:line="480" w:lineRule="auto"/>
        <w:rPr>
          <w:rFonts w:asciiTheme="minorHAnsi" w:hAnsiTheme="minorHAnsi" w:cstheme="minorHAnsi"/>
          <w:b/>
          <w:bCs/>
          <w:color w:val="000000" w:themeColor="text1"/>
          <w:sz w:val="22"/>
          <w:szCs w:val="22"/>
        </w:rPr>
      </w:pPr>
      <w:r w:rsidRPr="00591E11">
        <w:rPr>
          <w:rFonts w:asciiTheme="minorHAnsi" w:hAnsiTheme="minorHAnsi" w:cstheme="minorHAnsi"/>
          <w:b/>
          <w:bCs/>
          <w:color w:val="000000" w:themeColor="text1"/>
          <w:sz w:val="22"/>
          <w:szCs w:val="22"/>
        </w:rPr>
        <w:t>References</w:t>
      </w:r>
    </w:p>
    <w:p w14:paraId="7597BF15" w14:textId="77777777" w:rsidR="00D03030" w:rsidRPr="00591E11" w:rsidRDefault="00D03030" w:rsidP="00F0414E">
      <w:pPr>
        <w:spacing w:line="480" w:lineRule="auto"/>
        <w:rPr>
          <w:rFonts w:asciiTheme="minorHAnsi" w:hAnsiTheme="minorHAnsi" w:cstheme="minorHAnsi"/>
          <w:color w:val="000000" w:themeColor="text1"/>
          <w:sz w:val="22"/>
          <w:szCs w:val="22"/>
        </w:rPr>
      </w:pPr>
    </w:p>
    <w:p w14:paraId="24EDC646" w14:textId="27093155" w:rsidR="00062A36" w:rsidRPr="00062A36" w:rsidRDefault="003662F1" w:rsidP="00F0414E">
      <w:pPr>
        <w:widowControl w:val="0"/>
        <w:autoSpaceDE w:val="0"/>
        <w:autoSpaceDN w:val="0"/>
        <w:adjustRightInd w:val="0"/>
        <w:spacing w:line="480" w:lineRule="auto"/>
        <w:ind w:left="640" w:hanging="640"/>
        <w:rPr>
          <w:rFonts w:ascii="Calibri" w:hAnsi="Calibri" w:cs="Calibri"/>
          <w:noProof/>
          <w:sz w:val="22"/>
        </w:rPr>
      </w:pPr>
      <w:r w:rsidRPr="00591E11">
        <w:rPr>
          <w:rFonts w:asciiTheme="minorHAnsi" w:hAnsiTheme="minorHAnsi" w:cstheme="minorHAnsi"/>
          <w:color w:val="000000" w:themeColor="text1"/>
          <w:sz w:val="22"/>
          <w:szCs w:val="22"/>
        </w:rPr>
        <w:fldChar w:fldCharType="begin" w:fldLock="1"/>
      </w:r>
      <w:r w:rsidR="00D03030" w:rsidRPr="00591E11">
        <w:rPr>
          <w:rFonts w:asciiTheme="minorHAnsi" w:hAnsiTheme="minorHAnsi" w:cstheme="minorHAnsi"/>
          <w:color w:val="000000" w:themeColor="text1"/>
          <w:sz w:val="22"/>
          <w:szCs w:val="22"/>
        </w:rPr>
        <w:instrText xml:space="preserve">ADDIN Mendeley Bibliography CSL_BIBLIOGRAPHY </w:instrText>
      </w:r>
      <w:r w:rsidRPr="00591E11">
        <w:rPr>
          <w:rFonts w:asciiTheme="minorHAnsi" w:hAnsiTheme="minorHAnsi" w:cstheme="minorHAnsi"/>
          <w:color w:val="000000" w:themeColor="text1"/>
          <w:sz w:val="22"/>
          <w:szCs w:val="22"/>
        </w:rPr>
        <w:fldChar w:fldCharType="separate"/>
      </w:r>
      <w:r w:rsidR="00F66CFF" w:rsidRPr="00F66CFF">
        <w:rPr>
          <w:rFonts w:ascii="Calibri" w:hAnsi="Calibri" w:cs="Calibri"/>
          <w:noProof/>
          <w:sz w:val="22"/>
        </w:rPr>
        <w:t>[1]</w:t>
      </w:r>
      <w:r w:rsidR="00F66CFF" w:rsidRPr="00F66CFF">
        <w:rPr>
          <w:rFonts w:ascii="Calibri" w:hAnsi="Calibri" w:cs="Calibri"/>
          <w:noProof/>
          <w:sz w:val="22"/>
        </w:rPr>
        <w:tab/>
      </w:r>
      <w:r w:rsidR="00062A36" w:rsidRPr="00062A36">
        <w:rPr>
          <w:rFonts w:ascii="Calibri" w:hAnsi="Calibri" w:cs="Calibri"/>
          <w:noProof/>
          <w:sz w:val="22"/>
        </w:rPr>
        <w:t>Sullivan R, Alatise OI, Anderson BO, Audisio R, Autier P, Aggarwal A, et al. Global cancer surgery: Delivering safe, affordable, and timely cancer surgery. Lancet Oncol 2015. https://doi.org/10.1016/S1470-2045(15)00223-5.</w:t>
      </w:r>
    </w:p>
    <w:p w14:paraId="50DC2D5E" w14:textId="77777777" w:rsidR="00062A36" w:rsidRPr="00062A36" w:rsidRDefault="00062A36" w:rsidP="00F0414E">
      <w:pPr>
        <w:widowControl w:val="0"/>
        <w:autoSpaceDE w:val="0"/>
        <w:autoSpaceDN w:val="0"/>
        <w:adjustRightInd w:val="0"/>
        <w:spacing w:line="480" w:lineRule="auto"/>
        <w:ind w:left="640" w:hanging="640"/>
        <w:rPr>
          <w:rFonts w:ascii="Calibri" w:hAnsi="Calibri" w:cs="Calibri"/>
          <w:noProof/>
          <w:sz w:val="22"/>
        </w:rPr>
      </w:pPr>
      <w:r w:rsidRPr="00062A36">
        <w:rPr>
          <w:rFonts w:ascii="Calibri" w:hAnsi="Calibri" w:cs="Calibri"/>
          <w:noProof/>
          <w:sz w:val="22"/>
        </w:rPr>
        <w:t>[2]</w:t>
      </w:r>
      <w:r w:rsidRPr="00062A36">
        <w:rPr>
          <w:rFonts w:ascii="Calibri" w:hAnsi="Calibri" w:cs="Calibri"/>
          <w:noProof/>
          <w:sz w:val="22"/>
        </w:rPr>
        <w:tab/>
        <w:t>Gillis C, Carli F. Promoting perioperative metabolic and nutritional care. Anesthesiology 2015. https://doi.org/10.1097/ALN.0000000000000795.</w:t>
      </w:r>
    </w:p>
    <w:p w14:paraId="29C542FF" w14:textId="77777777" w:rsidR="00062A36" w:rsidRPr="00062A36" w:rsidRDefault="00062A36" w:rsidP="00F0414E">
      <w:pPr>
        <w:widowControl w:val="0"/>
        <w:autoSpaceDE w:val="0"/>
        <w:autoSpaceDN w:val="0"/>
        <w:adjustRightInd w:val="0"/>
        <w:spacing w:line="480" w:lineRule="auto"/>
        <w:ind w:left="640" w:hanging="640"/>
        <w:rPr>
          <w:rFonts w:ascii="Calibri" w:hAnsi="Calibri" w:cs="Calibri"/>
          <w:noProof/>
          <w:sz w:val="22"/>
        </w:rPr>
      </w:pPr>
      <w:r w:rsidRPr="00062A36">
        <w:rPr>
          <w:rFonts w:ascii="Calibri" w:hAnsi="Calibri" w:cs="Calibri"/>
          <w:noProof/>
          <w:sz w:val="22"/>
        </w:rPr>
        <w:t>[3]</w:t>
      </w:r>
      <w:r w:rsidRPr="00062A36">
        <w:rPr>
          <w:rFonts w:ascii="Calibri" w:hAnsi="Calibri" w:cs="Calibri"/>
          <w:noProof/>
          <w:sz w:val="22"/>
        </w:rPr>
        <w:tab/>
        <w:t>Arends J, Bachmann P, Baracos V, Barthelemy N, Bertz H, Bozzetti F, et al. ESPEN guidelines on nutrition in cancer patients. Clin Nutr 2017. https://doi.org/10.1016/j.clnu.2016.07.015.</w:t>
      </w:r>
    </w:p>
    <w:p w14:paraId="0FA7EDEE" w14:textId="77777777" w:rsidR="00062A36" w:rsidRPr="00062A36" w:rsidRDefault="00062A36" w:rsidP="00F0414E">
      <w:pPr>
        <w:widowControl w:val="0"/>
        <w:autoSpaceDE w:val="0"/>
        <w:autoSpaceDN w:val="0"/>
        <w:adjustRightInd w:val="0"/>
        <w:spacing w:line="480" w:lineRule="auto"/>
        <w:ind w:left="640" w:hanging="640"/>
        <w:rPr>
          <w:rFonts w:ascii="Calibri" w:hAnsi="Calibri" w:cs="Calibri"/>
          <w:noProof/>
          <w:sz w:val="22"/>
        </w:rPr>
      </w:pPr>
      <w:r w:rsidRPr="00062A36">
        <w:rPr>
          <w:rFonts w:ascii="Calibri" w:hAnsi="Calibri" w:cs="Calibri"/>
          <w:noProof/>
          <w:sz w:val="22"/>
        </w:rPr>
        <w:t>[4]</w:t>
      </w:r>
      <w:r w:rsidRPr="00062A36">
        <w:rPr>
          <w:rFonts w:ascii="Calibri" w:hAnsi="Calibri" w:cs="Calibri"/>
          <w:noProof/>
          <w:sz w:val="22"/>
        </w:rPr>
        <w:tab/>
        <w:t>Mak M, Bell K, Ng W, Lee M. Nutritional status, management and clinical outcomes in patients with esophageal and gastro-oesophageal cancers: A descriptive study. Nutr Diet 2017. https://doi.org/10.1111/1747-0080.12306.</w:t>
      </w:r>
    </w:p>
    <w:p w14:paraId="385F8D44" w14:textId="77777777" w:rsidR="00062A36" w:rsidRPr="00062A36" w:rsidRDefault="00062A36" w:rsidP="00F0414E">
      <w:pPr>
        <w:widowControl w:val="0"/>
        <w:autoSpaceDE w:val="0"/>
        <w:autoSpaceDN w:val="0"/>
        <w:adjustRightInd w:val="0"/>
        <w:spacing w:line="480" w:lineRule="auto"/>
        <w:ind w:left="640" w:hanging="640"/>
        <w:rPr>
          <w:rFonts w:ascii="Calibri" w:hAnsi="Calibri" w:cs="Calibri"/>
          <w:noProof/>
          <w:sz w:val="22"/>
        </w:rPr>
      </w:pPr>
      <w:r w:rsidRPr="00062A36">
        <w:rPr>
          <w:rFonts w:ascii="Calibri" w:hAnsi="Calibri" w:cs="Calibri"/>
          <w:noProof/>
          <w:sz w:val="22"/>
        </w:rPr>
        <w:t>[5]</w:t>
      </w:r>
      <w:r w:rsidRPr="00062A36">
        <w:rPr>
          <w:rFonts w:ascii="Calibri" w:hAnsi="Calibri" w:cs="Calibri"/>
          <w:noProof/>
          <w:sz w:val="22"/>
        </w:rPr>
        <w:tab/>
        <w:t>Martin L, Senesse P, Gioulbasanis I, Antoun S, Bozzetti F, Deans C, et al. Diagnostic criteria for the classification of cancer-associated weight loss. J Clin Oncol 2015;33:90–9. https://doi.org/10.1200/jco.2014.56.1894.</w:t>
      </w:r>
    </w:p>
    <w:p w14:paraId="44BB4052" w14:textId="77777777" w:rsidR="00062A36" w:rsidRPr="00062A36" w:rsidRDefault="00062A36" w:rsidP="00F0414E">
      <w:pPr>
        <w:widowControl w:val="0"/>
        <w:autoSpaceDE w:val="0"/>
        <w:autoSpaceDN w:val="0"/>
        <w:adjustRightInd w:val="0"/>
        <w:spacing w:line="480" w:lineRule="auto"/>
        <w:ind w:left="640" w:hanging="640"/>
        <w:rPr>
          <w:rFonts w:ascii="Calibri" w:hAnsi="Calibri" w:cs="Calibri"/>
          <w:noProof/>
          <w:sz w:val="22"/>
        </w:rPr>
      </w:pPr>
      <w:r w:rsidRPr="00062A36">
        <w:rPr>
          <w:rFonts w:ascii="Calibri" w:hAnsi="Calibri" w:cs="Calibri"/>
          <w:noProof/>
          <w:sz w:val="22"/>
        </w:rPr>
        <w:t>[6]</w:t>
      </w:r>
      <w:r w:rsidRPr="00062A36">
        <w:rPr>
          <w:rFonts w:ascii="Calibri" w:hAnsi="Calibri" w:cs="Calibri"/>
          <w:noProof/>
          <w:sz w:val="22"/>
        </w:rPr>
        <w:tab/>
        <w:t>Pan H, Cai S, Ji J, Jiang Z, Liang H, Lin F, et al. The impact of nutritional status, nutritional risk, and nutritional treatment on clinical outcome of 2248 hospitalized cancer patients: a multi-center, prospective cohort study in Chinese teaching hospitals. Nutr Cancer 2013;65:62–70. https://doi.org/10.1080/01635581.2013.741752.</w:t>
      </w:r>
    </w:p>
    <w:p w14:paraId="5E9F62BA" w14:textId="77777777" w:rsidR="00062A36" w:rsidRPr="00062A36" w:rsidRDefault="00062A36" w:rsidP="00F0414E">
      <w:pPr>
        <w:widowControl w:val="0"/>
        <w:autoSpaceDE w:val="0"/>
        <w:autoSpaceDN w:val="0"/>
        <w:adjustRightInd w:val="0"/>
        <w:spacing w:line="480" w:lineRule="auto"/>
        <w:ind w:left="640" w:hanging="640"/>
        <w:rPr>
          <w:rFonts w:ascii="Calibri" w:hAnsi="Calibri" w:cs="Calibri"/>
          <w:noProof/>
          <w:sz w:val="22"/>
        </w:rPr>
      </w:pPr>
      <w:r w:rsidRPr="00062A36">
        <w:rPr>
          <w:rFonts w:ascii="Calibri" w:hAnsi="Calibri" w:cs="Calibri"/>
          <w:noProof/>
          <w:sz w:val="22"/>
        </w:rPr>
        <w:t>[7]</w:t>
      </w:r>
      <w:r w:rsidRPr="00062A36">
        <w:rPr>
          <w:rFonts w:ascii="Calibri" w:hAnsi="Calibri" w:cs="Calibri"/>
          <w:noProof/>
          <w:sz w:val="22"/>
        </w:rPr>
        <w:tab/>
        <w:t>Ghaferi AA, Birkmeyer JD, Dimick JB. Variation in hospital mortality associated with inpatient surgery. N Engl J Med 2009;361:1368–75. https://doi.org/10.1056/NEJMsa0903048.</w:t>
      </w:r>
    </w:p>
    <w:p w14:paraId="239B6AB7" w14:textId="77777777" w:rsidR="00062A36" w:rsidRPr="00062A36" w:rsidRDefault="00062A36" w:rsidP="00F0414E">
      <w:pPr>
        <w:widowControl w:val="0"/>
        <w:autoSpaceDE w:val="0"/>
        <w:autoSpaceDN w:val="0"/>
        <w:adjustRightInd w:val="0"/>
        <w:spacing w:line="480" w:lineRule="auto"/>
        <w:ind w:left="640" w:hanging="640"/>
        <w:rPr>
          <w:rFonts w:ascii="Calibri" w:hAnsi="Calibri" w:cs="Calibri"/>
          <w:noProof/>
          <w:sz w:val="22"/>
        </w:rPr>
      </w:pPr>
      <w:r w:rsidRPr="00062A36">
        <w:rPr>
          <w:rFonts w:ascii="Calibri" w:hAnsi="Calibri" w:cs="Calibri"/>
          <w:noProof/>
          <w:sz w:val="22"/>
        </w:rPr>
        <w:t>[8]</w:t>
      </w:r>
      <w:r w:rsidRPr="00062A36">
        <w:rPr>
          <w:rFonts w:ascii="Calibri" w:hAnsi="Calibri" w:cs="Calibri"/>
          <w:noProof/>
          <w:sz w:val="22"/>
        </w:rPr>
        <w:tab/>
        <w:t>Moonesinghe SR, Mythen MG, Das P, Rowan KM, Grocott MPW. Risk stratification tools for predicting morbidity and mortality in adult patients undergoing major surgery: qualitative systematic review. Anesthesiology 2013;119:959–81. https://doi.org/10.1097/ALN.0b013e3182a4e94d.</w:t>
      </w:r>
    </w:p>
    <w:p w14:paraId="1C59AC99" w14:textId="77777777" w:rsidR="00062A36" w:rsidRPr="00062A36" w:rsidRDefault="00062A36" w:rsidP="00F0414E">
      <w:pPr>
        <w:widowControl w:val="0"/>
        <w:autoSpaceDE w:val="0"/>
        <w:autoSpaceDN w:val="0"/>
        <w:adjustRightInd w:val="0"/>
        <w:spacing w:line="480" w:lineRule="auto"/>
        <w:ind w:left="640" w:hanging="640"/>
        <w:rPr>
          <w:rFonts w:ascii="Calibri" w:hAnsi="Calibri" w:cs="Calibri"/>
          <w:noProof/>
          <w:sz w:val="22"/>
        </w:rPr>
      </w:pPr>
      <w:r w:rsidRPr="00062A36">
        <w:rPr>
          <w:rFonts w:ascii="Calibri" w:hAnsi="Calibri" w:cs="Calibri"/>
          <w:noProof/>
          <w:sz w:val="22"/>
        </w:rPr>
        <w:t>[9]</w:t>
      </w:r>
      <w:r w:rsidRPr="00062A36">
        <w:rPr>
          <w:rFonts w:ascii="Calibri" w:hAnsi="Calibri" w:cs="Calibri"/>
          <w:noProof/>
          <w:sz w:val="22"/>
        </w:rPr>
        <w:tab/>
        <w:t>Scheede-Bergdahl C, Minnella EM, Carli F. Multi-modal prehabilitation: addressing the why, when, what, how, who and where next? Anaesthesia 2019. https://doi.org/10.1111/anae.14505.</w:t>
      </w:r>
    </w:p>
    <w:p w14:paraId="373F3350" w14:textId="77777777" w:rsidR="00062A36" w:rsidRPr="00062A36" w:rsidRDefault="00062A36" w:rsidP="00F0414E">
      <w:pPr>
        <w:widowControl w:val="0"/>
        <w:autoSpaceDE w:val="0"/>
        <w:autoSpaceDN w:val="0"/>
        <w:adjustRightInd w:val="0"/>
        <w:spacing w:line="480" w:lineRule="auto"/>
        <w:ind w:left="640" w:hanging="640"/>
        <w:rPr>
          <w:rFonts w:ascii="Calibri" w:hAnsi="Calibri" w:cs="Calibri"/>
          <w:noProof/>
          <w:sz w:val="22"/>
        </w:rPr>
      </w:pPr>
      <w:r w:rsidRPr="00062A36">
        <w:rPr>
          <w:rFonts w:ascii="Calibri" w:hAnsi="Calibri" w:cs="Calibri"/>
          <w:noProof/>
          <w:sz w:val="22"/>
        </w:rPr>
        <w:t>[10]</w:t>
      </w:r>
      <w:r w:rsidRPr="00062A36">
        <w:rPr>
          <w:rFonts w:ascii="Calibri" w:hAnsi="Calibri" w:cs="Calibri"/>
          <w:noProof/>
          <w:sz w:val="22"/>
        </w:rPr>
        <w:tab/>
        <w:t>Scally CP, Thumma JR, Birkmeyer JD, Dimick JB. Impact of Surgical Quality Improvement on Payments in Medicare Patients. Ann Surg 2015;262:249–52. https://doi.org/10.1097/SLA.0000000000001069.</w:t>
      </w:r>
    </w:p>
    <w:p w14:paraId="0EA053B7" w14:textId="77777777" w:rsidR="00062A36" w:rsidRPr="00062A36" w:rsidRDefault="00062A36" w:rsidP="00F0414E">
      <w:pPr>
        <w:widowControl w:val="0"/>
        <w:autoSpaceDE w:val="0"/>
        <w:autoSpaceDN w:val="0"/>
        <w:adjustRightInd w:val="0"/>
        <w:spacing w:line="480" w:lineRule="auto"/>
        <w:ind w:left="640" w:hanging="640"/>
        <w:rPr>
          <w:rFonts w:ascii="Calibri" w:hAnsi="Calibri" w:cs="Calibri"/>
          <w:noProof/>
          <w:sz w:val="22"/>
        </w:rPr>
      </w:pPr>
      <w:r w:rsidRPr="00062A36">
        <w:rPr>
          <w:rFonts w:ascii="Calibri" w:hAnsi="Calibri" w:cs="Calibri"/>
          <w:noProof/>
          <w:sz w:val="22"/>
        </w:rPr>
        <w:t>[11]</w:t>
      </w:r>
      <w:r w:rsidRPr="00062A36">
        <w:rPr>
          <w:rFonts w:ascii="Calibri" w:hAnsi="Calibri" w:cs="Calibri"/>
          <w:noProof/>
          <w:sz w:val="22"/>
        </w:rPr>
        <w:tab/>
        <w:t>Horowitz M, Neeman E, Sharon E, Ben-Eliyahu S. Exploiting the critical perioperative period to improve long-term cancer outcomes. Nat Rev Clin Oncol 2015;12:213–26. https://doi.org/10.1038/nrclinonc.2014.224.</w:t>
      </w:r>
    </w:p>
    <w:p w14:paraId="37B84A2E" w14:textId="77777777" w:rsidR="00062A36" w:rsidRPr="00062A36" w:rsidRDefault="00062A36" w:rsidP="00F0414E">
      <w:pPr>
        <w:widowControl w:val="0"/>
        <w:autoSpaceDE w:val="0"/>
        <w:autoSpaceDN w:val="0"/>
        <w:adjustRightInd w:val="0"/>
        <w:spacing w:line="480" w:lineRule="auto"/>
        <w:ind w:left="640" w:hanging="640"/>
        <w:rPr>
          <w:rFonts w:ascii="Calibri" w:hAnsi="Calibri" w:cs="Calibri"/>
          <w:noProof/>
          <w:sz w:val="22"/>
        </w:rPr>
      </w:pPr>
      <w:r w:rsidRPr="00062A36">
        <w:rPr>
          <w:rFonts w:ascii="Calibri" w:hAnsi="Calibri" w:cs="Calibri"/>
          <w:noProof/>
          <w:sz w:val="22"/>
        </w:rPr>
        <w:t>[12]</w:t>
      </w:r>
      <w:r w:rsidRPr="00062A36">
        <w:rPr>
          <w:rFonts w:ascii="Calibri" w:hAnsi="Calibri" w:cs="Calibri"/>
          <w:noProof/>
          <w:sz w:val="22"/>
        </w:rPr>
        <w:tab/>
        <w:t>Levett DZH, Jack S, Swart M, Carlisle J, Wilson J, Snowden C, et al. Perioperative cardiopulmonary exercise testing (CPET): consensus clinical guidelines on indications, organization, conduct, and physiological interpretation. Br J Anaesth 2018. https://doi.org/10.1016/j.bja.2017.10.020.</w:t>
      </w:r>
    </w:p>
    <w:p w14:paraId="3402911E" w14:textId="77777777" w:rsidR="00062A36" w:rsidRPr="00062A36" w:rsidRDefault="00062A36" w:rsidP="00F0414E">
      <w:pPr>
        <w:widowControl w:val="0"/>
        <w:autoSpaceDE w:val="0"/>
        <w:autoSpaceDN w:val="0"/>
        <w:adjustRightInd w:val="0"/>
        <w:spacing w:line="480" w:lineRule="auto"/>
        <w:ind w:left="640" w:hanging="640"/>
        <w:rPr>
          <w:rFonts w:ascii="Calibri" w:hAnsi="Calibri" w:cs="Calibri"/>
          <w:noProof/>
          <w:sz w:val="22"/>
        </w:rPr>
      </w:pPr>
      <w:r w:rsidRPr="00062A36">
        <w:rPr>
          <w:rFonts w:ascii="Calibri" w:hAnsi="Calibri" w:cs="Calibri"/>
          <w:noProof/>
          <w:sz w:val="22"/>
        </w:rPr>
        <w:t>[13]</w:t>
      </w:r>
      <w:r w:rsidRPr="00062A36">
        <w:rPr>
          <w:rFonts w:ascii="Calibri" w:hAnsi="Calibri" w:cs="Calibri"/>
          <w:noProof/>
          <w:sz w:val="22"/>
        </w:rPr>
        <w:tab/>
        <w:t>Kyle UG, Morabia A, Slosman DO, Mensi N, Unger P, Pichard C. Contribution of body composition to nutritional assessment at hospital admission in 995 patients: a controlled population study. Br J Nutr 2001. https://doi.org/10.1079/bjn2001470.</w:t>
      </w:r>
    </w:p>
    <w:p w14:paraId="6185ED89" w14:textId="77777777" w:rsidR="00062A36" w:rsidRPr="00062A36" w:rsidRDefault="00062A36" w:rsidP="00F0414E">
      <w:pPr>
        <w:widowControl w:val="0"/>
        <w:autoSpaceDE w:val="0"/>
        <w:autoSpaceDN w:val="0"/>
        <w:adjustRightInd w:val="0"/>
        <w:spacing w:line="480" w:lineRule="auto"/>
        <w:ind w:left="640" w:hanging="640"/>
        <w:rPr>
          <w:rFonts w:ascii="Calibri" w:hAnsi="Calibri" w:cs="Calibri"/>
          <w:noProof/>
          <w:sz w:val="22"/>
        </w:rPr>
      </w:pPr>
      <w:r w:rsidRPr="00062A36">
        <w:rPr>
          <w:rFonts w:ascii="Calibri" w:hAnsi="Calibri" w:cs="Calibri"/>
          <w:noProof/>
          <w:sz w:val="22"/>
        </w:rPr>
        <w:t>[14]</w:t>
      </w:r>
      <w:r w:rsidRPr="00062A36">
        <w:rPr>
          <w:rFonts w:ascii="Calibri" w:hAnsi="Calibri" w:cs="Calibri"/>
          <w:noProof/>
          <w:sz w:val="22"/>
        </w:rPr>
        <w:tab/>
        <w:t>Pichard C, Kyle UG, Morabia A, Perrier A, Vermeulen B, Unger P. Nutritional assessment: Lean body mass depletion at hospital admission is associated with an increased length of stay. Am J Clin Nutr 2004. https://doi.org/10.1093/ajcn/79.4.613.</w:t>
      </w:r>
    </w:p>
    <w:p w14:paraId="69F67F1A" w14:textId="77777777" w:rsidR="00062A36" w:rsidRPr="00062A36" w:rsidRDefault="00062A36" w:rsidP="00F0414E">
      <w:pPr>
        <w:widowControl w:val="0"/>
        <w:autoSpaceDE w:val="0"/>
        <w:autoSpaceDN w:val="0"/>
        <w:adjustRightInd w:val="0"/>
        <w:spacing w:line="480" w:lineRule="auto"/>
        <w:ind w:left="640" w:hanging="640"/>
        <w:rPr>
          <w:rFonts w:ascii="Calibri" w:hAnsi="Calibri" w:cs="Calibri"/>
          <w:noProof/>
          <w:sz w:val="22"/>
        </w:rPr>
      </w:pPr>
      <w:r w:rsidRPr="00062A36">
        <w:rPr>
          <w:rFonts w:ascii="Calibri" w:hAnsi="Calibri" w:cs="Calibri"/>
          <w:noProof/>
          <w:sz w:val="22"/>
        </w:rPr>
        <w:t>[15]</w:t>
      </w:r>
      <w:r w:rsidRPr="00062A36">
        <w:rPr>
          <w:rFonts w:ascii="Calibri" w:hAnsi="Calibri" w:cs="Calibri"/>
          <w:noProof/>
          <w:sz w:val="22"/>
        </w:rPr>
        <w:tab/>
        <w:t>Thibault R, Makhlouf AM, Mulliez A, Cristina Gonzalez M, Kekstas G, Kozjek NR, et al. Fat-free mass at admission predicts 28-day mortality in intensive care unit patients: the international prospective observational study Phase Angle Project. Intensive Care Med 2016. https://doi.org/10.1007/s00134-016-4468-3.</w:t>
      </w:r>
    </w:p>
    <w:p w14:paraId="3076FC96" w14:textId="77777777" w:rsidR="00062A36" w:rsidRPr="00062A36" w:rsidRDefault="00062A36" w:rsidP="00F0414E">
      <w:pPr>
        <w:widowControl w:val="0"/>
        <w:autoSpaceDE w:val="0"/>
        <w:autoSpaceDN w:val="0"/>
        <w:adjustRightInd w:val="0"/>
        <w:spacing w:line="480" w:lineRule="auto"/>
        <w:ind w:left="640" w:hanging="640"/>
        <w:rPr>
          <w:rFonts w:ascii="Calibri" w:hAnsi="Calibri" w:cs="Calibri"/>
          <w:noProof/>
          <w:sz w:val="22"/>
        </w:rPr>
      </w:pPr>
      <w:r w:rsidRPr="00062A36">
        <w:rPr>
          <w:rFonts w:ascii="Calibri" w:hAnsi="Calibri" w:cs="Calibri"/>
          <w:noProof/>
          <w:sz w:val="22"/>
        </w:rPr>
        <w:t>[16]</w:t>
      </w:r>
      <w:r w:rsidRPr="00062A36">
        <w:rPr>
          <w:rFonts w:ascii="Calibri" w:hAnsi="Calibri" w:cs="Calibri"/>
          <w:noProof/>
          <w:sz w:val="22"/>
        </w:rPr>
        <w:tab/>
        <w:t>Kyle UG, Bosaeus I, De Lorenzo AD, Deurenberg P, Elia M, Manuel Gómez J, et al. Bioelectrical impedance analysis-part II: utilization in clinical practice. Clin Nutr 2004;23:1430–53. https://doi.org/10.1016/j.clnu.2004.09.012.</w:t>
      </w:r>
    </w:p>
    <w:p w14:paraId="5FC4CECC" w14:textId="77777777" w:rsidR="00062A36" w:rsidRPr="00062A36" w:rsidRDefault="00062A36" w:rsidP="00F0414E">
      <w:pPr>
        <w:widowControl w:val="0"/>
        <w:autoSpaceDE w:val="0"/>
        <w:autoSpaceDN w:val="0"/>
        <w:adjustRightInd w:val="0"/>
        <w:spacing w:line="480" w:lineRule="auto"/>
        <w:ind w:left="640" w:hanging="640"/>
        <w:rPr>
          <w:rFonts w:ascii="Calibri" w:hAnsi="Calibri" w:cs="Calibri"/>
          <w:noProof/>
          <w:sz w:val="22"/>
        </w:rPr>
      </w:pPr>
      <w:r w:rsidRPr="00062A36">
        <w:rPr>
          <w:rFonts w:ascii="Calibri" w:hAnsi="Calibri" w:cs="Calibri"/>
          <w:noProof/>
          <w:sz w:val="22"/>
        </w:rPr>
        <w:t>[17]</w:t>
      </w:r>
      <w:r w:rsidRPr="00062A36">
        <w:rPr>
          <w:rFonts w:ascii="Calibri" w:hAnsi="Calibri" w:cs="Calibri"/>
          <w:noProof/>
          <w:sz w:val="22"/>
        </w:rPr>
        <w:tab/>
        <w:t>Barbosa-Silva MCG, Barros AJD. Bioelectrical impedance analysis in clinical practice: a new perspective on its use beyond body composition equations. Curr Opin Clin Nutr Metab Care 2005;8:311–7. https://doi.org/10.1097/01.mco.0000165011.69943.39</w:t>
      </w:r>
    </w:p>
    <w:p w14:paraId="1C3E4CD1" w14:textId="77777777" w:rsidR="00062A36" w:rsidRPr="00062A36" w:rsidRDefault="00062A36" w:rsidP="00F0414E">
      <w:pPr>
        <w:widowControl w:val="0"/>
        <w:autoSpaceDE w:val="0"/>
        <w:autoSpaceDN w:val="0"/>
        <w:adjustRightInd w:val="0"/>
        <w:spacing w:line="480" w:lineRule="auto"/>
        <w:ind w:left="640" w:hanging="640"/>
        <w:rPr>
          <w:rFonts w:ascii="Calibri" w:hAnsi="Calibri" w:cs="Calibri"/>
          <w:noProof/>
          <w:sz w:val="22"/>
        </w:rPr>
      </w:pPr>
      <w:r w:rsidRPr="00062A36">
        <w:rPr>
          <w:rFonts w:ascii="Calibri" w:hAnsi="Calibri" w:cs="Calibri"/>
          <w:noProof/>
          <w:sz w:val="22"/>
        </w:rPr>
        <w:t>[18]</w:t>
      </w:r>
      <w:r w:rsidRPr="00062A36">
        <w:rPr>
          <w:rFonts w:ascii="Calibri" w:hAnsi="Calibri" w:cs="Calibri"/>
          <w:noProof/>
          <w:sz w:val="22"/>
        </w:rPr>
        <w:tab/>
        <w:t>Barbosa-Silva MCG. Subjective and objective nutritional assessment methods: What do they really assess? Curr Opin Clin Nutr Metab Care 2008;11:248–54. https://doi.org/http://dx.doi.org/10.1097/MCO.0b013e3282fba5d7.</w:t>
      </w:r>
    </w:p>
    <w:p w14:paraId="1D15A633" w14:textId="495B0332" w:rsidR="00062A36" w:rsidRPr="00062A36" w:rsidRDefault="00062A36" w:rsidP="00F0414E">
      <w:pPr>
        <w:widowControl w:val="0"/>
        <w:autoSpaceDE w:val="0"/>
        <w:autoSpaceDN w:val="0"/>
        <w:adjustRightInd w:val="0"/>
        <w:spacing w:line="480" w:lineRule="auto"/>
        <w:ind w:left="640" w:hanging="640"/>
        <w:rPr>
          <w:rFonts w:ascii="Calibri" w:hAnsi="Calibri" w:cs="Calibri"/>
          <w:noProof/>
          <w:sz w:val="22"/>
        </w:rPr>
      </w:pPr>
      <w:r w:rsidRPr="00062A36">
        <w:rPr>
          <w:rFonts w:ascii="Calibri" w:hAnsi="Calibri" w:cs="Calibri"/>
          <w:noProof/>
          <w:sz w:val="22"/>
        </w:rPr>
        <w:t>[19]</w:t>
      </w:r>
      <w:r w:rsidRPr="00062A36">
        <w:rPr>
          <w:rFonts w:ascii="Calibri" w:hAnsi="Calibri" w:cs="Calibri"/>
          <w:noProof/>
          <w:sz w:val="22"/>
        </w:rPr>
        <w:tab/>
      </w:r>
      <w:r w:rsidR="004150ED">
        <w:rPr>
          <w:rFonts w:ascii="Calibri" w:hAnsi="Calibri" w:cs="Calibri"/>
          <w:noProof/>
          <w:sz w:val="22"/>
        </w:rPr>
        <w:t>Bosy-Westphal A</w:t>
      </w:r>
      <w:r w:rsidRPr="00062A36">
        <w:rPr>
          <w:rFonts w:ascii="Calibri" w:hAnsi="Calibri" w:cs="Calibri"/>
          <w:noProof/>
          <w:sz w:val="22"/>
        </w:rPr>
        <w:t>, Danielzik S, Dörhöfer RP, Later W, Wiese S, Müller MJ. Phase angle from bioelectrical impedance analysis: Population reference values by age, sex, and body mass index. J Parenter Enter Nutr 2006. https://doi.org/10.1177/0148607106030004309.</w:t>
      </w:r>
    </w:p>
    <w:p w14:paraId="6295B5D0" w14:textId="77777777" w:rsidR="00062A36" w:rsidRPr="00062A36" w:rsidRDefault="00062A36" w:rsidP="00F0414E">
      <w:pPr>
        <w:widowControl w:val="0"/>
        <w:autoSpaceDE w:val="0"/>
        <w:autoSpaceDN w:val="0"/>
        <w:adjustRightInd w:val="0"/>
        <w:spacing w:line="480" w:lineRule="auto"/>
        <w:ind w:left="640" w:hanging="640"/>
        <w:rPr>
          <w:rFonts w:ascii="Calibri" w:hAnsi="Calibri" w:cs="Calibri"/>
          <w:noProof/>
          <w:sz w:val="22"/>
        </w:rPr>
      </w:pPr>
      <w:r w:rsidRPr="00062A36">
        <w:rPr>
          <w:rFonts w:ascii="Calibri" w:hAnsi="Calibri" w:cs="Calibri"/>
          <w:noProof/>
          <w:sz w:val="22"/>
        </w:rPr>
        <w:t>[20]</w:t>
      </w:r>
      <w:r w:rsidRPr="00062A36">
        <w:rPr>
          <w:rFonts w:ascii="Calibri" w:hAnsi="Calibri" w:cs="Calibri"/>
          <w:noProof/>
          <w:sz w:val="22"/>
        </w:rPr>
        <w:tab/>
        <w:t>Gupta D, Lammersfeld CA, Burrows JL, Dahlk SL, Vashi PG, Grutsch JF, et al. Bioelectrical impedance phase angle in clinical practice: implications for prognosis in advanced colorectal cancer. Am J Clin Nutr 2004;80:1634–8. https://doi.org/10.1093/ajcn/80.6.1634.</w:t>
      </w:r>
    </w:p>
    <w:p w14:paraId="246CCAC0" w14:textId="77777777" w:rsidR="00062A36" w:rsidRPr="00062A36" w:rsidRDefault="00062A36" w:rsidP="00F0414E">
      <w:pPr>
        <w:widowControl w:val="0"/>
        <w:autoSpaceDE w:val="0"/>
        <w:autoSpaceDN w:val="0"/>
        <w:adjustRightInd w:val="0"/>
        <w:spacing w:line="480" w:lineRule="auto"/>
        <w:ind w:left="640" w:hanging="640"/>
        <w:rPr>
          <w:rFonts w:ascii="Calibri" w:hAnsi="Calibri" w:cs="Calibri"/>
          <w:noProof/>
          <w:sz w:val="22"/>
        </w:rPr>
      </w:pPr>
      <w:r w:rsidRPr="00062A36">
        <w:rPr>
          <w:rFonts w:ascii="Calibri" w:hAnsi="Calibri" w:cs="Calibri"/>
          <w:noProof/>
          <w:sz w:val="22"/>
        </w:rPr>
        <w:t>[21]</w:t>
      </w:r>
      <w:r w:rsidRPr="00062A36">
        <w:rPr>
          <w:rFonts w:ascii="Calibri" w:hAnsi="Calibri" w:cs="Calibri"/>
          <w:noProof/>
          <w:sz w:val="22"/>
        </w:rPr>
        <w:tab/>
        <w:t>Gupta D, Lis CG, Dahlk SL, Vashi PG, Grutsch JF, Lammersfeld CA. Bioelectrical impedance phase angle as a prognostic indicator in advanced pancreatic cancer. Br J Nutr 2004;92:957–62. https://doi.org/10.1079/BJN20041292.</w:t>
      </w:r>
    </w:p>
    <w:p w14:paraId="7CAAE796" w14:textId="77777777" w:rsidR="00062A36" w:rsidRPr="00062A36" w:rsidRDefault="00062A36" w:rsidP="00F0414E">
      <w:pPr>
        <w:widowControl w:val="0"/>
        <w:autoSpaceDE w:val="0"/>
        <w:autoSpaceDN w:val="0"/>
        <w:adjustRightInd w:val="0"/>
        <w:spacing w:line="480" w:lineRule="auto"/>
        <w:ind w:left="640" w:hanging="640"/>
        <w:rPr>
          <w:rFonts w:ascii="Calibri" w:hAnsi="Calibri" w:cs="Calibri"/>
          <w:noProof/>
          <w:sz w:val="22"/>
        </w:rPr>
      </w:pPr>
      <w:r w:rsidRPr="00062A36">
        <w:rPr>
          <w:rFonts w:ascii="Calibri" w:hAnsi="Calibri" w:cs="Calibri"/>
          <w:noProof/>
          <w:sz w:val="22"/>
        </w:rPr>
        <w:t>[22]</w:t>
      </w:r>
      <w:r w:rsidRPr="00062A36">
        <w:rPr>
          <w:rFonts w:ascii="Calibri" w:hAnsi="Calibri" w:cs="Calibri"/>
          <w:noProof/>
          <w:sz w:val="22"/>
        </w:rPr>
        <w:tab/>
        <w:t>Buntzel J, Kraus T, Buntzel H, Kuttner K, Frohlich D, Oehler W, et al. Nutritional parameters for patients with head and neck cancer. Anticancer Res 2012; 32: 2119–23.</w:t>
      </w:r>
    </w:p>
    <w:p w14:paraId="43835C67" w14:textId="77777777" w:rsidR="00062A36" w:rsidRPr="00062A36" w:rsidRDefault="00062A36" w:rsidP="00F0414E">
      <w:pPr>
        <w:widowControl w:val="0"/>
        <w:autoSpaceDE w:val="0"/>
        <w:autoSpaceDN w:val="0"/>
        <w:adjustRightInd w:val="0"/>
        <w:spacing w:line="480" w:lineRule="auto"/>
        <w:ind w:left="640" w:hanging="640"/>
        <w:rPr>
          <w:rFonts w:ascii="Calibri" w:hAnsi="Calibri" w:cs="Calibri"/>
          <w:noProof/>
          <w:sz w:val="22"/>
        </w:rPr>
      </w:pPr>
      <w:r w:rsidRPr="00062A36">
        <w:rPr>
          <w:rFonts w:ascii="Calibri" w:hAnsi="Calibri" w:cs="Calibri"/>
          <w:noProof/>
          <w:sz w:val="22"/>
        </w:rPr>
        <w:t>[23]</w:t>
      </w:r>
      <w:r w:rsidRPr="00062A36">
        <w:rPr>
          <w:rFonts w:ascii="Calibri" w:hAnsi="Calibri" w:cs="Calibri"/>
          <w:noProof/>
          <w:sz w:val="22"/>
        </w:rPr>
        <w:tab/>
        <w:t>Sanchez-Lara K, Turcott JG, Juarez E, Guevara P, Nunez-Valencia C, Onate-Ocana LF, et al. Association of nutrition parameters including bioelectrical impedance and systemic inflammatory response with quality of life and prognosis in patients with advanced non-small-cell lung cancer: a prospective study. Nutr Cancer 2012;64:526–34. https://doi.org/https://dx.doi.org/10.1080/01635581.2012.668744.</w:t>
      </w:r>
    </w:p>
    <w:p w14:paraId="217CBF73" w14:textId="77777777" w:rsidR="00062A36" w:rsidRPr="00062A36" w:rsidRDefault="00062A36" w:rsidP="00F0414E">
      <w:pPr>
        <w:widowControl w:val="0"/>
        <w:autoSpaceDE w:val="0"/>
        <w:autoSpaceDN w:val="0"/>
        <w:adjustRightInd w:val="0"/>
        <w:spacing w:line="480" w:lineRule="auto"/>
        <w:ind w:left="640" w:hanging="640"/>
        <w:rPr>
          <w:rFonts w:ascii="Calibri" w:hAnsi="Calibri" w:cs="Calibri"/>
          <w:noProof/>
          <w:sz w:val="22"/>
        </w:rPr>
      </w:pPr>
      <w:r w:rsidRPr="00062A36">
        <w:rPr>
          <w:rFonts w:ascii="Calibri" w:hAnsi="Calibri" w:cs="Calibri"/>
          <w:noProof/>
          <w:sz w:val="22"/>
        </w:rPr>
        <w:t>[24]</w:t>
      </w:r>
      <w:r w:rsidRPr="00062A36">
        <w:rPr>
          <w:rFonts w:ascii="Calibri" w:hAnsi="Calibri" w:cs="Calibri"/>
          <w:noProof/>
          <w:sz w:val="22"/>
        </w:rPr>
        <w:tab/>
        <w:t>Garlini LM, Alves FD, Ceretta LB, Perry IS, Souza GC, Clausell NO. Phase angle and mortality: a systematic review. Eur J Clin Nutr 2019. https://doi.org/10.1038/s41430-018-0159-1.</w:t>
      </w:r>
    </w:p>
    <w:p w14:paraId="49C9650F" w14:textId="77777777" w:rsidR="00062A36" w:rsidRPr="00062A36" w:rsidRDefault="00062A36" w:rsidP="00F0414E">
      <w:pPr>
        <w:widowControl w:val="0"/>
        <w:autoSpaceDE w:val="0"/>
        <w:autoSpaceDN w:val="0"/>
        <w:adjustRightInd w:val="0"/>
        <w:spacing w:line="480" w:lineRule="auto"/>
        <w:ind w:left="640" w:hanging="640"/>
        <w:rPr>
          <w:rFonts w:ascii="Calibri" w:hAnsi="Calibri" w:cs="Calibri"/>
          <w:noProof/>
          <w:sz w:val="22"/>
        </w:rPr>
      </w:pPr>
      <w:r w:rsidRPr="00062A36">
        <w:rPr>
          <w:rFonts w:ascii="Calibri" w:hAnsi="Calibri" w:cs="Calibri"/>
          <w:noProof/>
          <w:sz w:val="22"/>
        </w:rPr>
        <w:t>[25]</w:t>
      </w:r>
      <w:r w:rsidRPr="00062A36">
        <w:rPr>
          <w:rFonts w:ascii="Calibri" w:hAnsi="Calibri" w:cs="Calibri"/>
          <w:noProof/>
          <w:sz w:val="22"/>
        </w:rPr>
        <w:tab/>
        <w:t>Buter H, Veenstra JA, Koopmans M, Boerma CE. Phase angle is related to outcome after ICU admission; an observational study. Clin Nutr ESPEN 2017. https://doi.org/http://dx.doi.org/10.1016/j.clnesp.2017.12.008.</w:t>
      </w:r>
    </w:p>
    <w:p w14:paraId="4E36D8D3" w14:textId="77777777" w:rsidR="00062A36" w:rsidRPr="00062A36" w:rsidRDefault="00062A36" w:rsidP="00F0414E">
      <w:pPr>
        <w:widowControl w:val="0"/>
        <w:autoSpaceDE w:val="0"/>
        <w:autoSpaceDN w:val="0"/>
        <w:adjustRightInd w:val="0"/>
        <w:spacing w:line="480" w:lineRule="auto"/>
        <w:ind w:left="640" w:hanging="640"/>
        <w:rPr>
          <w:rFonts w:ascii="Calibri" w:hAnsi="Calibri" w:cs="Calibri"/>
          <w:noProof/>
          <w:sz w:val="22"/>
        </w:rPr>
      </w:pPr>
      <w:r w:rsidRPr="00062A36">
        <w:rPr>
          <w:rFonts w:ascii="Calibri" w:hAnsi="Calibri" w:cs="Calibri"/>
          <w:noProof/>
          <w:sz w:val="22"/>
        </w:rPr>
        <w:t>[26]</w:t>
      </w:r>
      <w:r w:rsidRPr="00062A36">
        <w:rPr>
          <w:rFonts w:ascii="Calibri" w:hAnsi="Calibri" w:cs="Calibri"/>
          <w:noProof/>
          <w:sz w:val="22"/>
        </w:rPr>
        <w:tab/>
        <w:t>Stapel SN, Looijaard WGPM, Dekker IM, Girbes ARJ, Weijs PJM, Oudemans-van Straaten HM. Bioelectrical impedance analysis-derived phase angle at admission as a predictor of 90-day mortality in intensive care patients. Eur J Clin Nutr 2018. https://doi.org/10.1038/s41430-018-0167-1.</w:t>
      </w:r>
    </w:p>
    <w:p w14:paraId="2928F178" w14:textId="77777777" w:rsidR="00062A36" w:rsidRPr="00062A36" w:rsidRDefault="00062A36" w:rsidP="00F0414E">
      <w:pPr>
        <w:widowControl w:val="0"/>
        <w:autoSpaceDE w:val="0"/>
        <w:autoSpaceDN w:val="0"/>
        <w:adjustRightInd w:val="0"/>
        <w:spacing w:line="480" w:lineRule="auto"/>
        <w:ind w:left="640" w:hanging="640"/>
        <w:rPr>
          <w:rFonts w:ascii="Calibri" w:hAnsi="Calibri" w:cs="Calibri"/>
          <w:noProof/>
          <w:sz w:val="22"/>
        </w:rPr>
      </w:pPr>
      <w:r w:rsidRPr="00062A36">
        <w:rPr>
          <w:rFonts w:ascii="Calibri" w:hAnsi="Calibri" w:cs="Calibri"/>
          <w:noProof/>
          <w:sz w:val="22"/>
        </w:rPr>
        <w:t>[27]</w:t>
      </w:r>
      <w:r w:rsidRPr="00062A36">
        <w:rPr>
          <w:rFonts w:ascii="Calibri" w:hAnsi="Calibri" w:cs="Calibri"/>
          <w:noProof/>
          <w:sz w:val="22"/>
        </w:rPr>
        <w:tab/>
        <w:t>Moher D, Liberati A, Tetzlaff J, Altman DG. Preferred Reporting Items for Systematic Reviews and Meta-Analyses: The PRISMA Statement. BMJ 2009. https://doi.org/10.1136/bmj.b2535</w:t>
      </w:r>
    </w:p>
    <w:p w14:paraId="22C441C4" w14:textId="77777777" w:rsidR="00062A36" w:rsidRPr="00062A36" w:rsidRDefault="00062A36" w:rsidP="00F0414E">
      <w:pPr>
        <w:widowControl w:val="0"/>
        <w:autoSpaceDE w:val="0"/>
        <w:autoSpaceDN w:val="0"/>
        <w:adjustRightInd w:val="0"/>
        <w:spacing w:line="480" w:lineRule="auto"/>
        <w:ind w:left="640" w:hanging="640"/>
        <w:rPr>
          <w:rFonts w:ascii="Calibri" w:hAnsi="Calibri" w:cs="Calibri"/>
          <w:noProof/>
          <w:sz w:val="22"/>
        </w:rPr>
      </w:pPr>
      <w:r w:rsidRPr="00062A36">
        <w:rPr>
          <w:rFonts w:ascii="Calibri" w:hAnsi="Calibri" w:cs="Calibri"/>
          <w:noProof/>
          <w:sz w:val="22"/>
        </w:rPr>
        <w:t>[28]</w:t>
      </w:r>
      <w:r w:rsidRPr="00062A36">
        <w:rPr>
          <w:rFonts w:ascii="Calibri" w:hAnsi="Calibri" w:cs="Calibri"/>
          <w:noProof/>
          <w:sz w:val="22"/>
        </w:rPr>
        <w:tab/>
        <w:t>Ouzzani M, Hammady H, Fedorowicz Z, Elmagarmid A. Rayyan-a web and mobile app for systematic reviews. Syst Rev 2016. https://doi.org/10.1186/s13643-016-0384-4.</w:t>
      </w:r>
    </w:p>
    <w:p w14:paraId="5E1BC661" w14:textId="77777777" w:rsidR="00062A36" w:rsidRPr="00062A36" w:rsidRDefault="00062A36" w:rsidP="00F0414E">
      <w:pPr>
        <w:widowControl w:val="0"/>
        <w:autoSpaceDE w:val="0"/>
        <w:autoSpaceDN w:val="0"/>
        <w:adjustRightInd w:val="0"/>
        <w:spacing w:line="480" w:lineRule="auto"/>
        <w:ind w:left="640" w:hanging="640"/>
        <w:rPr>
          <w:rFonts w:ascii="Calibri" w:hAnsi="Calibri" w:cs="Calibri"/>
          <w:noProof/>
          <w:sz w:val="22"/>
        </w:rPr>
      </w:pPr>
      <w:r w:rsidRPr="00062A36">
        <w:rPr>
          <w:rFonts w:ascii="Calibri" w:hAnsi="Calibri" w:cs="Calibri"/>
          <w:noProof/>
          <w:sz w:val="22"/>
        </w:rPr>
        <w:t>[29]</w:t>
      </w:r>
      <w:r w:rsidRPr="00062A36">
        <w:rPr>
          <w:rFonts w:ascii="Calibri" w:hAnsi="Calibri" w:cs="Calibri"/>
          <w:noProof/>
          <w:sz w:val="22"/>
        </w:rPr>
        <w:tab/>
        <w:t>Downs SH, Black N. The feasibility of creating a checklist for the assessment of the methodological quality both of randomised and non-randomised studies of health care interventions. J Epidemiol Community Health 1998. https://doi.org/10.1136/jech.52.6.377.</w:t>
      </w:r>
    </w:p>
    <w:p w14:paraId="6A9670B2" w14:textId="77777777" w:rsidR="00062A36" w:rsidRPr="00062A36" w:rsidRDefault="00062A36" w:rsidP="00F0414E">
      <w:pPr>
        <w:widowControl w:val="0"/>
        <w:autoSpaceDE w:val="0"/>
        <w:autoSpaceDN w:val="0"/>
        <w:adjustRightInd w:val="0"/>
        <w:spacing w:line="480" w:lineRule="auto"/>
        <w:ind w:left="640" w:hanging="640"/>
        <w:rPr>
          <w:rFonts w:ascii="Calibri" w:hAnsi="Calibri" w:cs="Calibri"/>
          <w:noProof/>
          <w:sz w:val="22"/>
        </w:rPr>
      </w:pPr>
      <w:r w:rsidRPr="00062A36">
        <w:rPr>
          <w:rFonts w:ascii="Calibri" w:hAnsi="Calibri" w:cs="Calibri"/>
          <w:noProof/>
          <w:sz w:val="22"/>
        </w:rPr>
        <w:t>[30]</w:t>
      </w:r>
      <w:r w:rsidRPr="00062A36">
        <w:rPr>
          <w:rFonts w:ascii="Calibri" w:hAnsi="Calibri" w:cs="Calibri"/>
          <w:noProof/>
          <w:sz w:val="22"/>
        </w:rPr>
        <w:tab/>
        <w:t>Mauricio SF, Xiao J, Prado CM, Gonzalez MC, Correia MITD. Different nutritional assessment tools as predictors of postoperative complications in patients undergoing colorectal cancer resection. Clin Nutr 2018;37:1505–11. https://doi.org/10.1016/j.clnu.2017.08.026.</w:t>
      </w:r>
    </w:p>
    <w:p w14:paraId="286E475D" w14:textId="77777777" w:rsidR="00062A36" w:rsidRPr="00062A36" w:rsidRDefault="00062A36" w:rsidP="00F0414E">
      <w:pPr>
        <w:widowControl w:val="0"/>
        <w:autoSpaceDE w:val="0"/>
        <w:autoSpaceDN w:val="0"/>
        <w:adjustRightInd w:val="0"/>
        <w:spacing w:line="480" w:lineRule="auto"/>
        <w:ind w:left="640" w:hanging="640"/>
        <w:rPr>
          <w:rFonts w:ascii="Calibri" w:hAnsi="Calibri" w:cs="Calibri"/>
          <w:noProof/>
          <w:sz w:val="22"/>
        </w:rPr>
      </w:pPr>
      <w:r w:rsidRPr="00062A36">
        <w:rPr>
          <w:rFonts w:ascii="Calibri" w:hAnsi="Calibri" w:cs="Calibri"/>
          <w:noProof/>
          <w:sz w:val="22"/>
        </w:rPr>
        <w:t>[31]</w:t>
      </w:r>
      <w:r w:rsidRPr="00062A36">
        <w:rPr>
          <w:rFonts w:ascii="Calibri" w:hAnsi="Calibri" w:cs="Calibri"/>
          <w:noProof/>
          <w:sz w:val="22"/>
        </w:rPr>
        <w:tab/>
        <w:t>Berstad P, Haugum B, Helgeland M, Bukholm I, Almendingen K. Preoperative body size and composition, habitual diet, and post-operative complications in elective colorectal cancer patients in Norway. J Hum Nutr Diet 2013;26:359–68. https://doi.org/10.1111/jhn.12002.</w:t>
      </w:r>
    </w:p>
    <w:p w14:paraId="29B48770" w14:textId="77777777" w:rsidR="00062A36" w:rsidRPr="00062A36" w:rsidRDefault="00062A36" w:rsidP="00F0414E">
      <w:pPr>
        <w:widowControl w:val="0"/>
        <w:autoSpaceDE w:val="0"/>
        <w:autoSpaceDN w:val="0"/>
        <w:adjustRightInd w:val="0"/>
        <w:spacing w:line="480" w:lineRule="auto"/>
        <w:ind w:left="640" w:hanging="640"/>
        <w:rPr>
          <w:rFonts w:ascii="Calibri" w:hAnsi="Calibri" w:cs="Calibri"/>
          <w:noProof/>
          <w:sz w:val="22"/>
        </w:rPr>
      </w:pPr>
      <w:r w:rsidRPr="00062A36">
        <w:rPr>
          <w:rFonts w:ascii="Calibri" w:hAnsi="Calibri" w:cs="Calibri"/>
          <w:noProof/>
          <w:sz w:val="22"/>
        </w:rPr>
        <w:t>[32]</w:t>
      </w:r>
      <w:r w:rsidRPr="00062A36">
        <w:rPr>
          <w:rFonts w:ascii="Calibri" w:hAnsi="Calibri" w:cs="Calibri"/>
          <w:noProof/>
          <w:sz w:val="22"/>
        </w:rPr>
        <w:tab/>
        <w:t>Tsaousi G, Kokkota S, Papakostas P, Stavrou G, Doumaki E, Kotzampassi K. Body composition analysis for discrimination of prolonged hospital stay in colorectal cancer surgery patients. Eur J Cancer Care (Engl) 2017. https://doi.org/10.1111/ecc.12491.</w:t>
      </w:r>
    </w:p>
    <w:p w14:paraId="0DBCA690" w14:textId="77777777" w:rsidR="00062A36" w:rsidRPr="00062A36" w:rsidRDefault="00062A36" w:rsidP="00F0414E">
      <w:pPr>
        <w:widowControl w:val="0"/>
        <w:autoSpaceDE w:val="0"/>
        <w:autoSpaceDN w:val="0"/>
        <w:adjustRightInd w:val="0"/>
        <w:spacing w:line="480" w:lineRule="auto"/>
        <w:ind w:left="640" w:hanging="640"/>
        <w:rPr>
          <w:rFonts w:ascii="Calibri" w:hAnsi="Calibri" w:cs="Calibri"/>
          <w:noProof/>
          <w:sz w:val="22"/>
        </w:rPr>
      </w:pPr>
      <w:r w:rsidRPr="00062A36">
        <w:rPr>
          <w:rFonts w:ascii="Calibri" w:hAnsi="Calibri" w:cs="Calibri"/>
          <w:noProof/>
          <w:sz w:val="22"/>
        </w:rPr>
        <w:t>[33]</w:t>
      </w:r>
      <w:r w:rsidRPr="00062A36">
        <w:rPr>
          <w:rFonts w:ascii="Calibri" w:hAnsi="Calibri" w:cs="Calibri"/>
          <w:noProof/>
          <w:sz w:val="22"/>
        </w:rPr>
        <w:tab/>
        <w:t>Tamura T, Sakurai K, Nambara M, Miki Y, Toyokawa T, Kubo N, et al. Adverse Effects of Preoperative Sarcopenia on Postoperative Complications of Patients With Gastric Cancer. Anticancer Res 2019;39:987–92. https://doi.org/10.21873/anticanres.13203.</w:t>
      </w:r>
    </w:p>
    <w:p w14:paraId="194E91BF" w14:textId="77777777" w:rsidR="00062A36" w:rsidRPr="00062A36" w:rsidRDefault="00062A36" w:rsidP="00F0414E">
      <w:pPr>
        <w:widowControl w:val="0"/>
        <w:autoSpaceDE w:val="0"/>
        <w:autoSpaceDN w:val="0"/>
        <w:adjustRightInd w:val="0"/>
        <w:spacing w:line="480" w:lineRule="auto"/>
        <w:ind w:left="640" w:hanging="640"/>
        <w:rPr>
          <w:rFonts w:ascii="Calibri" w:hAnsi="Calibri" w:cs="Calibri"/>
          <w:noProof/>
          <w:sz w:val="22"/>
        </w:rPr>
      </w:pPr>
      <w:r w:rsidRPr="00062A36">
        <w:rPr>
          <w:rFonts w:ascii="Calibri" w:hAnsi="Calibri" w:cs="Calibri"/>
          <w:noProof/>
          <w:sz w:val="22"/>
        </w:rPr>
        <w:t>[34]</w:t>
      </w:r>
      <w:r w:rsidRPr="00062A36">
        <w:rPr>
          <w:rFonts w:ascii="Calibri" w:hAnsi="Calibri" w:cs="Calibri"/>
          <w:noProof/>
          <w:sz w:val="22"/>
        </w:rPr>
        <w:tab/>
        <w:t>Sato T, Aoyama T, Hayashi T, Segami K, Kawabe T, Fujikawa H, et al. Impact of preoperative hand grip strength on morbidity following gastric cancer surgery. Gastric Cancer 2016;19:1008–15. https://doi.org/https://dx.doi.org/10.1007/s10120-015-0554-4.</w:t>
      </w:r>
    </w:p>
    <w:p w14:paraId="7639FF09" w14:textId="77777777" w:rsidR="00062A36" w:rsidRPr="00062A36" w:rsidRDefault="00062A36" w:rsidP="00F0414E">
      <w:pPr>
        <w:widowControl w:val="0"/>
        <w:autoSpaceDE w:val="0"/>
        <w:autoSpaceDN w:val="0"/>
        <w:adjustRightInd w:val="0"/>
        <w:spacing w:line="480" w:lineRule="auto"/>
        <w:ind w:left="640" w:hanging="640"/>
        <w:rPr>
          <w:rFonts w:ascii="Calibri" w:hAnsi="Calibri" w:cs="Calibri"/>
          <w:noProof/>
          <w:sz w:val="22"/>
        </w:rPr>
      </w:pPr>
      <w:r w:rsidRPr="00062A36">
        <w:rPr>
          <w:rFonts w:ascii="Calibri" w:hAnsi="Calibri" w:cs="Calibri"/>
          <w:noProof/>
          <w:sz w:val="22"/>
        </w:rPr>
        <w:t>[35]</w:t>
      </w:r>
      <w:r w:rsidRPr="00062A36">
        <w:rPr>
          <w:rFonts w:ascii="Calibri" w:hAnsi="Calibri" w:cs="Calibri"/>
          <w:noProof/>
          <w:sz w:val="22"/>
        </w:rPr>
        <w:tab/>
        <w:t>Ida S, Watanabe M, Yoshida N, Baba Y, Umezaki N, Harada K, et al. Sarcopenia is a Predictor of Postoperative Respiratory Complications in Patients with Esophageal Cancer. Ann Surg Oncol 2015;22:4432–7. https://doi.org/https://dx.doi.org/10.1245/s10434-015-4559-3.</w:t>
      </w:r>
    </w:p>
    <w:p w14:paraId="29F9F462" w14:textId="77777777" w:rsidR="00062A36" w:rsidRPr="00062A36" w:rsidRDefault="00062A36" w:rsidP="00F0414E">
      <w:pPr>
        <w:widowControl w:val="0"/>
        <w:autoSpaceDE w:val="0"/>
        <w:autoSpaceDN w:val="0"/>
        <w:adjustRightInd w:val="0"/>
        <w:spacing w:line="480" w:lineRule="auto"/>
        <w:ind w:left="640" w:hanging="640"/>
        <w:rPr>
          <w:rFonts w:ascii="Calibri" w:hAnsi="Calibri" w:cs="Calibri"/>
          <w:noProof/>
          <w:sz w:val="22"/>
        </w:rPr>
      </w:pPr>
      <w:r w:rsidRPr="00062A36">
        <w:rPr>
          <w:rFonts w:ascii="Calibri" w:hAnsi="Calibri" w:cs="Calibri"/>
          <w:noProof/>
          <w:sz w:val="22"/>
        </w:rPr>
        <w:t>[36]</w:t>
      </w:r>
      <w:r w:rsidRPr="00062A36">
        <w:rPr>
          <w:rFonts w:ascii="Calibri" w:hAnsi="Calibri" w:cs="Calibri"/>
          <w:noProof/>
          <w:sz w:val="22"/>
        </w:rPr>
        <w:tab/>
        <w:t>Uccella S, Mele MC, Quagliozzi L, Rinninella E, Nero C, Capuccio S, et al. Assessment of preoperative nutritional status using BIA-derived phase angle (PhA) in patients with advanced ovarian cancer: Correlation with the extent of cytoreduction and complications. Gynecol Oncol 2018;149:263–9. https://doi.org/http://dx.doi.org/10.1016/j.ygyno.2018.03.044.</w:t>
      </w:r>
    </w:p>
    <w:p w14:paraId="75210DAB" w14:textId="77777777" w:rsidR="00062A36" w:rsidRPr="00062A36" w:rsidRDefault="00062A36" w:rsidP="00F0414E">
      <w:pPr>
        <w:widowControl w:val="0"/>
        <w:autoSpaceDE w:val="0"/>
        <w:autoSpaceDN w:val="0"/>
        <w:adjustRightInd w:val="0"/>
        <w:spacing w:line="480" w:lineRule="auto"/>
        <w:ind w:left="640" w:hanging="640"/>
        <w:rPr>
          <w:rFonts w:ascii="Calibri" w:hAnsi="Calibri" w:cs="Calibri"/>
          <w:noProof/>
          <w:sz w:val="22"/>
        </w:rPr>
      </w:pPr>
      <w:r w:rsidRPr="00062A36">
        <w:rPr>
          <w:rFonts w:ascii="Calibri" w:hAnsi="Calibri" w:cs="Calibri"/>
          <w:noProof/>
          <w:sz w:val="22"/>
        </w:rPr>
        <w:t>[37]</w:t>
      </w:r>
      <w:r w:rsidRPr="00062A36">
        <w:rPr>
          <w:rFonts w:ascii="Calibri" w:hAnsi="Calibri" w:cs="Calibri"/>
          <w:noProof/>
          <w:sz w:val="22"/>
        </w:rPr>
        <w:tab/>
        <w:t>Cardoso ICR, Aredes MA, Chaves GV. Applicability of the direct parameters of bioelectrical impedance in assessing nutritional status and surgical complications of women with gynecological cancer. Eur J Clin Nutr 2017;71:1278–84. https://doi.org/http://dx.doi.org/10.1038/ejcn.2017.115.</w:t>
      </w:r>
    </w:p>
    <w:p w14:paraId="1016508F" w14:textId="77777777" w:rsidR="00062A36" w:rsidRPr="00062A36" w:rsidRDefault="00062A36" w:rsidP="00F0414E">
      <w:pPr>
        <w:widowControl w:val="0"/>
        <w:autoSpaceDE w:val="0"/>
        <w:autoSpaceDN w:val="0"/>
        <w:adjustRightInd w:val="0"/>
        <w:spacing w:line="480" w:lineRule="auto"/>
        <w:ind w:left="640" w:hanging="640"/>
        <w:rPr>
          <w:rFonts w:ascii="Calibri" w:hAnsi="Calibri" w:cs="Calibri"/>
          <w:noProof/>
          <w:sz w:val="22"/>
        </w:rPr>
      </w:pPr>
      <w:r w:rsidRPr="00062A36">
        <w:rPr>
          <w:rFonts w:ascii="Calibri" w:hAnsi="Calibri" w:cs="Calibri"/>
          <w:noProof/>
          <w:sz w:val="22"/>
        </w:rPr>
        <w:t>[38]</w:t>
      </w:r>
      <w:r w:rsidRPr="00062A36">
        <w:rPr>
          <w:rFonts w:ascii="Calibri" w:hAnsi="Calibri" w:cs="Calibri"/>
          <w:noProof/>
          <w:sz w:val="22"/>
        </w:rPr>
        <w:tab/>
        <w:t>Kerimoglu OS, Pekin A, Yilmaz SA, Yavas G, Beyhekim F, Demirtas AA, et al. Effect of the percentage of body fat on surgical, clinical and pathological outcomes in women with endometrial cancer. J Obstet Gynaecol Res 2015. https://doi.org/10.1111/jog.12554.</w:t>
      </w:r>
    </w:p>
    <w:p w14:paraId="431D461B" w14:textId="77777777" w:rsidR="00062A36" w:rsidRPr="00062A36" w:rsidRDefault="00062A36" w:rsidP="00F0414E">
      <w:pPr>
        <w:widowControl w:val="0"/>
        <w:autoSpaceDE w:val="0"/>
        <w:autoSpaceDN w:val="0"/>
        <w:adjustRightInd w:val="0"/>
        <w:spacing w:line="480" w:lineRule="auto"/>
        <w:ind w:left="640" w:hanging="640"/>
        <w:rPr>
          <w:rFonts w:ascii="Calibri" w:hAnsi="Calibri" w:cs="Calibri"/>
          <w:noProof/>
          <w:sz w:val="22"/>
        </w:rPr>
      </w:pPr>
      <w:r w:rsidRPr="00062A36">
        <w:rPr>
          <w:rFonts w:ascii="Calibri" w:hAnsi="Calibri" w:cs="Calibri"/>
          <w:noProof/>
          <w:sz w:val="22"/>
        </w:rPr>
        <w:t>[39]</w:t>
      </w:r>
      <w:r w:rsidRPr="00062A36">
        <w:rPr>
          <w:rFonts w:ascii="Calibri" w:hAnsi="Calibri" w:cs="Calibri"/>
          <w:noProof/>
          <w:sz w:val="22"/>
        </w:rPr>
        <w:tab/>
        <w:t>Pena NF, Mauricio SF, Rodrigues AMS, Carmo AS, Coury NC, Correia MITD, et al. Association Between Standardized Phase Angle, Nutrition Status, and Clinical Outcomes in Surgical Cancer Patients. Nutr Clin Pract 2018. https://doi.org/https://dx.doi.org/10.1002/ncp.10110.</w:t>
      </w:r>
    </w:p>
    <w:p w14:paraId="55175093" w14:textId="77777777" w:rsidR="00062A36" w:rsidRPr="00062A36" w:rsidRDefault="00062A36" w:rsidP="00F0414E">
      <w:pPr>
        <w:widowControl w:val="0"/>
        <w:autoSpaceDE w:val="0"/>
        <w:autoSpaceDN w:val="0"/>
        <w:adjustRightInd w:val="0"/>
        <w:spacing w:line="480" w:lineRule="auto"/>
        <w:ind w:left="640" w:hanging="640"/>
        <w:rPr>
          <w:rFonts w:ascii="Calibri" w:hAnsi="Calibri" w:cs="Calibri"/>
          <w:noProof/>
          <w:sz w:val="22"/>
        </w:rPr>
      </w:pPr>
      <w:r w:rsidRPr="00062A36">
        <w:rPr>
          <w:rFonts w:ascii="Calibri" w:hAnsi="Calibri" w:cs="Calibri"/>
          <w:noProof/>
          <w:sz w:val="22"/>
        </w:rPr>
        <w:t>[40]</w:t>
      </w:r>
      <w:r w:rsidRPr="00062A36">
        <w:rPr>
          <w:rFonts w:ascii="Calibri" w:hAnsi="Calibri" w:cs="Calibri"/>
          <w:noProof/>
          <w:sz w:val="22"/>
        </w:rPr>
        <w:tab/>
        <w:t>Härter J, Orlandi SP, Gonzalez MC. Nutritional and functional factors as prognostic of surgical cancer patients. Support Care Cancer 2017;25:2525–30. https://doi.org/10.1007/s00520-017-3661-4.</w:t>
      </w:r>
    </w:p>
    <w:p w14:paraId="7A7AFE47" w14:textId="77777777" w:rsidR="00062A36" w:rsidRPr="00062A36" w:rsidRDefault="00062A36" w:rsidP="00F0414E">
      <w:pPr>
        <w:widowControl w:val="0"/>
        <w:autoSpaceDE w:val="0"/>
        <w:autoSpaceDN w:val="0"/>
        <w:adjustRightInd w:val="0"/>
        <w:spacing w:line="480" w:lineRule="auto"/>
        <w:ind w:left="640" w:hanging="640"/>
        <w:rPr>
          <w:rFonts w:ascii="Calibri" w:hAnsi="Calibri" w:cs="Calibri"/>
          <w:noProof/>
          <w:sz w:val="22"/>
        </w:rPr>
      </w:pPr>
      <w:r w:rsidRPr="00062A36">
        <w:rPr>
          <w:rFonts w:ascii="Calibri" w:hAnsi="Calibri" w:cs="Calibri"/>
          <w:noProof/>
          <w:sz w:val="22"/>
        </w:rPr>
        <w:t>[41]</w:t>
      </w:r>
      <w:r w:rsidRPr="00062A36">
        <w:rPr>
          <w:rFonts w:ascii="Calibri" w:hAnsi="Calibri" w:cs="Calibri"/>
          <w:noProof/>
          <w:sz w:val="22"/>
        </w:rPr>
        <w:tab/>
        <w:t>Fritz T, Hollwarth I, Romaschow M, Schlag P. The predictive role of bioelectrical impedance analysis (BIA) in postoperative complications of cancer patients. Eur J Surg Oncol 1990; 16: 326–31.</w:t>
      </w:r>
    </w:p>
    <w:p w14:paraId="5B79D2B1" w14:textId="77777777" w:rsidR="00062A36" w:rsidRPr="00062A36" w:rsidRDefault="00062A36" w:rsidP="00F0414E">
      <w:pPr>
        <w:widowControl w:val="0"/>
        <w:autoSpaceDE w:val="0"/>
        <w:autoSpaceDN w:val="0"/>
        <w:adjustRightInd w:val="0"/>
        <w:spacing w:line="480" w:lineRule="auto"/>
        <w:ind w:left="640" w:hanging="640"/>
        <w:rPr>
          <w:rFonts w:ascii="Calibri" w:hAnsi="Calibri" w:cs="Calibri"/>
          <w:noProof/>
          <w:sz w:val="22"/>
        </w:rPr>
      </w:pPr>
      <w:r w:rsidRPr="00062A36">
        <w:rPr>
          <w:rFonts w:ascii="Calibri" w:hAnsi="Calibri" w:cs="Calibri"/>
          <w:noProof/>
          <w:sz w:val="22"/>
        </w:rPr>
        <w:t>[42]</w:t>
      </w:r>
      <w:r w:rsidRPr="00062A36">
        <w:rPr>
          <w:rFonts w:ascii="Calibri" w:hAnsi="Calibri" w:cs="Calibri"/>
          <w:noProof/>
          <w:sz w:val="22"/>
        </w:rPr>
        <w:tab/>
        <w:t>Barbosa-Silva MCG, Barros AJD, Wang J, Heymsfield SB, Pierson RN. Bioelectrical impedance analysis: Population reference values for phase angle by age and sex. Am J Clin Nutr 2005. https://doi.org/10.1093/ajcn.82.1.49.</w:t>
      </w:r>
    </w:p>
    <w:p w14:paraId="6B94B587" w14:textId="77777777" w:rsidR="00062A36" w:rsidRPr="00062A36" w:rsidRDefault="00062A36" w:rsidP="00F0414E">
      <w:pPr>
        <w:widowControl w:val="0"/>
        <w:autoSpaceDE w:val="0"/>
        <w:autoSpaceDN w:val="0"/>
        <w:adjustRightInd w:val="0"/>
        <w:spacing w:line="480" w:lineRule="auto"/>
        <w:ind w:left="640" w:hanging="640"/>
        <w:rPr>
          <w:rFonts w:ascii="Calibri" w:hAnsi="Calibri" w:cs="Calibri"/>
          <w:noProof/>
          <w:sz w:val="22"/>
        </w:rPr>
      </w:pPr>
      <w:r w:rsidRPr="00062A36">
        <w:rPr>
          <w:rFonts w:ascii="Calibri" w:hAnsi="Calibri" w:cs="Calibri"/>
          <w:noProof/>
          <w:sz w:val="22"/>
        </w:rPr>
        <w:t>[43]</w:t>
      </w:r>
      <w:r w:rsidRPr="00062A36">
        <w:rPr>
          <w:rFonts w:ascii="Calibri" w:hAnsi="Calibri" w:cs="Calibri"/>
          <w:noProof/>
          <w:sz w:val="22"/>
        </w:rPr>
        <w:tab/>
        <w:t>Genton L, Karsegard VL, Kyle UG, Hans DB, Michel JP, Pichard C. Comparison of four bioelectrical impedance analysis formulas in healthy elderly subjects. Gerontology 2001. https://doi.org/10.1159/000052821.</w:t>
      </w:r>
    </w:p>
    <w:p w14:paraId="4304E518" w14:textId="77777777" w:rsidR="00062A36" w:rsidRPr="00062A36" w:rsidRDefault="00062A36" w:rsidP="00F0414E">
      <w:pPr>
        <w:widowControl w:val="0"/>
        <w:autoSpaceDE w:val="0"/>
        <w:autoSpaceDN w:val="0"/>
        <w:adjustRightInd w:val="0"/>
        <w:spacing w:line="480" w:lineRule="auto"/>
        <w:ind w:left="640" w:hanging="640"/>
        <w:rPr>
          <w:rFonts w:ascii="Calibri" w:hAnsi="Calibri" w:cs="Calibri"/>
          <w:noProof/>
          <w:sz w:val="22"/>
        </w:rPr>
      </w:pPr>
      <w:r w:rsidRPr="00062A36">
        <w:rPr>
          <w:rFonts w:ascii="Calibri" w:hAnsi="Calibri" w:cs="Calibri"/>
          <w:noProof/>
          <w:sz w:val="22"/>
        </w:rPr>
        <w:t>[44]</w:t>
      </w:r>
      <w:r w:rsidRPr="00062A36">
        <w:rPr>
          <w:rFonts w:ascii="Calibri" w:hAnsi="Calibri" w:cs="Calibri"/>
          <w:noProof/>
          <w:sz w:val="22"/>
        </w:rPr>
        <w:tab/>
        <w:t>Kyle UG, Genton L, Karsegard L, Slosman DO, Pichard C. Single prediction equation for bioelectrical impedance analysis in adults aged 20-94 years. Nutrition 2001. https://doi.org/10.1016/S0899-9007(00)00553-0.</w:t>
      </w:r>
    </w:p>
    <w:p w14:paraId="2DD596AC" w14:textId="77777777" w:rsidR="00062A36" w:rsidRPr="00062A36" w:rsidRDefault="00062A36" w:rsidP="00F0414E">
      <w:pPr>
        <w:widowControl w:val="0"/>
        <w:autoSpaceDE w:val="0"/>
        <w:autoSpaceDN w:val="0"/>
        <w:adjustRightInd w:val="0"/>
        <w:spacing w:line="480" w:lineRule="auto"/>
        <w:ind w:left="640" w:hanging="640"/>
        <w:rPr>
          <w:rFonts w:ascii="Calibri" w:hAnsi="Calibri" w:cs="Calibri"/>
          <w:noProof/>
          <w:sz w:val="22"/>
        </w:rPr>
      </w:pPr>
      <w:r w:rsidRPr="00062A36">
        <w:rPr>
          <w:rFonts w:ascii="Calibri" w:hAnsi="Calibri" w:cs="Calibri"/>
          <w:noProof/>
          <w:sz w:val="22"/>
        </w:rPr>
        <w:t>[45]</w:t>
      </w:r>
      <w:r w:rsidRPr="00062A36">
        <w:rPr>
          <w:rFonts w:ascii="Calibri" w:hAnsi="Calibri" w:cs="Calibri"/>
          <w:noProof/>
          <w:sz w:val="22"/>
        </w:rPr>
        <w:tab/>
        <w:t>Strong VE, Selby LV., Sovel M, Disa JJ, Hoskins W, Dematteo R, et al. Development and Assessment of Memorial Sloan Kettering Cancer Center’s Surgical Secondary Events Grading System. Ann Surg Oncol 2015. https://doi.org/10.1245/s10434-014-4141-4.</w:t>
      </w:r>
    </w:p>
    <w:p w14:paraId="76020CDD" w14:textId="77777777" w:rsidR="00062A36" w:rsidRPr="00062A36" w:rsidRDefault="00062A36" w:rsidP="00F0414E">
      <w:pPr>
        <w:widowControl w:val="0"/>
        <w:autoSpaceDE w:val="0"/>
        <w:autoSpaceDN w:val="0"/>
        <w:adjustRightInd w:val="0"/>
        <w:spacing w:line="480" w:lineRule="auto"/>
        <w:ind w:left="640" w:hanging="640"/>
        <w:rPr>
          <w:rFonts w:ascii="Calibri" w:hAnsi="Calibri" w:cs="Calibri"/>
          <w:noProof/>
          <w:sz w:val="22"/>
        </w:rPr>
      </w:pPr>
      <w:r w:rsidRPr="00062A36">
        <w:rPr>
          <w:rFonts w:ascii="Calibri" w:hAnsi="Calibri" w:cs="Calibri"/>
          <w:noProof/>
          <w:sz w:val="22"/>
        </w:rPr>
        <w:t>[46]</w:t>
      </w:r>
      <w:r w:rsidRPr="00062A36">
        <w:rPr>
          <w:rFonts w:ascii="Calibri" w:hAnsi="Calibri" w:cs="Calibri"/>
          <w:noProof/>
          <w:sz w:val="22"/>
        </w:rPr>
        <w:tab/>
        <w:t>Reilly JJ, Hull SF, Albert N, Waller A, Bringardener S. Economic impact of malnutrition: A model system for hospitalized patients. J Parenter Enter Nutr 1988. https://doi.org/10.1177/0148607188012004371.</w:t>
      </w:r>
    </w:p>
    <w:p w14:paraId="47B465F5" w14:textId="77777777" w:rsidR="00062A36" w:rsidRPr="00062A36" w:rsidRDefault="00062A36" w:rsidP="00F0414E">
      <w:pPr>
        <w:widowControl w:val="0"/>
        <w:autoSpaceDE w:val="0"/>
        <w:autoSpaceDN w:val="0"/>
        <w:adjustRightInd w:val="0"/>
        <w:spacing w:line="480" w:lineRule="auto"/>
        <w:ind w:left="640" w:hanging="640"/>
        <w:rPr>
          <w:rFonts w:ascii="Calibri" w:hAnsi="Calibri" w:cs="Calibri"/>
          <w:noProof/>
          <w:sz w:val="22"/>
        </w:rPr>
      </w:pPr>
      <w:r w:rsidRPr="00062A36">
        <w:rPr>
          <w:rFonts w:ascii="Calibri" w:hAnsi="Calibri" w:cs="Calibri"/>
          <w:noProof/>
          <w:sz w:val="22"/>
        </w:rPr>
        <w:t>[47]</w:t>
      </w:r>
      <w:r w:rsidRPr="00062A36">
        <w:rPr>
          <w:rFonts w:ascii="Calibri" w:hAnsi="Calibri" w:cs="Calibri"/>
          <w:noProof/>
          <w:sz w:val="22"/>
        </w:rPr>
        <w:tab/>
        <w:t>Dindo D, Demartines N, Clavien PA. Classification of surgical complications: A new proposal with evaluation in a cohort of 6336 patients and results of a survey. Ann Surg 2004. https://doi.org/10.1097/01.sla.0000133083.54934.ae.</w:t>
      </w:r>
    </w:p>
    <w:p w14:paraId="6EB84297" w14:textId="77777777" w:rsidR="00062A36" w:rsidRPr="00062A36" w:rsidRDefault="00062A36" w:rsidP="00F0414E">
      <w:pPr>
        <w:widowControl w:val="0"/>
        <w:autoSpaceDE w:val="0"/>
        <w:autoSpaceDN w:val="0"/>
        <w:adjustRightInd w:val="0"/>
        <w:spacing w:line="480" w:lineRule="auto"/>
        <w:ind w:left="640" w:hanging="640"/>
        <w:rPr>
          <w:rFonts w:ascii="Calibri" w:hAnsi="Calibri" w:cs="Calibri"/>
          <w:noProof/>
          <w:sz w:val="22"/>
        </w:rPr>
      </w:pPr>
      <w:r w:rsidRPr="00062A36">
        <w:rPr>
          <w:rFonts w:ascii="Calibri" w:hAnsi="Calibri" w:cs="Calibri"/>
          <w:noProof/>
          <w:sz w:val="22"/>
        </w:rPr>
        <w:t>[48]</w:t>
      </w:r>
      <w:r w:rsidRPr="00062A36">
        <w:rPr>
          <w:rFonts w:ascii="Calibri" w:hAnsi="Calibri" w:cs="Calibri"/>
          <w:noProof/>
          <w:sz w:val="22"/>
        </w:rPr>
        <w:tab/>
        <w:t>Baumgartner RN, Chumlea WC, Roche AF. Bioelectric impedance phase angle and body composition. Am J Clin Nutr 1988. https://doi.org/10.1093/ajcn/48.1.16.</w:t>
      </w:r>
    </w:p>
    <w:p w14:paraId="2DDF8BD9" w14:textId="77777777" w:rsidR="00062A36" w:rsidRPr="00062A36" w:rsidRDefault="00062A36" w:rsidP="00F0414E">
      <w:pPr>
        <w:widowControl w:val="0"/>
        <w:autoSpaceDE w:val="0"/>
        <w:autoSpaceDN w:val="0"/>
        <w:adjustRightInd w:val="0"/>
        <w:spacing w:line="480" w:lineRule="auto"/>
        <w:ind w:left="640" w:hanging="640"/>
        <w:rPr>
          <w:rFonts w:ascii="Calibri" w:hAnsi="Calibri" w:cs="Calibri"/>
          <w:noProof/>
          <w:sz w:val="22"/>
        </w:rPr>
      </w:pPr>
      <w:r w:rsidRPr="00062A36">
        <w:rPr>
          <w:rFonts w:ascii="Calibri" w:hAnsi="Calibri" w:cs="Calibri"/>
          <w:noProof/>
          <w:sz w:val="22"/>
        </w:rPr>
        <w:t>[49]</w:t>
      </w:r>
      <w:r w:rsidRPr="00062A36">
        <w:rPr>
          <w:rFonts w:ascii="Calibri" w:hAnsi="Calibri" w:cs="Calibri"/>
          <w:noProof/>
          <w:sz w:val="22"/>
        </w:rPr>
        <w:tab/>
        <w:t>Daly JM, Fry WA, Little AG, Winchester DP, McKee RF, Stewart AK, et al. Esophageal cancer: Results of American College of Surgeons patient care evaluation study. J Am Coll Surg 2000. https://doi.org/10.1016/s1072-7515(00)00238-6</w:t>
      </w:r>
    </w:p>
    <w:p w14:paraId="7404DA5F" w14:textId="77777777" w:rsidR="00062A36" w:rsidRPr="00062A36" w:rsidRDefault="00062A36" w:rsidP="00F0414E">
      <w:pPr>
        <w:widowControl w:val="0"/>
        <w:autoSpaceDE w:val="0"/>
        <w:autoSpaceDN w:val="0"/>
        <w:adjustRightInd w:val="0"/>
        <w:spacing w:line="480" w:lineRule="auto"/>
        <w:ind w:left="640" w:hanging="640"/>
        <w:rPr>
          <w:rFonts w:ascii="Calibri" w:hAnsi="Calibri" w:cs="Calibri"/>
          <w:noProof/>
          <w:sz w:val="22"/>
        </w:rPr>
      </w:pPr>
      <w:r w:rsidRPr="00062A36">
        <w:rPr>
          <w:rFonts w:ascii="Calibri" w:hAnsi="Calibri" w:cs="Calibri"/>
          <w:noProof/>
          <w:sz w:val="22"/>
        </w:rPr>
        <w:t>[50]</w:t>
      </w:r>
      <w:r w:rsidRPr="00062A36">
        <w:rPr>
          <w:rFonts w:ascii="Calibri" w:hAnsi="Calibri" w:cs="Calibri"/>
          <w:noProof/>
          <w:sz w:val="22"/>
        </w:rPr>
        <w:tab/>
        <w:t>Jager-Wittenaar H, Dijkstra PU, Vissink A, Van Der Laan BFAM, Van Oort RP, Roodenburg JLN. Critical weight loss in head and neck cancer - Prevalence and risk factors at diagnosis: An explorative study. Support Care Cancer 2007. https://doi.org/10.1007/s00520-006-0212-9.</w:t>
      </w:r>
    </w:p>
    <w:p w14:paraId="793A66D8" w14:textId="77777777" w:rsidR="00062A36" w:rsidRPr="00062A36" w:rsidRDefault="00062A36" w:rsidP="00F0414E">
      <w:pPr>
        <w:widowControl w:val="0"/>
        <w:autoSpaceDE w:val="0"/>
        <w:autoSpaceDN w:val="0"/>
        <w:adjustRightInd w:val="0"/>
        <w:spacing w:line="480" w:lineRule="auto"/>
        <w:ind w:left="640" w:hanging="640"/>
        <w:rPr>
          <w:rFonts w:ascii="Calibri" w:hAnsi="Calibri" w:cs="Calibri"/>
          <w:noProof/>
          <w:sz w:val="22"/>
        </w:rPr>
      </w:pPr>
      <w:r w:rsidRPr="00062A36">
        <w:rPr>
          <w:rFonts w:ascii="Calibri" w:hAnsi="Calibri" w:cs="Calibri"/>
          <w:noProof/>
          <w:sz w:val="22"/>
        </w:rPr>
        <w:t>[51]</w:t>
      </w:r>
      <w:r w:rsidRPr="00062A36">
        <w:rPr>
          <w:rFonts w:ascii="Calibri" w:hAnsi="Calibri" w:cs="Calibri"/>
          <w:noProof/>
          <w:sz w:val="22"/>
        </w:rPr>
        <w:tab/>
        <w:t>Lukaski HC. Evolution of bioimpedance: A circuitous journey from estimation of physiological function to assessment of body composition and a return to clinical research. Eur J Clin Nutr 2013;67:S2–9. https://doi.org/10.1038/ejcn.2012.149.</w:t>
      </w:r>
    </w:p>
    <w:p w14:paraId="508861E1" w14:textId="77777777" w:rsidR="00062A36" w:rsidRPr="00062A36" w:rsidRDefault="00062A36" w:rsidP="00F0414E">
      <w:pPr>
        <w:widowControl w:val="0"/>
        <w:autoSpaceDE w:val="0"/>
        <w:autoSpaceDN w:val="0"/>
        <w:adjustRightInd w:val="0"/>
        <w:spacing w:line="480" w:lineRule="auto"/>
        <w:ind w:left="640" w:hanging="640"/>
        <w:rPr>
          <w:rFonts w:ascii="Calibri" w:hAnsi="Calibri" w:cs="Calibri"/>
          <w:noProof/>
          <w:sz w:val="22"/>
        </w:rPr>
      </w:pPr>
      <w:r w:rsidRPr="00062A36">
        <w:rPr>
          <w:rFonts w:ascii="Calibri" w:hAnsi="Calibri" w:cs="Calibri"/>
          <w:noProof/>
          <w:sz w:val="22"/>
        </w:rPr>
        <w:t>[52]</w:t>
      </w:r>
      <w:r w:rsidRPr="00062A36">
        <w:rPr>
          <w:rFonts w:ascii="Calibri" w:hAnsi="Calibri" w:cs="Calibri"/>
          <w:noProof/>
          <w:sz w:val="22"/>
        </w:rPr>
        <w:tab/>
        <w:t>Pereira MME, Queiroz MDSC, de Albuquerque NMC, Rodrigues J, Wiegert EVM, Calixto-Lima L, et al. The Prognostic Role of Phase Angle in Advanced Cancer Patients: A Systematic Review. Nutr Clin Pract 2018;33:813–24. https://doi.org/https://dx.doi.org/10.1002/ncp.10100.</w:t>
      </w:r>
    </w:p>
    <w:p w14:paraId="1B1FE6DB" w14:textId="77777777" w:rsidR="00062A36" w:rsidRPr="00062A36" w:rsidRDefault="00062A36" w:rsidP="00F0414E">
      <w:pPr>
        <w:widowControl w:val="0"/>
        <w:autoSpaceDE w:val="0"/>
        <w:autoSpaceDN w:val="0"/>
        <w:adjustRightInd w:val="0"/>
        <w:spacing w:line="480" w:lineRule="auto"/>
        <w:ind w:left="640" w:hanging="640"/>
        <w:rPr>
          <w:rFonts w:ascii="Calibri" w:hAnsi="Calibri" w:cs="Calibri"/>
          <w:noProof/>
          <w:sz w:val="22"/>
        </w:rPr>
      </w:pPr>
      <w:r w:rsidRPr="00062A36">
        <w:rPr>
          <w:rFonts w:ascii="Calibri" w:hAnsi="Calibri" w:cs="Calibri"/>
          <w:noProof/>
          <w:sz w:val="22"/>
        </w:rPr>
        <w:t>[53]</w:t>
      </w:r>
      <w:r w:rsidRPr="00062A36">
        <w:rPr>
          <w:rFonts w:ascii="Calibri" w:hAnsi="Calibri" w:cs="Calibri"/>
          <w:noProof/>
          <w:sz w:val="22"/>
        </w:rPr>
        <w:tab/>
        <w:t>Barao K. Cavagnari MAV, Fucuta PS, Forones NM. Association between Nutrition Status and Survival in Elderly Patients with Colorectal Cancer. Nutr Clin Pract 2017;32:658–63. https://doi.org/http://dx.doi.org/10.1177/0884533617706894.</w:t>
      </w:r>
    </w:p>
    <w:p w14:paraId="31E82B89" w14:textId="77777777" w:rsidR="00062A36" w:rsidRPr="00062A36" w:rsidRDefault="00062A36" w:rsidP="00F0414E">
      <w:pPr>
        <w:widowControl w:val="0"/>
        <w:autoSpaceDE w:val="0"/>
        <w:autoSpaceDN w:val="0"/>
        <w:adjustRightInd w:val="0"/>
        <w:spacing w:line="480" w:lineRule="auto"/>
        <w:ind w:left="640" w:hanging="640"/>
        <w:rPr>
          <w:rFonts w:ascii="Calibri" w:hAnsi="Calibri" w:cs="Calibri"/>
          <w:noProof/>
          <w:sz w:val="22"/>
        </w:rPr>
      </w:pPr>
      <w:r w:rsidRPr="00062A36">
        <w:rPr>
          <w:rFonts w:ascii="Calibri" w:hAnsi="Calibri" w:cs="Calibri"/>
          <w:noProof/>
          <w:sz w:val="22"/>
        </w:rPr>
        <w:t>[54]</w:t>
      </w:r>
      <w:r w:rsidRPr="00062A36">
        <w:rPr>
          <w:rFonts w:ascii="Calibri" w:hAnsi="Calibri" w:cs="Calibri"/>
          <w:noProof/>
          <w:sz w:val="22"/>
        </w:rPr>
        <w:tab/>
        <w:t>Gupta D, Lammersfeld CA, Vashi PG, King J, Dahlk SL, Grutsch JF, et al. Bioelectrical impedance phase angle as a prognostic indicator in breast cancer. BMC Cancer 2008;8:249. https://doi.org/https://dx.doi.org/10.1186/1471-2407-8-249.</w:t>
      </w:r>
    </w:p>
    <w:p w14:paraId="32DB07A7" w14:textId="77777777" w:rsidR="00062A36" w:rsidRPr="00062A36" w:rsidRDefault="00062A36" w:rsidP="00F0414E">
      <w:pPr>
        <w:widowControl w:val="0"/>
        <w:autoSpaceDE w:val="0"/>
        <w:autoSpaceDN w:val="0"/>
        <w:adjustRightInd w:val="0"/>
        <w:spacing w:line="480" w:lineRule="auto"/>
        <w:ind w:left="640" w:hanging="640"/>
        <w:rPr>
          <w:rFonts w:ascii="Calibri" w:hAnsi="Calibri" w:cs="Calibri"/>
          <w:noProof/>
          <w:sz w:val="22"/>
        </w:rPr>
      </w:pPr>
      <w:r w:rsidRPr="00062A36">
        <w:rPr>
          <w:rFonts w:ascii="Calibri" w:hAnsi="Calibri" w:cs="Calibri"/>
          <w:noProof/>
          <w:sz w:val="22"/>
        </w:rPr>
        <w:t>[55]</w:t>
      </w:r>
      <w:r w:rsidRPr="00062A36">
        <w:rPr>
          <w:rFonts w:ascii="Calibri" w:hAnsi="Calibri" w:cs="Calibri"/>
          <w:noProof/>
          <w:sz w:val="22"/>
        </w:rPr>
        <w:tab/>
        <w:t>Rinaldi S, Gilliland J, O’Connor C, Chesworth B, Madill J. Is phase angle an appropriate indicator of malnutrition in different disease states? A systematic review. Clin Nutr ESPEN 2019. https://doi.org/10.1016/j.clnesp.2018.10.010.</w:t>
      </w:r>
    </w:p>
    <w:p w14:paraId="17C16631" w14:textId="77777777" w:rsidR="00062A36" w:rsidRPr="00062A36" w:rsidRDefault="00062A36" w:rsidP="00F0414E">
      <w:pPr>
        <w:widowControl w:val="0"/>
        <w:autoSpaceDE w:val="0"/>
        <w:autoSpaceDN w:val="0"/>
        <w:adjustRightInd w:val="0"/>
        <w:spacing w:line="480" w:lineRule="auto"/>
        <w:ind w:left="640" w:hanging="640"/>
        <w:rPr>
          <w:rFonts w:ascii="Calibri" w:hAnsi="Calibri" w:cs="Calibri"/>
          <w:noProof/>
          <w:sz w:val="22"/>
        </w:rPr>
      </w:pPr>
      <w:r w:rsidRPr="00062A36">
        <w:rPr>
          <w:rFonts w:ascii="Calibri" w:hAnsi="Calibri" w:cs="Calibri"/>
          <w:noProof/>
          <w:sz w:val="22"/>
        </w:rPr>
        <w:t>[56]</w:t>
      </w:r>
      <w:r w:rsidRPr="00062A36">
        <w:rPr>
          <w:rFonts w:ascii="Calibri" w:hAnsi="Calibri" w:cs="Calibri"/>
          <w:noProof/>
          <w:sz w:val="22"/>
        </w:rPr>
        <w:tab/>
        <w:t>Mundstock E, Amaral MA, Baptista RR, Sarria EE, dos Santos RRG, Filho AD, et al. Association between phase angle from bioelectrical impedance analysis and level of physical activity: Systematic review and meta-analysis. Clin Nutr 2019. https://doi.org/10.1016/j.clnu.2018.08.031.</w:t>
      </w:r>
    </w:p>
    <w:p w14:paraId="717A1514" w14:textId="77777777" w:rsidR="00062A36" w:rsidRPr="00062A36" w:rsidRDefault="00062A36" w:rsidP="00F0414E">
      <w:pPr>
        <w:widowControl w:val="0"/>
        <w:autoSpaceDE w:val="0"/>
        <w:autoSpaceDN w:val="0"/>
        <w:adjustRightInd w:val="0"/>
        <w:spacing w:line="480" w:lineRule="auto"/>
        <w:ind w:left="640" w:hanging="640"/>
        <w:rPr>
          <w:rFonts w:ascii="Calibri" w:hAnsi="Calibri" w:cs="Calibri"/>
          <w:noProof/>
          <w:sz w:val="22"/>
        </w:rPr>
      </w:pPr>
      <w:r w:rsidRPr="00062A36">
        <w:rPr>
          <w:rFonts w:ascii="Calibri" w:hAnsi="Calibri" w:cs="Calibri"/>
          <w:noProof/>
          <w:sz w:val="22"/>
        </w:rPr>
        <w:t>[57]</w:t>
      </w:r>
      <w:r w:rsidRPr="00062A36">
        <w:rPr>
          <w:rFonts w:ascii="Calibri" w:hAnsi="Calibri" w:cs="Calibri"/>
          <w:noProof/>
          <w:sz w:val="22"/>
        </w:rPr>
        <w:tab/>
        <w:t>Fearon K, Strasser F, Anker SD, Bosaeus I, Bruera E, Fainsinger RL, et al. Definition and classification of cancer cachexia: an international consensus. Lancet Oncol 2011. https://doi.org/10.1016/S1470-2045(10)70218-7.</w:t>
      </w:r>
    </w:p>
    <w:p w14:paraId="15F8660F" w14:textId="738791B4" w:rsidR="00D03030" w:rsidRDefault="00062A36" w:rsidP="00F0414E">
      <w:pPr>
        <w:widowControl w:val="0"/>
        <w:autoSpaceDE w:val="0"/>
        <w:autoSpaceDN w:val="0"/>
        <w:adjustRightInd w:val="0"/>
        <w:spacing w:line="480" w:lineRule="auto"/>
        <w:ind w:left="640" w:hanging="640"/>
        <w:rPr>
          <w:rFonts w:asciiTheme="minorHAnsi" w:hAnsiTheme="minorHAnsi" w:cstheme="minorHAnsi"/>
          <w:color w:val="000000" w:themeColor="text1"/>
          <w:sz w:val="22"/>
          <w:szCs w:val="22"/>
        </w:rPr>
      </w:pPr>
      <w:r w:rsidRPr="00062A36">
        <w:rPr>
          <w:rFonts w:ascii="Calibri" w:hAnsi="Calibri" w:cs="Calibri"/>
          <w:noProof/>
          <w:sz w:val="22"/>
        </w:rPr>
        <w:t>[58]</w:t>
      </w:r>
      <w:r w:rsidRPr="00062A36">
        <w:rPr>
          <w:rFonts w:ascii="Calibri" w:hAnsi="Calibri" w:cs="Calibri"/>
          <w:noProof/>
          <w:sz w:val="22"/>
        </w:rPr>
        <w:tab/>
        <w:t>Comprehensive Personalised Care Model. NHS England, 2019. (Accessed August 6, 2019 at https://www.england.nhs.uk/wp-content/uploads/2019/02/comprehensive-model-of-personalised-care.pdf.)</w:t>
      </w:r>
      <w:r w:rsidR="003662F1" w:rsidRPr="00591E11">
        <w:rPr>
          <w:rFonts w:asciiTheme="minorHAnsi" w:hAnsiTheme="minorHAnsi" w:cstheme="minorHAnsi"/>
          <w:color w:val="000000" w:themeColor="text1"/>
          <w:sz w:val="22"/>
          <w:szCs w:val="22"/>
        </w:rPr>
        <w:fldChar w:fldCharType="end"/>
      </w:r>
    </w:p>
    <w:p w14:paraId="757013F4" w14:textId="77777777" w:rsidR="00472923" w:rsidRDefault="00472923" w:rsidP="00F0414E">
      <w:pPr>
        <w:widowControl w:val="0"/>
        <w:autoSpaceDE w:val="0"/>
        <w:autoSpaceDN w:val="0"/>
        <w:adjustRightInd w:val="0"/>
        <w:spacing w:line="480" w:lineRule="auto"/>
        <w:ind w:left="640" w:hanging="640"/>
        <w:rPr>
          <w:rFonts w:asciiTheme="minorHAnsi" w:hAnsiTheme="minorHAnsi" w:cstheme="minorHAnsi"/>
          <w:color w:val="000000" w:themeColor="text1"/>
          <w:sz w:val="22"/>
          <w:szCs w:val="22"/>
        </w:rPr>
      </w:pPr>
    </w:p>
    <w:p w14:paraId="67BA74EB" w14:textId="77777777" w:rsidR="00472923" w:rsidRDefault="00472923" w:rsidP="00F0414E">
      <w:pPr>
        <w:widowControl w:val="0"/>
        <w:autoSpaceDE w:val="0"/>
        <w:autoSpaceDN w:val="0"/>
        <w:adjustRightInd w:val="0"/>
        <w:spacing w:line="480" w:lineRule="auto"/>
        <w:ind w:left="640" w:hanging="640"/>
        <w:rPr>
          <w:rFonts w:asciiTheme="minorHAnsi" w:hAnsiTheme="minorHAnsi" w:cstheme="minorHAnsi"/>
          <w:color w:val="000000" w:themeColor="text1"/>
          <w:sz w:val="22"/>
          <w:szCs w:val="22"/>
        </w:rPr>
      </w:pPr>
    </w:p>
    <w:p w14:paraId="4724FBBB" w14:textId="77777777" w:rsidR="00472923" w:rsidRDefault="00472923" w:rsidP="00F0414E">
      <w:pPr>
        <w:widowControl w:val="0"/>
        <w:autoSpaceDE w:val="0"/>
        <w:autoSpaceDN w:val="0"/>
        <w:adjustRightInd w:val="0"/>
        <w:spacing w:line="480" w:lineRule="auto"/>
        <w:ind w:left="640" w:hanging="640"/>
        <w:rPr>
          <w:rFonts w:asciiTheme="minorHAnsi" w:hAnsiTheme="minorHAnsi" w:cstheme="minorHAnsi"/>
          <w:color w:val="000000" w:themeColor="text1"/>
          <w:sz w:val="22"/>
          <w:szCs w:val="22"/>
        </w:rPr>
      </w:pPr>
    </w:p>
    <w:p w14:paraId="7A4CFE64" w14:textId="77777777" w:rsidR="007E658E" w:rsidRDefault="007E658E" w:rsidP="00F0414E">
      <w:pPr>
        <w:widowControl w:val="0"/>
        <w:autoSpaceDE w:val="0"/>
        <w:autoSpaceDN w:val="0"/>
        <w:adjustRightInd w:val="0"/>
        <w:spacing w:line="480" w:lineRule="auto"/>
        <w:ind w:left="640" w:hanging="640"/>
        <w:rPr>
          <w:rFonts w:asciiTheme="minorHAnsi" w:hAnsiTheme="minorHAnsi" w:cstheme="minorHAnsi"/>
          <w:color w:val="000000" w:themeColor="text1"/>
          <w:sz w:val="22"/>
          <w:szCs w:val="22"/>
        </w:rPr>
      </w:pPr>
    </w:p>
    <w:p w14:paraId="6EBB825E" w14:textId="77777777" w:rsidR="007517F2" w:rsidRDefault="007517F2" w:rsidP="00F0414E">
      <w:pPr>
        <w:widowControl w:val="0"/>
        <w:autoSpaceDE w:val="0"/>
        <w:autoSpaceDN w:val="0"/>
        <w:adjustRightInd w:val="0"/>
        <w:spacing w:line="480" w:lineRule="auto"/>
        <w:rPr>
          <w:rFonts w:ascii="Calibri" w:hAnsi="Calibri" w:cs="Calibri"/>
          <w:sz w:val="22"/>
          <w:szCs w:val="22"/>
        </w:rPr>
      </w:pPr>
    </w:p>
    <w:p w14:paraId="35183AAC" w14:textId="77777777" w:rsidR="00DF5D4C" w:rsidRDefault="00DF5D4C" w:rsidP="00F0414E">
      <w:pPr>
        <w:widowControl w:val="0"/>
        <w:autoSpaceDE w:val="0"/>
        <w:autoSpaceDN w:val="0"/>
        <w:adjustRightInd w:val="0"/>
        <w:spacing w:line="480" w:lineRule="auto"/>
        <w:rPr>
          <w:rFonts w:ascii="Calibri" w:hAnsi="Calibri" w:cs="Calibri"/>
          <w:sz w:val="22"/>
          <w:szCs w:val="22"/>
        </w:rPr>
      </w:pPr>
    </w:p>
    <w:p w14:paraId="462C05E5" w14:textId="2ECA0D6B" w:rsidR="00DF5D4C" w:rsidRPr="00B0421A" w:rsidRDefault="00DF5D4C" w:rsidP="00F0414E">
      <w:pPr>
        <w:spacing w:line="480" w:lineRule="auto"/>
        <w:rPr>
          <w:rFonts w:ascii="Calibri" w:hAnsi="Calibri" w:cs="Calibri"/>
          <w:sz w:val="22"/>
          <w:szCs w:val="22"/>
        </w:rPr>
      </w:pPr>
    </w:p>
    <w:sectPr w:rsidR="00DF5D4C" w:rsidRPr="00B0421A" w:rsidSect="0075032B">
      <w:pgSz w:w="11906" w:h="16838"/>
      <w:pgMar w:top="1440" w:right="1440" w:bottom="1440" w:left="1440"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C80B5B" w14:textId="77777777" w:rsidR="000F5D44" w:rsidRDefault="000F5D44" w:rsidP="00664802">
      <w:r>
        <w:separator/>
      </w:r>
    </w:p>
  </w:endnote>
  <w:endnote w:type="continuationSeparator" w:id="0">
    <w:p w14:paraId="6BB442C6" w14:textId="77777777" w:rsidR="000F5D44" w:rsidRDefault="000F5D44" w:rsidP="00664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pple Color Emoji">
    <w:charset w:val="00"/>
    <w:family w:val="auto"/>
    <w:pitch w:val="variable"/>
    <w:sig w:usb0="00000003" w:usb1="18000000" w:usb2="14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1"/>
    <w:family w:val="roman"/>
    <w:notTrueType/>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47532222"/>
      <w:docPartObj>
        <w:docPartGallery w:val="Page Numbers (Bottom of Page)"/>
        <w:docPartUnique/>
      </w:docPartObj>
    </w:sdtPr>
    <w:sdtEndPr>
      <w:rPr>
        <w:rStyle w:val="PageNumber"/>
      </w:rPr>
    </w:sdtEndPr>
    <w:sdtContent>
      <w:p w14:paraId="235EE489" w14:textId="77777777" w:rsidR="00A47C57" w:rsidRDefault="00A47C57" w:rsidP="00BA0C4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167827330"/>
      <w:docPartObj>
        <w:docPartGallery w:val="Page Numbers (Bottom of Page)"/>
        <w:docPartUnique/>
      </w:docPartObj>
    </w:sdtPr>
    <w:sdtEndPr>
      <w:rPr>
        <w:rStyle w:val="PageNumber"/>
      </w:rPr>
    </w:sdtEndPr>
    <w:sdtContent>
      <w:p w14:paraId="0A721F82" w14:textId="77777777" w:rsidR="00A47C57" w:rsidRDefault="00A47C57" w:rsidP="00664802">
        <w:pPr>
          <w:pStyle w:val="Footer"/>
          <w:framePr w:wrap="none" w:vAnchor="text" w:hAnchor="margin" w:xAlign="center"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2099713777"/>
      <w:docPartObj>
        <w:docPartGallery w:val="Page Numbers (Bottom of Page)"/>
        <w:docPartUnique/>
      </w:docPartObj>
    </w:sdtPr>
    <w:sdtEndPr>
      <w:rPr>
        <w:rStyle w:val="PageNumber"/>
      </w:rPr>
    </w:sdtEndPr>
    <w:sdtContent>
      <w:p w14:paraId="572F797E" w14:textId="77777777" w:rsidR="00A47C57" w:rsidRDefault="00A47C57" w:rsidP="00BA0C4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2044939091"/>
      <w:docPartObj>
        <w:docPartGallery w:val="Page Numbers (Bottom of Page)"/>
        <w:docPartUnique/>
      </w:docPartObj>
    </w:sdtPr>
    <w:sdtEndPr>
      <w:rPr>
        <w:rStyle w:val="PageNumber"/>
      </w:rPr>
    </w:sdtEndPr>
    <w:sdtContent>
      <w:p w14:paraId="5354CA9D" w14:textId="77777777" w:rsidR="00A47C57" w:rsidRDefault="00A47C57" w:rsidP="00664802">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6EDBBD4" w14:textId="77777777" w:rsidR="00A47C57" w:rsidRDefault="00A47C57" w:rsidP="0066480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Theme="minorHAnsi" w:hAnsiTheme="minorHAnsi" w:cstheme="minorHAnsi"/>
        <w:sz w:val="22"/>
        <w:szCs w:val="22"/>
      </w:rPr>
      <w:id w:val="-221678639"/>
      <w:docPartObj>
        <w:docPartGallery w:val="Page Numbers (Bottom of Page)"/>
        <w:docPartUnique/>
      </w:docPartObj>
    </w:sdtPr>
    <w:sdtEndPr>
      <w:rPr>
        <w:rStyle w:val="PageNumber"/>
      </w:rPr>
    </w:sdtEndPr>
    <w:sdtContent>
      <w:p w14:paraId="06A70D08" w14:textId="00FCA87D" w:rsidR="00A47C57" w:rsidRPr="00B0421A" w:rsidRDefault="00A47C57" w:rsidP="00BA0C47">
        <w:pPr>
          <w:pStyle w:val="Footer"/>
          <w:framePr w:wrap="none" w:vAnchor="text" w:hAnchor="margin" w:xAlign="right" w:y="1"/>
          <w:rPr>
            <w:rStyle w:val="PageNumber"/>
            <w:rFonts w:asciiTheme="minorHAnsi" w:hAnsiTheme="minorHAnsi" w:cstheme="minorHAnsi"/>
            <w:sz w:val="22"/>
            <w:szCs w:val="22"/>
          </w:rPr>
        </w:pPr>
        <w:r w:rsidRPr="00B0421A">
          <w:rPr>
            <w:rStyle w:val="PageNumber"/>
            <w:rFonts w:asciiTheme="minorHAnsi" w:hAnsiTheme="minorHAnsi" w:cstheme="minorHAnsi"/>
            <w:sz w:val="22"/>
            <w:szCs w:val="22"/>
          </w:rPr>
          <w:fldChar w:fldCharType="begin"/>
        </w:r>
        <w:r w:rsidRPr="00B0421A">
          <w:rPr>
            <w:rStyle w:val="PageNumber"/>
            <w:rFonts w:asciiTheme="minorHAnsi" w:hAnsiTheme="minorHAnsi" w:cstheme="minorHAnsi"/>
            <w:sz w:val="22"/>
            <w:szCs w:val="22"/>
          </w:rPr>
          <w:instrText xml:space="preserve"> PAGE </w:instrText>
        </w:r>
        <w:r w:rsidRPr="00B0421A">
          <w:rPr>
            <w:rStyle w:val="PageNumber"/>
            <w:rFonts w:asciiTheme="minorHAnsi" w:hAnsiTheme="minorHAnsi" w:cstheme="minorHAnsi"/>
            <w:sz w:val="22"/>
            <w:szCs w:val="22"/>
          </w:rPr>
          <w:fldChar w:fldCharType="separate"/>
        </w:r>
        <w:r w:rsidR="00E25F0F">
          <w:rPr>
            <w:rStyle w:val="PageNumber"/>
            <w:rFonts w:asciiTheme="minorHAnsi" w:hAnsiTheme="minorHAnsi" w:cstheme="minorHAnsi"/>
            <w:noProof/>
            <w:sz w:val="22"/>
            <w:szCs w:val="22"/>
          </w:rPr>
          <w:t>1</w:t>
        </w:r>
        <w:r w:rsidRPr="00B0421A">
          <w:rPr>
            <w:rStyle w:val="PageNumber"/>
            <w:rFonts w:asciiTheme="minorHAnsi" w:hAnsiTheme="minorHAnsi" w:cstheme="minorHAnsi"/>
            <w:sz w:val="22"/>
            <w:szCs w:val="22"/>
          </w:rPr>
          <w:fldChar w:fldCharType="end"/>
        </w:r>
      </w:p>
    </w:sdtContent>
  </w:sdt>
  <w:p w14:paraId="51AB96EA" w14:textId="6A525833" w:rsidR="00A47C57" w:rsidRPr="00B0421A" w:rsidRDefault="00A47C57" w:rsidP="00664802">
    <w:pPr>
      <w:pStyle w:val="Footer"/>
      <w:ind w:right="360"/>
      <w:rPr>
        <w:rFonts w:asciiTheme="minorHAnsi" w:hAnsiTheme="minorHAnsi" w:cstheme="minorHAnsi"/>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AB138E" w14:textId="77777777" w:rsidR="000F5D44" w:rsidRDefault="000F5D44" w:rsidP="00664802">
      <w:r>
        <w:separator/>
      </w:r>
    </w:p>
  </w:footnote>
  <w:footnote w:type="continuationSeparator" w:id="0">
    <w:p w14:paraId="7C3023E7" w14:textId="77777777" w:rsidR="000F5D44" w:rsidRDefault="000F5D44" w:rsidP="006648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8F35E3"/>
    <w:multiLevelType w:val="multilevel"/>
    <w:tmpl w:val="E98C665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0DF814E4"/>
    <w:multiLevelType w:val="hybridMultilevel"/>
    <w:tmpl w:val="67FCC81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C26326"/>
    <w:multiLevelType w:val="hybridMultilevel"/>
    <w:tmpl w:val="F15600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A765B63"/>
    <w:multiLevelType w:val="hybridMultilevel"/>
    <w:tmpl w:val="05CCA7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F67C49"/>
    <w:multiLevelType w:val="multilevel"/>
    <w:tmpl w:val="C37E4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AC206D6"/>
    <w:multiLevelType w:val="hybridMultilevel"/>
    <w:tmpl w:val="F1341E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C155BD"/>
    <w:multiLevelType w:val="hybridMultilevel"/>
    <w:tmpl w:val="6CCC4D08"/>
    <w:lvl w:ilvl="0" w:tplc="BF2A2950">
      <w:numFmt w:val="bullet"/>
      <w:lvlText w:val="-"/>
      <w:lvlJc w:val="left"/>
      <w:pPr>
        <w:ind w:left="1005" w:hanging="360"/>
      </w:pPr>
      <w:rPr>
        <w:rFonts w:ascii="Calibri" w:eastAsiaTheme="minorHAnsi" w:hAnsi="Calibri" w:cs="Calibri"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7" w15:restartNumberingAfterBreak="0">
    <w:nsid w:val="3CEC6597"/>
    <w:multiLevelType w:val="hybridMultilevel"/>
    <w:tmpl w:val="184EC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1469F0"/>
    <w:multiLevelType w:val="multilevel"/>
    <w:tmpl w:val="481CBAE0"/>
    <w:lvl w:ilvl="0">
      <w:start w:val="1"/>
      <w:numFmt w:val="decimal"/>
      <w:lvlText w:val="%1."/>
      <w:lvlJc w:val="left"/>
      <w:pPr>
        <w:ind w:left="360" w:hanging="360"/>
      </w:pPr>
      <w:rPr>
        <w:rFonts w:hint="default"/>
      </w:rPr>
    </w:lvl>
    <w:lvl w:ilvl="1">
      <w:start w:val="1"/>
      <w:numFmt w:val="decimal"/>
      <w:isLgl/>
      <w:lvlText w:val="%1.%2"/>
      <w:lvlJc w:val="left"/>
      <w:pPr>
        <w:ind w:left="380" w:hanging="380"/>
      </w:pPr>
      <w:rPr>
        <w:rFonts w:hint="default"/>
      </w:rPr>
    </w:lvl>
    <w:lvl w:ilvl="2">
      <w:start w:val="1"/>
      <w:numFmt w:val="upperLetter"/>
      <w:isLgl/>
      <w:lvlText w:val="%1.%2.%3"/>
      <w:lvlJc w:val="left"/>
      <w:pPr>
        <w:ind w:left="720" w:hanging="720"/>
      </w:pPr>
      <w:rPr>
        <w:rFonts w:hint="default"/>
      </w:rPr>
    </w:lvl>
    <w:lvl w:ilvl="3">
      <w:start w:val="1"/>
      <w:numFmt w:val="upperLetter"/>
      <w:isLgl/>
      <w:lvlText w:val="%1.%2.%3.%4"/>
      <w:lvlJc w:val="left"/>
      <w:pPr>
        <w:ind w:left="720" w:hanging="720"/>
      </w:pPr>
      <w:rPr>
        <w:rFonts w:hint="default"/>
      </w:rPr>
    </w:lvl>
    <w:lvl w:ilvl="4">
      <w:start w:val="1"/>
      <w:numFmt w:val="upperLetter"/>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44275D06"/>
    <w:multiLevelType w:val="hybridMultilevel"/>
    <w:tmpl w:val="0AF479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8D196E"/>
    <w:multiLevelType w:val="hybridMultilevel"/>
    <w:tmpl w:val="6E542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6B3423"/>
    <w:multiLevelType w:val="hybridMultilevel"/>
    <w:tmpl w:val="C8F4C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4B4191"/>
    <w:multiLevelType w:val="hybridMultilevel"/>
    <w:tmpl w:val="38CC33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8DC0EA7"/>
    <w:multiLevelType w:val="hybridMultilevel"/>
    <w:tmpl w:val="7F72A4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B515652"/>
    <w:multiLevelType w:val="hybridMultilevel"/>
    <w:tmpl w:val="8CAAFB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15:restartNumberingAfterBreak="0">
    <w:nsid w:val="6F8875E7"/>
    <w:multiLevelType w:val="hybridMultilevel"/>
    <w:tmpl w:val="A91E7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2C407F"/>
    <w:multiLevelType w:val="hybridMultilevel"/>
    <w:tmpl w:val="F74A79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BB519C2"/>
    <w:multiLevelType w:val="hybridMultilevel"/>
    <w:tmpl w:val="D228EC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BF40251"/>
    <w:multiLevelType w:val="hybridMultilevel"/>
    <w:tmpl w:val="3702B0EA"/>
    <w:lvl w:ilvl="0" w:tplc="A7620536">
      <w:start w:val="1"/>
      <w:numFmt w:val="decimal"/>
      <w:lvlText w:val="%1."/>
      <w:lvlJc w:val="left"/>
      <w:pPr>
        <w:tabs>
          <w:tab w:val="num" w:pos="360"/>
        </w:tabs>
        <w:ind w:left="360" w:hanging="360"/>
      </w:pPr>
    </w:lvl>
    <w:lvl w:ilvl="1" w:tplc="257E97A0" w:tentative="1">
      <w:start w:val="1"/>
      <w:numFmt w:val="decimal"/>
      <w:lvlText w:val="%2."/>
      <w:lvlJc w:val="left"/>
      <w:pPr>
        <w:tabs>
          <w:tab w:val="num" w:pos="1080"/>
        </w:tabs>
        <w:ind w:left="1080" w:hanging="360"/>
      </w:pPr>
    </w:lvl>
    <w:lvl w:ilvl="2" w:tplc="557E2720" w:tentative="1">
      <w:start w:val="1"/>
      <w:numFmt w:val="decimal"/>
      <w:lvlText w:val="%3."/>
      <w:lvlJc w:val="left"/>
      <w:pPr>
        <w:tabs>
          <w:tab w:val="num" w:pos="1800"/>
        </w:tabs>
        <w:ind w:left="1800" w:hanging="360"/>
      </w:pPr>
    </w:lvl>
    <w:lvl w:ilvl="3" w:tplc="671AAF62" w:tentative="1">
      <w:start w:val="1"/>
      <w:numFmt w:val="decimal"/>
      <w:lvlText w:val="%4."/>
      <w:lvlJc w:val="left"/>
      <w:pPr>
        <w:tabs>
          <w:tab w:val="num" w:pos="2520"/>
        </w:tabs>
        <w:ind w:left="2520" w:hanging="360"/>
      </w:pPr>
    </w:lvl>
    <w:lvl w:ilvl="4" w:tplc="DCFA0882" w:tentative="1">
      <w:start w:val="1"/>
      <w:numFmt w:val="decimal"/>
      <w:lvlText w:val="%5."/>
      <w:lvlJc w:val="left"/>
      <w:pPr>
        <w:tabs>
          <w:tab w:val="num" w:pos="3240"/>
        </w:tabs>
        <w:ind w:left="3240" w:hanging="360"/>
      </w:pPr>
    </w:lvl>
    <w:lvl w:ilvl="5" w:tplc="E26A8EE8" w:tentative="1">
      <w:start w:val="1"/>
      <w:numFmt w:val="decimal"/>
      <w:lvlText w:val="%6."/>
      <w:lvlJc w:val="left"/>
      <w:pPr>
        <w:tabs>
          <w:tab w:val="num" w:pos="3960"/>
        </w:tabs>
        <w:ind w:left="3960" w:hanging="360"/>
      </w:pPr>
    </w:lvl>
    <w:lvl w:ilvl="6" w:tplc="F7F88E3A" w:tentative="1">
      <w:start w:val="1"/>
      <w:numFmt w:val="decimal"/>
      <w:lvlText w:val="%7."/>
      <w:lvlJc w:val="left"/>
      <w:pPr>
        <w:tabs>
          <w:tab w:val="num" w:pos="4680"/>
        </w:tabs>
        <w:ind w:left="4680" w:hanging="360"/>
      </w:pPr>
    </w:lvl>
    <w:lvl w:ilvl="7" w:tplc="CDF81B9E" w:tentative="1">
      <w:start w:val="1"/>
      <w:numFmt w:val="decimal"/>
      <w:lvlText w:val="%8."/>
      <w:lvlJc w:val="left"/>
      <w:pPr>
        <w:tabs>
          <w:tab w:val="num" w:pos="5400"/>
        </w:tabs>
        <w:ind w:left="5400" w:hanging="360"/>
      </w:pPr>
    </w:lvl>
    <w:lvl w:ilvl="8" w:tplc="CF441A92" w:tentative="1">
      <w:start w:val="1"/>
      <w:numFmt w:val="decimal"/>
      <w:lvlText w:val="%9."/>
      <w:lvlJc w:val="left"/>
      <w:pPr>
        <w:tabs>
          <w:tab w:val="num" w:pos="6120"/>
        </w:tabs>
        <w:ind w:left="6120" w:hanging="360"/>
      </w:pPr>
    </w:lvl>
  </w:abstractNum>
  <w:num w:numId="1">
    <w:abstractNumId w:val="8"/>
  </w:num>
  <w:num w:numId="2">
    <w:abstractNumId w:val="14"/>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3"/>
  </w:num>
  <w:num w:numId="6">
    <w:abstractNumId w:val="7"/>
  </w:num>
  <w:num w:numId="7">
    <w:abstractNumId w:val="10"/>
  </w:num>
  <w:num w:numId="8">
    <w:abstractNumId w:val="18"/>
  </w:num>
  <w:num w:numId="9">
    <w:abstractNumId w:val="0"/>
  </w:num>
  <w:num w:numId="10">
    <w:abstractNumId w:val="4"/>
  </w:num>
  <w:num w:numId="11">
    <w:abstractNumId w:val="15"/>
  </w:num>
  <w:num w:numId="12">
    <w:abstractNumId w:val="16"/>
  </w:num>
  <w:num w:numId="13">
    <w:abstractNumId w:val="12"/>
  </w:num>
  <w:num w:numId="14">
    <w:abstractNumId w:val="9"/>
  </w:num>
  <w:num w:numId="15">
    <w:abstractNumId w:val="5"/>
  </w:num>
  <w:num w:numId="16">
    <w:abstractNumId w:val="2"/>
  </w:num>
  <w:num w:numId="17">
    <w:abstractNumId w:val="11"/>
  </w:num>
  <w:num w:numId="18">
    <w:abstractNumId w:val="1"/>
  </w:num>
  <w:num w:numId="19">
    <w:abstractNumId w:val="6"/>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447F7"/>
    <w:rsid w:val="00003DCA"/>
    <w:rsid w:val="00004570"/>
    <w:rsid w:val="00007C86"/>
    <w:rsid w:val="000101AB"/>
    <w:rsid w:val="000205ED"/>
    <w:rsid w:val="00020769"/>
    <w:rsid w:val="000255F1"/>
    <w:rsid w:val="0003168E"/>
    <w:rsid w:val="00033205"/>
    <w:rsid w:val="0004184F"/>
    <w:rsid w:val="00054EF6"/>
    <w:rsid w:val="00056D99"/>
    <w:rsid w:val="00062A36"/>
    <w:rsid w:val="00062C3C"/>
    <w:rsid w:val="000633B3"/>
    <w:rsid w:val="00063751"/>
    <w:rsid w:val="000652FD"/>
    <w:rsid w:val="00072F4A"/>
    <w:rsid w:val="000730EB"/>
    <w:rsid w:val="000751D5"/>
    <w:rsid w:val="0007751C"/>
    <w:rsid w:val="000827A0"/>
    <w:rsid w:val="000905FD"/>
    <w:rsid w:val="000913EE"/>
    <w:rsid w:val="00091FBF"/>
    <w:rsid w:val="00092573"/>
    <w:rsid w:val="00093BF3"/>
    <w:rsid w:val="00094067"/>
    <w:rsid w:val="000A3ADE"/>
    <w:rsid w:val="000A5D59"/>
    <w:rsid w:val="000B1BD2"/>
    <w:rsid w:val="000C7461"/>
    <w:rsid w:val="000C7B2D"/>
    <w:rsid w:val="000D3AF1"/>
    <w:rsid w:val="000D60B5"/>
    <w:rsid w:val="000F03AA"/>
    <w:rsid w:val="000F187A"/>
    <w:rsid w:val="000F352A"/>
    <w:rsid w:val="000F3C3C"/>
    <w:rsid w:val="000F42C1"/>
    <w:rsid w:val="000F45AA"/>
    <w:rsid w:val="000F5306"/>
    <w:rsid w:val="000F5D44"/>
    <w:rsid w:val="000F6631"/>
    <w:rsid w:val="00105507"/>
    <w:rsid w:val="00107C36"/>
    <w:rsid w:val="0011273E"/>
    <w:rsid w:val="00112F67"/>
    <w:rsid w:val="00114596"/>
    <w:rsid w:val="00121907"/>
    <w:rsid w:val="00123615"/>
    <w:rsid w:val="001279DD"/>
    <w:rsid w:val="00140F99"/>
    <w:rsid w:val="001544AB"/>
    <w:rsid w:val="001557A2"/>
    <w:rsid w:val="00161EF6"/>
    <w:rsid w:val="001631B2"/>
    <w:rsid w:val="001638D0"/>
    <w:rsid w:val="001706DA"/>
    <w:rsid w:val="001734F1"/>
    <w:rsid w:val="001746BF"/>
    <w:rsid w:val="0018069A"/>
    <w:rsid w:val="00180935"/>
    <w:rsid w:val="001812D4"/>
    <w:rsid w:val="00183C25"/>
    <w:rsid w:val="001848C4"/>
    <w:rsid w:val="00187EFE"/>
    <w:rsid w:val="00195A85"/>
    <w:rsid w:val="00197363"/>
    <w:rsid w:val="001B2090"/>
    <w:rsid w:val="001B2EE0"/>
    <w:rsid w:val="001B3A64"/>
    <w:rsid w:val="001C1E66"/>
    <w:rsid w:val="001D0208"/>
    <w:rsid w:val="001D0476"/>
    <w:rsid w:val="001D2BE7"/>
    <w:rsid w:val="001D6220"/>
    <w:rsid w:val="001F4085"/>
    <w:rsid w:val="00201244"/>
    <w:rsid w:val="00202907"/>
    <w:rsid w:val="002054F0"/>
    <w:rsid w:val="002142C9"/>
    <w:rsid w:val="0021624F"/>
    <w:rsid w:val="002219AD"/>
    <w:rsid w:val="00222A84"/>
    <w:rsid w:val="002265ED"/>
    <w:rsid w:val="0022693F"/>
    <w:rsid w:val="00226ED8"/>
    <w:rsid w:val="00226FE0"/>
    <w:rsid w:val="00230D42"/>
    <w:rsid w:val="00232331"/>
    <w:rsid w:val="002323CB"/>
    <w:rsid w:val="00243CB1"/>
    <w:rsid w:val="00246291"/>
    <w:rsid w:val="0024717E"/>
    <w:rsid w:val="00250085"/>
    <w:rsid w:val="00253A2C"/>
    <w:rsid w:val="0025481E"/>
    <w:rsid w:val="002551CD"/>
    <w:rsid w:val="00260BB7"/>
    <w:rsid w:val="00260EB9"/>
    <w:rsid w:val="00261F9D"/>
    <w:rsid w:val="00263B1A"/>
    <w:rsid w:val="002646C0"/>
    <w:rsid w:val="00264722"/>
    <w:rsid w:val="00271008"/>
    <w:rsid w:val="002727C0"/>
    <w:rsid w:val="0027499D"/>
    <w:rsid w:val="002876E4"/>
    <w:rsid w:val="002912C6"/>
    <w:rsid w:val="00295409"/>
    <w:rsid w:val="002A1B16"/>
    <w:rsid w:val="002B2025"/>
    <w:rsid w:val="002B27F8"/>
    <w:rsid w:val="002B3A7B"/>
    <w:rsid w:val="002C5F7E"/>
    <w:rsid w:val="002D02B9"/>
    <w:rsid w:val="002D351B"/>
    <w:rsid w:val="002D62C1"/>
    <w:rsid w:val="002D6A6B"/>
    <w:rsid w:val="002D77FB"/>
    <w:rsid w:val="002F07CA"/>
    <w:rsid w:val="002F089B"/>
    <w:rsid w:val="002F4EE8"/>
    <w:rsid w:val="00300356"/>
    <w:rsid w:val="00302BC0"/>
    <w:rsid w:val="00302FB0"/>
    <w:rsid w:val="00306C7D"/>
    <w:rsid w:val="0031150B"/>
    <w:rsid w:val="00312172"/>
    <w:rsid w:val="00313D5A"/>
    <w:rsid w:val="00316B36"/>
    <w:rsid w:val="00316DF5"/>
    <w:rsid w:val="0032365E"/>
    <w:rsid w:val="00326C8A"/>
    <w:rsid w:val="0032734E"/>
    <w:rsid w:val="00327FF5"/>
    <w:rsid w:val="003325F3"/>
    <w:rsid w:val="00332C8B"/>
    <w:rsid w:val="003349F0"/>
    <w:rsid w:val="00340780"/>
    <w:rsid w:val="00340B18"/>
    <w:rsid w:val="00341AAC"/>
    <w:rsid w:val="00343869"/>
    <w:rsid w:val="003466CD"/>
    <w:rsid w:val="0035454A"/>
    <w:rsid w:val="00362892"/>
    <w:rsid w:val="003631E0"/>
    <w:rsid w:val="00363BFA"/>
    <w:rsid w:val="00364C8D"/>
    <w:rsid w:val="003662F1"/>
    <w:rsid w:val="00366F33"/>
    <w:rsid w:val="00371EC8"/>
    <w:rsid w:val="00373D6C"/>
    <w:rsid w:val="00376F9B"/>
    <w:rsid w:val="00380103"/>
    <w:rsid w:val="00380D7B"/>
    <w:rsid w:val="00387C44"/>
    <w:rsid w:val="003926AB"/>
    <w:rsid w:val="0039613E"/>
    <w:rsid w:val="00397ED4"/>
    <w:rsid w:val="003A0AC9"/>
    <w:rsid w:val="003B0576"/>
    <w:rsid w:val="003B39C2"/>
    <w:rsid w:val="003B4129"/>
    <w:rsid w:val="003B5CDB"/>
    <w:rsid w:val="003B61B7"/>
    <w:rsid w:val="003B79E3"/>
    <w:rsid w:val="003C37F5"/>
    <w:rsid w:val="003C45F8"/>
    <w:rsid w:val="003D26CF"/>
    <w:rsid w:val="003D59EB"/>
    <w:rsid w:val="003E09E7"/>
    <w:rsid w:val="003E0BFE"/>
    <w:rsid w:val="003F57EE"/>
    <w:rsid w:val="003F5C80"/>
    <w:rsid w:val="004069E1"/>
    <w:rsid w:val="00407075"/>
    <w:rsid w:val="00410F43"/>
    <w:rsid w:val="00412E8C"/>
    <w:rsid w:val="004150ED"/>
    <w:rsid w:val="00421108"/>
    <w:rsid w:val="00425B5D"/>
    <w:rsid w:val="004322CC"/>
    <w:rsid w:val="00436B1F"/>
    <w:rsid w:val="00437103"/>
    <w:rsid w:val="0043741D"/>
    <w:rsid w:val="00445568"/>
    <w:rsid w:val="00451F10"/>
    <w:rsid w:val="004620CA"/>
    <w:rsid w:val="00463C16"/>
    <w:rsid w:val="00472923"/>
    <w:rsid w:val="0047571B"/>
    <w:rsid w:val="004772F2"/>
    <w:rsid w:val="0048188D"/>
    <w:rsid w:val="00482F1D"/>
    <w:rsid w:val="0048602E"/>
    <w:rsid w:val="00487584"/>
    <w:rsid w:val="00487642"/>
    <w:rsid w:val="00490813"/>
    <w:rsid w:val="0049256B"/>
    <w:rsid w:val="004A0A4D"/>
    <w:rsid w:val="004A164C"/>
    <w:rsid w:val="004A7A01"/>
    <w:rsid w:val="004C599C"/>
    <w:rsid w:val="004D2E36"/>
    <w:rsid w:val="004D428B"/>
    <w:rsid w:val="004D43A2"/>
    <w:rsid w:val="004D47EF"/>
    <w:rsid w:val="004D6929"/>
    <w:rsid w:val="004E31C3"/>
    <w:rsid w:val="004E32E7"/>
    <w:rsid w:val="004E5144"/>
    <w:rsid w:val="004E51AB"/>
    <w:rsid w:val="004E6118"/>
    <w:rsid w:val="004F0C5F"/>
    <w:rsid w:val="004F10CE"/>
    <w:rsid w:val="004F10CF"/>
    <w:rsid w:val="004F5A87"/>
    <w:rsid w:val="004F6006"/>
    <w:rsid w:val="004F7549"/>
    <w:rsid w:val="00500EA2"/>
    <w:rsid w:val="00504796"/>
    <w:rsid w:val="00504C3C"/>
    <w:rsid w:val="005063FB"/>
    <w:rsid w:val="005079C5"/>
    <w:rsid w:val="00511F81"/>
    <w:rsid w:val="00514519"/>
    <w:rsid w:val="0051735B"/>
    <w:rsid w:val="00517AD1"/>
    <w:rsid w:val="00520A53"/>
    <w:rsid w:val="005356A0"/>
    <w:rsid w:val="00537653"/>
    <w:rsid w:val="00543955"/>
    <w:rsid w:val="00546202"/>
    <w:rsid w:val="00550451"/>
    <w:rsid w:val="0055177C"/>
    <w:rsid w:val="0055256A"/>
    <w:rsid w:val="005537B9"/>
    <w:rsid w:val="005622C5"/>
    <w:rsid w:val="00564F23"/>
    <w:rsid w:val="00566552"/>
    <w:rsid w:val="00566706"/>
    <w:rsid w:val="0056790C"/>
    <w:rsid w:val="0057215E"/>
    <w:rsid w:val="00575D26"/>
    <w:rsid w:val="00577290"/>
    <w:rsid w:val="00583D60"/>
    <w:rsid w:val="005849C7"/>
    <w:rsid w:val="00587F43"/>
    <w:rsid w:val="00591A6C"/>
    <w:rsid w:val="00591BCE"/>
    <w:rsid w:val="00591E11"/>
    <w:rsid w:val="00597259"/>
    <w:rsid w:val="005A2539"/>
    <w:rsid w:val="005A77F1"/>
    <w:rsid w:val="005B1637"/>
    <w:rsid w:val="005C1223"/>
    <w:rsid w:val="005C2841"/>
    <w:rsid w:val="005C2AFC"/>
    <w:rsid w:val="005C4A95"/>
    <w:rsid w:val="005C6935"/>
    <w:rsid w:val="005D5F2C"/>
    <w:rsid w:val="005E1278"/>
    <w:rsid w:val="005E147E"/>
    <w:rsid w:val="005E5C68"/>
    <w:rsid w:val="005E65E5"/>
    <w:rsid w:val="005F1B62"/>
    <w:rsid w:val="00601884"/>
    <w:rsid w:val="00602C5E"/>
    <w:rsid w:val="006038AD"/>
    <w:rsid w:val="00607722"/>
    <w:rsid w:val="00615128"/>
    <w:rsid w:val="00617819"/>
    <w:rsid w:val="006202B9"/>
    <w:rsid w:val="0062145F"/>
    <w:rsid w:val="00623DD0"/>
    <w:rsid w:val="00625179"/>
    <w:rsid w:val="006333B1"/>
    <w:rsid w:val="00636E73"/>
    <w:rsid w:val="00637A02"/>
    <w:rsid w:val="006430F9"/>
    <w:rsid w:val="00643FE9"/>
    <w:rsid w:val="0064542B"/>
    <w:rsid w:val="00646960"/>
    <w:rsid w:val="00647CE0"/>
    <w:rsid w:val="00650119"/>
    <w:rsid w:val="00655EE2"/>
    <w:rsid w:val="00657330"/>
    <w:rsid w:val="006612E5"/>
    <w:rsid w:val="00662561"/>
    <w:rsid w:val="00663E7D"/>
    <w:rsid w:val="00664102"/>
    <w:rsid w:val="00664802"/>
    <w:rsid w:val="0067449E"/>
    <w:rsid w:val="00677972"/>
    <w:rsid w:val="00685F1B"/>
    <w:rsid w:val="006917D2"/>
    <w:rsid w:val="006937F2"/>
    <w:rsid w:val="0069412E"/>
    <w:rsid w:val="006A240A"/>
    <w:rsid w:val="006A26CB"/>
    <w:rsid w:val="006A41C2"/>
    <w:rsid w:val="006B0720"/>
    <w:rsid w:val="006B2246"/>
    <w:rsid w:val="006B2A6E"/>
    <w:rsid w:val="006B39E8"/>
    <w:rsid w:val="006B6875"/>
    <w:rsid w:val="006C2695"/>
    <w:rsid w:val="006C78F8"/>
    <w:rsid w:val="006D055C"/>
    <w:rsid w:val="006D20DE"/>
    <w:rsid w:val="006D3BEE"/>
    <w:rsid w:val="006D78D6"/>
    <w:rsid w:val="006E0A6E"/>
    <w:rsid w:val="006E215A"/>
    <w:rsid w:val="006F65FB"/>
    <w:rsid w:val="00702EC4"/>
    <w:rsid w:val="007063DD"/>
    <w:rsid w:val="00711ADD"/>
    <w:rsid w:val="00712FF7"/>
    <w:rsid w:val="007145E7"/>
    <w:rsid w:val="007274B7"/>
    <w:rsid w:val="00727ADF"/>
    <w:rsid w:val="00730C5E"/>
    <w:rsid w:val="007311F3"/>
    <w:rsid w:val="00732617"/>
    <w:rsid w:val="00741FAB"/>
    <w:rsid w:val="00746B1D"/>
    <w:rsid w:val="00747C04"/>
    <w:rsid w:val="0075032B"/>
    <w:rsid w:val="007517F2"/>
    <w:rsid w:val="00754CA3"/>
    <w:rsid w:val="007560B1"/>
    <w:rsid w:val="00756710"/>
    <w:rsid w:val="00757C49"/>
    <w:rsid w:val="00761E64"/>
    <w:rsid w:val="00764910"/>
    <w:rsid w:val="00764BFF"/>
    <w:rsid w:val="00766473"/>
    <w:rsid w:val="00767AA4"/>
    <w:rsid w:val="0077514A"/>
    <w:rsid w:val="007760E1"/>
    <w:rsid w:val="0078035D"/>
    <w:rsid w:val="007830EF"/>
    <w:rsid w:val="00785559"/>
    <w:rsid w:val="007925C8"/>
    <w:rsid w:val="00793192"/>
    <w:rsid w:val="007A0D08"/>
    <w:rsid w:val="007A1844"/>
    <w:rsid w:val="007A72B1"/>
    <w:rsid w:val="007B5755"/>
    <w:rsid w:val="007B6EC2"/>
    <w:rsid w:val="007B6F29"/>
    <w:rsid w:val="007C0729"/>
    <w:rsid w:val="007C1ED0"/>
    <w:rsid w:val="007C3352"/>
    <w:rsid w:val="007C66EA"/>
    <w:rsid w:val="007C754E"/>
    <w:rsid w:val="007C7C4C"/>
    <w:rsid w:val="007D125E"/>
    <w:rsid w:val="007D30B8"/>
    <w:rsid w:val="007D4EDC"/>
    <w:rsid w:val="007E397D"/>
    <w:rsid w:val="007E658E"/>
    <w:rsid w:val="007F0C1F"/>
    <w:rsid w:val="007F6585"/>
    <w:rsid w:val="008063D6"/>
    <w:rsid w:val="00806482"/>
    <w:rsid w:val="00817AAA"/>
    <w:rsid w:val="0082484B"/>
    <w:rsid w:val="00824A24"/>
    <w:rsid w:val="008264C1"/>
    <w:rsid w:val="00830838"/>
    <w:rsid w:val="008374DB"/>
    <w:rsid w:val="00837BF2"/>
    <w:rsid w:val="00841FE7"/>
    <w:rsid w:val="008424B6"/>
    <w:rsid w:val="00844B82"/>
    <w:rsid w:val="00854929"/>
    <w:rsid w:val="00854DFA"/>
    <w:rsid w:val="00861BAC"/>
    <w:rsid w:val="00865CD4"/>
    <w:rsid w:val="00866B3B"/>
    <w:rsid w:val="00877246"/>
    <w:rsid w:val="00877AA4"/>
    <w:rsid w:val="00880F79"/>
    <w:rsid w:val="00881E97"/>
    <w:rsid w:val="0088202D"/>
    <w:rsid w:val="00882E9D"/>
    <w:rsid w:val="00884EE1"/>
    <w:rsid w:val="00886AC2"/>
    <w:rsid w:val="00886D90"/>
    <w:rsid w:val="00887C81"/>
    <w:rsid w:val="00893D90"/>
    <w:rsid w:val="00896069"/>
    <w:rsid w:val="008960F2"/>
    <w:rsid w:val="008A03FD"/>
    <w:rsid w:val="008A2094"/>
    <w:rsid w:val="008A2404"/>
    <w:rsid w:val="008A7004"/>
    <w:rsid w:val="008C084C"/>
    <w:rsid w:val="008C3ECE"/>
    <w:rsid w:val="008C614F"/>
    <w:rsid w:val="008C6446"/>
    <w:rsid w:val="008D14CC"/>
    <w:rsid w:val="008D4E07"/>
    <w:rsid w:val="008D6B3D"/>
    <w:rsid w:val="008E2C13"/>
    <w:rsid w:val="008E392F"/>
    <w:rsid w:val="008F2694"/>
    <w:rsid w:val="008F314A"/>
    <w:rsid w:val="008F5EFF"/>
    <w:rsid w:val="008F6E63"/>
    <w:rsid w:val="0090231A"/>
    <w:rsid w:val="009023E1"/>
    <w:rsid w:val="00904039"/>
    <w:rsid w:val="00913EC3"/>
    <w:rsid w:val="009227F8"/>
    <w:rsid w:val="009230F9"/>
    <w:rsid w:val="00940E3A"/>
    <w:rsid w:val="00946C91"/>
    <w:rsid w:val="00947746"/>
    <w:rsid w:val="009543AF"/>
    <w:rsid w:val="00954C84"/>
    <w:rsid w:val="0096296A"/>
    <w:rsid w:val="00963A57"/>
    <w:rsid w:val="00964497"/>
    <w:rsid w:val="00964715"/>
    <w:rsid w:val="0097275D"/>
    <w:rsid w:val="0097472E"/>
    <w:rsid w:val="00986FB9"/>
    <w:rsid w:val="00992C04"/>
    <w:rsid w:val="00996005"/>
    <w:rsid w:val="0099716D"/>
    <w:rsid w:val="009978AB"/>
    <w:rsid w:val="009A0E6A"/>
    <w:rsid w:val="009A20C6"/>
    <w:rsid w:val="009A58D9"/>
    <w:rsid w:val="009A5F0C"/>
    <w:rsid w:val="009A699B"/>
    <w:rsid w:val="009A7BF0"/>
    <w:rsid w:val="009B6E4D"/>
    <w:rsid w:val="009C4650"/>
    <w:rsid w:val="009C6774"/>
    <w:rsid w:val="009C799F"/>
    <w:rsid w:val="009D045A"/>
    <w:rsid w:val="009D37A8"/>
    <w:rsid w:val="009D3C8E"/>
    <w:rsid w:val="009D3F89"/>
    <w:rsid w:val="009D4192"/>
    <w:rsid w:val="009D6AA5"/>
    <w:rsid w:val="009D7DB8"/>
    <w:rsid w:val="009D7EA6"/>
    <w:rsid w:val="009E123B"/>
    <w:rsid w:val="009E54F3"/>
    <w:rsid w:val="009E6CE1"/>
    <w:rsid w:val="009F0377"/>
    <w:rsid w:val="009F0F93"/>
    <w:rsid w:val="009F1338"/>
    <w:rsid w:val="00A00A65"/>
    <w:rsid w:val="00A017C1"/>
    <w:rsid w:val="00A02548"/>
    <w:rsid w:val="00A02CED"/>
    <w:rsid w:val="00A03FF6"/>
    <w:rsid w:val="00A04651"/>
    <w:rsid w:val="00A125CE"/>
    <w:rsid w:val="00A16EDF"/>
    <w:rsid w:val="00A179B1"/>
    <w:rsid w:val="00A211DA"/>
    <w:rsid w:val="00A22437"/>
    <w:rsid w:val="00A310CC"/>
    <w:rsid w:val="00A31EAE"/>
    <w:rsid w:val="00A34B83"/>
    <w:rsid w:val="00A34CA2"/>
    <w:rsid w:val="00A3730F"/>
    <w:rsid w:val="00A41349"/>
    <w:rsid w:val="00A46412"/>
    <w:rsid w:val="00A46916"/>
    <w:rsid w:val="00A47C57"/>
    <w:rsid w:val="00A53C29"/>
    <w:rsid w:val="00A54420"/>
    <w:rsid w:val="00A55E1E"/>
    <w:rsid w:val="00A56BC0"/>
    <w:rsid w:val="00A6043D"/>
    <w:rsid w:val="00A641DE"/>
    <w:rsid w:val="00A67C87"/>
    <w:rsid w:val="00A7167E"/>
    <w:rsid w:val="00A7257B"/>
    <w:rsid w:val="00A73882"/>
    <w:rsid w:val="00A81316"/>
    <w:rsid w:val="00A8755A"/>
    <w:rsid w:val="00A91E9F"/>
    <w:rsid w:val="00A97AFA"/>
    <w:rsid w:val="00AA0B6C"/>
    <w:rsid w:val="00AA7982"/>
    <w:rsid w:val="00AB63BE"/>
    <w:rsid w:val="00AB75FD"/>
    <w:rsid w:val="00AC062A"/>
    <w:rsid w:val="00AC29BF"/>
    <w:rsid w:val="00AD4863"/>
    <w:rsid w:val="00AE58A3"/>
    <w:rsid w:val="00AE5E16"/>
    <w:rsid w:val="00AF576F"/>
    <w:rsid w:val="00B0421A"/>
    <w:rsid w:val="00B1327D"/>
    <w:rsid w:val="00B21D8D"/>
    <w:rsid w:val="00B279E0"/>
    <w:rsid w:val="00B33EB9"/>
    <w:rsid w:val="00B3586B"/>
    <w:rsid w:val="00B40012"/>
    <w:rsid w:val="00B605AE"/>
    <w:rsid w:val="00B61D1E"/>
    <w:rsid w:val="00B8184D"/>
    <w:rsid w:val="00B824F8"/>
    <w:rsid w:val="00B8635F"/>
    <w:rsid w:val="00B875A9"/>
    <w:rsid w:val="00B91EA0"/>
    <w:rsid w:val="00B951D4"/>
    <w:rsid w:val="00B96EC6"/>
    <w:rsid w:val="00BA0C47"/>
    <w:rsid w:val="00BA1B4C"/>
    <w:rsid w:val="00BB13AD"/>
    <w:rsid w:val="00BB4671"/>
    <w:rsid w:val="00BB598A"/>
    <w:rsid w:val="00BB5E22"/>
    <w:rsid w:val="00BC45E7"/>
    <w:rsid w:val="00BD6E44"/>
    <w:rsid w:val="00BD7ACE"/>
    <w:rsid w:val="00BE136A"/>
    <w:rsid w:val="00BE4B5F"/>
    <w:rsid w:val="00BE7E04"/>
    <w:rsid w:val="00BF2549"/>
    <w:rsid w:val="00C0428C"/>
    <w:rsid w:val="00C04CF4"/>
    <w:rsid w:val="00C05A76"/>
    <w:rsid w:val="00C07CE1"/>
    <w:rsid w:val="00C103DC"/>
    <w:rsid w:val="00C21C5E"/>
    <w:rsid w:val="00C302CB"/>
    <w:rsid w:val="00C32114"/>
    <w:rsid w:val="00C3306B"/>
    <w:rsid w:val="00C3316D"/>
    <w:rsid w:val="00C34AFB"/>
    <w:rsid w:val="00C367DB"/>
    <w:rsid w:val="00C42D84"/>
    <w:rsid w:val="00C476CF"/>
    <w:rsid w:val="00C54E61"/>
    <w:rsid w:val="00C54FEE"/>
    <w:rsid w:val="00C6085D"/>
    <w:rsid w:val="00C62F8F"/>
    <w:rsid w:val="00C71543"/>
    <w:rsid w:val="00C725ED"/>
    <w:rsid w:val="00C72909"/>
    <w:rsid w:val="00C732F4"/>
    <w:rsid w:val="00C7335F"/>
    <w:rsid w:val="00C74C76"/>
    <w:rsid w:val="00C809F0"/>
    <w:rsid w:val="00C81064"/>
    <w:rsid w:val="00C825D9"/>
    <w:rsid w:val="00C82B53"/>
    <w:rsid w:val="00C8324C"/>
    <w:rsid w:val="00C83583"/>
    <w:rsid w:val="00C84CE5"/>
    <w:rsid w:val="00C865FF"/>
    <w:rsid w:val="00C91633"/>
    <w:rsid w:val="00C9209C"/>
    <w:rsid w:val="00C92DDD"/>
    <w:rsid w:val="00C92E3D"/>
    <w:rsid w:val="00C93968"/>
    <w:rsid w:val="00C94CFC"/>
    <w:rsid w:val="00C94DB8"/>
    <w:rsid w:val="00C95793"/>
    <w:rsid w:val="00C96B04"/>
    <w:rsid w:val="00CA26D7"/>
    <w:rsid w:val="00CA30FA"/>
    <w:rsid w:val="00CA33FE"/>
    <w:rsid w:val="00CA44D2"/>
    <w:rsid w:val="00CA53A7"/>
    <w:rsid w:val="00CB3DFE"/>
    <w:rsid w:val="00CB6DA6"/>
    <w:rsid w:val="00CC1327"/>
    <w:rsid w:val="00CC3F7A"/>
    <w:rsid w:val="00CC46FA"/>
    <w:rsid w:val="00CC5CEB"/>
    <w:rsid w:val="00CD21E1"/>
    <w:rsid w:val="00CE7B5A"/>
    <w:rsid w:val="00CF0010"/>
    <w:rsid w:val="00CF09C0"/>
    <w:rsid w:val="00CF1961"/>
    <w:rsid w:val="00CF2298"/>
    <w:rsid w:val="00CF25BA"/>
    <w:rsid w:val="00CF44A2"/>
    <w:rsid w:val="00CF5F39"/>
    <w:rsid w:val="00CF72E0"/>
    <w:rsid w:val="00D000F3"/>
    <w:rsid w:val="00D03030"/>
    <w:rsid w:val="00D07696"/>
    <w:rsid w:val="00D07E9F"/>
    <w:rsid w:val="00D10CC9"/>
    <w:rsid w:val="00D111CC"/>
    <w:rsid w:val="00D201F3"/>
    <w:rsid w:val="00D20B2C"/>
    <w:rsid w:val="00D40C67"/>
    <w:rsid w:val="00D4122D"/>
    <w:rsid w:val="00D423B8"/>
    <w:rsid w:val="00D447F7"/>
    <w:rsid w:val="00D4725B"/>
    <w:rsid w:val="00D52039"/>
    <w:rsid w:val="00D53196"/>
    <w:rsid w:val="00D5627B"/>
    <w:rsid w:val="00D61962"/>
    <w:rsid w:val="00D66394"/>
    <w:rsid w:val="00D828D1"/>
    <w:rsid w:val="00D846E4"/>
    <w:rsid w:val="00D914C0"/>
    <w:rsid w:val="00D94F59"/>
    <w:rsid w:val="00D96884"/>
    <w:rsid w:val="00D96D3B"/>
    <w:rsid w:val="00DA5709"/>
    <w:rsid w:val="00DA5D1A"/>
    <w:rsid w:val="00DA6851"/>
    <w:rsid w:val="00DB1373"/>
    <w:rsid w:val="00DB37DB"/>
    <w:rsid w:val="00DB458C"/>
    <w:rsid w:val="00DB5F37"/>
    <w:rsid w:val="00DB746D"/>
    <w:rsid w:val="00DC0D4D"/>
    <w:rsid w:val="00DC50F4"/>
    <w:rsid w:val="00DC514A"/>
    <w:rsid w:val="00DD2FD9"/>
    <w:rsid w:val="00DD6F04"/>
    <w:rsid w:val="00DD790A"/>
    <w:rsid w:val="00DD7D11"/>
    <w:rsid w:val="00DE53CD"/>
    <w:rsid w:val="00DF5541"/>
    <w:rsid w:val="00DF5D4C"/>
    <w:rsid w:val="00DF6102"/>
    <w:rsid w:val="00E028C9"/>
    <w:rsid w:val="00E02CDE"/>
    <w:rsid w:val="00E02CEF"/>
    <w:rsid w:val="00E06EEE"/>
    <w:rsid w:val="00E13E02"/>
    <w:rsid w:val="00E14046"/>
    <w:rsid w:val="00E15BEF"/>
    <w:rsid w:val="00E20C67"/>
    <w:rsid w:val="00E24D4B"/>
    <w:rsid w:val="00E25F0F"/>
    <w:rsid w:val="00E2689C"/>
    <w:rsid w:val="00E26F4D"/>
    <w:rsid w:val="00E32997"/>
    <w:rsid w:val="00E40C39"/>
    <w:rsid w:val="00E43B89"/>
    <w:rsid w:val="00E44CFE"/>
    <w:rsid w:val="00E47B52"/>
    <w:rsid w:val="00E50BC6"/>
    <w:rsid w:val="00E50CA7"/>
    <w:rsid w:val="00E6513F"/>
    <w:rsid w:val="00E6704B"/>
    <w:rsid w:val="00E67134"/>
    <w:rsid w:val="00E708F0"/>
    <w:rsid w:val="00E73FC1"/>
    <w:rsid w:val="00E7623F"/>
    <w:rsid w:val="00E76893"/>
    <w:rsid w:val="00E77E0C"/>
    <w:rsid w:val="00E80C5B"/>
    <w:rsid w:val="00E81A63"/>
    <w:rsid w:val="00E8228E"/>
    <w:rsid w:val="00E828F3"/>
    <w:rsid w:val="00E84292"/>
    <w:rsid w:val="00E84523"/>
    <w:rsid w:val="00E91033"/>
    <w:rsid w:val="00E93569"/>
    <w:rsid w:val="00E93592"/>
    <w:rsid w:val="00EA3C48"/>
    <w:rsid w:val="00EA4534"/>
    <w:rsid w:val="00EA6D95"/>
    <w:rsid w:val="00EA71EE"/>
    <w:rsid w:val="00EB3753"/>
    <w:rsid w:val="00EB6876"/>
    <w:rsid w:val="00EB6E5E"/>
    <w:rsid w:val="00EC0E44"/>
    <w:rsid w:val="00EC272F"/>
    <w:rsid w:val="00ED659F"/>
    <w:rsid w:val="00ED6867"/>
    <w:rsid w:val="00ED68FC"/>
    <w:rsid w:val="00EE38D1"/>
    <w:rsid w:val="00EE40FB"/>
    <w:rsid w:val="00EE4523"/>
    <w:rsid w:val="00EE4D25"/>
    <w:rsid w:val="00EE5794"/>
    <w:rsid w:val="00EE71DE"/>
    <w:rsid w:val="00EF76C8"/>
    <w:rsid w:val="00EF79C7"/>
    <w:rsid w:val="00F0414E"/>
    <w:rsid w:val="00F11278"/>
    <w:rsid w:val="00F11464"/>
    <w:rsid w:val="00F121F2"/>
    <w:rsid w:val="00F15E70"/>
    <w:rsid w:val="00F17FA4"/>
    <w:rsid w:val="00F20D0D"/>
    <w:rsid w:val="00F210DB"/>
    <w:rsid w:val="00F24B65"/>
    <w:rsid w:val="00F25407"/>
    <w:rsid w:val="00F256A4"/>
    <w:rsid w:val="00F27F8A"/>
    <w:rsid w:val="00F36021"/>
    <w:rsid w:val="00F365CC"/>
    <w:rsid w:val="00F41339"/>
    <w:rsid w:val="00F5095C"/>
    <w:rsid w:val="00F5482D"/>
    <w:rsid w:val="00F552FF"/>
    <w:rsid w:val="00F553C8"/>
    <w:rsid w:val="00F615FE"/>
    <w:rsid w:val="00F66CFF"/>
    <w:rsid w:val="00F678AE"/>
    <w:rsid w:val="00F71A71"/>
    <w:rsid w:val="00F72368"/>
    <w:rsid w:val="00F7282D"/>
    <w:rsid w:val="00F838F6"/>
    <w:rsid w:val="00F8494D"/>
    <w:rsid w:val="00F877DC"/>
    <w:rsid w:val="00F87CE8"/>
    <w:rsid w:val="00F96802"/>
    <w:rsid w:val="00FA3BE4"/>
    <w:rsid w:val="00FA783B"/>
    <w:rsid w:val="00FB1B24"/>
    <w:rsid w:val="00FB2752"/>
    <w:rsid w:val="00FB646E"/>
    <w:rsid w:val="00FC08B6"/>
    <w:rsid w:val="00FC4A5A"/>
    <w:rsid w:val="00FC4D05"/>
    <w:rsid w:val="00FC6023"/>
    <w:rsid w:val="00FD0D22"/>
    <w:rsid w:val="00FD4A11"/>
    <w:rsid w:val="00FD4AB6"/>
    <w:rsid w:val="00FE00BB"/>
    <w:rsid w:val="00FE0B98"/>
    <w:rsid w:val="00FE1EFA"/>
    <w:rsid w:val="00FF1A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8541E8"/>
  <w15:docId w15:val="{15D997C2-30AA-46CB-9F2F-9DE5F7F8A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DDD"/>
    <w:rPr>
      <w:rFonts w:ascii="Times New Roman" w:eastAsia="Times New Roman" w:hAnsi="Times New Roman" w:cs="Times New Roman"/>
    </w:rPr>
  </w:style>
  <w:style w:type="paragraph" w:styleId="Heading2">
    <w:name w:val="heading 2"/>
    <w:basedOn w:val="Normal"/>
    <w:next w:val="Normal"/>
    <w:link w:val="Heading2Char"/>
    <w:uiPriority w:val="9"/>
    <w:unhideWhenUsed/>
    <w:qFormat/>
    <w:rsid w:val="00D447F7"/>
    <w:pPr>
      <w:keepNext/>
      <w:keepLines/>
      <w:spacing w:before="40"/>
      <w:outlineLvl w:val="1"/>
    </w:pPr>
    <w:rPr>
      <w:rFonts w:asciiTheme="majorHAnsi" w:eastAsiaTheme="majorEastAsia" w:hAnsiTheme="majorHAnsi" w:cstheme="majorBidi"/>
      <w:color w:val="2F5496" w:themeColor="accent1" w:themeShade="BF"/>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447F7"/>
    <w:pPr>
      <w:spacing w:before="100" w:beforeAutospacing="1" w:after="100" w:afterAutospacing="1"/>
    </w:pPr>
  </w:style>
  <w:style w:type="character" w:customStyle="1" w:styleId="Heading2Char">
    <w:name w:val="Heading 2 Char"/>
    <w:basedOn w:val="DefaultParagraphFont"/>
    <w:link w:val="Heading2"/>
    <w:uiPriority w:val="9"/>
    <w:rsid w:val="00D447F7"/>
    <w:rPr>
      <w:rFonts w:asciiTheme="majorHAnsi" w:eastAsiaTheme="majorEastAsia" w:hAnsiTheme="majorHAnsi" w:cstheme="majorBidi"/>
      <w:color w:val="2F5496" w:themeColor="accent1" w:themeShade="BF"/>
      <w:sz w:val="26"/>
      <w:szCs w:val="26"/>
      <w:lang w:eastAsia="en-GB"/>
    </w:rPr>
  </w:style>
  <w:style w:type="paragraph" w:styleId="ListParagraph">
    <w:name w:val="List Paragraph"/>
    <w:basedOn w:val="Normal"/>
    <w:uiPriority w:val="34"/>
    <w:qFormat/>
    <w:rsid w:val="00D447F7"/>
    <w:pPr>
      <w:ind w:left="720"/>
      <w:contextualSpacing/>
    </w:pPr>
    <w:rPr>
      <w:lang w:eastAsia="en-GB"/>
    </w:rPr>
  </w:style>
  <w:style w:type="character" w:styleId="Hyperlink">
    <w:name w:val="Hyperlink"/>
    <w:basedOn w:val="DefaultParagraphFont"/>
    <w:uiPriority w:val="99"/>
    <w:unhideWhenUsed/>
    <w:rsid w:val="00830838"/>
    <w:rPr>
      <w:color w:val="0563C1" w:themeColor="hyperlink"/>
      <w:u w:val="single"/>
    </w:rPr>
  </w:style>
  <w:style w:type="table" w:customStyle="1" w:styleId="ListTable6Colorful1">
    <w:name w:val="List Table 6 Colorful1"/>
    <w:basedOn w:val="TableNormal"/>
    <w:next w:val="ListTable6Colorful2"/>
    <w:uiPriority w:val="51"/>
    <w:rsid w:val="00D03030"/>
    <w:rPr>
      <w:color w:val="000000"/>
      <w:sz w:val="22"/>
      <w:szCs w:val="22"/>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2">
    <w:name w:val="List Table 6 Colorful2"/>
    <w:basedOn w:val="TableNormal"/>
    <w:uiPriority w:val="51"/>
    <w:rsid w:val="00D03030"/>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D03030"/>
    <w:rPr>
      <w:rFonts w:eastAsiaTheme="minorHAnsi"/>
      <w:sz w:val="18"/>
      <w:szCs w:val="18"/>
    </w:rPr>
  </w:style>
  <w:style w:type="character" w:customStyle="1" w:styleId="BalloonTextChar">
    <w:name w:val="Balloon Text Char"/>
    <w:basedOn w:val="DefaultParagraphFont"/>
    <w:link w:val="BalloonText"/>
    <w:uiPriority w:val="99"/>
    <w:semiHidden/>
    <w:rsid w:val="00D03030"/>
    <w:rPr>
      <w:rFonts w:ascii="Times New Roman" w:hAnsi="Times New Roman" w:cs="Times New Roman"/>
      <w:sz w:val="18"/>
      <w:szCs w:val="18"/>
    </w:rPr>
  </w:style>
  <w:style w:type="character" w:customStyle="1" w:styleId="UnresolvedMention1">
    <w:name w:val="Unresolved Mention1"/>
    <w:basedOn w:val="DefaultParagraphFont"/>
    <w:uiPriority w:val="99"/>
    <w:rsid w:val="00C96B04"/>
    <w:rPr>
      <w:color w:val="605E5C"/>
      <w:shd w:val="clear" w:color="auto" w:fill="E1DFDD"/>
    </w:rPr>
  </w:style>
  <w:style w:type="paragraph" w:styleId="Header">
    <w:name w:val="header"/>
    <w:basedOn w:val="Normal"/>
    <w:link w:val="HeaderChar"/>
    <w:uiPriority w:val="99"/>
    <w:unhideWhenUsed/>
    <w:rsid w:val="00664802"/>
    <w:pPr>
      <w:tabs>
        <w:tab w:val="center" w:pos="4680"/>
        <w:tab w:val="right" w:pos="9360"/>
      </w:tabs>
    </w:pPr>
  </w:style>
  <w:style w:type="character" w:customStyle="1" w:styleId="HeaderChar">
    <w:name w:val="Header Char"/>
    <w:basedOn w:val="DefaultParagraphFont"/>
    <w:link w:val="Header"/>
    <w:uiPriority w:val="99"/>
    <w:rsid w:val="00664802"/>
    <w:rPr>
      <w:rFonts w:ascii="Times New Roman" w:eastAsia="Times New Roman" w:hAnsi="Times New Roman" w:cs="Times New Roman"/>
    </w:rPr>
  </w:style>
  <w:style w:type="paragraph" w:styleId="Footer">
    <w:name w:val="footer"/>
    <w:basedOn w:val="Normal"/>
    <w:link w:val="FooterChar"/>
    <w:uiPriority w:val="99"/>
    <w:unhideWhenUsed/>
    <w:rsid w:val="00664802"/>
    <w:pPr>
      <w:tabs>
        <w:tab w:val="center" w:pos="4680"/>
        <w:tab w:val="right" w:pos="9360"/>
      </w:tabs>
    </w:pPr>
  </w:style>
  <w:style w:type="character" w:customStyle="1" w:styleId="FooterChar">
    <w:name w:val="Footer Char"/>
    <w:basedOn w:val="DefaultParagraphFont"/>
    <w:link w:val="Footer"/>
    <w:uiPriority w:val="99"/>
    <w:rsid w:val="00664802"/>
    <w:rPr>
      <w:rFonts w:ascii="Times New Roman" w:eastAsia="Times New Roman" w:hAnsi="Times New Roman" w:cs="Times New Roman"/>
    </w:rPr>
  </w:style>
  <w:style w:type="character" w:styleId="PageNumber">
    <w:name w:val="page number"/>
    <w:basedOn w:val="DefaultParagraphFont"/>
    <w:uiPriority w:val="99"/>
    <w:semiHidden/>
    <w:unhideWhenUsed/>
    <w:rsid w:val="00664802"/>
  </w:style>
  <w:style w:type="character" w:customStyle="1" w:styleId="apple-converted-space">
    <w:name w:val="apple-converted-space"/>
    <w:basedOn w:val="DefaultParagraphFont"/>
    <w:rsid w:val="00C42D84"/>
  </w:style>
  <w:style w:type="character" w:styleId="CommentReference">
    <w:name w:val="annotation reference"/>
    <w:basedOn w:val="DefaultParagraphFont"/>
    <w:uiPriority w:val="99"/>
    <w:semiHidden/>
    <w:unhideWhenUsed/>
    <w:rsid w:val="00487642"/>
    <w:rPr>
      <w:sz w:val="18"/>
      <w:szCs w:val="18"/>
    </w:rPr>
  </w:style>
  <w:style w:type="paragraph" w:styleId="CommentText">
    <w:name w:val="annotation text"/>
    <w:basedOn w:val="Normal"/>
    <w:link w:val="CommentTextChar"/>
    <w:uiPriority w:val="99"/>
    <w:semiHidden/>
    <w:unhideWhenUsed/>
    <w:rsid w:val="00487642"/>
  </w:style>
  <w:style w:type="character" w:customStyle="1" w:styleId="CommentTextChar">
    <w:name w:val="Comment Text Char"/>
    <w:basedOn w:val="DefaultParagraphFont"/>
    <w:link w:val="CommentText"/>
    <w:uiPriority w:val="99"/>
    <w:semiHidden/>
    <w:rsid w:val="00487642"/>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487642"/>
    <w:rPr>
      <w:b/>
      <w:bCs/>
      <w:sz w:val="20"/>
      <w:szCs w:val="20"/>
    </w:rPr>
  </w:style>
  <w:style w:type="character" w:customStyle="1" w:styleId="CommentSubjectChar">
    <w:name w:val="Comment Subject Char"/>
    <w:basedOn w:val="CommentTextChar"/>
    <w:link w:val="CommentSubject"/>
    <w:uiPriority w:val="99"/>
    <w:semiHidden/>
    <w:rsid w:val="00487642"/>
    <w:rPr>
      <w:rFonts w:ascii="Times New Roman" w:eastAsia="Times New Roman" w:hAnsi="Times New Roman" w:cs="Times New Roman"/>
      <w:b/>
      <w:bCs/>
      <w:sz w:val="20"/>
      <w:szCs w:val="20"/>
    </w:rPr>
  </w:style>
  <w:style w:type="paragraph" w:styleId="Revision">
    <w:name w:val="Revision"/>
    <w:hidden/>
    <w:uiPriority w:val="99"/>
    <w:semiHidden/>
    <w:rsid w:val="002219AD"/>
    <w:rPr>
      <w:rFonts w:ascii="Times New Roman" w:eastAsia="Times New Roman" w:hAnsi="Times New Roman" w:cs="Times New Roman"/>
    </w:rPr>
  </w:style>
  <w:style w:type="character" w:customStyle="1" w:styleId="UnresolvedMention2">
    <w:name w:val="Unresolved Mention2"/>
    <w:basedOn w:val="DefaultParagraphFont"/>
    <w:uiPriority w:val="99"/>
    <w:rsid w:val="00575D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829173">
      <w:bodyDiv w:val="1"/>
      <w:marLeft w:val="0"/>
      <w:marRight w:val="0"/>
      <w:marTop w:val="0"/>
      <w:marBottom w:val="0"/>
      <w:divBdr>
        <w:top w:val="none" w:sz="0" w:space="0" w:color="auto"/>
        <w:left w:val="none" w:sz="0" w:space="0" w:color="auto"/>
        <w:bottom w:val="none" w:sz="0" w:space="0" w:color="auto"/>
        <w:right w:val="none" w:sz="0" w:space="0" w:color="auto"/>
      </w:divBdr>
      <w:divsChild>
        <w:div w:id="1788502396">
          <w:marLeft w:val="0"/>
          <w:marRight w:val="0"/>
          <w:marTop w:val="0"/>
          <w:marBottom w:val="0"/>
          <w:divBdr>
            <w:top w:val="none" w:sz="0" w:space="0" w:color="auto"/>
            <w:left w:val="none" w:sz="0" w:space="0" w:color="auto"/>
            <w:bottom w:val="none" w:sz="0" w:space="0" w:color="auto"/>
            <w:right w:val="none" w:sz="0" w:space="0" w:color="auto"/>
          </w:divBdr>
          <w:divsChild>
            <w:div w:id="469975761">
              <w:marLeft w:val="0"/>
              <w:marRight w:val="0"/>
              <w:marTop w:val="0"/>
              <w:marBottom w:val="0"/>
              <w:divBdr>
                <w:top w:val="none" w:sz="0" w:space="0" w:color="auto"/>
                <w:left w:val="none" w:sz="0" w:space="0" w:color="auto"/>
                <w:bottom w:val="none" w:sz="0" w:space="0" w:color="auto"/>
                <w:right w:val="none" w:sz="0" w:space="0" w:color="auto"/>
              </w:divBdr>
              <w:divsChild>
                <w:div w:id="1218276757">
                  <w:marLeft w:val="0"/>
                  <w:marRight w:val="0"/>
                  <w:marTop w:val="0"/>
                  <w:marBottom w:val="0"/>
                  <w:divBdr>
                    <w:top w:val="none" w:sz="0" w:space="0" w:color="auto"/>
                    <w:left w:val="none" w:sz="0" w:space="0" w:color="auto"/>
                    <w:bottom w:val="none" w:sz="0" w:space="0" w:color="auto"/>
                    <w:right w:val="none" w:sz="0" w:space="0" w:color="auto"/>
                  </w:divBdr>
                  <w:divsChild>
                    <w:div w:id="143158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42696">
      <w:bodyDiv w:val="1"/>
      <w:marLeft w:val="0"/>
      <w:marRight w:val="0"/>
      <w:marTop w:val="0"/>
      <w:marBottom w:val="0"/>
      <w:divBdr>
        <w:top w:val="none" w:sz="0" w:space="0" w:color="auto"/>
        <w:left w:val="none" w:sz="0" w:space="0" w:color="auto"/>
        <w:bottom w:val="none" w:sz="0" w:space="0" w:color="auto"/>
        <w:right w:val="none" w:sz="0" w:space="0" w:color="auto"/>
      </w:divBdr>
    </w:div>
    <w:div w:id="133647387">
      <w:bodyDiv w:val="1"/>
      <w:marLeft w:val="0"/>
      <w:marRight w:val="0"/>
      <w:marTop w:val="0"/>
      <w:marBottom w:val="0"/>
      <w:divBdr>
        <w:top w:val="none" w:sz="0" w:space="0" w:color="auto"/>
        <w:left w:val="none" w:sz="0" w:space="0" w:color="auto"/>
        <w:bottom w:val="none" w:sz="0" w:space="0" w:color="auto"/>
        <w:right w:val="none" w:sz="0" w:space="0" w:color="auto"/>
      </w:divBdr>
      <w:divsChild>
        <w:div w:id="419253390">
          <w:marLeft w:val="0"/>
          <w:marRight w:val="0"/>
          <w:marTop w:val="0"/>
          <w:marBottom w:val="0"/>
          <w:divBdr>
            <w:top w:val="none" w:sz="0" w:space="0" w:color="auto"/>
            <w:left w:val="none" w:sz="0" w:space="0" w:color="auto"/>
            <w:bottom w:val="none" w:sz="0" w:space="0" w:color="auto"/>
            <w:right w:val="none" w:sz="0" w:space="0" w:color="auto"/>
          </w:divBdr>
          <w:divsChild>
            <w:div w:id="855853155">
              <w:marLeft w:val="0"/>
              <w:marRight w:val="0"/>
              <w:marTop w:val="0"/>
              <w:marBottom w:val="0"/>
              <w:divBdr>
                <w:top w:val="none" w:sz="0" w:space="0" w:color="auto"/>
                <w:left w:val="none" w:sz="0" w:space="0" w:color="auto"/>
                <w:bottom w:val="none" w:sz="0" w:space="0" w:color="auto"/>
                <w:right w:val="none" w:sz="0" w:space="0" w:color="auto"/>
              </w:divBdr>
              <w:divsChild>
                <w:div w:id="625552048">
                  <w:marLeft w:val="0"/>
                  <w:marRight w:val="0"/>
                  <w:marTop w:val="0"/>
                  <w:marBottom w:val="0"/>
                  <w:divBdr>
                    <w:top w:val="none" w:sz="0" w:space="0" w:color="auto"/>
                    <w:left w:val="none" w:sz="0" w:space="0" w:color="auto"/>
                    <w:bottom w:val="none" w:sz="0" w:space="0" w:color="auto"/>
                    <w:right w:val="none" w:sz="0" w:space="0" w:color="auto"/>
                  </w:divBdr>
                  <w:divsChild>
                    <w:div w:id="83676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52800">
      <w:bodyDiv w:val="1"/>
      <w:marLeft w:val="0"/>
      <w:marRight w:val="0"/>
      <w:marTop w:val="0"/>
      <w:marBottom w:val="0"/>
      <w:divBdr>
        <w:top w:val="none" w:sz="0" w:space="0" w:color="auto"/>
        <w:left w:val="none" w:sz="0" w:space="0" w:color="auto"/>
        <w:bottom w:val="none" w:sz="0" w:space="0" w:color="auto"/>
        <w:right w:val="none" w:sz="0" w:space="0" w:color="auto"/>
      </w:divBdr>
    </w:div>
    <w:div w:id="276568667">
      <w:bodyDiv w:val="1"/>
      <w:marLeft w:val="0"/>
      <w:marRight w:val="0"/>
      <w:marTop w:val="0"/>
      <w:marBottom w:val="0"/>
      <w:divBdr>
        <w:top w:val="none" w:sz="0" w:space="0" w:color="auto"/>
        <w:left w:val="none" w:sz="0" w:space="0" w:color="auto"/>
        <w:bottom w:val="none" w:sz="0" w:space="0" w:color="auto"/>
        <w:right w:val="none" w:sz="0" w:space="0" w:color="auto"/>
      </w:divBdr>
    </w:div>
    <w:div w:id="525290836">
      <w:bodyDiv w:val="1"/>
      <w:marLeft w:val="0"/>
      <w:marRight w:val="0"/>
      <w:marTop w:val="0"/>
      <w:marBottom w:val="0"/>
      <w:divBdr>
        <w:top w:val="none" w:sz="0" w:space="0" w:color="auto"/>
        <w:left w:val="none" w:sz="0" w:space="0" w:color="auto"/>
        <w:bottom w:val="none" w:sz="0" w:space="0" w:color="auto"/>
        <w:right w:val="none" w:sz="0" w:space="0" w:color="auto"/>
      </w:divBdr>
      <w:divsChild>
        <w:div w:id="1999187127">
          <w:marLeft w:val="0"/>
          <w:marRight w:val="0"/>
          <w:marTop w:val="0"/>
          <w:marBottom w:val="0"/>
          <w:divBdr>
            <w:top w:val="none" w:sz="0" w:space="0" w:color="auto"/>
            <w:left w:val="none" w:sz="0" w:space="0" w:color="auto"/>
            <w:bottom w:val="none" w:sz="0" w:space="0" w:color="auto"/>
            <w:right w:val="none" w:sz="0" w:space="0" w:color="auto"/>
          </w:divBdr>
        </w:div>
        <w:div w:id="175387434">
          <w:marLeft w:val="0"/>
          <w:marRight w:val="0"/>
          <w:marTop w:val="0"/>
          <w:marBottom w:val="0"/>
          <w:divBdr>
            <w:top w:val="none" w:sz="0" w:space="0" w:color="auto"/>
            <w:left w:val="none" w:sz="0" w:space="0" w:color="auto"/>
            <w:bottom w:val="none" w:sz="0" w:space="0" w:color="auto"/>
            <w:right w:val="none" w:sz="0" w:space="0" w:color="auto"/>
          </w:divBdr>
        </w:div>
        <w:div w:id="1995067080">
          <w:marLeft w:val="0"/>
          <w:marRight w:val="0"/>
          <w:marTop w:val="0"/>
          <w:marBottom w:val="0"/>
          <w:divBdr>
            <w:top w:val="none" w:sz="0" w:space="0" w:color="auto"/>
            <w:left w:val="none" w:sz="0" w:space="0" w:color="auto"/>
            <w:bottom w:val="none" w:sz="0" w:space="0" w:color="auto"/>
            <w:right w:val="none" w:sz="0" w:space="0" w:color="auto"/>
          </w:divBdr>
        </w:div>
        <w:div w:id="1804617396">
          <w:marLeft w:val="0"/>
          <w:marRight w:val="0"/>
          <w:marTop w:val="0"/>
          <w:marBottom w:val="0"/>
          <w:divBdr>
            <w:top w:val="none" w:sz="0" w:space="0" w:color="auto"/>
            <w:left w:val="none" w:sz="0" w:space="0" w:color="auto"/>
            <w:bottom w:val="none" w:sz="0" w:space="0" w:color="auto"/>
            <w:right w:val="none" w:sz="0" w:space="0" w:color="auto"/>
          </w:divBdr>
        </w:div>
        <w:div w:id="2014869704">
          <w:marLeft w:val="0"/>
          <w:marRight w:val="0"/>
          <w:marTop w:val="0"/>
          <w:marBottom w:val="0"/>
          <w:divBdr>
            <w:top w:val="none" w:sz="0" w:space="0" w:color="auto"/>
            <w:left w:val="none" w:sz="0" w:space="0" w:color="auto"/>
            <w:bottom w:val="none" w:sz="0" w:space="0" w:color="auto"/>
            <w:right w:val="none" w:sz="0" w:space="0" w:color="auto"/>
          </w:divBdr>
        </w:div>
        <w:div w:id="1215433315">
          <w:marLeft w:val="0"/>
          <w:marRight w:val="0"/>
          <w:marTop w:val="0"/>
          <w:marBottom w:val="0"/>
          <w:divBdr>
            <w:top w:val="none" w:sz="0" w:space="0" w:color="auto"/>
            <w:left w:val="none" w:sz="0" w:space="0" w:color="auto"/>
            <w:bottom w:val="none" w:sz="0" w:space="0" w:color="auto"/>
            <w:right w:val="none" w:sz="0" w:space="0" w:color="auto"/>
          </w:divBdr>
        </w:div>
        <w:div w:id="138545321">
          <w:marLeft w:val="0"/>
          <w:marRight w:val="0"/>
          <w:marTop w:val="0"/>
          <w:marBottom w:val="0"/>
          <w:divBdr>
            <w:top w:val="none" w:sz="0" w:space="0" w:color="auto"/>
            <w:left w:val="none" w:sz="0" w:space="0" w:color="auto"/>
            <w:bottom w:val="none" w:sz="0" w:space="0" w:color="auto"/>
            <w:right w:val="none" w:sz="0" w:space="0" w:color="auto"/>
          </w:divBdr>
        </w:div>
        <w:div w:id="881287963">
          <w:marLeft w:val="0"/>
          <w:marRight w:val="0"/>
          <w:marTop w:val="0"/>
          <w:marBottom w:val="0"/>
          <w:divBdr>
            <w:top w:val="none" w:sz="0" w:space="0" w:color="auto"/>
            <w:left w:val="none" w:sz="0" w:space="0" w:color="auto"/>
            <w:bottom w:val="none" w:sz="0" w:space="0" w:color="auto"/>
            <w:right w:val="none" w:sz="0" w:space="0" w:color="auto"/>
          </w:divBdr>
        </w:div>
        <w:div w:id="475225066">
          <w:marLeft w:val="0"/>
          <w:marRight w:val="0"/>
          <w:marTop w:val="0"/>
          <w:marBottom w:val="0"/>
          <w:divBdr>
            <w:top w:val="none" w:sz="0" w:space="0" w:color="auto"/>
            <w:left w:val="none" w:sz="0" w:space="0" w:color="auto"/>
            <w:bottom w:val="none" w:sz="0" w:space="0" w:color="auto"/>
            <w:right w:val="none" w:sz="0" w:space="0" w:color="auto"/>
          </w:divBdr>
        </w:div>
        <w:div w:id="1249732856">
          <w:marLeft w:val="0"/>
          <w:marRight w:val="0"/>
          <w:marTop w:val="0"/>
          <w:marBottom w:val="0"/>
          <w:divBdr>
            <w:top w:val="none" w:sz="0" w:space="0" w:color="auto"/>
            <w:left w:val="none" w:sz="0" w:space="0" w:color="auto"/>
            <w:bottom w:val="none" w:sz="0" w:space="0" w:color="auto"/>
            <w:right w:val="none" w:sz="0" w:space="0" w:color="auto"/>
          </w:divBdr>
        </w:div>
        <w:div w:id="622006313">
          <w:marLeft w:val="0"/>
          <w:marRight w:val="0"/>
          <w:marTop w:val="0"/>
          <w:marBottom w:val="0"/>
          <w:divBdr>
            <w:top w:val="none" w:sz="0" w:space="0" w:color="auto"/>
            <w:left w:val="none" w:sz="0" w:space="0" w:color="auto"/>
            <w:bottom w:val="none" w:sz="0" w:space="0" w:color="auto"/>
            <w:right w:val="none" w:sz="0" w:space="0" w:color="auto"/>
          </w:divBdr>
        </w:div>
        <w:div w:id="168833524">
          <w:marLeft w:val="0"/>
          <w:marRight w:val="0"/>
          <w:marTop w:val="0"/>
          <w:marBottom w:val="0"/>
          <w:divBdr>
            <w:top w:val="none" w:sz="0" w:space="0" w:color="auto"/>
            <w:left w:val="none" w:sz="0" w:space="0" w:color="auto"/>
            <w:bottom w:val="none" w:sz="0" w:space="0" w:color="auto"/>
            <w:right w:val="none" w:sz="0" w:space="0" w:color="auto"/>
          </w:divBdr>
        </w:div>
        <w:div w:id="1804689951">
          <w:marLeft w:val="0"/>
          <w:marRight w:val="0"/>
          <w:marTop w:val="0"/>
          <w:marBottom w:val="0"/>
          <w:divBdr>
            <w:top w:val="none" w:sz="0" w:space="0" w:color="auto"/>
            <w:left w:val="none" w:sz="0" w:space="0" w:color="auto"/>
            <w:bottom w:val="none" w:sz="0" w:space="0" w:color="auto"/>
            <w:right w:val="none" w:sz="0" w:space="0" w:color="auto"/>
          </w:divBdr>
        </w:div>
        <w:div w:id="1540776516">
          <w:marLeft w:val="0"/>
          <w:marRight w:val="0"/>
          <w:marTop w:val="0"/>
          <w:marBottom w:val="0"/>
          <w:divBdr>
            <w:top w:val="none" w:sz="0" w:space="0" w:color="auto"/>
            <w:left w:val="none" w:sz="0" w:space="0" w:color="auto"/>
            <w:bottom w:val="none" w:sz="0" w:space="0" w:color="auto"/>
            <w:right w:val="none" w:sz="0" w:space="0" w:color="auto"/>
          </w:divBdr>
        </w:div>
        <w:div w:id="2024822872">
          <w:marLeft w:val="0"/>
          <w:marRight w:val="0"/>
          <w:marTop w:val="0"/>
          <w:marBottom w:val="0"/>
          <w:divBdr>
            <w:top w:val="none" w:sz="0" w:space="0" w:color="auto"/>
            <w:left w:val="none" w:sz="0" w:space="0" w:color="auto"/>
            <w:bottom w:val="none" w:sz="0" w:space="0" w:color="auto"/>
            <w:right w:val="none" w:sz="0" w:space="0" w:color="auto"/>
          </w:divBdr>
        </w:div>
        <w:div w:id="1184326817">
          <w:marLeft w:val="0"/>
          <w:marRight w:val="0"/>
          <w:marTop w:val="0"/>
          <w:marBottom w:val="0"/>
          <w:divBdr>
            <w:top w:val="none" w:sz="0" w:space="0" w:color="auto"/>
            <w:left w:val="none" w:sz="0" w:space="0" w:color="auto"/>
            <w:bottom w:val="none" w:sz="0" w:space="0" w:color="auto"/>
            <w:right w:val="none" w:sz="0" w:space="0" w:color="auto"/>
          </w:divBdr>
        </w:div>
      </w:divsChild>
    </w:div>
    <w:div w:id="574514210">
      <w:bodyDiv w:val="1"/>
      <w:marLeft w:val="0"/>
      <w:marRight w:val="0"/>
      <w:marTop w:val="0"/>
      <w:marBottom w:val="0"/>
      <w:divBdr>
        <w:top w:val="none" w:sz="0" w:space="0" w:color="auto"/>
        <w:left w:val="none" w:sz="0" w:space="0" w:color="auto"/>
        <w:bottom w:val="none" w:sz="0" w:space="0" w:color="auto"/>
        <w:right w:val="none" w:sz="0" w:space="0" w:color="auto"/>
      </w:divBdr>
    </w:div>
    <w:div w:id="625696477">
      <w:bodyDiv w:val="1"/>
      <w:marLeft w:val="0"/>
      <w:marRight w:val="0"/>
      <w:marTop w:val="0"/>
      <w:marBottom w:val="0"/>
      <w:divBdr>
        <w:top w:val="none" w:sz="0" w:space="0" w:color="auto"/>
        <w:left w:val="none" w:sz="0" w:space="0" w:color="auto"/>
        <w:bottom w:val="none" w:sz="0" w:space="0" w:color="auto"/>
        <w:right w:val="none" w:sz="0" w:space="0" w:color="auto"/>
      </w:divBdr>
    </w:div>
    <w:div w:id="663750542">
      <w:bodyDiv w:val="1"/>
      <w:marLeft w:val="0"/>
      <w:marRight w:val="0"/>
      <w:marTop w:val="0"/>
      <w:marBottom w:val="0"/>
      <w:divBdr>
        <w:top w:val="none" w:sz="0" w:space="0" w:color="auto"/>
        <w:left w:val="none" w:sz="0" w:space="0" w:color="auto"/>
        <w:bottom w:val="none" w:sz="0" w:space="0" w:color="auto"/>
        <w:right w:val="none" w:sz="0" w:space="0" w:color="auto"/>
      </w:divBdr>
    </w:div>
    <w:div w:id="769352677">
      <w:bodyDiv w:val="1"/>
      <w:marLeft w:val="0"/>
      <w:marRight w:val="0"/>
      <w:marTop w:val="0"/>
      <w:marBottom w:val="0"/>
      <w:divBdr>
        <w:top w:val="none" w:sz="0" w:space="0" w:color="auto"/>
        <w:left w:val="none" w:sz="0" w:space="0" w:color="auto"/>
        <w:bottom w:val="none" w:sz="0" w:space="0" w:color="auto"/>
        <w:right w:val="none" w:sz="0" w:space="0" w:color="auto"/>
      </w:divBdr>
    </w:div>
    <w:div w:id="840438109">
      <w:bodyDiv w:val="1"/>
      <w:marLeft w:val="0"/>
      <w:marRight w:val="0"/>
      <w:marTop w:val="0"/>
      <w:marBottom w:val="0"/>
      <w:divBdr>
        <w:top w:val="none" w:sz="0" w:space="0" w:color="auto"/>
        <w:left w:val="none" w:sz="0" w:space="0" w:color="auto"/>
        <w:bottom w:val="none" w:sz="0" w:space="0" w:color="auto"/>
        <w:right w:val="none" w:sz="0" w:space="0" w:color="auto"/>
      </w:divBdr>
      <w:divsChild>
        <w:div w:id="796222048">
          <w:marLeft w:val="0"/>
          <w:marRight w:val="0"/>
          <w:marTop w:val="0"/>
          <w:marBottom w:val="0"/>
          <w:divBdr>
            <w:top w:val="none" w:sz="0" w:space="0" w:color="auto"/>
            <w:left w:val="none" w:sz="0" w:space="0" w:color="auto"/>
            <w:bottom w:val="none" w:sz="0" w:space="0" w:color="auto"/>
            <w:right w:val="none" w:sz="0" w:space="0" w:color="auto"/>
          </w:divBdr>
          <w:divsChild>
            <w:div w:id="1831478859">
              <w:marLeft w:val="0"/>
              <w:marRight w:val="0"/>
              <w:marTop w:val="0"/>
              <w:marBottom w:val="0"/>
              <w:divBdr>
                <w:top w:val="none" w:sz="0" w:space="0" w:color="auto"/>
                <w:left w:val="none" w:sz="0" w:space="0" w:color="auto"/>
                <w:bottom w:val="none" w:sz="0" w:space="0" w:color="auto"/>
                <w:right w:val="none" w:sz="0" w:space="0" w:color="auto"/>
              </w:divBdr>
              <w:divsChild>
                <w:div w:id="1081682993">
                  <w:marLeft w:val="0"/>
                  <w:marRight w:val="0"/>
                  <w:marTop w:val="0"/>
                  <w:marBottom w:val="0"/>
                  <w:divBdr>
                    <w:top w:val="none" w:sz="0" w:space="0" w:color="auto"/>
                    <w:left w:val="none" w:sz="0" w:space="0" w:color="auto"/>
                    <w:bottom w:val="none" w:sz="0" w:space="0" w:color="auto"/>
                    <w:right w:val="none" w:sz="0" w:space="0" w:color="auto"/>
                  </w:divBdr>
                  <w:divsChild>
                    <w:div w:id="197429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670046">
      <w:bodyDiv w:val="1"/>
      <w:marLeft w:val="0"/>
      <w:marRight w:val="0"/>
      <w:marTop w:val="0"/>
      <w:marBottom w:val="0"/>
      <w:divBdr>
        <w:top w:val="none" w:sz="0" w:space="0" w:color="auto"/>
        <w:left w:val="none" w:sz="0" w:space="0" w:color="auto"/>
        <w:bottom w:val="none" w:sz="0" w:space="0" w:color="auto"/>
        <w:right w:val="none" w:sz="0" w:space="0" w:color="auto"/>
      </w:divBdr>
    </w:div>
    <w:div w:id="913706172">
      <w:bodyDiv w:val="1"/>
      <w:marLeft w:val="0"/>
      <w:marRight w:val="0"/>
      <w:marTop w:val="0"/>
      <w:marBottom w:val="0"/>
      <w:divBdr>
        <w:top w:val="none" w:sz="0" w:space="0" w:color="auto"/>
        <w:left w:val="none" w:sz="0" w:space="0" w:color="auto"/>
        <w:bottom w:val="none" w:sz="0" w:space="0" w:color="auto"/>
        <w:right w:val="none" w:sz="0" w:space="0" w:color="auto"/>
      </w:divBdr>
      <w:divsChild>
        <w:div w:id="184370019">
          <w:marLeft w:val="0"/>
          <w:marRight w:val="0"/>
          <w:marTop w:val="0"/>
          <w:marBottom w:val="0"/>
          <w:divBdr>
            <w:top w:val="none" w:sz="0" w:space="0" w:color="auto"/>
            <w:left w:val="none" w:sz="0" w:space="0" w:color="auto"/>
            <w:bottom w:val="none" w:sz="0" w:space="0" w:color="auto"/>
            <w:right w:val="none" w:sz="0" w:space="0" w:color="auto"/>
          </w:divBdr>
          <w:divsChild>
            <w:div w:id="1119227044">
              <w:marLeft w:val="0"/>
              <w:marRight w:val="0"/>
              <w:marTop w:val="0"/>
              <w:marBottom w:val="0"/>
              <w:divBdr>
                <w:top w:val="none" w:sz="0" w:space="0" w:color="auto"/>
                <w:left w:val="none" w:sz="0" w:space="0" w:color="auto"/>
                <w:bottom w:val="none" w:sz="0" w:space="0" w:color="auto"/>
                <w:right w:val="none" w:sz="0" w:space="0" w:color="auto"/>
              </w:divBdr>
              <w:divsChild>
                <w:div w:id="1835291882">
                  <w:marLeft w:val="0"/>
                  <w:marRight w:val="0"/>
                  <w:marTop w:val="0"/>
                  <w:marBottom w:val="0"/>
                  <w:divBdr>
                    <w:top w:val="none" w:sz="0" w:space="0" w:color="auto"/>
                    <w:left w:val="none" w:sz="0" w:space="0" w:color="auto"/>
                    <w:bottom w:val="none" w:sz="0" w:space="0" w:color="auto"/>
                    <w:right w:val="none" w:sz="0" w:space="0" w:color="auto"/>
                  </w:divBdr>
                  <w:divsChild>
                    <w:div w:id="202836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332421">
      <w:bodyDiv w:val="1"/>
      <w:marLeft w:val="0"/>
      <w:marRight w:val="0"/>
      <w:marTop w:val="0"/>
      <w:marBottom w:val="0"/>
      <w:divBdr>
        <w:top w:val="none" w:sz="0" w:space="0" w:color="auto"/>
        <w:left w:val="none" w:sz="0" w:space="0" w:color="auto"/>
        <w:bottom w:val="none" w:sz="0" w:space="0" w:color="auto"/>
        <w:right w:val="none" w:sz="0" w:space="0" w:color="auto"/>
      </w:divBdr>
    </w:div>
    <w:div w:id="937522789">
      <w:bodyDiv w:val="1"/>
      <w:marLeft w:val="0"/>
      <w:marRight w:val="0"/>
      <w:marTop w:val="0"/>
      <w:marBottom w:val="0"/>
      <w:divBdr>
        <w:top w:val="none" w:sz="0" w:space="0" w:color="auto"/>
        <w:left w:val="none" w:sz="0" w:space="0" w:color="auto"/>
        <w:bottom w:val="none" w:sz="0" w:space="0" w:color="auto"/>
        <w:right w:val="none" w:sz="0" w:space="0" w:color="auto"/>
      </w:divBdr>
    </w:div>
    <w:div w:id="974875829">
      <w:bodyDiv w:val="1"/>
      <w:marLeft w:val="0"/>
      <w:marRight w:val="0"/>
      <w:marTop w:val="0"/>
      <w:marBottom w:val="0"/>
      <w:divBdr>
        <w:top w:val="none" w:sz="0" w:space="0" w:color="auto"/>
        <w:left w:val="none" w:sz="0" w:space="0" w:color="auto"/>
        <w:bottom w:val="none" w:sz="0" w:space="0" w:color="auto"/>
        <w:right w:val="none" w:sz="0" w:space="0" w:color="auto"/>
      </w:divBdr>
    </w:div>
    <w:div w:id="1115753948">
      <w:bodyDiv w:val="1"/>
      <w:marLeft w:val="0"/>
      <w:marRight w:val="0"/>
      <w:marTop w:val="0"/>
      <w:marBottom w:val="0"/>
      <w:divBdr>
        <w:top w:val="none" w:sz="0" w:space="0" w:color="auto"/>
        <w:left w:val="none" w:sz="0" w:space="0" w:color="auto"/>
        <w:bottom w:val="none" w:sz="0" w:space="0" w:color="auto"/>
        <w:right w:val="none" w:sz="0" w:space="0" w:color="auto"/>
      </w:divBdr>
      <w:divsChild>
        <w:div w:id="1816994490">
          <w:marLeft w:val="0"/>
          <w:marRight w:val="0"/>
          <w:marTop w:val="0"/>
          <w:marBottom w:val="0"/>
          <w:divBdr>
            <w:top w:val="none" w:sz="0" w:space="0" w:color="auto"/>
            <w:left w:val="none" w:sz="0" w:space="0" w:color="auto"/>
            <w:bottom w:val="none" w:sz="0" w:space="0" w:color="auto"/>
            <w:right w:val="none" w:sz="0" w:space="0" w:color="auto"/>
          </w:divBdr>
          <w:divsChild>
            <w:div w:id="823352910">
              <w:marLeft w:val="0"/>
              <w:marRight w:val="0"/>
              <w:marTop w:val="0"/>
              <w:marBottom w:val="0"/>
              <w:divBdr>
                <w:top w:val="none" w:sz="0" w:space="0" w:color="auto"/>
                <w:left w:val="none" w:sz="0" w:space="0" w:color="auto"/>
                <w:bottom w:val="none" w:sz="0" w:space="0" w:color="auto"/>
                <w:right w:val="none" w:sz="0" w:space="0" w:color="auto"/>
              </w:divBdr>
              <w:divsChild>
                <w:div w:id="1642953825">
                  <w:marLeft w:val="0"/>
                  <w:marRight w:val="0"/>
                  <w:marTop w:val="0"/>
                  <w:marBottom w:val="0"/>
                  <w:divBdr>
                    <w:top w:val="none" w:sz="0" w:space="0" w:color="auto"/>
                    <w:left w:val="none" w:sz="0" w:space="0" w:color="auto"/>
                    <w:bottom w:val="none" w:sz="0" w:space="0" w:color="auto"/>
                    <w:right w:val="none" w:sz="0" w:space="0" w:color="auto"/>
                  </w:divBdr>
                  <w:divsChild>
                    <w:div w:id="3182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881295">
      <w:bodyDiv w:val="1"/>
      <w:marLeft w:val="0"/>
      <w:marRight w:val="0"/>
      <w:marTop w:val="0"/>
      <w:marBottom w:val="0"/>
      <w:divBdr>
        <w:top w:val="none" w:sz="0" w:space="0" w:color="auto"/>
        <w:left w:val="none" w:sz="0" w:space="0" w:color="auto"/>
        <w:bottom w:val="none" w:sz="0" w:space="0" w:color="auto"/>
        <w:right w:val="none" w:sz="0" w:space="0" w:color="auto"/>
      </w:divBdr>
      <w:divsChild>
        <w:div w:id="1732463129">
          <w:marLeft w:val="0"/>
          <w:marRight w:val="0"/>
          <w:marTop w:val="0"/>
          <w:marBottom w:val="0"/>
          <w:divBdr>
            <w:top w:val="none" w:sz="0" w:space="0" w:color="auto"/>
            <w:left w:val="none" w:sz="0" w:space="0" w:color="auto"/>
            <w:bottom w:val="none" w:sz="0" w:space="0" w:color="auto"/>
            <w:right w:val="none" w:sz="0" w:space="0" w:color="auto"/>
          </w:divBdr>
          <w:divsChild>
            <w:div w:id="1689218298">
              <w:marLeft w:val="0"/>
              <w:marRight w:val="0"/>
              <w:marTop w:val="0"/>
              <w:marBottom w:val="0"/>
              <w:divBdr>
                <w:top w:val="none" w:sz="0" w:space="0" w:color="auto"/>
                <w:left w:val="none" w:sz="0" w:space="0" w:color="auto"/>
                <w:bottom w:val="none" w:sz="0" w:space="0" w:color="auto"/>
                <w:right w:val="none" w:sz="0" w:space="0" w:color="auto"/>
              </w:divBdr>
              <w:divsChild>
                <w:div w:id="1648392056">
                  <w:marLeft w:val="0"/>
                  <w:marRight w:val="0"/>
                  <w:marTop w:val="0"/>
                  <w:marBottom w:val="0"/>
                  <w:divBdr>
                    <w:top w:val="none" w:sz="0" w:space="0" w:color="auto"/>
                    <w:left w:val="none" w:sz="0" w:space="0" w:color="auto"/>
                    <w:bottom w:val="none" w:sz="0" w:space="0" w:color="auto"/>
                    <w:right w:val="none" w:sz="0" w:space="0" w:color="auto"/>
                  </w:divBdr>
                  <w:divsChild>
                    <w:div w:id="96778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855084">
      <w:bodyDiv w:val="1"/>
      <w:marLeft w:val="0"/>
      <w:marRight w:val="0"/>
      <w:marTop w:val="0"/>
      <w:marBottom w:val="0"/>
      <w:divBdr>
        <w:top w:val="none" w:sz="0" w:space="0" w:color="auto"/>
        <w:left w:val="none" w:sz="0" w:space="0" w:color="auto"/>
        <w:bottom w:val="none" w:sz="0" w:space="0" w:color="auto"/>
        <w:right w:val="none" w:sz="0" w:space="0" w:color="auto"/>
      </w:divBdr>
    </w:div>
    <w:div w:id="1270773874">
      <w:bodyDiv w:val="1"/>
      <w:marLeft w:val="0"/>
      <w:marRight w:val="0"/>
      <w:marTop w:val="0"/>
      <w:marBottom w:val="0"/>
      <w:divBdr>
        <w:top w:val="none" w:sz="0" w:space="0" w:color="auto"/>
        <w:left w:val="none" w:sz="0" w:space="0" w:color="auto"/>
        <w:bottom w:val="none" w:sz="0" w:space="0" w:color="auto"/>
        <w:right w:val="none" w:sz="0" w:space="0" w:color="auto"/>
      </w:divBdr>
    </w:div>
    <w:div w:id="1332416377">
      <w:bodyDiv w:val="1"/>
      <w:marLeft w:val="0"/>
      <w:marRight w:val="0"/>
      <w:marTop w:val="0"/>
      <w:marBottom w:val="0"/>
      <w:divBdr>
        <w:top w:val="none" w:sz="0" w:space="0" w:color="auto"/>
        <w:left w:val="none" w:sz="0" w:space="0" w:color="auto"/>
        <w:bottom w:val="none" w:sz="0" w:space="0" w:color="auto"/>
        <w:right w:val="none" w:sz="0" w:space="0" w:color="auto"/>
      </w:divBdr>
      <w:divsChild>
        <w:div w:id="595862713">
          <w:marLeft w:val="0"/>
          <w:marRight w:val="0"/>
          <w:marTop w:val="0"/>
          <w:marBottom w:val="0"/>
          <w:divBdr>
            <w:top w:val="none" w:sz="0" w:space="0" w:color="auto"/>
            <w:left w:val="none" w:sz="0" w:space="0" w:color="auto"/>
            <w:bottom w:val="none" w:sz="0" w:space="0" w:color="auto"/>
            <w:right w:val="none" w:sz="0" w:space="0" w:color="auto"/>
          </w:divBdr>
          <w:divsChild>
            <w:div w:id="1694382955">
              <w:marLeft w:val="0"/>
              <w:marRight w:val="0"/>
              <w:marTop w:val="0"/>
              <w:marBottom w:val="0"/>
              <w:divBdr>
                <w:top w:val="none" w:sz="0" w:space="0" w:color="auto"/>
                <w:left w:val="none" w:sz="0" w:space="0" w:color="auto"/>
                <w:bottom w:val="none" w:sz="0" w:space="0" w:color="auto"/>
                <w:right w:val="none" w:sz="0" w:space="0" w:color="auto"/>
              </w:divBdr>
              <w:divsChild>
                <w:div w:id="1044065372">
                  <w:marLeft w:val="0"/>
                  <w:marRight w:val="0"/>
                  <w:marTop w:val="0"/>
                  <w:marBottom w:val="0"/>
                  <w:divBdr>
                    <w:top w:val="none" w:sz="0" w:space="0" w:color="auto"/>
                    <w:left w:val="none" w:sz="0" w:space="0" w:color="auto"/>
                    <w:bottom w:val="none" w:sz="0" w:space="0" w:color="auto"/>
                    <w:right w:val="none" w:sz="0" w:space="0" w:color="auto"/>
                  </w:divBdr>
                  <w:divsChild>
                    <w:div w:id="194584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234555">
      <w:bodyDiv w:val="1"/>
      <w:marLeft w:val="0"/>
      <w:marRight w:val="0"/>
      <w:marTop w:val="0"/>
      <w:marBottom w:val="0"/>
      <w:divBdr>
        <w:top w:val="none" w:sz="0" w:space="0" w:color="auto"/>
        <w:left w:val="none" w:sz="0" w:space="0" w:color="auto"/>
        <w:bottom w:val="none" w:sz="0" w:space="0" w:color="auto"/>
        <w:right w:val="none" w:sz="0" w:space="0" w:color="auto"/>
      </w:divBdr>
    </w:div>
    <w:div w:id="1509254770">
      <w:bodyDiv w:val="1"/>
      <w:marLeft w:val="0"/>
      <w:marRight w:val="0"/>
      <w:marTop w:val="0"/>
      <w:marBottom w:val="0"/>
      <w:divBdr>
        <w:top w:val="none" w:sz="0" w:space="0" w:color="auto"/>
        <w:left w:val="none" w:sz="0" w:space="0" w:color="auto"/>
        <w:bottom w:val="none" w:sz="0" w:space="0" w:color="auto"/>
        <w:right w:val="none" w:sz="0" w:space="0" w:color="auto"/>
      </w:divBdr>
    </w:div>
    <w:div w:id="1636061795">
      <w:bodyDiv w:val="1"/>
      <w:marLeft w:val="0"/>
      <w:marRight w:val="0"/>
      <w:marTop w:val="0"/>
      <w:marBottom w:val="0"/>
      <w:divBdr>
        <w:top w:val="none" w:sz="0" w:space="0" w:color="auto"/>
        <w:left w:val="none" w:sz="0" w:space="0" w:color="auto"/>
        <w:bottom w:val="none" w:sz="0" w:space="0" w:color="auto"/>
        <w:right w:val="none" w:sz="0" w:space="0" w:color="auto"/>
      </w:divBdr>
    </w:div>
    <w:div w:id="1675719208">
      <w:bodyDiv w:val="1"/>
      <w:marLeft w:val="0"/>
      <w:marRight w:val="0"/>
      <w:marTop w:val="0"/>
      <w:marBottom w:val="0"/>
      <w:divBdr>
        <w:top w:val="none" w:sz="0" w:space="0" w:color="auto"/>
        <w:left w:val="none" w:sz="0" w:space="0" w:color="auto"/>
        <w:bottom w:val="none" w:sz="0" w:space="0" w:color="auto"/>
        <w:right w:val="none" w:sz="0" w:space="0" w:color="auto"/>
      </w:divBdr>
    </w:div>
    <w:div w:id="1820489493">
      <w:bodyDiv w:val="1"/>
      <w:marLeft w:val="0"/>
      <w:marRight w:val="0"/>
      <w:marTop w:val="0"/>
      <w:marBottom w:val="0"/>
      <w:divBdr>
        <w:top w:val="none" w:sz="0" w:space="0" w:color="auto"/>
        <w:left w:val="none" w:sz="0" w:space="0" w:color="auto"/>
        <w:bottom w:val="none" w:sz="0" w:space="0" w:color="auto"/>
        <w:right w:val="none" w:sz="0" w:space="0" w:color="auto"/>
      </w:divBdr>
    </w:div>
    <w:div w:id="1932473075">
      <w:bodyDiv w:val="1"/>
      <w:marLeft w:val="0"/>
      <w:marRight w:val="0"/>
      <w:marTop w:val="0"/>
      <w:marBottom w:val="0"/>
      <w:divBdr>
        <w:top w:val="none" w:sz="0" w:space="0" w:color="auto"/>
        <w:left w:val="none" w:sz="0" w:space="0" w:color="auto"/>
        <w:bottom w:val="none" w:sz="0" w:space="0" w:color="auto"/>
        <w:right w:val="none" w:sz="0" w:space="0" w:color="auto"/>
      </w:divBdr>
      <w:divsChild>
        <w:div w:id="1544825942">
          <w:marLeft w:val="0"/>
          <w:marRight w:val="0"/>
          <w:marTop w:val="0"/>
          <w:marBottom w:val="0"/>
          <w:divBdr>
            <w:top w:val="none" w:sz="0" w:space="0" w:color="auto"/>
            <w:left w:val="none" w:sz="0" w:space="0" w:color="auto"/>
            <w:bottom w:val="none" w:sz="0" w:space="0" w:color="auto"/>
            <w:right w:val="none" w:sz="0" w:space="0" w:color="auto"/>
          </w:divBdr>
          <w:divsChild>
            <w:div w:id="457604884">
              <w:marLeft w:val="0"/>
              <w:marRight w:val="0"/>
              <w:marTop w:val="0"/>
              <w:marBottom w:val="0"/>
              <w:divBdr>
                <w:top w:val="none" w:sz="0" w:space="0" w:color="auto"/>
                <w:left w:val="none" w:sz="0" w:space="0" w:color="auto"/>
                <w:bottom w:val="none" w:sz="0" w:space="0" w:color="auto"/>
                <w:right w:val="none" w:sz="0" w:space="0" w:color="auto"/>
              </w:divBdr>
              <w:divsChild>
                <w:div w:id="893809833">
                  <w:marLeft w:val="0"/>
                  <w:marRight w:val="0"/>
                  <w:marTop w:val="0"/>
                  <w:marBottom w:val="0"/>
                  <w:divBdr>
                    <w:top w:val="none" w:sz="0" w:space="0" w:color="auto"/>
                    <w:left w:val="none" w:sz="0" w:space="0" w:color="auto"/>
                    <w:bottom w:val="none" w:sz="0" w:space="0" w:color="auto"/>
                    <w:right w:val="none" w:sz="0" w:space="0" w:color="auto"/>
                  </w:divBdr>
                  <w:divsChild>
                    <w:div w:id="28993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47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70793C-C6FD-4FCA-BDA1-DF3D05609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87221</Words>
  <Characters>497161</Characters>
  <Application>Microsoft Office Word</Application>
  <DocSecurity>0</DocSecurity>
  <Lines>4143</Lines>
  <Paragraphs>1166</Paragraphs>
  <ScaleCrop>false</ScaleCrop>
  <HeadingPairs>
    <vt:vector size="2" baseType="variant">
      <vt:variant>
        <vt:lpstr>Title</vt:lpstr>
      </vt:variant>
      <vt:variant>
        <vt:i4>1</vt:i4>
      </vt:variant>
    </vt:vector>
  </HeadingPairs>
  <TitlesOfParts>
    <vt:vector size="1" baseType="lpstr">
      <vt:lpstr/>
    </vt:vector>
  </TitlesOfParts>
  <Company>UHS</Company>
  <LinksUpToDate>false</LinksUpToDate>
  <CharactersWithSpaces>583216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Matthews L.</dc:creator>
  <cp:lastModifiedBy>Helen Carter</cp:lastModifiedBy>
  <cp:revision>2</cp:revision>
  <dcterms:created xsi:type="dcterms:W3CDTF">2021-06-10T12:44:00Z</dcterms:created>
  <dcterms:modified xsi:type="dcterms:W3CDTF">2021-06-10T12:44:00Z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http://www.zotero.org/styles/clinical-nutrition-espen</vt:lpwstr>
  </property>
  <property fmtid="{D5CDD505-2E9C-101B-9397-08002B2CF9AE}" pid="11" name="Mendeley Recent Style Name 4_1">
    <vt:lpwstr>Clinical Nutrition ESPEN</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3c611754-6116-3dad-b832-647a1655c02a</vt:lpwstr>
  </property>
  <property fmtid="{D5CDD505-2E9C-101B-9397-08002B2CF9AE}" pid="24" name="Mendeley Citation Style_1">
    <vt:lpwstr>http://www.zotero.org/styles/clinical-nutrition-espen</vt:lpwstr>
  </property>
</Properties>
</file>