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86B076" w14:textId="317FB8E7" w:rsidR="009B1F8A" w:rsidRPr="00222243" w:rsidRDefault="00940D6F" w:rsidP="008832E1">
      <w:pPr>
        <w:rPr>
          <w:b/>
          <w:bCs/>
          <w:sz w:val="28"/>
          <w:szCs w:val="28"/>
        </w:rPr>
      </w:pPr>
      <w:bookmarkStart w:id="0" w:name="_Hlk55216155"/>
      <w:bookmarkEnd w:id="0"/>
      <w:r>
        <w:rPr>
          <w:b/>
          <w:bCs/>
          <w:sz w:val="28"/>
          <w:szCs w:val="28"/>
        </w:rPr>
        <w:t>High</w:t>
      </w:r>
      <w:r w:rsidR="00476585">
        <w:rPr>
          <w:b/>
          <w:bCs/>
          <w:sz w:val="28"/>
          <w:szCs w:val="28"/>
        </w:rPr>
        <w:t xml:space="preserve"> maternal f</w:t>
      </w:r>
      <w:r w:rsidR="00AD5868" w:rsidRPr="00222243">
        <w:rPr>
          <w:b/>
          <w:bCs/>
          <w:sz w:val="28"/>
          <w:szCs w:val="28"/>
        </w:rPr>
        <w:t xml:space="preserve">olic </w:t>
      </w:r>
      <w:r w:rsidR="00B12181" w:rsidRPr="00222243">
        <w:rPr>
          <w:b/>
          <w:bCs/>
          <w:sz w:val="28"/>
          <w:szCs w:val="28"/>
        </w:rPr>
        <w:t>a</w:t>
      </w:r>
      <w:r w:rsidR="00AD5868" w:rsidRPr="00222243">
        <w:rPr>
          <w:b/>
          <w:bCs/>
          <w:sz w:val="28"/>
          <w:szCs w:val="28"/>
        </w:rPr>
        <w:t>cid</w:t>
      </w:r>
      <w:r w:rsidR="00AD4CEE" w:rsidRPr="00222243">
        <w:rPr>
          <w:b/>
          <w:bCs/>
          <w:sz w:val="28"/>
          <w:szCs w:val="28"/>
        </w:rPr>
        <w:t xml:space="preserve"> </w:t>
      </w:r>
      <w:r w:rsidR="00F95589" w:rsidRPr="00222243">
        <w:rPr>
          <w:b/>
          <w:bCs/>
          <w:sz w:val="28"/>
          <w:szCs w:val="28"/>
        </w:rPr>
        <w:t xml:space="preserve">intake </w:t>
      </w:r>
      <w:r w:rsidR="00476585">
        <w:rPr>
          <w:b/>
          <w:bCs/>
          <w:sz w:val="28"/>
          <w:szCs w:val="28"/>
        </w:rPr>
        <w:t>around conception alters</w:t>
      </w:r>
      <w:r w:rsidR="002F3146">
        <w:rPr>
          <w:b/>
          <w:bCs/>
          <w:sz w:val="28"/>
          <w:szCs w:val="28"/>
        </w:rPr>
        <w:t xml:space="preserve"> mouse</w:t>
      </w:r>
      <w:r w:rsidR="00CC0913" w:rsidRPr="00222243">
        <w:rPr>
          <w:b/>
          <w:bCs/>
          <w:sz w:val="28"/>
          <w:szCs w:val="28"/>
        </w:rPr>
        <w:t xml:space="preserve"> </w:t>
      </w:r>
      <w:r w:rsidR="002F3146">
        <w:rPr>
          <w:b/>
          <w:bCs/>
          <w:sz w:val="28"/>
          <w:szCs w:val="28"/>
        </w:rPr>
        <w:t xml:space="preserve">blastocyst lineage allocation and </w:t>
      </w:r>
      <w:r w:rsidR="00CC0913" w:rsidRPr="00222243">
        <w:rPr>
          <w:b/>
          <w:bCs/>
          <w:sz w:val="28"/>
          <w:szCs w:val="28"/>
        </w:rPr>
        <w:t xml:space="preserve">expression of </w:t>
      </w:r>
      <w:r w:rsidR="00476585">
        <w:rPr>
          <w:b/>
          <w:bCs/>
          <w:sz w:val="28"/>
          <w:szCs w:val="28"/>
        </w:rPr>
        <w:t>key developmental</w:t>
      </w:r>
      <w:r w:rsidR="002F3146">
        <w:rPr>
          <w:b/>
          <w:bCs/>
          <w:sz w:val="28"/>
          <w:szCs w:val="28"/>
        </w:rPr>
        <w:t xml:space="preserve"> regulatory genes</w:t>
      </w:r>
      <w:r w:rsidR="00CC0913" w:rsidRPr="00222243">
        <w:rPr>
          <w:b/>
          <w:bCs/>
          <w:sz w:val="28"/>
          <w:szCs w:val="28"/>
        </w:rPr>
        <w:t>.</w:t>
      </w:r>
    </w:p>
    <w:p w14:paraId="12494C1D" w14:textId="77777777" w:rsidR="0039355F" w:rsidRPr="00222243" w:rsidRDefault="0039355F" w:rsidP="00317B70">
      <w:pPr>
        <w:widowControl w:val="0"/>
        <w:autoSpaceDE w:val="0"/>
        <w:autoSpaceDN w:val="0"/>
        <w:adjustRightInd w:val="0"/>
        <w:spacing w:after="240" w:line="480" w:lineRule="auto"/>
        <w:rPr>
          <w:b/>
        </w:rPr>
      </w:pPr>
    </w:p>
    <w:p w14:paraId="4FDB78B5" w14:textId="1EFB3EA5" w:rsidR="009B1F8A" w:rsidRPr="00222243" w:rsidRDefault="009B1F8A" w:rsidP="00317B70">
      <w:pPr>
        <w:widowControl w:val="0"/>
        <w:autoSpaceDE w:val="0"/>
        <w:autoSpaceDN w:val="0"/>
        <w:adjustRightInd w:val="0"/>
        <w:spacing w:after="240" w:line="480" w:lineRule="auto"/>
        <w:rPr>
          <w:b/>
        </w:rPr>
      </w:pPr>
      <w:proofErr w:type="gramStart"/>
      <w:r w:rsidRPr="00222243">
        <w:rPr>
          <w:b/>
        </w:rPr>
        <w:t>R.S</w:t>
      </w:r>
      <w:proofErr w:type="gramEnd"/>
      <w:r w:rsidRPr="00222243">
        <w:rPr>
          <w:b/>
        </w:rPr>
        <w:t xml:space="preserve"> Penailillo</w:t>
      </w:r>
      <w:r w:rsidRPr="00222243">
        <w:rPr>
          <w:b/>
          <w:vertAlign w:val="superscript"/>
        </w:rPr>
        <w:t>1</w:t>
      </w:r>
      <w:r w:rsidRPr="00222243">
        <w:rPr>
          <w:b/>
        </w:rPr>
        <w:t>, J.J Eckert</w:t>
      </w:r>
      <w:r w:rsidRPr="00222243">
        <w:rPr>
          <w:b/>
          <w:vertAlign w:val="superscript"/>
        </w:rPr>
        <w:t>2</w:t>
      </w:r>
      <w:r w:rsidRPr="00222243">
        <w:rPr>
          <w:b/>
        </w:rPr>
        <w:t xml:space="preserve">, </w:t>
      </w:r>
      <w:r w:rsidR="00920BB2" w:rsidRPr="00222243">
        <w:rPr>
          <w:b/>
        </w:rPr>
        <w:t>M.A.Burton</w:t>
      </w:r>
      <w:r w:rsidR="00920BB2" w:rsidRPr="00222243">
        <w:rPr>
          <w:b/>
          <w:vertAlign w:val="superscript"/>
        </w:rPr>
        <w:t>1</w:t>
      </w:r>
      <w:r w:rsidR="00920BB2" w:rsidRPr="00222243">
        <w:rPr>
          <w:b/>
        </w:rPr>
        <w:t xml:space="preserve">, </w:t>
      </w:r>
      <w:r w:rsidRPr="00222243">
        <w:rPr>
          <w:b/>
        </w:rPr>
        <w:t>G.C Burdge</w:t>
      </w:r>
      <w:r w:rsidRPr="00222243">
        <w:rPr>
          <w:b/>
          <w:vertAlign w:val="superscript"/>
        </w:rPr>
        <w:t>2</w:t>
      </w:r>
      <w:r w:rsidRPr="00222243">
        <w:rPr>
          <w:b/>
        </w:rPr>
        <w:t>, T.P Fleming</w:t>
      </w:r>
      <w:r w:rsidRPr="00222243">
        <w:rPr>
          <w:b/>
          <w:vertAlign w:val="superscript"/>
        </w:rPr>
        <w:t>1</w:t>
      </w:r>
      <w:r w:rsidRPr="00222243">
        <w:rPr>
          <w:b/>
        </w:rPr>
        <w:t xml:space="preserve"> and K.A Lillycrop</w:t>
      </w:r>
      <w:r w:rsidRPr="00222243">
        <w:rPr>
          <w:b/>
          <w:vertAlign w:val="superscript"/>
        </w:rPr>
        <w:t>1</w:t>
      </w:r>
      <w:r w:rsidRPr="00222243">
        <w:rPr>
          <w:b/>
        </w:rPr>
        <w:t>.</w:t>
      </w:r>
    </w:p>
    <w:p w14:paraId="31B2A1DB" w14:textId="77777777" w:rsidR="009B1F8A" w:rsidRPr="00222243" w:rsidRDefault="009B1F8A" w:rsidP="00317B70">
      <w:pPr>
        <w:spacing w:line="480" w:lineRule="auto"/>
        <w:rPr>
          <w:i/>
        </w:rPr>
      </w:pPr>
      <w:r w:rsidRPr="00222243">
        <w:rPr>
          <w:i/>
          <w:vertAlign w:val="superscript"/>
        </w:rPr>
        <w:t>1</w:t>
      </w:r>
      <w:r w:rsidRPr="00222243">
        <w:rPr>
          <w:i/>
        </w:rPr>
        <w:t>Centre for Biological Sciences, University of Southampton, UK</w:t>
      </w:r>
    </w:p>
    <w:p w14:paraId="2CF809D4" w14:textId="5FA319FB" w:rsidR="009B1F8A" w:rsidRPr="00222243" w:rsidRDefault="009B1F8A" w:rsidP="00317B70">
      <w:pPr>
        <w:spacing w:line="480" w:lineRule="auto"/>
        <w:rPr>
          <w:i/>
        </w:rPr>
      </w:pPr>
      <w:r w:rsidRPr="00222243">
        <w:rPr>
          <w:i/>
          <w:vertAlign w:val="superscript"/>
        </w:rPr>
        <w:t>2</w:t>
      </w:r>
      <w:r w:rsidR="00F95589" w:rsidRPr="00222243">
        <w:rPr>
          <w:i/>
        </w:rPr>
        <w:t>School</w:t>
      </w:r>
      <w:r w:rsidRPr="00222243">
        <w:rPr>
          <w:i/>
        </w:rPr>
        <w:t xml:space="preserve"> of Human Health and Development,</w:t>
      </w:r>
      <w:r w:rsidR="00F95589" w:rsidRPr="00222243">
        <w:rPr>
          <w:i/>
        </w:rPr>
        <w:t xml:space="preserve"> Faculty of Medicine,</w:t>
      </w:r>
      <w:r w:rsidRPr="00222243">
        <w:rPr>
          <w:i/>
        </w:rPr>
        <w:t xml:space="preserve"> University of Southampton, UK.</w:t>
      </w:r>
    </w:p>
    <w:p w14:paraId="7B7978B1" w14:textId="77777777" w:rsidR="00AD4CEE" w:rsidRPr="00222243" w:rsidRDefault="00AD4CEE" w:rsidP="00317B70">
      <w:pPr>
        <w:spacing w:line="480" w:lineRule="auto"/>
      </w:pPr>
    </w:p>
    <w:p w14:paraId="6367851A" w14:textId="07317FDE" w:rsidR="007721F2" w:rsidRPr="00222243" w:rsidRDefault="00F95589">
      <w:pPr>
        <w:rPr>
          <w:rFonts w:eastAsiaTheme="majorEastAsia"/>
          <w:b/>
        </w:rPr>
      </w:pPr>
      <w:r w:rsidRPr="00222243">
        <w:t>Corresponding author</w:t>
      </w:r>
      <w:r w:rsidR="00766448" w:rsidRPr="00222243">
        <w:t>: K.A Lillycrop</w:t>
      </w:r>
      <w:r w:rsidR="00040719">
        <w:t xml:space="preserve">. Email: </w:t>
      </w:r>
      <w:r w:rsidR="00040719" w:rsidRPr="00040719">
        <w:t xml:space="preserve">K.A.Lillycrop@soton.ac.uk </w:t>
      </w:r>
      <w:r w:rsidR="007721F2" w:rsidRPr="00222243">
        <w:br w:type="page"/>
      </w:r>
    </w:p>
    <w:p w14:paraId="459929F6" w14:textId="64EFC5F4" w:rsidR="009B1F8A" w:rsidRPr="00222243" w:rsidRDefault="009B1F8A" w:rsidP="008832E1">
      <w:pPr>
        <w:pStyle w:val="Heading2"/>
        <w:numPr>
          <w:ilvl w:val="0"/>
          <w:numId w:val="0"/>
        </w:numPr>
        <w:spacing w:line="480" w:lineRule="auto"/>
        <w:ind w:left="576" w:hanging="576"/>
        <w:rPr>
          <w:rFonts w:cs="Times New Roman"/>
          <w:color w:val="auto"/>
          <w:sz w:val="24"/>
          <w:szCs w:val="24"/>
        </w:rPr>
      </w:pPr>
      <w:r w:rsidRPr="00222243">
        <w:rPr>
          <w:rFonts w:cs="Times New Roman"/>
          <w:color w:val="auto"/>
          <w:sz w:val="24"/>
          <w:szCs w:val="24"/>
        </w:rPr>
        <w:lastRenderedPageBreak/>
        <w:t>Abstract</w:t>
      </w:r>
      <w:r w:rsidR="00B065CE" w:rsidRPr="00222243">
        <w:rPr>
          <w:rFonts w:cs="Times New Roman"/>
          <w:color w:val="auto"/>
          <w:sz w:val="24"/>
          <w:szCs w:val="24"/>
        </w:rPr>
        <w:t xml:space="preserve"> </w:t>
      </w:r>
    </w:p>
    <w:p w14:paraId="26A41993" w14:textId="78A13A8D" w:rsidR="00425F86" w:rsidRPr="00222243" w:rsidRDefault="008D1632" w:rsidP="003A244C">
      <w:r w:rsidRPr="00222243">
        <w:rPr>
          <w:rFonts w:eastAsia="Times New Roman"/>
          <w:shd w:val="clear" w:color="auto" w:fill="FFFFFF"/>
        </w:rPr>
        <w:t>Folate</w:t>
      </w:r>
      <w:r w:rsidR="009D4177">
        <w:rPr>
          <w:rFonts w:eastAsia="Times New Roman"/>
          <w:shd w:val="clear" w:color="auto" w:fill="FFFFFF"/>
        </w:rPr>
        <w:t xml:space="preserve">, </w:t>
      </w:r>
      <w:r w:rsidR="007766B1">
        <w:rPr>
          <w:rFonts w:eastAsia="Times New Roman"/>
          <w:shd w:val="clear" w:color="auto" w:fill="FFFFFF"/>
        </w:rPr>
        <w:t>a</w:t>
      </w:r>
      <w:r w:rsidR="009852F6" w:rsidRPr="00222243">
        <w:rPr>
          <w:rFonts w:eastAsia="Times New Roman"/>
          <w:shd w:val="clear" w:color="auto" w:fill="FFFFFF"/>
        </w:rPr>
        <w:t xml:space="preserve"> </w:t>
      </w:r>
      <w:r w:rsidR="00B33285" w:rsidRPr="00222243">
        <w:rPr>
          <w:rFonts w:eastAsia="Times New Roman"/>
          <w:shd w:val="clear" w:color="auto" w:fill="FFFFFF"/>
        </w:rPr>
        <w:t xml:space="preserve">cofactor </w:t>
      </w:r>
      <w:r w:rsidR="009C6955" w:rsidRPr="00222243">
        <w:rPr>
          <w:rFonts w:eastAsia="Times New Roman"/>
          <w:shd w:val="clear" w:color="auto" w:fill="FFFFFF"/>
        </w:rPr>
        <w:t xml:space="preserve">for the supply of </w:t>
      </w:r>
      <w:r w:rsidR="00F84D95" w:rsidRPr="00222243">
        <w:rPr>
          <w:rFonts w:eastAsia="Times New Roman"/>
          <w:shd w:val="clear" w:color="auto" w:fill="FFFFFF"/>
        </w:rPr>
        <w:t>one</w:t>
      </w:r>
      <w:r w:rsidR="009C6955" w:rsidRPr="00222243">
        <w:rPr>
          <w:rFonts w:eastAsia="Times New Roman"/>
          <w:shd w:val="clear" w:color="auto" w:fill="FFFFFF"/>
        </w:rPr>
        <w:t xml:space="preserve">-carbon </w:t>
      </w:r>
      <w:r w:rsidR="0008510E" w:rsidRPr="00222243">
        <w:rPr>
          <w:rFonts w:eastAsia="Times New Roman"/>
          <w:shd w:val="clear" w:color="auto" w:fill="FFFFFF"/>
        </w:rPr>
        <w:t>groups</w:t>
      </w:r>
      <w:r w:rsidR="007766B1">
        <w:rPr>
          <w:rFonts w:eastAsia="Times New Roman"/>
          <w:shd w:val="clear" w:color="auto" w:fill="FFFFFF"/>
        </w:rPr>
        <w:t>,</w:t>
      </w:r>
      <w:r w:rsidR="009D4177">
        <w:rPr>
          <w:rFonts w:eastAsia="Times New Roman"/>
          <w:shd w:val="clear" w:color="auto" w:fill="FFFFFF"/>
        </w:rPr>
        <w:t xml:space="preserve"> is</w:t>
      </w:r>
      <w:r w:rsidR="004A154D" w:rsidRPr="00222243">
        <w:rPr>
          <w:rFonts w:eastAsia="Times New Roman"/>
          <w:shd w:val="clear" w:color="auto" w:fill="FFFFFF"/>
        </w:rPr>
        <w:t xml:space="preserve"> </w:t>
      </w:r>
      <w:r w:rsidR="00B33285" w:rsidRPr="00222243">
        <w:rPr>
          <w:rFonts w:eastAsia="Times New Roman"/>
          <w:shd w:val="clear" w:color="auto" w:fill="FFFFFF"/>
        </w:rPr>
        <w:t xml:space="preserve">required </w:t>
      </w:r>
      <w:r w:rsidR="009C6955" w:rsidRPr="00222243">
        <w:rPr>
          <w:rFonts w:eastAsia="Times New Roman"/>
          <w:shd w:val="clear" w:color="auto" w:fill="FFFFFF"/>
        </w:rPr>
        <w:t>by</w:t>
      </w:r>
      <w:r w:rsidR="00B33285" w:rsidRPr="00222243">
        <w:rPr>
          <w:rFonts w:eastAsia="Times New Roman"/>
          <w:shd w:val="clear" w:color="auto" w:fill="FFFFFF"/>
        </w:rPr>
        <w:t xml:space="preserve"> </w:t>
      </w:r>
      <w:r w:rsidR="002A5ACE" w:rsidRPr="00222243">
        <w:rPr>
          <w:rFonts w:eastAsia="Times New Roman"/>
          <w:shd w:val="clear" w:color="auto" w:fill="FFFFFF"/>
        </w:rPr>
        <w:t xml:space="preserve">epigenetic processes </w:t>
      </w:r>
      <w:r w:rsidRPr="00222243">
        <w:rPr>
          <w:rFonts w:eastAsia="Times New Roman"/>
          <w:shd w:val="clear" w:color="auto" w:fill="FFFFFF"/>
        </w:rPr>
        <w:t xml:space="preserve">to regulate </w:t>
      </w:r>
      <w:r w:rsidR="00EB5585" w:rsidRPr="00222243">
        <w:rPr>
          <w:rFonts w:eastAsia="Times New Roman"/>
          <w:shd w:val="clear" w:color="auto" w:fill="FFFFFF"/>
        </w:rPr>
        <w:t xml:space="preserve">cell </w:t>
      </w:r>
      <w:r w:rsidR="002A5ACE" w:rsidRPr="00222243">
        <w:rPr>
          <w:rFonts w:eastAsia="Times New Roman"/>
          <w:shd w:val="clear" w:color="auto" w:fill="FFFFFF"/>
        </w:rPr>
        <w:t>lineage determination</w:t>
      </w:r>
      <w:r w:rsidR="007A151E" w:rsidRPr="00222243">
        <w:rPr>
          <w:rFonts w:eastAsia="Times New Roman"/>
          <w:shd w:val="clear" w:color="auto" w:fill="FFFFFF"/>
        </w:rPr>
        <w:t xml:space="preserve"> </w:t>
      </w:r>
      <w:r w:rsidR="00B34184" w:rsidRPr="00222243">
        <w:rPr>
          <w:rFonts w:eastAsia="Times New Roman"/>
          <w:shd w:val="clear" w:color="auto" w:fill="FFFFFF"/>
        </w:rPr>
        <w:t>during development</w:t>
      </w:r>
      <w:r w:rsidR="00EB5585" w:rsidRPr="00222243">
        <w:rPr>
          <w:rFonts w:eastAsia="Times New Roman"/>
          <w:shd w:val="clear" w:color="auto" w:fill="FFFFFF"/>
        </w:rPr>
        <w:t xml:space="preserve">. </w:t>
      </w:r>
      <w:r w:rsidR="00D17328">
        <w:rPr>
          <w:rFonts w:eastAsia="Times New Roman"/>
          <w:shd w:val="clear" w:color="auto" w:fill="FFFFFF"/>
        </w:rPr>
        <w:t xml:space="preserve">The </w:t>
      </w:r>
      <w:r w:rsidR="00D17328" w:rsidRPr="00222243">
        <w:rPr>
          <w:color w:val="000000"/>
          <w:shd w:val="clear" w:color="auto" w:fill="FFFFFF"/>
        </w:rPr>
        <w:t>intake of folic acid (FA), the synthetic form of folate, has increased significantly over the past decade</w:t>
      </w:r>
      <w:r w:rsidR="00D17328">
        <w:rPr>
          <w:color w:val="000000"/>
          <w:shd w:val="clear" w:color="auto" w:fill="FFFFFF"/>
        </w:rPr>
        <w:t>, but the</w:t>
      </w:r>
      <w:r w:rsidRPr="00222243">
        <w:rPr>
          <w:color w:val="000000" w:themeColor="text1"/>
        </w:rPr>
        <w:t xml:space="preserve"> effect</w:t>
      </w:r>
      <w:r w:rsidR="00C52952">
        <w:rPr>
          <w:color w:val="000000" w:themeColor="text1"/>
        </w:rPr>
        <w:t>s</w:t>
      </w:r>
      <w:r w:rsidRPr="00222243">
        <w:rPr>
          <w:color w:val="000000" w:themeColor="text1"/>
        </w:rPr>
        <w:t xml:space="preserve"> of </w:t>
      </w:r>
      <w:r w:rsidRPr="00222243">
        <w:rPr>
          <w:rFonts w:eastAsia="Times New Roman"/>
          <w:shd w:val="clear" w:color="auto" w:fill="FFFFFF"/>
        </w:rPr>
        <w:t>h</w:t>
      </w:r>
      <w:r w:rsidR="007861E8" w:rsidRPr="00222243">
        <w:rPr>
          <w:rFonts w:eastAsia="Times New Roman"/>
          <w:shd w:val="clear" w:color="auto" w:fill="FFFFFF"/>
        </w:rPr>
        <w:t>igh</w:t>
      </w:r>
      <w:r w:rsidR="009C6955" w:rsidRPr="00222243">
        <w:rPr>
          <w:rFonts w:eastAsia="Times New Roman"/>
          <w:shd w:val="clear" w:color="auto" w:fill="FFFFFF"/>
        </w:rPr>
        <w:t xml:space="preserve"> </w:t>
      </w:r>
      <w:r w:rsidR="00EB5585" w:rsidRPr="00222243">
        <w:rPr>
          <w:shd w:val="clear" w:color="auto" w:fill="FFFFFF"/>
        </w:rPr>
        <w:t>periconceptional</w:t>
      </w:r>
      <w:r w:rsidR="00B33285" w:rsidRPr="00222243">
        <w:rPr>
          <w:rFonts w:eastAsia="Times New Roman"/>
          <w:shd w:val="clear" w:color="auto" w:fill="FFFFFF"/>
        </w:rPr>
        <w:t xml:space="preserve"> FA </w:t>
      </w:r>
      <w:r w:rsidR="00EA3D11" w:rsidRPr="00222243">
        <w:rPr>
          <w:rFonts w:eastAsia="Times New Roman"/>
          <w:shd w:val="clear" w:color="auto" w:fill="FFFFFF"/>
        </w:rPr>
        <w:t xml:space="preserve">intake </w:t>
      </w:r>
      <w:r w:rsidRPr="00222243">
        <w:rPr>
          <w:rFonts w:eastAsia="Times New Roman"/>
          <w:shd w:val="clear" w:color="auto" w:fill="FFFFFF"/>
        </w:rPr>
        <w:t xml:space="preserve">on </w:t>
      </w:r>
      <w:r w:rsidR="00EB5585" w:rsidRPr="00222243">
        <w:rPr>
          <w:rFonts w:eastAsia="Times New Roman"/>
          <w:shd w:val="clear" w:color="auto" w:fill="FFFFFF"/>
        </w:rPr>
        <w:t>c</w:t>
      </w:r>
      <w:r w:rsidR="00A55FC8" w:rsidRPr="00222243">
        <w:rPr>
          <w:rFonts w:eastAsia="Times New Roman"/>
          <w:shd w:val="clear" w:color="auto" w:fill="FFFFFF"/>
        </w:rPr>
        <w:t>ell</w:t>
      </w:r>
      <w:r w:rsidR="00A55FC8" w:rsidRPr="00222243">
        <w:rPr>
          <w:rStyle w:val="apple-converted-space"/>
          <w:rFonts w:eastAsia="Times New Roman"/>
          <w:shd w:val="clear" w:color="auto" w:fill="FFFFFF"/>
        </w:rPr>
        <w:t> </w:t>
      </w:r>
      <w:r w:rsidR="00A55FC8" w:rsidRPr="00222243">
        <w:rPr>
          <w:rStyle w:val="Emphasis"/>
          <w:rFonts w:eastAsia="Times New Roman"/>
          <w:bCs/>
          <w:i w:val="0"/>
          <w:iCs w:val="0"/>
        </w:rPr>
        <w:t>lineage determination</w:t>
      </w:r>
      <w:r w:rsidR="00A55FC8" w:rsidRPr="00222243">
        <w:rPr>
          <w:rStyle w:val="apple-converted-space"/>
          <w:rFonts w:eastAsia="Times New Roman"/>
          <w:shd w:val="clear" w:color="auto" w:fill="FFFFFF"/>
        </w:rPr>
        <w:t> </w:t>
      </w:r>
      <w:r w:rsidR="00A55FC8" w:rsidRPr="00222243">
        <w:rPr>
          <w:rFonts w:eastAsia="Times New Roman"/>
          <w:shd w:val="clear" w:color="auto" w:fill="FFFFFF"/>
        </w:rPr>
        <w:t>in</w:t>
      </w:r>
      <w:r w:rsidR="00D17328">
        <w:rPr>
          <w:rFonts w:eastAsia="Times New Roman"/>
          <w:shd w:val="clear" w:color="auto" w:fill="FFFFFF"/>
        </w:rPr>
        <w:t xml:space="preserve"> the</w:t>
      </w:r>
      <w:r w:rsidR="00A55FC8" w:rsidRPr="00222243">
        <w:rPr>
          <w:rFonts w:eastAsia="Times New Roman"/>
          <w:shd w:val="clear" w:color="auto" w:fill="FFFFFF"/>
        </w:rPr>
        <w:t xml:space="preserve"> early</w:t>
      </w:r>
      <w:r w:rsidR="00A55FC8" w:rsidRPr="00222243">
        <w:rPr>
          <w:rStyle w:val="apple-converted-space"/>
          <w:rFonts w:eastAsia="Times New Roman"/>
          <w:shd w:val="clear" w:color="auto" w:fill="FFFFFF"/>
        </w:rPr>
        <w:t> </w:t>
      </w:r>
      <w:r w:rsidR="00A55FC8" w:rsidRPr="00222243">
        <w:rPr>
          <w:rStyle w:val="Emphasis"/>
          <w:rFonts w:eastAsia="Times New Roman"/>
          <w:bCs/>
          <w:i w:val="0"/>
          <w:iCs w:val="0"/>
        </w:rPr>
        <w:t>embryo</w:t>
      </w:r>
      <w:r w:rsidR="00D17328">
        <w:rPr>
          <w:rStyle w:val="Emphasis"/>
          <w:rFonts w:eastAsia="Times New Roman"/>
          <w:bCs/>
          <w:i w:val="0"/>
          <w:iCs w:val="0"/>
        </w:rPr>
        <w:t xml:space="preserve"> remains </w:t>
      </w:r>
      <w:r w:rsidRPr="00222243">
        <w:rPr>
          <w:rStyle w:val="Emphasis"/>
          <w:rFonts w:eastAsia="Times New Roman"/>
          <w:bCs/>
          <w:i w:val="0"/>
          <w:iCs w:val="0"/>
        </w:rPr>
        <w:t>unknown</w:t>
      </w:r>
      <w:r w:rsidR="00A55FC8" w:rsidRPr="00222243">
        <w:rPr>
          <w:rStyle w:val="Emphasis"/>
          <w:rFonts w:eastAsia="Times New Roman"/>
          <w:bCs/>
          <w:i w:val="0"/>
          <w:iCs w:val="0"/>
        </w:rPr>
        <w:t>.</w:t>
      </w:r>
      <w:r w:rsidR="00CD37EC" w:rsidRPr="00222243">
        <w:t xml:space="preserve"> </w:t>
      </w:r>
      <w:r w:rsidR="00692B0D" w:rsidRPr="00222243">
        <w:t>Here,</w:t>
      </w:r>
      <w:r w:rsidR="00EB5585" w:rsidRPr="00222243">
        <w:t xml:space="preserve"> </w:t>
      </w:r>
      <w:r w:rsidR="00CD37EC" w:rsidRPr="00222243">
        <w:t xml:space="preserve">we </w:t>
      </w:r>
      <w:r w:rsidR="00EB5585" w:rsidRPr="00222243">
        <w:t>investigated</w:t>
      </w:r>
      <w:r w:rsidR="00CD37EC" w:rsidRPr="00222243">
        <w:t xml:space="preserve"> the effect of</w:t>
      </w:r>
      <w:r w:rsidR="00C17D03" w:rsidRPr="00222243">
        <w:t xml:space="preserve"> maternal </w:t>
      </w:r>
      <w:r w:rsidR="009D4177">
        <w:t xml:space="preserve">high </w:t>
      </w:r>
      <w:r w:rsidR="00CD37EC" w:rsidRPr="00222243">
        <w:t>FA</w:t>
      </w:r>
      <w:r w:rsidR="009D4177">
        <w:t xml:space="preserve"> (HFA)</w:t>
      </w:r>
      <w:r w:rsidR="00CD37EC" w:rsidRPr="00222243">
        <w:t xml:space="preserve"> </w:t>
      </w:r>
      <w:r w:rsidR="00C97D59" w:rsidRPr="00222243">
        <w:t>intake</w:t>
      </w:r>
      <w:r w:rsidR="0008510E" w:rsidRPr="00222243">
        <w:t xml:space="preserve"> </w:t>
      </w:r>
      <w:r w:rsidR="00CD37EC" w:rsidRPr="00222243">
        <w:t xml:space="preserve">on </w:t>
      </w:r>
      <w:r w:rsidR="00CB397B" w:rsidRPr="00222243">
        <w:t>blastocyst</w:t>
      </w:r>
      <w:r w:rsidR="009F0A2F">
        <w:t xml:space="preserve"> development</w:t>
      </w:r>
      <w:r w:rsidR="00C17D03" w:rsidRPr="00222243">
        <w:t>,</w:t>
      </w:r>
      <w:r w:rsidR="009852F6" w:rsidRPr="00222243">
        <w:t xml:space="preserve"> and</w:t>
      </w:r>
      <w:r w:rsidR="00D17328">
        <w:t xml:space="preserve"> </w:t>
      </w:r>
      <w:r w:rsidR="009852F6" w:rsidRPr="00222243">
        <w:t>expression of key</w:t>
      </w:r>
      <w:r w:rsidR="007757D6">
        <w:t xml:space="preserve"> regulatory genes</w:t>
      </w:r>
      <w:r w:rsidR="00CD37EC" w:rsidRPr="00222243">
        <w:t>. C57BL/6 adult female mice were fed</w:t>
      </w:r>
      <w:r w:rsidR="009F0A2F">
        <w:t xml:space="preserve"> either</w:t>
      </w:r>
      <w:r w:rsidR="00CB397B" w:rsidRPr="00222243">
        <w:t xml:space="preserve"> </w:t>
      </w:r>
      <w:r w:rsidR="006E3230">
        <w:t>C</w:t>
      </w:r>
      <w:r w:rsidR="00055EA1" w:rsidRPr="00222243">
        <w:t xml:space="preserve">ontrol </w:t>
      </w:r>
      <w:r w:rsidR="00A55FC8" w:rsidRPr="00222243">
        <w:t>diet</w:t>
      </w:r>
      <w:r w:rsidR="00A55FC8" w:rsidRPr="00222243">
        <w:rPr>
          <w:spacing w:val="3"/>
          <w:shd w:val="clear" w:color="auto" w:fill="FFFFFF"/>
        </w:rPr>
        <w:t xml:space="preserve"> </w:t>
      </w:r>
      <w:r w:rsidR="00087438">
        <w:rPr>
          <w:spacing w:val="3"/>
          <w:shd w:val="clear" w:color="auto" w:fill="FFFFFF"/>
        </w:rPr>
        <w:t>(</w:t>
      </w:r>
      <w:r w:rsidR="00187BE1" w:rsidRPr="00222243">
        <w:rPr>
          <w:spacing w:val="3"/>
          <w:shd w:val="clear" w:color="auto" w:fill="FFFFFF"/>
        </w:rPr>
        <w:t>1</w:t>
      </w:r>
      <w:r w:rsidR="00A55FC8" w:rsidRPr="00222243">
        <w:rPr>
          <w:spacing w:val="3"/>
          <w:shd w:val="clear" w:color="auto" w:fill="FFFFFF"/>
        </w:rPr>
        <w:t xml:space="preserve"> mg</w:t>
      </w:r>
      <w:r w:rsidR="00752CC2" w:rsidRPr="00222243">
        <w:rPr>
          <w:spacing w:val="3"/>
          <w:shd w:val="clear" w:color="auto" w:fill="FFFFFF"/>
        </w:rPr>
        <w:t xml:space="preserve"> FA</w:t>
      </w:r>
      <w:r w:rsidR="00087438">
        <w:rPr>
          <w:spacing w:val="3"/>
          <w:shd w:val="clear" w:color="auto" w:fill="FFFFFF"/>
        </w:rPr>
        <w:t>)</w:t>
      </w:r>
      <w:r w:rsidR="005E4008" w:rsidRPr="00222243">
        <w:rPr>
          <w:spacing w:val="3"/>
          <w:shd w:val="clear" w:color="auto" w:fill="FFFFFF"/>
        </w:rPr>
        <w:t xml:space="preserve"> </w:t>
      </w:r>
      <w:r w:rsidR="005E4008" w:rsidRPr="00222243">
        <w:t xml:space="preserve">for </w:t>
      </w:r>
      <w:r w:rsidR="00087438">
        <w:t>4</w:t>
      </w:r>
      <w:r w:rsidR="005E4008" w:rsidRPr="00222243">
        <w:t xml:space="preserve"> weeks </w:t>
      </w:r>
      <w:r w:rsidR="00055EA1" w:rsidRPr="00222243">
        <w:t xml:space="preserve">before </w:t>
      </w:r>
      <w:r w:rsidR="00AD491C" w:rsidRPr="00222243">
        <w:t>conception</w:t>
      </w:r>
      <w:r w:rsidR="005E4008" w:rsidRPr="00222243">
        <w:t xml:space="preserve"> and during the </w:t>
      </w:r>
      <w:r w:rsidR="002E46A7" w:rsidRPr="00222243">
        <w:t>pre</w:t>
      </w:r>
      <w:r w:rsidR="005E4008" w:rsidRPr="00222243">
        <w:t>implantation period</w:t>
      </w:r>
      <w:r w:rsidR="00D9006B" w:rsidRPr="00222243">
        <w:t xml:space="preserve"> </w:t>
      </w:r>
      <w:r w:rsidR="00955B84" w:rsidRPr="00222243">
        <w:t>(C</w:t>
      </w:r>
      <w:r w:rsidR="00263B61" w:rsidRPr="00222243">
        <w:t>on-Con</w:t>
      </w:r>
      <w:r w:rsidR="00955B84" w:rsidRPr="00222243">
        <w:t>)</w:t>
      </w:r>
      <w:r w:rsidR="007757D6">
        <w:t>;</w:t>
      </w:r>
      <w:r w:rsidR="005E4008" w:rsidRPr="00222243">
        <w:t xml:space="preserve"> </w:t>
      </w:r>
      <w:r w:rsidR="006E3230">
        <w:t>C</w:t>
      </w:r>
      <w:r w:rsidR="00487E21" w:rsidRPr="00222243">
        <w:t>ontrol diet</w:t>
      </w:r>
      <w:r w:rsidR="00F84D95" w:rsidRPr="00222243">
        <w:t xml:space="preserve"> </w:t>
      </w:r>
      <w:r w:rsidR="00752CC2" w:rsidRPr="00222243">
        <w:t>for 4 weeks</w:t>
      </w:r>
      <w:r w:rsidR="005E4008" w:rsidRPr="00222243">
        <w:t xml:space="preserve"> </w:t>
      </w:r>
      <w:r w:rsidR="00F84D95" w:rsidRPr="00222243">
        <w:t>preconception</w:t>
      </w:r>
      <w:r w:rsidR="005E4008" w:rsidRPr="00222243">
        <w:t xml:space="preserve">, followed by </w:t>
      </w:r>
      <w:r w:rsidR="009D4177">
        <w:t>H</w:t>
      </w:r>
      <w:r w:rsidR="005E4008" w:rsidRPr="00222243">
        <w:t xml:space="preserve">FA </w:t>
      </w:r>
      <w:r w:rsidR="009D4177">
        <w:t>(</w:t>
      </w:r>
      <w:r w:rsidR="005E4008" w:rsidRPr="00222243">
        <w:t xml:space="preserve">5 mg FA) diet during </w:t>
      </w:r>
      <w:r w:rsidR="00F84D95" w:rsidRPr="00222243">
        <w:t>preimplantation</w:t>
      </w:r>
      <w:r w:rsidR="005E4008" w:rsidRPr="00222243">
        <w:t xml:space="preserve"> (</w:t>
      </w:r>
      <w:r w:rsidR="00263B61" w:rsidRPr="00222243">
        <w:t>Con-HFA</w:t>
      </w:r>
      <w:r w:rsidR="005E4008" w:rsidRPr="00222243">
        <w:t>)</w:t>
      </w:r>
      <w:r w:rsidR="007757D6">
        <w:t>;</w:t>
      </w:r>
      <w:r w:rsidR="005E4008" w:rsidRPr="00222243">
        <w:t xml:space="preserve"> or </w:t>
      </w:r>
      <w:r w:rsidR="00C97D59" w:rsidRPr="00222243">
        <w:rPr>
          <w:spacing w:val="3"/>
          <w:shd w:val="clear" w:color="auto" w:fill="FFFFFF"/>
        </w:rPr>
        <w:t>H</w:t>
      </w:r>
      <w:r w:rsidR="00A55FC8" w:rsidRPr="00222243">
        <w:t xml:space="preserve">FA </w:t>
      </w:r>
      <w:r w:rsidR="00487E21" w:rsidRPr="00222243">
        <w:t xml:space="preserve">diet </w:t>
      </w:r>
      <w:r w:rsidR="00752CC2" w:rsidRPr="00222243">
        <w:t>for 4 weeks preconception</w:t>
      </w:r>
      <w:r w:rsidR="0019459C" w:rsidRPr="00222243">
        <w:t xml:space="preserve"> and during </w:t>
      </w:r>
      <w:r w:rsidR="002E46A7" w:rsidRPr="00222243">
        <w:t>pre</w:t>
      </w:r>
      <w:r w:rsidR="0019459C" w:rsidRPr="00222243">
        <w:t xml:space="preserve">implantation </w:t>
      </w:r>
      <w:r w:rsidR="00A55FC8" w:rsidRPr="00222243">
        <w:t>(</w:t>
      </w:r>
      <w:r w:rsidR="00263B61" w:rsidRPr="00222243">
        <w:t>HFA-HFA</w:t>
      </w:r>
      <w:r w:rsidR="00955B84" w:rsidRPr="00222243">
        <w:t>)</w:t>
      </w:r>
      <w:r w:rsidR="005E4008" w:rsidRPr="00222243">
        <w:t>.</w:t>
      </w:r>
      <w:r w:rsidR="00487E21" w:rsidRPr="00222243">
        <w:t xml:space="preserve"> </w:t>
      </w:r>
      <w:r w:rsidR="009D4177">
        <w:t>At E3.5</w:t>
      </w:r>
      <w:r w:rsidR="001E2CC5">
        <w:t>,</w:t>
      </w:r>
      <w:r w:rsidR="009D4177">
        <w:t xml:space="preserve"> b</w:t>
      </w:r>
      <w:r w:rsidR="00C97D59" w:rsidRPr="00222243">
        <w:t>lastocyst c</w:t>
      </w:r>
      <w:r w:rsidR="0003518F" w:rsidRPr="00222243">
        <w:t>ell number</w:t>
      </w:r>
      <w:r w:rsidR="00C97D59" w:rsidRPr="00222243">
        <w:t>,</w:t>
      </w:r>
      <w:r w:rsidR="00055EA1" w:rsidRPr="00222243">
        <w:t xml:space="preserve"> </w:t>
      </w:r>
      <w:r w:rsidR="002E46A7" w:rsidRPr="00222243">
        <w:t xml:space="preserve">protein and mRNA expression </w:t>
      </w:r>
      <w:r w:rsidR="00C97D59" w:rsidRPr="00222243">
        <w:t>were measured</w:t>
      </w:r>
      <w:r w:rsidR="0003518F" w:rsidRPr="00222243">
        <w:t>.</w:t>
      </w:r>
      <w:r w:rsidR="00055EA1" w:rsidRPr="00222243">
        <w:t xml:space="preserve"> </w:t>
      </w:r>
      <w:r w:rsidR="00D17328">
        <w:t>In HFA-HFA blastocysts, t</w:t>
      </w:r>
      <w:r w:rsidR="00055EA1" w:rsidRPr="00222243">
        <w:rPr>
          <w:rFonts w:eastAsia="Times New Roman"/>
          <w:shd w:val="clear" w:color="auto" w:fill="FFFFFF"/>
        </w:rPr>
        <w:t>rophectoderm cell</w:t>
      </w:r>
      <w:r w:rsidR="0028149D">
        <w:rPr>
          <w:rFonts w:eastAsia="Times New Roman"/>
          <w:shd w:val="clear" w:color="auto" w:fill="FFFFFF"/>
        </w:rPr>
        <w:t xml:space="preserve"> number</w:t>
      </w:r>
      <w:r w:rsidR="007757D6">
        <w:rPr>
          <w:rFonts w:eastAsia="Times New Roman"/>
          <w:shd w:val="clear" w:color="auto" w:fill="FFFFFF"/>
        </w:rPr>
        <w:t>s</w:t>
      </w:r>
      <w:r w:rsidR="00055EA1" w:rsidRPr="00222243">
        <w:t xml:space="preserve"> </w:t>
      </w:r>
      <w:r w:rsidR="00D17328">
        <w:t>and expression of</w:t>
      </w:r>
      <w:r w:rsidR="007721F2" w:rsidRPr="00222243">
        <w:t xml:space="preserve"> </w:t>
      </w:r>
      <w:r w:rsidR="001C3F6E" w:rsidRPr="001C3F6E">
        <w:t>C</w:t>
      </w:r>
      <w:r w:rsidR="0028149D" w:rsidRPr="00222243">
        <w:t xml:space="preserve">DX2, </w:t>
      </w:r>
      <w:r w:rsidR="0028149D" w:rsidRPr="00222243">
        <w:rPr>
          <w:i/>
          <w:iCs/>
        </w:rPr>
        <w:t>Oct-4</w:t>
      </w:r>
      <w:r w:rsidR="0028149D" w:rsidRPr="00222243">
        <w:t xml:space="preserve"> and </w:t>
      </w:r>
      <w:r w:rsidR="0028149D" w:rsidRPr="00222243">
        <w:rPr>
          <w:i/>
          <w:iCs/>
        </w:rPr>
        <w:t>Nanog</w:t>
      </w:r>
      <w:r w:rsidR="0028149D" w:rsidRPr="00222243">
        <w:t xml:space="preserve"> </w:t>
      </w:r>
      <w:r w:rsidR="00D17328">
        <w:t>w</w:t>
      </w:r>
      <w:r w:rsidR="007757D6">
        <w:t>ere</w:t>
      </w:r>
      <w:r w:rsidR="00D17328">
        <w:t xml:space="preserve"> </w:t>
      </w:r>
      <w:r w:rsidR="00476585">
        <w:t>reduced compared with</w:t>
      </w:r>
      <w:r w:rsidR="008B4F56" w:rsidRPr="00222243">
        <w:t xml:space="preserve"> Con-Con</w:t>
      </w:r>
      <w:r w:rsidR="00D17328">
        <w:t xml:space="preserve"> blastocysts;</w:t>
      </w:r>
      <w:r w:rsidR="00AD491C" w:rsidRPr="00222243">
        <w:t xml:space="preserve"> Con-HFA blastocysts</w:t>
      </w:r>
      <w:r w:rsidR="00087438">
        <w:t xml:space="preserve"> showed lower </w:t>
      </w:r>
      <w:r w:rsidR="0028149D" w:rsidRPr="001C3F6E">
        <w:t>CDX2</w:t>
      </w:r>
      <w:r w:rsidR="0095107A">
        <w:t xml:space="preserve"> and</w:t>
      </w:r>
      <w:r w:rsidR="0028149D" w:rsidRPr="00222243">
        <w:t xml:space="preserve"> </w:t>
      </w:r>
      <w:r w:rsidR="0028149D" w:rsidRPr="00222243">
        <w:rPr>
          <w:i/>
          <w:iCs/>
        </w:rPr>
        <w:t>Oct-4</w:t>
      </w:r>
      <w:r w:rsidR="0028149D">
        <w:rPr>
          <w:i/>
          <w:iCs/>
        </w:rPr>
        <w:t xml:space="preserve"> </w:t>
      </w:r>
      <w:r w:rsidR="0028149D">
        <w:t xml:space="preserve">expression </w:t>
      </w:r>
      <w:r w:rsidR="00FD4B43" w:rsidRPr="00222243">
        <w:t>than Con-Con</w:t>
      </w:r>
      <w:r w:rsidR="00D17328">
        <w:t xml:space="preserve"> blastocysts</w:t>
      </w:r>
      <w:r w:rsidR="0003518F" w:rsidRPr="00222243">
        <w:t>.</w:t>
      </w:r>
      <w:r w:rsidR="00FD4B43" w:rsidRPr="00222243">
        <w:t xml:space="preserve"> These findings suggest</w:t>
      </w:r>
      <w:r w:rsidR="00160AAF" w:rsidRPr="00222243">
        <w:t xml:space="preserve"> </w:t>
      </w:r>
      <w:r w:rsidR="00D17328">
        <w:t xml:space="preserve">periconceptional </w:t>
      </w:r>
      <w:r w:rsidR="00087438">
        <w:t>HFA</w:t>
      </w:r>
      <w:r w:rsidR="008B5308" w:rsidRPr="00222243">
        <w:t xml:space="preserve"> intake</w:t>
      </w:r>
      <w:r w:rsidR="007721F2" w:rsidRPr="00222243">
        <w:t xml:space="preserve"> </w:t>
      </w:r>
      <w:r w:rsidR="009C6955" w:rsidRPr="00222243">
        <w:t>induce</w:t>
      </w:r>
      <w:r w:rsidR="0028149D">
        <w:t>s</w:t>
      </w:r>
      <w:r w:rsidR="009C6955" w:rsidRPr="00222243">
        <w:t xml:space="preserve"> changes in </w:t>
      </w:r>
      <w:r w:rsidR="007757D6">
        <w:t xml:space="preserve">key regulators of embryo morphogenesis </w:t>
      </w:r>
      <w:r w:rsidR="00D17328">
        <w:t>with potential</w:t>
      </w:r>
      <w:r w:rsidR="009C6955" w:rsidRPr="00222243">
        <w:t xml:space="preserve"> implications for subsequent development</w:t>
      </w:r>
      <w:r w:rsidR="00D17328">
        <w:t>.</w:t>
      </w:r>
    </w:p>
    <w:p w14:paraId="7893866A" w14:textId="77777777" w:rsidR="00D9006B" w:rsidRPr="00222243" w:rsidRDefault="00D9006B" w:rsidP="003A244C"/>
    <w:p w14:paraId="4C7C2990" w14:textId="52535B65" w:rsidR="00317B70" w:rsidRPr="00222243" w:rsidRDefault="00317B70" w:rsidP="00317B70">
      <w:pPr>
        <w:spacing w:line="480" w:lineRule="auto"/>
      </w:pPr>
    </w:p>
    <w:p w14:paraId="10E19AF6" w14:textId="77777777" w:rsidR="001E6EB5" w:rsidRPr="00222243" w:rsidRDefault="001E6EB5" w:rsidP="00317B70">
      <w:pPr>
        <w:spacing w:line="480" w:lineRule="auto"/>
      </w:pPr>
    </w:p>
    <w:p w14:paraId="37CBFA83" w14:textId="255732D1" w:rsidR="00317B70" w:rsidRPr="00222243" w:rsidRDefault="00317B70" w:rsidP="00317B70">
      <w:pPr>
        <w:spacing w:line="480" w:lineRule="auto"/>
      </w:pPr>
      <w:r w:rsidRPr="00222243">
        <w:rPr>
          <w:b/>
          <w:bCs/>
        </w:rPr>
        <w:t>Keywords</w:t>
      </w:r>
      <w:r w:rsidRPr="00222243">
        <w:t>:</w:t>
      </w:r>
      <w:r w:rsidR="00052B9B" w:rsidRPr="00222243">
        <w:t xml:space="preserve"> folic acid, blastocyst,</w:t>
      </w:r>
      <w:r w:rsidR="00533D8B" w:rsidRPr="00222243">
        <w:t xml:space="preserve"> trophectoderm,</w:t>
      </w:r>
      <w:r w:rsidR="00052B9B" w:rsidRPr="00222243">
        <w:t xml:space="preserve"> </w:t>
      </w:r>
      <w:r w:rsidR="00052B9B" w:rsidRPr="00F82E9E">
        <w:rPr>
          <w:i/>
          <w:iCs/>
        </w:rPr>
        <w:t>C</w:t>
      </w:r>
      <w:r w:rsidR="00476585" w:rsidRPr="00F82E9E">
        <w:rPr>
          <w:i/>
          <w:iCs/>
        </w:rPr>
        <w:t>dx2</w:t>
      </w:r>
      <w:r w:rsidR="007757D6" w:rsidRPr="00F82E9E">
        <w:t>, epigenetics</w:t>
      </w:r>
      <w:r w:rsidR="00052B9B" w:rsidRPr="007757D6">
        <w:t>.</w:t>
      </w:r>
      <w:r w:rsidR="00B065CE" w:rsidRPr="00222243">
        <w:t xml:space="preserve">  </w:t>
      </w:r>
    </w:p>
    <w:p w14:paraId="13CF225F" w14:textId="77777777" w:rsidR="00247732" w:rsidRPr="00222243" w:rsidRDefault="00247732">
      <w:pPr>
        <w:rPr>
          <w:rFonts w:eastAsiaTheme="majorEastAsia" w:cstheme="majorBidi"/>
          <w:b/>
          <w:sz w:val="26"/>
          <w:szCs w:val="26"/>
        </w:rPr>
      </w:pPr>
      <w:r w:rsidRPr="00222243">
        <w:br w:type="page"/>
      </w:r>
    </w:p>
    <w:p w14:paraId="7E180998" w14:textId="5528A858" w:rsidR="0082273E" w:rsidRPr="00222243" w:rsidRDefault="00AD4CEE" w:rsidP="008832E1">
      <w:pPr>
        <w:pStyle w:val="Heading1"/>
        <w:rPr>
          <w:color w:val="auto"/>
        </w:rPr>
      </w:pPr>
      <w:r w:rsidRPr="00222243">
        <w:rPr>
          <w:color w:val="auto"/>
        </w:rPr>
        <w:lastRenderedPageBreak/>
        <w:t>Introduction</w:t>
      </w:r>
    </w:p>
    <w:p w14:paraId="11396B22" w14:textId="77777777" w:rsidR="001B67FD" w:rsidRPr="00222243" w:rsidRDefault="001B67FD" w:rsidP="0038295E"/>
    <w:p w14:paraId="5A3DE806" w14:textId="0B674420" w:rsidR="008A1437" w:rsidRPr="00222243" w:rsidRDefault="00015F2E" w:rsidP="001D7D29">
      <w:pPr>
        <w:spacing w:line="480" w:lineRule="auto"/>
        <w:ind w:firstLine="720"/>
      </w:pPr>
      <w:r w:rsidRPr="00222243">
        <w:t>Folate (</w:t>
      </w:r>
      <w:r w:rsidR="00903934" w:rsidRPr="00222243">
        <w:t>v</w:t>
      </w:r>
      <w:r w:rsidRPr="00222243">
        <w:t>itamin B9) is a</w:t>
      </w:r>
      <w:r w:rsidR="00733445" w:rsidRPr="00222243">
        <w:t xml:space="preserve">n </w:t>
      </w:r>
      <w:r w:rsidR="00337271" w:rsidRPr="00222243">
        <w:t xml:space="preserve">essential cofactor </w:t>
      </w:r>
      <w:r w:rsidR="00BC2DB1" w:rsidRPr="00222243">
        <w:t>which</w:t>
      </w:r>
      <w:r w:rsidR="00667F76" w:rsidRPr="00222243">
        <w:t xml:space="preserve"> </w:t>
      </w:r>
      <w:r w:rsidR="00F7763C" w:rsidRPr="00222243">
        <w:t xml:space="preserve">supplies </w:t>
      </w:r>
      <w:r w:rsidR="008B5308" w:rsidRPr="00222243">
        <w:t>one</w:t>
      </w:r>
      <w:r w:rsidR="000E43CE" w:rsidRPr="00222243">
        <w:t>-</w:t>
      </w:r>
      <w:r w:rsidR="00667F76" w:rsidRPr="00222243">
        <w:t xml:space="preserve">carbon </w:t>
      </w:r>
      <w:r w:rsidR="00F7763C" w:rsidRPr="00222243">
        <w:t>moieties</w:t>
      </w:r>
      <w:r w:rsidR="00AA2561" w:rsidRPr="00222243">
        <w:t xml:space="preserve"> for</w:t>
      </w:r>
      <w:r w:rsidR="006D6D3B" w:rsidRPr="00222243">
        <w:t xml:space="preserve"> DNA synthesis</w:t>
      </w:r>
      <w:r w:rsidR="006D6D3B" w:rsidRPr="00222243">
        <w:rPr>
          <w:rStyle w:val="apple-converted-space"/>
          <w:rFonts w:eastAsia="Times New Roman"/>
        </w:rPr>
        <w:t xml:space="preserve"> </w:t>
      </w:r>
      <w:r w:rsidR="00AA2561" w:rsidRPr="00222243">
        <w:rPr>
          <w:rFonts w:eastAsia="Times New Roman"/>
        </w:rPr>
        <w:t xml:space="preserve">and </w:t>
      </w:r>
      <w:r w:rsidR="00487E21" w:rsidRPr="00222243">
        <w:rPr>
          <w:rFonts w:eastAsia="Times New Roman"/>
        </w:rPr>
        <w:t>epigenetic mechanisms</w:t>
      </w:r>
      <w:r w:rsidR="00866868" w:rsidRPr="00222243">
        <w:rPr>
          <w:rFonts w:eastAsia="Times New Roman"/>
        </w:rPr>
        <w:t xml:space="preserve"> </w:t>
      </w:r>
      <w:r w:rsidR="00D832AE">
        <w:rPr>
          <w:rFonts w:eastAsia="Times New Roman"/>
        </w:rPr>
        <w:fldChar w:fldCharType="begin" w:fldLock="1"/>
      </w:r>
      <w:r w:rsidR="00D832AE">
        <w:rPr>
          <w:rFonts w:eastAsia="Times New Roman"/>
        </w:rPr>
        <w:instrText>ADDIN CSL_CITATION {"citationItems":[{"id":"ITEM-1","itemData":{"DOI":"10.3945/jn.114.206599","ISBN":"0022-3166","ISSN":"0022-3166","PMID":"26451605","abstract":"The Biomarkers of Nutrition for Development (BOND) project is designed to provide evidence-based advice to anyone with an interest in the role of nutrition in health. Specifically, the BOND program provides state-of-the-art information and service with regard to selection, use, and interpretation of biomarkers of nutrient exposure, status, function, and effect. To accomplish this objective, expert panels are recruited to evaluate the literature and to draft comprehensive reports on the current state of the art with regard to specific nutrient biology and available biomarkers for assessing nutrients in body tissues at the individual and population level. Phase I of the BOND project includes the evaluation of biomarkers for 6 nutrients: iodine, iron, zinc, folate, vitamin A, and vitamin B-12. This review represents the second in the series of reviews and covers all relevant aspects of folate biology and biomarkers. The article is organized to provide the reader with a full appreciation of folate’s history as a public health issue, its biology, and an overview of available biomarkers (serum folate, RBC folate, and plasma homocysteine concentrations) and their interpretation across a range of clinical and population-based uses. The article also includes a list of priority research needs for advancing the area of folate biomarkers related to nutritional health status and development.","author":[{"dropping-particle":"","family":"Bailey","given":"L. B.","non-dropping-particle":"","parse-names":false,"suffix":""},{"dropping-particle":"","family":"Stover","given":"P. J.","non-dropping-particle":"","parse-names":false,"suffix":""},{"dropping-particle":"","family":"McNulty","given":"H.","non-dropping-particle":"","parse-names":false,"suffix":""},{"dropping-particle":"","family":"Fenech","given":"M. F.","non-dropping-particle":"","parse-names":false,"suffix":""},{"dropping-particle":"","family":"Gregory","given":"J. F.","non-dropping-particle":"","parse-names":false,"suffix":""},{"dropping-particle":"","family":"Mills","given":"J. L.","non-dropping-particle":"","parse-names":false,"suffix":""},{"dropping-particle":"","family":"Pfeiffer","given":"C. M.","non-dropping-particle":"","parse-names":false,"suffix":""},{"dropping-particle":"","family":"Fazili","given":"Z.","non-dropping-particle":"","parse-names":false,"suffix":""},{"dropping-particle":"","family":"Zhang","given":"M.","non-dropping-particle":"","parse-names":false,"suffix":""},{"dropping-particle":"","family":"Ueland","given":"P. M.","non-dropping-particle":"","parse-names":false,"suffix":""},{"dropping-particle":"","family":"Molloy","given":"A. M.","non-dropping-particle":"","parse-names":false,"suffix":""},{"dropping-particle":"","family":"Caudill","given":"M. A.","non-dropping-particle":"","parse-names":false,"suffix":""},{"dropping-particle":"","family":"Shane","given":"B.","non-dropping-particle":"","parse-names":false,"suffix":""},{"dropping-particle":"","family":"Berry","given":"R. J.","non-dropping-particle":"","parse-names":false,"suffix":""},{"dropping-particle":"","family":"Bailey","given":"R. L.","non-dropping-particle":"","parse-names":false,"suffix":""},{"dropping-particle":"","family":"Hausman","given":"D. B.","non-dropping-particle":"","parse-names":false,"suffix":""},{"dropping-particle":"","family":"Raghavan","given":"R.","non-dropping-particle":"","parse-names":false,"suffix":""},{"dropping-particle":"","family":"Raiten","given":"D. J.","non-dropping-particle":"","parse-names":false,"suffix":""}],"container-title":"Journal of Nutrition","id":"ITEM-1","issue":"7","issued":{"date-parts":[["2015"]]},"page":"1636S-1680S","title":"Biomarkers of Nutrition for Development--Folate Review","type":"article-journal","volume":"145"},"uris":["http://www.mendeley.com/documents/?uuid=2bf9c596-9f4c-4600-9aa0-f84fd451ee55"]},{"id":"ITEM-2","itemData":{"DOI":"10.1016/j.cmet.2016.08.009","ISBN":"0000000000000","ISSN":"15504131","PMID":"28299348","author":[{"dropping-particle":"","family":"Ducker","given":"Gregory S.","non-dropping-particle":"","parse-names":false,"suffix":""},{"dropping-particle":"","family":"Rabinowitz","given":"Joshua D.","non-dropping-particle":"","parse-names":false,"suffix":""}],"container-title":"Cell Metabolism","id":"ITEM-2","issue":"1","issued":{"date-parts":[["2017","1","1"]]},"page":"27-42","title":"One-Carbon Metabolism in Health and Disease","type":"article-journal","volume":"25"},"uris":["http://www.mendeley.com/documents/?uuid=3244439c-c690-4c3a-a78a-9f6af27f4b93"]}],"mendeley":{"formattedCitation":"(L. B. Bailey et al., 2015; Ducker &amp; Rabinowitz, 2017)","plainTextFormattedCitation":"(L. B. Bailey et al., 2015; Ducker &amp; Rabinowitz, 2017)","previouslyFormattedCitation":"(L. B. Bailey et al., 2015; Ducker &amp; Rabinowitz, 2017)"},"properties":{"noteIndex":0},"schema":"https://github.com/citation-style-language/schema/raw/master/csl-citation.json"}</w:instrText>
      </w:r>
      <w:r w:rsidR="00D832AE">
        <w:rPr>
          <w:rFonts w:eastAsia="Times New Roman"/>
        </w:rPr>
        <w:fldChar w:fldCharType="separate"/>
      </w:r>
      <w:r w:rsidR="00D832AE" w:rsidRPr="00D832AE">
        <w:rPr>
          <w:rFonts w:eastAsia="Times New Roman"/>
          <w:noProof/>
        </w:rPr>
        <w:t>(L. B. Bailey et al., 2015; Ducker &amp; Rabinowitz, 2017)</w:t>
      </w:r>
      <w:r w:rsidR="00D832AE">
        <w:rPr>
          <w:rFonts w:eastAsia="Times New Roman"/>
        </w:rPr>
        <w:fldChar w:fldCharType="end"/>
      </w:r>
      <w:r w:rsidR="00AA2561" w:rsidRPr="00222243">
        <w:rPr>
          <w:rFonts w:eastAsia="Times New Roman"/>
        </w:rPr>
        <w:t>.</w:t>
      </w:r>
      <w:r w:rsidR="006F2525" w:rsidRPr="00222243">
        <w:t xml:space="preserve"> Methyl groups are used in both histone and DNA methylation reactions</w:t>
      </w:r>
      <w:r w:rsidR="00476585">
        <w:t>,</w:t>
      </w:r>
      <w:r w:rsidR="00F25663" w:rsidRPr="00222243">
        <w:t xml:space="preserve"> two epigenetic processes</w:t>
      </w:r>
      <w:r w:rsidR="006F2525" w:rsidRPr="00222243">
        <w:t xml:space="preserve"> </w:t>
      </w:r>
      <w:r w:rsidR="00F25663" w:rsidRPr="00222243">
        <w:t>which regulate gene expression by controlling the accessibility of DNA to the transcriptional machinery</w:t>
      </w:r>
      <w:r w:rsidR="00476585">
        <w:t xml:space="preserve">. </w:t>
      </w:r>
      <w:r w:rsidR="00C36383">
        <w:t xml:space="preserve">Methylation level thereby </w:t>
      </w:r>
      <w:r w:rsidR="002140EB" w:rsidRPr="00222243">
        <w:t>determin</w:t>
      </w:r>
      <w:r w:rsidR="00C36383">
        <w:t>es</w:t>
      </w:r>
      <w:r w:rsidR="002140EB" w:rsidRPr="00222243">
        <w:t xml:space="preserve"> </w:t>
      </w:r>
      <w:r w:rsidR="006F2525" w:rsidRPr="00222243">
        <w:t>whe</w:t>
      </w:r>
      <w:r w:rsidR="008A1437" w:rsidRPr="00222243">
        <w:t xml:space="preserve">n </w:t>
      </w:r>
      <w:r w:rsidR="00F25663" w:rsidRPr="00222243">
        <w:t>and whe</w:t>
      </w:r>
      <w:r w:rsidR="008A1437" w:rsidRPr="00222243">
        <w:t>re</w:t>
      </w:r>
      <w:r w:rsidR="00F25663" w:rsidRPr="00222243">
        <w:t xml:space="preserve"> </w:t>
      </w:r>
      <w:r w:rsidR="006F2525" w:rsidRPr="00222243">
        <w:t xml:space="preserve">genes are expressed and </w:t>
      </w:r>
      <w:r w:rsidR="00F25663" w:rsidRPr="00222243">
        <w:t xml:space="preserve">their </w:t>
      </w:r>
      <w:r w:rsidR="006F2525" w:rsidRPr="00222243">
        <w:t>level of expression.</w:t>
      </w:r>
      <w:r w:rsidR="00F25663" w:rsidRPr="00222243">
        <w:t xml:space="preserve"> </w:t>
      </w:r>
      <w:r w:rsidR="008A1437" w:rsidRPr="00222243">
        <w:t>DNA and histone methylation play essential role</w:t>
      </w:r>
      <w:r w:rsidR="00183B02" w:rsidRPr="00222243">
        <w:t>s</w:t>
      </w:r>
      <w:r w:rsidR="008A1437" w:rsidRPr="00222243">
        <w:t xml:space="preserve"> in development</w:t>
      </w:r>
      <w:r w:rsidR="007D724B" w:rsidRPr="00222243">
        <w:t>,</w:t>
      </w:r>
      <w:r w:rsidR="008A1437" w:rsidRPr="00222243">
        <w:t xml:space="preserve"> working in concert </w:t>
      </w:r>
      <w:r w:rsidR="00F25663" w:rsidRPr="00222243">
        <w:t xml:space="preserve">to ensure </w:t>
      </w:r>
      <w:r w:rsidR="00F25663" w:rsidRPr="00222243">
        <w:rPr>
          <w:rFonts w:eastAsia="Times New Roman"/>
          <w:shd w:val="clear" w:color="auto" w:fill="FFFFFF"/>
        </w:rPr>
        <w:t xml:space="preserve">the coordinated expression of gene networks that govern pluripotency and </w:t>
      </w:r>
      <w:r w:rsidR="000B25A4" w:rsidRPr="00222243">
        <w:rPr>
          <w:rFonts w:eastAsia="Times New Roman"/>
          <w:shd w:val="clear" w:color="auto" w:fill="FFFFFF"/>
        </w:rPr>
        <w:t xml:space="preserve">the </w:t>
      </w:r>
      <w:r w:rsidR="00F25663" w:rsidRPr="00222243">
        <w:rPr>
          <w:rFonts w:eastAsia="Times New Roman"/>
          <w:shd w:val="clear" w:color="auto" w:fill="FFFFFF"/>
        </w:rPr>
        <w:t xml:space="preserve">subsequent differentiation </w:t>
      </w:r>
      <w:r w:rsidR="000B25A4" w:rsidRPr="00222243">
        <w:rPr>
          <w:rFonts w:eastAsia="Times New Roman"/>
          <w:shd w:val="clear" w:color="auto" w:fill="FFFFFF"/>
        </w:rPr>
        <w:t xml:space="preserve">of cells </w:t>
      </w:r>
      <w:r w:rsidR="00F25663" w:rsidRPr="00222243">
        <w:rPr>
          <w:rFonts w:eastAsia="Times New Roman"/>
          <w:shd w:val="clear" w:color="auto" w:fill="FFFFFF"/>
        </w:rPr>
        <w:t xml:space="preserve">into specific lineages </w:t>
      </w:r>
      <w:r w:rsidR="00F25663" w:rsidRPr="00222243">
        <w:t xml:space="preserve">through the regulation of </w:t>
      </w:r>
      <w:r w:rsidR="00F84D95" w:rsidRPr="00222243">
        <w:t>tissue-specific</w:t>
      </w:r>
      <w:r w:rsidR="00F25663" w:rsidRPr="00222243">
        <w:t xml:space="preserve"> gene expression</w:t>
      </w:r>
      <w:r w:rsidR="00D97DEE" w:rsidRPr="00222243">
        <w:t xml:space="preserve"> </w:t>
      </w:r>
      <w:r w:rsidR="00D832AE">
        <w:fldChar w:fldCharType="begin" w:fldLock="1"/>
      </w:r>
      <w:r w:rsidR="00D832AE">
        <w:instrText>ADDIN CSL_CITATION {"citationItems":[{"id":"ITEM-1","itemData":{"DOI":"10.1017/S0007114512003765","ISSN":"1475-2662","PMID":"23046900","abstract":"Maternal folic acid (FA) supplementation is well recognised to protect against neural tube defects. Folate is a critical cofactor in one-carbon metabolism involved in the epigenetic regulation of transcription that underpins development. Thus, it is possible that maternal FA supplementation may have additional, unforeseen persistent effects in the offspring. This is supported by the modification by maternal supplementation with one-carbon donors and FA of the epigenetic regulation of offspring phenotype in mutant mice. The present article reviews studies in human subjects and experimental animals of the effect of maternal FA intake and phenotypic outcomes in the offspring. Maternal FA intake was associated with a short-term increased incidence of allergy-related respiratory impairment in children and multigenerational respiratory impairment in rats. Higher maternal folate status during pregnancy was associated positively with insulin resistance in 6-year-olds. In rats, maternal FA supplementation modified hepatic metabolism and vascular function through altered transcription, in some cases underpinned by epigenetic changes. FA supplementation in pregnant rats increased mammary tumorigenesis, but decreased colorectal cancer in the offspring. Maternal FA supplementation decreased a range of congenital cardiac defects in children. These findings support the view that maternal FA supplementation induces persistent changes in a number of phenotypic outcomes in the offspring. However, the number of studies is limited and insufficient to indicate a need to change current recommendations for FA intake in pregnancy. Nevertheless, such effects should be investigated thoroughly in order to support firm conclusions about the risk of unanticipated long-term negative effects of maternal FA supplementation in humans.","author":[{"dropping-particle":"","family":"Burdge","given":"Graham C","non-dropping-particle":"","parse-names":false,"suffix":""},{"dropping-particle":"","family":"Lillycrop","given":"Karen a","non-dropping-particle":"","parse-names":false,"suffix":""}],"container-title":"Br J Nutr","id":"ITEM-1","issue":"11","issued":{"date-parts":[["2012","12"]]},"page":"1924-30","title":"Folic acid supplementation in pregnancy: are there devils in the detail?","type":"article-journal","volume":"108"},"uris":["http://www.mendeley.com/documents/?uuid=a0ae3d53-d163-4a43-bfcf-ad128217a99f"]}],"mendeley":{"formattedCitation":"(Burdge &amp; Lillycrop, 2012)","plainTextFormattedCitation":"(Burdge &amp; Lillycrop, 2012)","previouslyFormattedCitation":"(Burdge &amp; Lillycrop, 2012)"},"properties":{"noteIndex":0},"schema":"https://github.com/citation-style-language/schema/raw/master/csl-citation.json"}</w:instrText>
      </w:r>
      <w:r w:rsidR="00D832AE">
        <w:fldChar w:fldCharType="separate"/>
      </w:r>
      <w:r w:rsidR="00D832AE" w:rsidRPr="00D832AE">
        <w:rPr>
          <w:noProof/>
        </w:rPr>
        <w:t>(Burdge &amp; Lillycrop, 2012)</w:t>
      </w:r>
      <w:r w:rsidR="00D832AE">
        <w:fldChar w:fldCharType="end"/>
      </w:r>
      <w:r w:rsidR="00F25663" w:rsidRPr="00222243">
        <w:t xml:space="preserve">. </w:t>
      </w:r>
      <w:r w:rsidR="00DA70B0" w:rsidRPr="00222243">
        <w:t xml:space="preserve">As a result, </w:t>
      </w:r>
      <w:r w:rsidR="00F25663" w:rsidRPr="00222243">
        <w:t xml:space="preserve">DNA and histone methylation </w:t>
      </w:r>
      <w:r w:rsidR="00793A8E" w:rsidRPr="00222243">
        <w:t xml:space="preserve">patterns </w:t>
      </w:r>
      <w:r w:rsidR="00F25663" w:rsidRPr="00222243">
        <w:t>are highly dynamic</w:t>
      </w:r>
      <w:r w:rsidR="004540D4" w:rsidRPr="00222243">
        <w:t xml:space="preserve"> </w:t>
      </w:r>
      <w:r w:rsidR="008A1437" w:rsidRPr="00222243">
        <w:t xml:space="preserve">during </w:t>
      </w:r>
      <w:r w:rsidR="00A55FC8" w:rsidRPr="00222243">
        <w:t>development</w:t>
      </w:r>
      <w:r w:rsidR="00183B02" w:rsidRPr="00222243">
        <w:t>. F</w:t>
      </w:r>
      <w:r w:rsidR="008A1437" w:rsidRPr="00222243">
        <w:t>or example</w:t>
      </w:r>
      <w:r w:rsidR="00183B02" w:rsidRPr="00222243">
        <w:t>,</w:t>
      </w:r>
      <w:r w:rsidR="008A1437" w:rsidRPr="00222243">
        <w:t xml:space="preserve"> DNA methylation marks </w:t>
      </w:r>
      <w:r w:rsidR="00183B02" w:rsidRPr="00222243">
        <w:t>are</w:t>
      </w:r>
      <w:r w:rsidR="008A1437" w:rsidRPr="00222243">
        <w:t xml:space="preserve"> </w:t>
      </w:r>
      <w:r w:rsidR="00DA70B0" w:rsidRPr="00222243">
        <w:t xml:space="preserve">largely erased </w:t>
      </w:r>
      <w:r w:rsidR="008A1437" w:rsidRPr="00222243">
        <w:t xml:space="preserve">upon </w:t>
      </w:r>
      <w:r w:rsidR="006E3230">
        <w:t>fertilisation</w:t>
      </w:r>
      <w:r w:rsidR="008A1437" w:rsidRPr="00222243">
        <w:t xml:space="preserve"> followed by </w:t>
      </w:r>
      <w:r w:rsidR="00DA70B0" w:rsidRPr="00222243">
        <w:t xml:space="preserve">a global increase in </w:t>
      </w:r>
      <w:r w:rsidR="00DA70B0" w:rsidRPr="00222243">
        <w:rPr>
          <w:i/>
          <w:iCs/>
        </w:rPr>
        <w:t>de novo</w:t>
      </w:r>
      <w:r w:rsidR="00DA70B0" w:rsidRPr="00222243">
        <w:t xml:space="preserve"> </w:t>
      </w:r>
      <w:r w:rsidR="008A1437" w:rsidRPr="00222243">
        <w:t xml:space="preserve">DNA methylation </w:t>
      </w:r>
      <w:r w:rsidR="00DA70B0" w:rsidRPr="00222243">
        <w:t>as cells become committed to specific cell lineages</w:t>
      </w:r>
      <w:r w:rsidR="00C36383">
        <w:t xml:space="preserve">. This transition coincides with </w:t>
      </w:r>
      <w:r w:rsidR="00DA70B0" w:rsidRPr="00222243">
        <w:t xml:space="preserve">concomitant changes in the location of </w:t>
      </w:r>
      <w:r w:rsidR="00905B0A" w:rsidRPr="00222243">
        <w:t>the polycomb repressive complexes which mediate</w:t>
      </w:r>
      <w:r w:rsidR="001A0FC3" w:rsidRPr="00222243">
        <w:t xml:space="preserve"> histone H3K27 </w:t>
      </w:r>
      <w:r w:rsidR="00DA70B0" w:rsidRPr="00222243">
        <w:t>trimethylation</w:t>
      </w:r>
      <w:r w:rsidR="00C36383">
        <w:t xml:space="preserve"> </w:t>
      </w:r>
      <w:r w:rsidR="00905B0A" w:rsidRPr="00222243">
        <w:t xml:space="preserve">from </w:t>
      </w:r>
      <w:r w:rsidR="00D45F91" w:rsidRPr="00222243">
        <w:t>differentiation-specific</w:t>
      </w:r>
      <w:r w:rsidR="00DA70B0" w:rsidRPr="00222243">
        <w:t xml:space="preserve"> genes to pluripotency factors</w:t>
      </w:r>
      <w:r w:rsidR="002C2A6A" w:rsidRPr="00222243">
        <w:t xml:space="preserve"> </w:t>
      </w:r>
      <w:r w:rsidR="00D832AE">
        <w:fldChar w:fldCharType="begin" w:fldLock="1"/>
      </w:r>
      <w:r w:rsidR="00D832AE">
        <w:instrText>ADDIN CSL_CITATION {"citationItems":[{"id":"ITEM-1","itemData":{"DOI":"10.1101/gad.234294.113","ISSN":"0890-9369","PMID":"24736841","abstract":"Methylation of DNA is an essential epigenetic control mechanism in mammals. During embryonic development, cells are directed toward their future lineages, and DNA methylation poses a fundamental epigenetic barrier that guides and restricts differentiation and prevents regression into an undifferentiated state. DNA methylation also plays an important role in sex chromosome dosage compensation, the repression of retrotransposons that threaten genome integrity, the maintenance of genome stability, and the coordinated expression of imprinted genes. However, DNA methylation marks must be globally removed to allow for sexual reproduction and the adoption of the specialized, hypomethylated epigenome of the primordial germ cell and the preimplantation embryo. Recent technological advances in genome-wide DNA methylation analysis and the functional description of novel enzymatic DNA demethylation pathways have provided significant insights into the molecular processes that prepare the mammalian embryo for normal development.","author":[{"dropping-particle":"","family":"Messerschmidt","given":"Daniel M.","non-dropping-particle":"","parse-names":false,"suffix":""},{"dropping-particle":"","family":"Knowles","given":"Barbara B.","non-dropping-particle":"","parse-names":false,"suffix":""},{"dropping-particle":"","family":"Solter","given":"Davor","non-dropping-particle":"","parse-names":false,"suffix":""}],"container-title":"Genes &amp; Development","id":"ITEM-1","issue":"8","issued":{"date-parts":[["2014","4","15"]]},"page":"812-828","title":"DNA methylation dynamics during epigenetic reprogramming in the germline and preimplantation embryos","type":"article-journal","volume":"28"},"uris":["http://www.mendeley.com/documents/?uuid=c94442f0-53bc-4855-945f-f7bd693d572b"]},{"id":"ITEM-2","itemData":{"DOI":"10.1016/j.cell.2007.02.010","ISBN":"0092-8674 (Print)\\r0092-8674 (Linking)","ISSN":"00928674","PMID":"17320511","abstract":"Genetic and epigenetic mechanisms regulate the transition from the totipotent zygote to pluripotent primitive ectoderm cells in the inner cell mass of mouse blastocysts. These pluripotent cells can be propagated indefinitely in vitro, underpinned by a unique epigenetic state. Following implantation of the blastocyst, diverse epigenetic modifiers control differentiation of pluripotent epiblast cells into somatic cells, while specification of germ cells requires repression of the somatic program. Regenerating totipotency during development of germ cells entails re-expression of pluripotency-specific genes and extensive erasure of epigenetic modifications. Increasing knowledge of key underlying mechanisms heightens prospects for creating pluripotent cells directly from adult somatic cells. ?? 2007 Elsevier Inc. All rights reserved.","author":[{"dropping-particle":"","family":"Surani","given":"M. Azim","non-dropping-particle":"","parse-names":false,"suffix":""},{"dropping-particle":"","family":"Hayashi","given":"Katsuhiko","non-dropping-particle":"","parse-names":false,"suffix":""},{"dropping-particle":"","family":"Hajkova","given":"Petra","non-dropping-particle":"","parse-names":false,"suffix":""}],"container-title":"Cell","id":"ITEM-2","issued":{"date-parts":[["2007"]]},"page":"747-762","title":"Genetic and Epigenetic Regulators of Pluripotency","type":"article-journal","volume":"128"},"uris":["http://www.mendeley.com/documents/?uuid=4da264f8-7e62-4dc2-8746-7c4e1063a931"]}],"mendeley":{"formattedCitation":"(Messerschmidt, Knowles, &amp; Solter, 2014; Surani, Hayashi, &amp; Hajkova, 2007)","plainTextFormattedCitation":"(Messerschmidt, Knowles, &amp; Solter, 2014; Surani, Hayashi, &amp; Hajkova, 2007)","previouslyFormattedCitation":"(Messerschmidt, Knowles, &amp; Solter, 2014; Surani, Hayashi, &amp; Hajkova, 2007)"},"properties":{"noteIndex":0},"schema":"https://github.com/citation-style-language/schema/raw/master/csl-citation.json"}</w:instrText>
      </w:r>
      <w:r w:rsidR="00D832AE">
        <w:fldChar w:fldCharType="separate"/>
      </w:r>
      <w:r w:rsidR="00D832AE" w:rsidRPr="00D832AE">
        <w:rPr>
          <w:noProof/>
        </w:rPr>
        <w:t>(Messerschmidt, Knowles, &amp; Solter, 2014; Surani, Hayashi, &amp; Hajkova, 2007)</w:t>
      </w:r>
      <w:r w:rsidR="00D832AE">
        <w:fldChar w:fldCharType="end"/>
      </w:r>
      <w:r w:rsidR="008A1437" w:rsidRPr="00222243">
        <w:t xml:space="preserve">. </w:t>
      </w:r>
    </w:p>
    <w:p w14:paraId="40E8AEE9" w14:textId="77777777" w:rsidR="0096692B" w:rsidRPr="00222243" w:rsidRDefault="0096692B" w:rsidP="001D7D29">
      <w:pPr>
        <w:spacing w:line="480" w:lineRule="auto"/>
        <w:ind w:firstLine="720"/>
        <w:rPr>
          <w:color w:val="000000"/>
          <w:shd w:val="clear" w:color="auto" w:fill="FFFFFF"/>
        </w:rPr>
      </w:pPr>
    </w:p>
    <w:p w14:paraId="37CEA000" w14:textId="4A6A7091" w:rsidR="0038295E" w:rsidRPr="00222243" w:rsidRDefault="00EE7373" w:rsidP="001D7D29">
      <w:pPr>
        <w:spacing w:line="480" w:lineRule="auto"/>
        <w:ind w:firstLine="720"/>
      </w:pPr>
      <w:r w:rsidRPr="00222243">
        <w:rPr>
          <w:color w:val="000000"/>
          <w:shd w:val="clear" w:color="auto" w:fill="FFFFFF"/>
        </w:rPr>
        <w:t>The intake of folic acid</w:t>
      </w:r>
      <w:r w:rsidR="0059526A" w:rsidRPr="00222243">
        <w:rPr>
          <w:color w:val="000000"/>
          <w:shd w:val="clear" w:color="auto" w:fill="FFFFFF"/>
        </w:rPr>
        <w:t xml:space="preserve"> (FA)</w:t>
      </w:r>
      <w:r w:rsidRPr="00222243">
        <w:rPr>
          <w:color w:val="000000"/>
          <w:shd w:val="clear" w:color="auto" w:fill="FFFFFF"/>
        </w:rPr>
        <w:t xml:space="preserve">, the synthetic form of folate, has increased significantly over the past decade due to </w:t>
      </w:r>
      <w:r w:rsidRPr="00222243">
        <w:t xml:space="preserve">recommendations worldwide for the use of periconceptional FA supplements of 400 μg/d to prevent </w:t>
      </w:r>
      <w:r w:rsidR="00C52952">
        <w:t>neural tube defects (</w:t>
      </w:r>
      <w:r w:rsidRPr="00222243">
        <w:t>NTD</w:t>
      </w:r>
      <w:r w:rsidR="00C52952">
        <w:t>)</w:t>
      </w:r>
      <w:r w:rsidRPr="00222243">
        <w:t xml:space="preserve"> </w:t>
      </w:r>
      <w:r w:rsidR="00D832AE">
        <w:fldChar w:fldCharType="begin" w:fldLock="1"/>
      </w:r>
      <w:r w:rsidR="00D832AE">
        <w:instrText>ADDIN CSL_CITATION {"citationItems":[{"id":"ITEM-1","itemData":{"DOI":"10.1093/ajcn/85.1.285S","ISSN":"0002-9165","author":[{"dropping-particle":"","family":"Pitkin","given":"Roy M","non-dropping-particle":"","parse-names":false,"suffix":""}],"container-title":"The American Journal of Clinical Nutrition","id":"ITEM-1","issue":"1","issued":{"date-parts":[["2007","1","1"]]},"page":"285S-288S","title":"Folate and neural tube defects","type":"article-journal","volume":"85"},"uris":["http://www.mendeley.com/documents/?uuid=5bad1e66-30dc-44a2-a542-0c719e57ffec"]},{"id":"ITEM-2","itemData":{"DOI":"10.1016/S0140-6736(80)90886-7","ISSN":"01406736","abstract":"Women who had previously given birth to one or more infants with a neural-tube defect (NTD) were recruited into a trial of periconceptional multivitamin supplementation. 1 of 178 infants/fetuses of fully supplemented mothers (0·6%) had an NTD, compared with 13 of 260 infants/fetuses of unsupplemented mothers (5·0%). © 1980.","author":[{"dropping-particle":"","family":"Smithells","given":"R.W.","non-dropping-particle":"","parse-names":false,"suffix":""},{"dropping-particle":"","family":"Sheppard","given":"S.","non-dropping-particle":"","parse-names":false,"suffix":""},{"dropping-particle":"","family":"Schorah","given":"C.J.","non-dropping-particle":"","parse-names":false,"suffix":""},{"dropping-particle":"","family":"Seller","given":"M.J.","non-dropping-particle":"","parse-names":false,"suffix":""},{"dropping-particle":"","family":"Nevin","given":"N.C.","non-dropping-particle":"","parse-names":false,"suffix":""},{"dropping-particle":"","family":"Harris","given":"R.","non-dropping-particle":"","parse-names":false,"suffix":""},{"dropping-particle":"","family":"Read","given":"A.P.","non-dropping-particle":"","parse-names":false,"suffix":""},{"dropping-particle":"","family":"Fielding","given":"D.W.","non-dropping-particle":"","parse-names":false,"suffix":""}],"container-title":"The Lancet","id":"ITEM-2","issue":"8164","issued":{"date-parts":[["1980","2"]]},"page":"339-340","title":"Possible prevention of neural-tube defects by periconceptional vitamin supplementation","type":"article-journal","volume":"315"},"uris":["http://www.mendeley.com/documents/?uuid=4c04421c-d493-4fd1-97ba-d1408b60577f"]},{"id":"ITEM-3","itemData":{"DOI":"10.1016/S1701-2163(16)32685-8","ISSN":"17012163","abstract":"OBJECTIVE To provide information regarding the use of folic acid in combination with a multivitamin supplement for the prevention of neural tube defects and other congenital anomalies, so that physicians, midwives, nurses, and other health care workers can assist in the education of women in the pre-conception phase of their health care. OPTION: Supplementation with folic acid and vitamins is problematic, since 50% of pregnancies are unplanned, and women's health status may not be optimal when they conceive. OUTCOMES Folic acid in combination with a multivitamin supplement has been associated with a decrease in specific birth defects. EVIDENCE Medline, PubMed, and Cochrane Database were searched for relevant English language articles published between 1985 and 2007. The previous Society of Obstetricians and Gynaecologists of Canada (SOGC) Policy Statement of November 1993 and statements from the American College of Obstetrics and Gynecology and Canadian College of Medical Geneticists were also reviewed in developing this clinical practice guideline. VALUES The quality of evidence was rated using the criteria described in the Report of the Canadian Task Force on Preventive Health Care. BENEFITS, HARMS, AND COSTS Promoting the use of folic acid and a multivitamin supplement among women of reproductive age will reduce the incidence of birth defects. The costs are those of daily vitamin supplementation and eating a healthy diet. RECOMMENDATIONS 1. Women in the reproductive age group should be advised about the benefits of folic acid in addition to a multivitamin supplement during wellness visits (birth control renewal, Pap testing, yearly examination) especially if pregnancy is contemplated. (III-A) 2. Women should be advised to maintain a healthy diet, as recommended in Eating Well With Canada's Food Guide (Health Canada). Foods containing excellent to good sources of folic acid are fortified grains, spinach, lentils, chick peas, asparagus, broccoli, peas, Brussels sprouts, corn, and oranges. However, it is unlikely that diet alone can provide levels similar to folate-multivitamin supplementation. (III-A) 3. Women taking a multivitamin containing folic acid should be advised not to take more than one daily dose of vitamin supplement, as indicated on the product label. (II-2-A) 4. Folic acid and multivitamin supplements should be widely available without financial or other barriers for women planning pregnancy to ensure the extra level of supplementation. (…","author":[{"dropping-particle":"","family":"Wilson","given":"R. Douglas","non-dropping-particle":"","parse-names":false,"suffix":""},{"dropping-particle":"","family":"Wilson","given":"R. Douglas","non-dropping-particle":"","parse-names":false,"suffix":""},{"dropping-particle":"","family":"Désilets","given":"Valerie","non-dropping-particle":"","parse-names":false,"suffix":""},{"dropping-particle":"","family":"Wyatt","given":"Philip","non-dropping-particle":"","parse-names":false,"suffix":""},{"dropping-particle":"","family":"Langlois","given":"Sylvie","non-dropping-particle":"","parse-names":false,"suffix":""},{"dropping-particle":"","family":"Gagnon","given":"Alain","non-dropping-particle":"","parse-names":false,"suffix":""},{"dropping-particle":"","family":"Allen","given":"Victoria","non-dropping-particle":"","parse-names":false,"suffix":""},{"dropping-particle":"","family":"Blight","given":"Claire","non-dropping-particle":"","parse-names":false,"suffix":""},{"dropping-particle":"","family":"Johnson","given":"Jo-Ann","non-dropping-particle":"","parse-names":false,"suffix":""},{"dropping-particle":"","family":"Audibert","given":"François","non-dropping-particle":"","parse-names":false,"suffix":""},{"dropping-particle":"","family":"Brock","given":"Jo-Ann","non-dropping-particle":"","parse-names":false,"suffix":""},{"dropping-particle":"","family":"Koren","given":"Gideon","non-dropping-particle":"","parse-names":false,"suffix":""},{"dropping-particle":"","family":"Goh","given":"Ingrid","non-dropping-particle":"","parse-names":false,"suffix":""},{"dropping-particle":"","family":"Nguyen","given":"Patricia","non-dropping-particle":"","parse-names":false,"suffix":""},{"dropping-particle":"","family":"Kapur","given":"Bhushan","non-dropping-particle":"","parse-names":false,"suffix":""}],"container-title":"Journal of Obstetrics and Gynaecology Canada","id":"ITEM-3","issue":"12","issued":{"date-parts":[["2007","12"]]},"page":"1003-1013","title":"Pre-conceptional Vitamin/Folic Acid Supplementation 2007: The Use of Folic Acid in Combination With a Multivitamin Supplement for the Prevention of Neural Tube Defects and Other Congenital Anomalies","type":"article-journal","volume":"29"},"uris":["http://www.mendeley.com/documents/?uuid=94f72608-4433-42e8-94ee-5f633e625bbf"]}],"mendeley":{"formattedCitation":"(Pitkin, 2007; Smithells et al., 1980; Wilson et al., 2007)","plainTextFormattedCitation":"(Pitkin, 2007; Smithells et al., 1980; Wilson et al., 2007)","previouslyFormattedCitation":"(Pitkin, 2007; Smithells et al., 1980; Wilson et al., 2007)"},"properties":{"noteIndex":0},"schema":"https://github.com/citation-style-language/schema/raw/master/csl-citation.json"}</w:instrText>
      </w:r>
      <w:r w:rsidR="00D832AE">
        <w:fldChar w:fldCharType="separate"/>
      </w:r>
      <w:r w:rsidR="00D832AE" w:rsidRPr="00D832AE">
        <w:rPr>
          <w:noProof/>
        </w:rPr>
        <w:t>(Pitkin, 2007; Smithells et al., 1980; Wilson et al., 2007)</w:t>
      </w:r>
      <w:r w:rsidR="00D832AE">
        <w:fldChar w:fldCharType="end"/>
      </w:r>
      <w:r w:rsidRPr="00222243">
        <w:t xml:space="preserve">, </w:t>
      </w:r>
      <w:r w:rsidR="00087438">
        <w:t xml:space="preserve">the </w:t>
      </w:r>
      <w:r w:rsidRPr="00222243">
        <w:t xml:space="preserve">widespread use of vitamin supplements </w:t>
      </w:r>
      <w:r w:rsidR="00C52952">
        <w:t xml:space="preserve">that contain FA </w:t>
      </w:r>
      <w:r w:rsidRPr="00222243">
        <w:t>together with</w:t>
      </w:r>
      <w:r w:rsidRPr="00222243">
        <w:rPr>
          <w:color w:val="000000"/>
          <w:shd w:val="clear" w:color="auto" w:fill="FFFFFF"/>
        </w:rPr>
        <w:t xml:space="preserve"> </w:t>
      </w:r>
      <w:r w:rsidR="0059526A" w:rsidRPr="00222243">
        <w:rPr>
          <w:color w:val="000000"/>
          <w:shd w:val="clear" w:color="auto" w:fill="FFFFFF"/>
        </w:rPr>
        <w:t>FA</w:t>
      </w:r>
      <w:r w:rsidRPr="00222243">
        <w:rPr>
          <w:color w:val="000000"/>
          <w:shd w:val="clear" w:color="auto" w:fill="FFFFFF"/>
        </w:rPr>
        <w:t xml:space="preserve"> fortification of staple foods in many countries</w:t>
      </w:r>
      <w:r w:rsidR="0059526A" w:rsidRPr="00222243">
        <w:rPr>
          <w:color w:val="000000"/>
          <w:shd w:val="clear" w:color="auto" w:fill="FFFFFF"/>
        </w:rPr>
        <w:t xml:space="preserve"> </w:t>
      </w:r>
      <w:r w:rsidR="00D832AE">
        <w:rPr>
          <w:color w:val="000000"/>
          <w:shd w:val="clear" w:color="auto" w:fill="FFFFFF"/>
        </w:rPr>
        <w:fldChar w:fldCharType="begin" w:fldLock="1"/>
      </w:r>
      <w:r w:rsidR="00D832AE">
        <w:rPr>
          <w:color w:val="000000"/>
          <w:shd w:val="clear" w:color="auto" w:fill="FFFFFF"/>
        </w:rPr>
        <w:instrText>ADDIN CSL_CITATION {"citationItems":[{"id":"ITEM-1","itemData":{"DOI":"10.3945/ajcn.2010.29499","ISSN":"0002-9165","abstract":"Background: Unmetabolized serum folic acid (UMFA) has been detected in adults. Previous research indicates that high folic acid intakes may be associated with risk of cancer. Objective: The objective was to examine UMFA concentrations in relation to dietary and supplemental folate and status biomarkers in the US population aged ≥60 y. Design: Surplus sera were analyzed with the use of data from the National Health and Nutrition Examination Survey (NHANES) 2001-2002, a cross-sectional, nationally representative survey (n = 1121). Results: UMFA was detected in 38% of the population, with a mean concentration of 4.4 ± 0.6 nmol/L (median: 1.2± 0.2 nmol/L). The group with UMFA (UMFA+) had a significantly higher proportion of folic acid supplement users than did the group without UMFA (60% compared with 41%). UMFA+ men and women also had higher supplemental and total (food + supplements) folic acid intakes than did their counterparts without UMFA. Forty percent of the UMFA+ group was in the highest quartile of total folic acid intake, but total folic acid intake was only moderately related to UMFA concentrations (r 2 = 0.07). Serum folate concentrations were significantly higher in the UMFA+ group and were predictive of UMFA concentrations (r2 = 0.15). Serum 5-methyltetrahydrofolate and vitamin B-12 concentrations were higher in the UMFA+ group, whereas there was no difference between the 2 UMFA groups in red blood cell folate, serum homocysteine, or methylmalonic acid concentrations. Conclusions: Approximately 40% of older adults in the United States have UMFA that persists after a fast, and the presence of UMFA is not easily explained in NHANES by folic acid intakes alone. Given the possibility that excessive folic acid exposure may relate to cancer risk, monitoring of UMFA may be warranted. © 2010 American Society for Nutrition.","author":[{"dropping-particle":"","family":"Bailey","given":"Regan L.","non-dropping-particle":"","parse-names":false,"suffix":""},{"dropping-particle":"","family":"Mills","given":"James L.","non-dropping-particle":"","parse-names":false,"suffix":""},{"dropping-particle":"","family":"Yetley","given":"Elizabeth A.","non-dropping-particle":"","parse-names":false,"suffix":""},{"dropping-particle":"","family":"Gahche","given":"Jaime J.","non-dropping-particle":"","parse-names":false,"suffix":""},{"dropping-particle":"","family":"Pfeiffer","given":"Christine M.","non-dropping-particle":"","parse-names":false,"suffix":""},{"dropping-particle":"","family":"Dwyer","given":"Johanna T.","non-dropping-particle":"","parse-names":false,"suffix":""},{"dropping-particle":"","family":"Dodd","given":"Kevin W.","non-dropping-particle":"","parse-names":false,"suffix":""},{"dropping-particle":"","family":"Sempos","given":"Christopher T.","non-dropping-particle":"","parse-names":false,"suffix":""},{"dropping-particle":"","family":"Betz","given":"Joseph M.","non-dropping-particle":"","parse-names":false,"suffix":""},{"dropping-particle":"","family":"Picciano","given":"Mary Frances","non-dropping-particle":"","parse-names":false,"suffix":""}],"container-title":"The American Journal of Clinical Nutrition","id":"ITEM-1","issue":"2","issued":{"date-parts":[["2010","8","1"]]},"page":"383-389","title":"Unmetabolized serum folic acid and its relation to folic acid intake from diet and supplements in a nationally representative sample of adults aged ≥60 y in the United States","type":"article-journal","volume":"92"},"uris":["http://www.mendeley.com/documents/?uuid=284925f2-581b-43e6-9e66-dd8057a0bd33"]},{"id":"ITEM-2","itemData":{"DOI":"10.1503/cmaj.100568","ISSN":"0820-3946","PMID":"21149516","abstract":"Background: Low folate concentrations are inversely associated with birth defects, including neural tube defects, congenital heart disease and oral clefts. Conversely, high folate concentrations may be associated with adverse outcomes, including increased risk of colorectal cancer among those with pre-existing neoplasms. The purpose of our study was to investigate the folate status of a nationally representative sample of Canadians, including a subset of women of childbearing age. Methods: We examined red blood cell folate concentrations among members of the general population aged 6-79 years (n = 5248) and separately among women of childbearing age (15-45 yr, n = 1162), as recorded by the Canadian Health Measures Survey and measured by immunologic assay. We assessed the data for significant differences by age, sex and socio-economic status. Results: Less than 1% of Canadians showed folate deficiency (red blood cell folate &lt;305 nmol/L) and 40% showed high folate concentrations (&gt;1360 nmol/L). Among women of childbearing age, 22% showed concentrations below those considered optimal for maximal neural tube defect-risk reduction (&lt;906 nmol/L). Significant differences by age and socio-economic status, but not sex, were evident in median red blood cell folate concentrations, although concentrations in all groups exceeded recommended levels. No differences by age or income were found among women of child-bearing age. Interpretation: Folate deficiency is virtually nonexistent in the Canadian population, although high folate concentrations are evident. Additional research is needed to better understand the determinants of red blood cell folate among women of childbearing age who have concentrations below levels that are maximally protective against neural tube defects. Ongoing monitoring of the folate status of Canadians and the relationship between red blood cell folate and health outcomes is warranted. © 2011 Canadian Medical Association or its licensors.","author":[{"dropping-particle":"","family":"Colapinto","given":"Cynthia K.","non-dropping-particle":"","parse-names":false,"suffix":""},{"dropping-particle":"","family":"O'Connor","given":"Deborah L.","non-dropping-particle":"","parse-names":false,"suffix":""},{"dropping-particle":"","family":"Tremblay","given":"Mark S.","non-dropping-particle":"","parse-names":false,"suffix":""}],"container-title":"Canadian Medical Association Journal","id":"ITEM-2","issue":"2","issued":{"date-parts":[["2011","2","8"]]},"page":"E100-E106","title":"Folate status of the population in the Canadian Health Measures Survey","type":"article-journal","volume":"183"},"uris":["http://www.mendeley.com/documents/?uuid=c0a89628-976c-423c-b930-74ccd2add1d3"]},{"id":"ITEM-3","itemData":{"DOI":"10.1093/ajcn/86.3.718","ISSN":"0002-9165","PMID":"17823438","abstract":"Background: Monitoring the folate status of US population groups over time has been a public health priority for the past 2 decades, and the focus has been enhanced since the implementation of a folic acid fortification program in the mid-1990s. Objective: We aimed to determine how population concentrations of serum and red blood cell (RBC) folate and serum vitamin B-12 have changed over the past 2 decades. Design: Measurement of blood indicators of folate and vitamin B-12 status was conducted in ≈23 000 participants in the prefortification third National Health and Nutrition Examination Survey (NHANES III; 1988-1994) and in ≈8000 participants in 3 postfortification NHANES periods (together covering 1999-2004). Results: Serum and RBC folate concentrations increased substantially (by 119-161% and 44-64%, respectively) in each age group in the first postfortification survey period and then declined slightly (by 5-13% and 6-9%, respectively) in most age groups between the first and third postfortification survey periods. Serum vitamin B-12 concentrations did not change appreciably. Prevalence estimates of low serum and RBC folate concentrations declined in women of childbearing age from before to after fortification (from 21% to &lt;1% and from 38% to 5%, respectively) but remained unchanged thereafter. Prevalence estimates of high serum folate concentrations increased in children and older persons from before to after fortification (from 5% to 42% and from 7% to 38%, respectively) but decreased later after fortification. Conclusions: The decrease in folate concentrations observed longer after fortification is small compared with the increase soon after the introduction of fortification. The decrease is not at the low end of concentrations and therefore does not raise concerns about inadequate status. © 2007 American Society for Nutrition.","author":[{"dropping-particle":"","family":"Pfeiffer","given":"Christine M.","non-dropping-particle":"","parse-names":false,"suffix":""},{"dropping-particle":"","family":"Johnson","given":"Clifford L.","non-dropping-particle":"","parse-names":false,"suffix":""},{"dropping-particle":"","family":"Jain","given":"Ram B.","non-dropping-particle":"","parse-names":false,"suffix":""},{"dropping-particle":"","family":"Yetley","given":"Elizabeth A.","non-dropping-particle":"","parse-names":false,"suffix":""},{"dropping-particle":"","family":"Picciano","given":"Mary Frances","non-dropping-particle":"","parse-names":false,"suffix":""},{"dropping-particle":"","family":"Rader","given":"Jeanne I.","non-dropping-particle":"","parse-names":false,"suffix":""},{"dropping-particle":"","family":"Fisher","given":"Kenneth D.","non-dropping-particle":"","parse-names":false,"suffix":""},{"dropping-particle":"","family":"Mulinare","given":"Joseph","non-dropping-particle":"","parse-names":false,"suffix":""},{"dropping-particle":"","family":"Osterloh","given":"John D.","non-dropping-particle":"","parse-names":false,"suffix":""}],"container-title":"The American Journal of Clinical Nutrition","id":"ITEM-3","issue":"3","issued":{"date-parts":[["2007","9","1"]]},"page":"718-727","title":"Trends in blood folate and vitamin B-12 concentrations in the United States, 1988–2004","type":"article-journal","volume":"86"},"uris":["http://www.mendeley.com/documents/?uuid=eb65ade3-7b04-40fa-be9c-47405aaf55ad"]}],"mendeley":{"formattedCitation":"(R. L. Bailey et al., 2010; Colapinto, O’Connor, &amp; Tremblay, 2011; Pfeiffer et al., 2007)","plainTextFormattedCitation":"(R. L. Bailey et al., 2010; Colapinto, O’Connor, &amp; Tremblay, 2011; Pfeiffer et al., 2007)","previouslyFormattedCitation":"(R. L. Bailey et al., 2010; Colapinto, O’Connor, &amp; Tremblay, 2011; Pfeiffer et al., 2007)"},"properties":{"noteIndex":0},"schema":"https://github.com/citation-style-language/schema/raw/master/csl-citation.json"}</w:instrText>
      </w:r>
      <w:r w:rsidR="00D832AE">
        <w:rPr>
          <w:color w:val="000000"/>
          <w:shd w:val="clear" w:color="auto" w:fill="FFFFFF"/>
        </w:rPr>
        <w:fldChar w:fldCharType="separate"/>
      </w:r>
      <w:r w:rsidR="00D832AE" w:rsidRPr="00D832AE">
        <w:rPr>
          <w:noProof/>
          <w:color w:val="000000"/>
          <w:shd w:val="clear" w:color="auto" w:fill="FFFFFF"/>
        </w:rPr>
        <w:t>(R. L. Bailey et al., 2010; Colapinto, O’Connor, &amp; Tremblay, 2011; Pfeiffer et al., 2007)</w:t>
      </w:r>
      <w:r w:rsidR="00D832AE">
        <w:rPr>
          <w:color w:val="000000"/>
          <w:shd w:val="clear" w:color="auto" w:fill="FFFFFF"/>
        </w:rPr>
        <w:fldChar w:fldCharType="end"/>
      </w:r>
      <w:r w:rsidR="005B17E0" w:rsidRPr="00222243">
        <w:rPr>
          <w:color w:val="000000"/>
          <w:shd w:val="clear" w:color="auto" w:fill="FFFFFF"/>
        </w:rPr>
        <w:t>.</w:t>
      </w:r>
      <w:r w:rsidR="002562A2" w:rsidRPr="00222243">
        <w:t xml:space="preserve"> </w:t>
      </w:r>
      <w:r w:rsidR="00174826" w:rsidRPr="00222243">
        <w:t xml:space="preserve">However, </w:t>
      </w:r>
      <w:r w:rsidR="00A813A9" w:rsidRPr="00222243">
        <w:t xml:space="preserve">despite the </w:t>
      </w:r>
      <w:r w:rsidR="00C73D52" w:rsidRPr="00222243">
        <w:t xml:space="preserve">beneficial effects of </w:t>
      </w:r>
      <w:r w:rsidR="005E4008" w:rsidRPr="00222243">
        <w:t>FA</w:t>
      </w:r>
      <w:r w:rsidR="00A813A9" w:rsidRPr="00222243">
        <w:t xml:space="preserve"> in preventing NTD</w:t>
      </w:r>
      <w:r w:rsidR="00493844" w:rsidRPr="00222243">
        <w:t xml:space="preserve"> </w:t>
      </w:r>
      <w:r w:rsidR="00D832AE">
        <w:fldChar w:fldCharType="begin" w:fldLock="1"/>
      </w:r>
      <w:r w:rsidR="00D832AE">
        <w:instrText>ADDIN CSL_CITATION {"citationItems":[{"id":"ITEM-1","itemData":{"DOI":"10.1002/bdra.20581","ISSN":"15420752","abstract":"This review provides a brief description of folate use and folic acid metabolism in relation to neural tube defect (NTD) risk. First, a meta-analysis of reduction in NTD recurrence and occurrence risk with periconceptional folic acid supplementation is presented. Second, an overview of the complex folate metabolism is given. Third, SNPs for genes involved in folate and homocysteine metabolism that have been studied in relation to NTD risk are discussed. Fourth, the questions whether folate receptor autoantibodies or hampered methylation are mechanisms underlying NTDs are briefly discussed. © 2009 Wiley-Liss, Inc.","author":[{"dropping-particle":"","family":"Blom","given":"Henk J.","non-dropping-particle":"","parse-names":false,"suffix":""}],"container-title":"Birth Defects Research Part A: Clinical and Molecular Teratology","id":"ITEM-1","issue":"4","issued":{"date-parts":[["2009","4"]]},"page":"295-302","title":"Folic acid, methylation and neural tube closure in humans","type":"article-journal","volume":"85"},"uris":["http://www.mendeley.com/documents/?uuid=ec02be13-5502-4d09-9141-2b99592098ce"]},{"id":"ITEM-2","itemData":{"DOI":"10.1056/NEJMoa067103","ISSN":"0028-4793","abstract":"Background: In 1998, folic acid fortification of a large variety of cereal products became mandatory in Canada, a country where the prevalence of neural-tube defects was historically higher in the eastern provinces than in the western provinces. We assessed changes in the prevalence of neural-tube defects in Canada before and after food fortification with folic acid was implemented. Methods: The study population included live births, stillbirths, and terminations of pregnancies because of fetal anomalies among women residing in seven Canadian provinces from 1993 to 2002. On the basis of published results of testing of red-cell folate levels, the study period was divided into prefortification, partial-fortification, and full-fortification periods. We evaluated the relationship between baseline rates of neural-tube defects in each province and the magnitude of the decrease after fortification was implemented. Results: A total of 2446 subjects with neural-tube defects were recorded among 1.9 million births. The prevalence of neural-tube defects decreased from 1.58 per 1000 births before fortification to 0.86 per 1000 births during the full-fortification period, a 46% reduction (95% confidence interval, 40 to 51). The magnitude of the decrease was proportional to the prefortification baseline rate in each province, and geographical differences almost disappeared after fortification began. The observed reduction in rate was greater for spina bifida (a decrease of 53%) than for anencephaly and encephalocele (decreases of 38% and 31%, respectively). Conclusions: Food fortification with folic acid was associated with a significant reduction in the rate of neural-tube defects in Canada. The decrease was greatest in areas in which the baseline rate was high. Copyright © 2007 Massachusetts Medical Society.","author":[{"dropping-particle":"","family":"Wals","given":"Philippe","non-dropping-particle":"De","parse-names":false,"suffix":""},{"dropping-particle":"","family":"Tairou","given":"Fassiatou","non-dropping-particle":"","parse-names":false,"suffix":""},{"dropping-particle":"","family":"Allen","given":"Margot I.","non-dropping-particle":"Van","parse-names":false,"suffix":""},{"dropping-particle":"","family":"Uh","given":"Soo-Hong","non-dropping-particle":"","parse-names":false,"suffix":""},{"dropping-particle":"","family":"Lowry","given":"R. Brian","non-dropping-particle":"","parse-names":false,"suffix":""},{"dropping-particle":"","family":"Sibbald","given":"Barbara","non-dropping-particle":"","parse-names":false,"suffix":""},{"dropping-particle":"","family":"Evans","given":"Jane A.","non-dropping-particle":"","parse-names":false,"suffix":""},{"dropping-particle":"","family":"Hof","given":"Michiel C.","non-dropping-particle":"Van den","parse-names":false,"suffix":""},{"dropping-particle":"","family":"Zimmer","given":"Pamela","non-dropping-particle":"","parse-names":false,"suffix":""},{"dropping-particle":"","family":"Crowley","given":"Marian","non-dropping-particle":"","parse-names":false,"suffix":""},{"dropping-particle":"","family":"Fernandez","given":"Bridget","non-dropping-particle":"","parse-names":false,"suffix":""},{"dropping-particle":"","family":"Lee","given":"Nora S.","non-dropping-particle":"","parse-names":false,"suffix":""},{"dropping-particle":"","family":"Niyonsenga","given":"Theophile","non-dropping-particle":"","parse-names":false,"suffix":""}],"container-title":"New England Journal of Medicine","id":"ITEM-2","issue":"2","issued":{"date-parts":[["2007","7","12"]]},"page":"135-142","title":"Reduction in Neural-Tube Defects after Folic Acid Fortification in Canada","type":"article-journal","volume":"357"},"uris":["http://www.mendeley.com/documents/?uuid=5ec69f5b-9748-4766-9d53-65336bc1acb0"]},{"id":"ITEM-3","itemData":{"DOI":"10.1093/ajcn/85.1.285S","ISSN":"0002-9165","author":[{"dropping-particle":"","family":"Pitkin","given":"Roy M","non-dropping-particle":"","parse-names":false,"suffix":""}],"container-title":"The American Journal of Clinical Nutrition","id":"ITEM-3","issue":"1","issued":{"date-parts":[["2007","1","1"]]},"page":"285S-288S","title":"Folate and neural tube defects","type":"article-journal","volume":"85"},"uris":["http://www.mendeley.com/documents/?uuid=5bad1e66-30dc-44a2-a542-0c719e57ffec"]}],"mendeley":{"formattedCitation":"(Blom, 2009; De Wals et al., 2007; Pitkin, 2007)","plainTextFormattedCitation":"(Blom, 2009; De Wals et al., 2007; Pitkin, 2007)","previouslyFormattedCitation":"(Blom, 2009; De Wals et al., 2007; Pitkin, 2007)"},"properties":{"noteIndex":0},"schema":"https://github.com/citation-style-language/schema/raw/master/csl-citation.json"}</w:instrText>
      </w:r>
      <w:r w:rsidR="00D832AE">
        <w:fldChar w:fldCharType="separate"/>
      </w:r>
      <w:r w:rsidR="00D832AE" w:rsidRPr="00D832AE">
        <w:rPr>
          <w:noProof/>
        </w:rPr>
        <w:t>(Blom, 2009; De Wals et al., 2007; Pitkin, 2007)</w:t>
      </w:r>
      <w:r w:rsidR="00D832AE">
        <w:fldChar w:fldCharType="end"/>
      </w:r>
      <w:r w:rsidR="00A813A9" w:rsidRPr="00222243">
        <w:t xml:space="preserve">, there </w:t>
      </w:r>
      <w:r w:rsidR="00C73D52" w:rsidRPr="00222243">
        <w:t xml:space="preserve">remains </w:t>
      </w:r>
      <w:r w:rsidR="00C73D52" w:rsidRPr="00222243">
        <w:lastRenderedPageBreak/>
        <w:t xml:space="preserve">uncertainty whether high levels of </w:t>
      </w:r>
      <w:r w:rsidR="00A813A9" w:rsidRPr="00222243">
        <w:t xml:space="preserve">FA intake during </w:t>
      </w:r>
      <w:r w:rsidR="0038295E" w:rsidRPr="00222243">
        <w:t>the periconceptional period</w:t>
      </w:r>
      <w:r w:rsidR="007722EB">
        <w:t>, a period where there is</w:t>
      </w:r>
      <w:r w:rsidR="006E3230">
        <w:t xml:space="preserve"> </w:t>
      </w:r>
      <w:r w:rsidR="00C52952">
        <w:t>extensive epigenetic remodelling,</w:t>
      </w:r>
      <w:r w:rsidR="00C36383">
        <w:t xml:space="preserve"> </w:t>
      </w:r>
      <w:r w:rsidR="001A0FC3" w:rsidRPr="00222243">
        <w:t xml:space="preserve">may have </w:t>
      </w:r>
      <w:r w:rsidR="00C73D52" w:rsidRPr="00222243">
        <w:t xml:space="preserve">unforeseen effects on the development of the </w:t>
      </w:r>
      <w:r w:rsidR="001A0FC3" w:rsidRPr="00222243">
        <w:t>embryo</w:t>
      </w:r>
      <w:r w:rsidR="001A0FC3" w:rsidRPr="00222243">
        <w:rPr>
          <w:rFonts w:eastAsia="Times New Roman"/>
          <w:shd w:val="clear" w:color="auto" w:fill="FFFFFF"/>
        </w:rPr>
        <w:t>.</w:t>
      </w:r>
      <w:r w:rsidR="005D722E">
        <w:rPr>
          <w:rFonts w:eastAsia="Times New Roman"/>
          <w:shd w:val="clear" w:color="auto" w:fill="FFFFFF"/>
        </w:rPr>
        <w:t xml:space="preserve"> Indeed, provision of metabolites to coordinate one-carbon metabolism is viewed as a critical biochemical conduit between mother and embryo to protect epigenetic remodelling during development</w:t>
      </w:r>
      <w:r w:rsidR="00DC2BE2">
        <w:rPr>
          <w:rFonts w:eastAsia="Times New Roman"/>
          <w:shd w:val="clear" w:color="auto" w:fill="FFFFFF"/>
        </w:rPr>
        <w:t xml:space="preserve"> </w:t>
      </w:r>
      <w:r w:rsidR="00DC2BE2">
        <w:rPr>
          <w:rFonts w:eastAsia="Times New Roman"/>
          <w:shd w:val="clear" w:color="auto" w:fill="FFFFFF"/>
        </w:rPr>
        <w:fldChar w:fldCharType="begin" w:fldLock="1"/>
      </w:r>
      <w:r w:rsidR="00DC2BE2">
        <w:rPr>
          <w:rFonts w:eastAsia="Times New Roman"/>
          <w:shd w:val="clear" w:color="auto" w:fill="FFFFFF"/>
        </w:rPr>
        <w:instrText>ADDIN CSL_CITATION {"citationItems":[{"id":"ITEM-1","itemData":{"DOI":"10.1146/annurev-animal-020518-115206","ISSN":"2165-8102","PMID":"30412672","abstract":"One-carbon (1C) metabolism comprises a series of interlinking metabolic pathways that include the methionine and folate cycles that are central to cellular function, providing 1C units (methyl groups) for the synthesis of DNA, polyamines, amino acids, creatine, and phospholipids. S-adenosylmethionine is a potent aminopropyl and methyl donor within these cycles and serves as the principal substrate for methylation of DNA, associated proteins, and RNA. We propose that 1C metabolism functions as a key biochemical conduit between parental environment and epigenetic regulation of early development and that interindividual and ethnic variability in epigenetic-gene regulation arises because of genetic variants within 1C genes, associated epigenetic regulators, and differentially methylated target DNA sequences. We present evidence to support these propositions, drawing upon studies undertaken in humans and animals. We conclude that future studies should assess the epigenetic effects of cumulative (multigenerational) dietary imbalances contemporaneously in both parents, as this better represents the human experience.","author":[{"dropping-particle":"","family":"Clare","given":"Constance E.","non-dropping-particle":"","parse-names":false,"suffix":""},{"dropping-particle":"","family":"Brassington","given":"Amey H.","non-dropping-particle":"","parse-names":false,"suffix":""},{"dropping-particle":"","family":"Kwong","given":"Wing Yee","non-dropping-particle":"","parse-names":false,"suffix":""},{"dropping-particle":"","family":"Sinclair","given":"Kevin D.","non-dropping-particle":"","parse-names":false,"suffix":""}],"container-title":"Annual Review of Animal Biosciences","id":"ITEM-1","issue":"1","issued":{"date-parts":[["2019","2","15"]]},"page":"263-287","title":"One-Carbon Metabolism: Linking Nutritional Biochemistry to Epigenetic Programming of Long-Term Development","type":"article-journal","volume":"7"},"uris":["http://www.mendeley.com/documents/?uuid=97547259-62cb-47db-9861-bca7afbcb2d6"]}],"mendeley":{"formattedCitation":"(Clare, Brassington, Kwong, &amp; Sinclair, 2019)","plainTextFormattedCitation":"(Clare, Brassington, Kwong, &amp; Sinclair, 2019)","previouslyFormattedCitation":"(Clare, Brassington, Kwong, &amp; Sinclair, 2019)"},"properties":{"noteIndex":0},"schema":"https://github.com/citation-style-language/schema/raw/master/csl-citation.json"}</w:instrText>
      </w:r>
      <w:r w:rsidR="00DC2BE2">
        <w:rPr>
          <w:rFonts w:eastAsia="Times New Roman"/>
          <w:shd w:val="clear" w:color="auto" w:fill="FFFFFF"/>
        </w:rPr>
        <w:fldChar w:fldCharType="separate"/>
      </w:r>
      <w:r w:rsidR="00DC2BE2" w:rsidRPr="00DC2BE2">
        <w:rPr>
          <w:rFonts w:eastAsia="Times New Roman"/>
          <w:noProof/>
          <w:shd w:val="clear" w:color="auto" w:fill="FFFFFF"/>
        </w:rPr>
        <w:t>(Clare, Brassington, Kwong, &amp; Sinclair, 2019)</w:t>
      </w:r>
      <w:r w:rsidR="00DC2BE2">
        <w:rPr>
          <w:rFonts w:eastAsia="Times New Roman"/>
          <w:shd w:val="clear" w:color="auto" w:fill="FFFFFF"/>
        </w:rPr>
        <w:fldChar w:fldCharType="end"/>
      </w:r>
      <w:r w:rsidR="005D722E">
        <w:rPr>
          <w:rFonts w:eastAsia="Times New Roman"/>
          <w:shd w:val="clear" w:color="auto" w:fill="FFFFFF"/>
        </w:rPr>
        <w:t xml:space="preserve">. </w:t>
      </w:r>
      <w:r w:rsidR="0038295E" w:rsidRPr="00222243">
        <w:rPr>
          <w:rFonts w:eastAsia="Times New Roman"/>
          <w:shd w:val="clear" w:color="auto" w:fill="FFFFFF"/>
        </w:rPr>
        <w:t xml:space="preserve">Consistent with this </w:t>
      </w:r>
      <w:r w:rsidR="005D722E">
        <w:rPr>
          <w:rFonts w:eastAsia="Times New Roman"/>
          <w:shd w:val="clear" w:color="auto" w:fill="FFFFFF"/>
        </w:rPr>
        <w:t>concept</w:t>
      </w:r>
      <w:r w:rsidR="0038295E" w:rsidRPr="00222243">
        <w:rPr>
          <w:rFonts w:eastAsia="Times New Roman"/>
          <w:shd w:val="clear" w:color="auto" w:fill="FFFFFF"/>
        </w:rPr>
        <w:t xml:space="preserve">, </w:t>
      </w:r>
      <w:proofErr w:type="spellStart"/>
      <w:r w:rsidR="00733AF9" w:rsidRPr="00222243">
        <w:rPr>
          <w:rFonts w:eastAsia="Times New Roman"/>
          <w:shd w:val="clear" w:color="auto" w:fill="FFFFFF"/>
        </w:rPr>
        <w:t>Pickell</w:t>
      </w:r>
      <w:proofErr w:type="spellEnd"/>
      <w:r w:rsidR="00733AF9" w:rsidRPr="00222243">
        <w:rPr>
          <w:rFonts w:eastAsia="Times New Roman"/>
          <w:shd w:val="clear" w:color="auto" w:fill="FFFFFF"/>
        </w:rPr>
        <w:t xml:space="preserve"> et al., reported </w:t>
      </w:r>
      <w:r w:rsidR="00FE3031">
        <w:rPr>
          <w:rFonts w:eastAsia="Times New Roman"/>
          <w:shd w:val="clear" w:color="auto" w:fill="FFFFFF"/>
        </w:rPr>
        <w:t>that</w:t>
      </w:r>
      <w:r w:rsidR="00733AF9" w:rsidRPr="00222243">
        <w:rPr>
          <w:color w:val="1C1D1E"/>
          <w:shd w:val="clear" w:color="auto" w:fill="FFFFFF"/>
        </w:rPr>
        <w:t xml:space="preserve"> high maternal FA intake was associated with embryonic delay and growth retardation</w:t>
      </w:r>
      <w:r w:rsidR="007722EB">
        <w:rPr>
          <w:color w:val="1C1D1E"/>
          <w:shd w:val="clear" w:color="auto" w:fill="FFFFFF"/>
        </w:rPr>
        <w:t xml:space="preserve"> </w:t>
      </w:r>
      <w:r w:rsidR="007722EB" w:rsidRPr="00222243">
        <w:rPr>
          <w:rFonts w:eastAsia="Times New Roman"/>
          <w:shd w:val="clear" w:color="auto" w:fill="FFFFFF"/>
        </w:rPr>
        <w:t>a</w:t>
      </w:r>
      <w:r w:rsidR="007722EB" w:rsidRPr="00222243">
        <w:rPr>
          <w:color w:val="1C1D1E"/>
          <w:shd w:val="clear" w:color="auto" w:fill="FFFFFF"/>
        </w:rPr>
        <w:t>t E10.5</w:t>
      </w:r>
      <w:r w:rsidR="005B17E0" w:rsidRPr="00222243">
        <w:rPr>
          <w:color w:val="1C1D1E"/>
          <w:shd w:val="clear" w:color="auto" w:fill="FFFFFF"/>
        </w:rPr>
        <w:t xml:space="preserve"> </w:t>
      </w:r>
      <w:r w:rsidR="00D832AE">
        <w:rPr>
          <w:color w:val="1C1D1E"/>
          <w:shd w:val="clear" w:color="auto" w:fill="FFFFFF"/>
        </w:rPr>
        <w:fldChar w:fldCharType="begin" w:fldLock="1"/>
      </w:r>
      <w:r w:rsidR="00D832AE">
        <w:rPr>
          <w:color w:val="1C1D1E"/>
          <w:shd w:val="clear" w:color="auto" w:fill="FFFFFF"/>
        </w:rPr>
        <w:instrText>ADDIN CSL_CITATION {"citationItems":[{"id":"ITEM-1","itemData":{"DOI":"10.1002/bdra.20754","ISSN":"1542-0760","PMID":"21254354","abstract":"Folic acid fortification and supplementation has increased folate intake and blood folate concentrations and successfully reduced the incidence of neural tube defects. However, the developmental consequences of high folate intake are unknown. This study investigated the impact of high folate intake, alone or with methylenetetrahydrofolate reductase (MTHFR) deficiency, on embryonic and placental development in mice.","author":[{"dropping-particle":"","family":"Pickell","given":"Laura","non-dropping-particle":"","parse-names":false,"suffix":""},{"dropping-particle":"","family":"Brown","given":"Katharine","non-dropping-particle":"","parse-names":false,"suffix":""},{"dropping-particle":"","family":"Li","given":"Deqiang","non-dropping-particle":"","parse-names":false,"suffix":""},{"dropping-particle":"","family":"Wang","given":"Xiao-Ling","non-dropping-particle":"","parse-names":false,"suffix":""},{"dropping-particle":"","family":"Deng","given":"Liyuan","non-dropping-particle":"","parse-names":false,"suffix":""},{"dropping-particle":"","family":"Wu","given":"Qing","non-dropping-particle":"","parse-names":false,"suffix":""},{"dropping-particle":"","family":"Selhub","given":"Jacob","non-dropping-particle":"","parse-names":false,"suffix":""},{"dropping-particle":"","family":"Luo","given":"Li","non-dropping-particle":"","parse-names":false,"suffix":""},{"dropping-particle":"","family":"Jerome-Majewska","given":"Loydie","non-dropping-particle":"","parse-names":false,"suffix":""},{"dropping-particle":"","family":"Rozen","given":"Rima","non-dropping-particle":"","parse-names":false,"suffix":""}],"container-title":"Birth defects research","id":"ITEM-1","issue":"1","issued":{"date-parts":[["2011","1"]]},"page":"8-19","title":"High intake of folic acid disrupts embryonic development in mice.","type":"article-journal","volume":"91"},"uris":["http://www.mendeley.com/documents/?uuid=e1cd094b-0e44-467a-a638-b2cc41baaa32"]}],"mendeley":{"formattedCitation":"(Pickell et al., 2011)","plainTextFormattedCitation":"(Pickell et al., 2011)","previouslyFormattedCitation":"(Pickell et al., 2011)"},"properties":{"noteIndex":0},"schema":"https://github.com/citation-style-language/schema/raw/master/csl-citation.json"}</w:instrText>
      </w:r>
      <w:r w:rsidR="00D832AE">
        <w:rPr>
          <w:color w:val="1C1D1E"/>
          <w:shd w:val="clear" w:color="auto" w:fill="FFFFFF"/>
        </w:rPr>
        <w:fldChar w:fldCharType="separate"/>
      </w:r>
      <w:r w:rsidR="00D832AE" w:rsidRPr="00D832AE">
        <w:rPr>
          <w:noProof/>
          <w:color w:val="1C1D1E"/>
          <w:shd w:val="clear" w:color="auto" w:fill="FFFFFF"/>
        </w:rPr>
        <w:t>(Pickell et al., 2011)</w:t>
      </w:r>
      <w:r w:rsidR="00D832AE">
        <w:rPr>
          <w:color w:val="1C1D1E"/>
          <w:shd w:val="clear" w:color="auto" w:fill="FFFFFF"/>
        </w:rPr>
        <w:fldChar w:fldCharType="end"/>
      </w:r>
      <w:r w:rsidR="00C36383">
        <w:rPr>
          <w:color w:val="1C1D1E"/>
          <w:shd w:val="clear" w:color="auto" w:fill="FFFFFF"/>
        </w:rPr>
        <w:t>. F</w:t>
      </w:r>
      <w:r w:rsidR="00733AF9" w:rsidRPr="00222243">
        <w:rPr>
          <w:color w:val="1C1D1E"/>
          <w:shd w:val="clear" w:color="auto" w:fill="FFFFFF"/>
        </w:rPr>
        <w:t xml:space="preserve">urther studies have reported </w:t>
      </w:r>
      <w:r w:rsidR="00CC31D9" w:rsidRPr="00222243">
        <w:rPr>
          <w:color w:val="1C1D1E"/>
          <w:shd w:val="clear" w:color="auto" w:fill="FFFFFF"/>
        </w:rPr>
        <w:t>long</w:t>
      </w:r>
      <w:r w:rsidR="004A154D" w:rsidRPr="00222243">
        <w:rPr>
          <w:color w:val="1C1D1E"/>
          <w:shd w:val="clear" w:color="auto" w:fill="FFFFFF"/>
        </w:rPr>
        <w:t>-</w:t>
      </w:r>
      <w:r w:rsidR="00CC31D9" w:rsidRPr="00222243">
        <w:rPr>
          <w:color w:val="1C1D1E"/>
          <w:shd w:val="clear" w:color="auto" w:fill="FFFFFF"/>
        </w:rPr>
        <w:t xml:space="preserve">term phenotypic changes in offspring born to dams fed a high FA diet, including </w:t>
      </w:r>
      <w:r w:rsidR="00733AF9" w:rsidRPr="00222243">
        <w:rPr>
          <w:rFonts w:eastAsia="Times New Roman"/>
          <w:shd w:val="clear" w:color="auto" w:fill="FFFFFF"/>
        </w:rPr>
        <w:t>impaired insulin secretion</w:t>
      </w:r>
      <w:r w:rsidR="005B17E0" w:rsidRPr="00222243">
        <w:rPr>
          <w:rFonts w:eastAsia="Times New Roman"/>
          <w:shd w:val="clear" w:color="auto" w:fill="FFFFFF"/>
        </w:rPr>
        <w:t xml:space="preserve"> </w:t>
      </w:r>
      <w:r w:rsidR="00D832AE">
        <w:rPr>
          <w:rFonts w:eastAsia="Times New Roman"/>
          <w:shd w:val="clear" w:color="auto" w:fill="FFFFFF"/>
        </w:rPr>
        <w:fldChar w:fldCharType="begin" w:fldLock="1"/>
      </w:r>
      <w:r w:rsidR="00D832AE">
        <w:rPr>
          <w:rFonts w:eastAsia="Times New Roman"/>
          <w:shd w:val="clear" w:color="auto" w:fill="FFFFFF"/>
        </w:rPr>
        <w:instrText>ADDIN CSL_CITATION {"citationItems":[{"id":"ITEM-1","itemData":{"DOI":"10.3390/ijms15046298","ISSN":"1422-0067","abstract":"Maternal nutrition may influence metabolic profiles in offspring. We aimed to investigate the effect of maternal folic acid supplement on glucose metabolism in mouse offspring fed a high-fat diet (HFD). Sixty C57BL/6 female mice were randomly assigned into three dietary groups and fed the AIN-93G diet containing 2 (control), 5 (recommended folic acid supplement, RFolS) or 40 (high folic acid supplement, HFolS) mg folic acid/kg of diet. All male offspring were fed HFD for eight weeks. Physiological, biochemical and genetic variables were measured. Before HFD feeding, developmental variables and metabolic profiles were comparable among each offspring group. However, after eight weeks of HFD feeding, the offspring of HFolS dams (Off-HFolS) were more vulnerable to suffer from obesity (p = 0.009), glucose intolerance (p &lt; 0.001) and insulin resistance (p &lt; 0.001), compared with the controls. Off-HFolS had reduced serum adiponectin concentration, accompanied with decreased adiponectin mRNA level but increased global DNA methylation level in white adipose tissue. In conclusion, our results suggest maternal HFolS exacerbates the detrimental effect of HFD on glucose intolerance and insulin resistance in male offspring, implying that HFolS during pregnancy should be adopted cautiously in the general population of pregnant women to avoid potential deleterious effect on the metabolic diseases in their offspring. © 2014 by the authors; licensee MDPI, Basel, Switzerland.","author":[{"dropping-particle":"","family":"Huang","given":"Yifan","non-dropping-particle":"","parse-names":false,"suffix":""},{"dropping-particle":"","family":"He","given":"Yonghan","non-dropping-particle":"","parse-names":false,"suffix":""},{"dropping-particle":"","family":"Sun","given":"Xiaowei","non-dropping-particle":"","parse-names":false,"suffix":""},{"dropping-particle":"","family":"He","given":"Yujie","non-dropping-particle":"","parse-names":false,"suffix":""},{"dropping-particle":"","family":"Li","given":"Ying","non-dropping-particle":"","parse-names":false,"suffix":""},{"dropping-particle":"","family":"Sun","given":"Changhao","non-dropping-particle":"","parse-names":false,"suffix":""}],"container-title":"International Journal of Molecular Sciences","id":"ITEM-1","issue":"4","issued":{"date-parts":[["2014","4","14"]]},"page":"6298-6313","title":"Maternal High Folic Acid Supplement Promotes Glucose Intolerance and Insulin Resistance in Male Mouse Offspring Fed a High-Fat Diet","type":"article-journal","volume":"15"},"uris":["http://www.mendeley.com/documents/?uuid=00384f85-9e9c-4cf4-ad50-aef65ab9aa17"]},{"id":"ITEM-2","itemData":{"DOI":"10.1016/j.heliyon.2020.e03597","ISSN":"24058440","abstract":"Objective: Previous human and animal studies have shown that excessive maternal intake of folic acid (FA) predisposes to impaired glucose tolerance in the offspring. However, the underlying mechanism is unknown. Therefore, we aimed to determine whether excessive supplementation with FA during pregnancy affects the glucose tolerance of mouse offspring. Research methods &amp; procedures: Pregnant C57BL/6J mice were fed AIN93G diet containing either 2 mg [control group (CN)] or 40 mg [high FA group (HFA)] FA/kg diet throughout their pregnancies. On postnatal days (PD)22 and 50, fasting blood glucose was measured in the offspring of both groups, and an oral glucose tolerance test (OGTT) was performed on PD50. On PD53, tissues were collected, and the tissue masses, area of insulin expression in the pancreas, liver triglyceride content, and gene expression were determined. Results: The blood glucose concentrations at 60 and 120 min of the OGTT were higher in female HFA than CN offspring. The serum fasting and non-fasting insulin concentrations and the area of insulin expression in the pancreas were lower in HFA than CN offspring. The liver triglyceride content was higher in female, and tended to be higher in male (P &lt; 0.05), HFA offspring than CN offspring (P &lt; 0.05). The liver mRNA expression of fat synthesis genes, such as Pparγ2 (male and female) and Cidec (male), was higher in HFA than CN offspring (P &lt; 0.05). Conclusion: Excessive maternal supplementation of FA in mice leads to lower insulin synthesis and an impairment in hepatic fat metabolism in the offspring.","author":[{"dropping-particle":"","family":"Kintaka","given":"Yuri","non-dropping-particle":"","parse-names":false,"suffix":""},{"dropping-particle":"","family":"Wada","given":"Nobuhiro","non-dropping-particle":"","parse-names":false,"suffix":""},{"dropping-particle":"","family":"Shioda","given":"Seiji","non-dropping-particle":"","parse-names":false,"suffix":""},{"dropping-particle":"","family":"Nakamura","given":"Sadako","non-dropping-particle":"","parse-names":false,"suffix":""},{"dropping-particle":"","family":"Yamazaki","given":"Yuko","non-dropping-particle":"","parse-names":false,"suffix":""},{"dropping-particle":"","family":"Mochizuki","given":"Kazuki","non-dropping-particle":"","parse-names":false,"suffix":""}],"container-title":"Heliyon","id":"ITEM-2","issue":"4","issued":{"date-parts":[["2020","4"]]},"page":"e03597","publisher":"Elsevier Ltd","title":"Excessive folic acid supplementation in pregnant mice impairs insulin secretion and induces the expression of genes associated with fatty liver in their offspring","type":"article-journal","volume":"6"},"uris":["http://www.mendeley.com/documents/?uuid=a37d79ff-a81c-4d68-9330-b69730845e23"]}],"mendeley":{"formattedCitation":"(Y. Huang et al., 2014; Kintaka et al., 2020)","plainTextFormattedCitation":"(Y. Huang et al., 2014; Kintaka et al., 2020)","previouslyFormattedCitation":"(Y. Huang et al., 2014; Kintaka et al., 2020)"},"properties":{"noteIndex":0},"schema":"https://github.com/citation-style-language/schema/raw/master/csl-citation.json"}</w:instrText>
      </w:r>
      <w:r w:rsidR="00D832AE">
        <w:rPr>
          <w:rFonts w:eastAsia="Times New Roman"/>
          <w:shd w:val="clear" w:color="auto" w:fill="FFFFFF"/>
        </w:rPr>
        <w:fldChar w:fldCharType="separate"/>
      </w:r>
      <w:r w:rsidR="00D832AE" w:rsidRPr="00D832AE">
        <w:rPr>
          <w:rFonts w:eastAsia="Times New Roman"/>
          <w:noProof/>
          <w:shd w:val="clear" w:color="auto" w:fill="FFFFFF"/>
        </w:rPr>
        <w:t>(Y. Huang et al., 2014; Kintaka et al., 2020)</w:t>
      </w:r>
      <w:r w:rsidR="00D832AE">
        <w:rPr>
          <w:rFonts w:eastAsia="Times New Roman"/>
          <w:shd w:val="clear" w:color="auto" w:fill="FFFFFF"/>
        </w:rPr>
        <w:fldChar w:fldCharType="end"/>
      </w:r>
      <w:r w:rsidR="00733AF9" w:rsidRPr="00222243">
        <w:rPr>
          <w:rFonts w:eastAsia="Times New Roman"/>
          <w:shd w:val="clear" w:color="auto" w:fill="FFFFFF"/>
        </w:rPr>
        <w:t>, reduced femoral area</w:t>
      </w:r>
      <w:r w:rsidR="00FD6378" w:rsidRPr="00222243">
        <w:rPr>
          <w:rFonts w:eastAsia="Times New Roman"/>
          <w:shd w:val="clear" w:color="auto" w:fill="FFFFFF"/>
        </w:rPr>
        <w:t xml:space="preserve"> </w:t>
      </w:r>
      <w:r w:rsidR="00D832AE">
        <w:rPr>
          <w:rFonts w:eastAsia="Times New Roman"/>
          <w:shd w:val="clear" w:color="auto" w:fill="FFFFFF"/>
        </w:rPr>
        <w:fldChar w:fldCharType="begin" w:fldLock="1"/>
      </w:r>
      <w:r w:rsidR="00D832AE">
        <w:rPr>
          <w:rFonts w:eastAsia="Times New Roman"/>
          <w:shd w:val="clear" w:color="auto" w:fill="FFFFFF"/>
        </w:rPr>
        <w:instrText>ADDIN CSL_CITATION {"citationItems":[{"id":"ITEM-1","itemData":{"DOI":"10.1155/2013/154109","ISSN":"2090-8059","abstract":"Rats fed gestational diets high in multivitamin or folate produce offspring of altered phenotypes. We hypothesized that female rat offspring born to dams fed a gestational diet high in folic acid (HFol) have compromised bone health and that feeding the offspring the same HFol diet attenuates these effects. Pregnant rats were fed diets with either recommended folic acid (RFol) or 10-fold higher folic acid (HFol) amounts. Female offspring were weaned to either the RFol or HFol diet for 17 weeks. HFol maternal diet resulted in lower offspring body weights (6%, P = 0.03 ) and, after adjusting for body weight and femoral length, smaller femoral area (2%, P = 0.03 ), compared to control diet. After adjustments, HFol pup diet resulted in lower mineral content (7%, P = 0.01 ) and density (4%, P = 0.002 ) of lumbar vertebra 4 without differences in strength. An interaction between folate content of the dam and pup diets revealed that a mismatch resulted in lower femoral peak load strength ( P = 0.01 ) and stiffness ( P = 0.002 ). However, the match in folate content failed to prevent lower weight gain. In conclusion, HFol diets fed to rat dams and their offspring affect area and strength of femurs and mineral quantity but not strength of lumbar vertebrae in the offspring.","author":[{"dropping-particle":"","family":"Huot","given":"Pedro S. P.","non-dropping-particle":"","parse-names":false,"suffix":""},{"dropping-particle":"","family":"Dodington","given":"David W.","non-dropping-particle":"","parse-names":false,"suffix":""},{"dropping-particle":"","family":"Mollard","given":"Rebecca C.","non-dropping-particle":"","parse-names":false,"suffix":""},{"dropping-particle":"","family":"Reza-López","given":"Sandra A.","non-dropping-particle":"","parse-names":false,"suffix":""},{"dropping-particle":"","family":"Sánchez-Hernández","given":"Diana","non-dropping-particle":"","parse-names":false,"suffix":""},{"dropping-particle":"","family":"Cho","given":"Clara E.","non-dropping-particle":"","parse-names":false,"suffix":""},{"dropping-particle":"","family":"Kuk","given":"Justin","non-dropping-particle":"","parse-names":false,"suffix":""},{"dropping-particle":"","family":"Ward","given":"Wendy E.","non-dropping-particle":"","parse-names":false,"suffix":""},{"dropping-particle":"","family":"Anderson","given":"G. Harvey","non-dropping-particle":"","parse-names":false,"suffix":""}],"container-title":"Journal of Osteoporosis","id":"ITEM-1","issued":{"date-parts":[["2013"]]},"page":"1-9","title":"High Folic Acid Intake during Pregnancy Lowers Body Weight and Reduces Femoral Area and Strength in Female Rat Offspring","type":"article-journal","volume":"2013"},"uris":["http://www.mendeley.com/documents/?uuid=78f7b1e8-47ad-49ad-adac-d445d5306ae5"]}],"mendeley":{"formattedCitation":"(Huot et al., 2013)","plainTextFormattedCitation":"(Huot et al., 2013)","previouslyFormattedCitation":"(Huot et al., 2013)"},"properties":{"noteIndex":0},"schema":"https://github.com/citation-style-language/schema/raw/master/csl-citation.json"}</w:instrText>
      </w:r>
      <w:r w:rsidR="00D832AE">
        <w:rPr>
          <w:rFonts w:eastAsia="Times New Roman"/>
          <w:shd w:val="clear" w:color="auto" w:fill="FFFFFF"/>
        </w:rPr>
        <w:fldChar w:fldCharType="separate"/>
      </w:r>
      <w:r w:rsidR="00D832AE" w:rsidRPr="00D832AE">
        <w:rPr>
          <w:rFonts w:eastAsia="Times New Roman"/>
          <w:noProof/>
          <w:shd w:val="clear" w:color="auto" w:fill="FFFFFF"/>
        </w:rPr>
        <w:t>(Huot et al., 2013)</w:t>
      </w:r>
      <w:r w:rsidR="00D832AE">
        <w:rPr>
          <w:rFonts w:eastAsia="Times New Roman"/>
          <w:shd w:val="clear" w:color="auto" w:fill="FFFFFF"/>
        </w:rPr>
        <w:fldChar w:fldCharType="end"/>
      </w:r>
      <w:r w:rsidR="00733AF9" w:rsidRPr="00222243">
        <w:rPr>
          <w:rFonts w:eastAsia="Times New Roman"/>
          <w:shd w:val="clear" w:color="auto" w:fill="FFFFFF"/>
        </w:rPr>
        <w:t xml:space="preserve"> and increased mammary tumour risk</w:t>
      </w:r>
      <w:r w:rsidR="00FD6378" w:rsidRPr="00222243">
        <w:rPr>
          <w:rFonts w:eastAsia="Times New Roman"/>
          <w:shd w:val="clear" w:color="auto" w:fill="FFFFFF"/>
        </w:rPr>
        <w:t xml:space="preserve"> </w:t>
      </w:r>
      <w:r w:rsidR="00D832AE">
        <w:rPr>
          <w:rFonts w:eastAsia="Times New Roman"/>
          <w:shd w:val="clear" w:color="auto" w:fill="FFFFFF"/>
        </w:rPr>
        <w:fldChar w:fldCharType="begin" w:fldLock="1"/>
      </w:r>
      <w:r w:rsidR="00D832AE">
        <w:rPr>
          <w:rFonts w:eastAsia="Times New Roman"/>
          <w:shd w:val="clear" w:color="auto" w:fill="FFFFFF"/>
        </w:rPr>
        <w:instrText>ADDIN CSL_CITATION {"citationItems":[{"id":"ITEM-1","itemData":{"DOI":"10.1158/0008-5472.CAN-10-2379","ISSN":"1538-7445","PMID":"21135116","abstract":"Intrauterine and early life exposure to folic acid has significantly increased in North America owing to folic acid fortification, widespread supplemental use, and periconceptional supplementation. We investigated the effects of maternal and postweaning folic acid supplementation on mammary tumor risk in the offspring. Female rats were placed on a control or folic acid-supplemented diet prior to mating and during pregnancy and lactation. At weaning, female pups from each maternal diet group were randomized to the control or supplemented diet and mammary tumors were induced with 7,12 dimethylbenz[a]anthracene at puberty. At necropsy, mammary tumor parameters, genomic DNA methylation, and DNA methyltransferase activity were determined in the offspring. Both maternal and postweaning folic acid supplementation significantly increased the risk of mammary adenocarcinomas in the offspring (OR = 2.1, 95% CI 1.2-3.8, P = 0.008 and OR = 1.9, 95% CI 1.1-3.3, P = 0.03, respectively). Maternal folic acid supplementation also significantly accelerated the rate of mammary adenocarcinoma appearance (P = 0.002) and increased the multiplicity of mammary adenocarcinomas (P = 0.008) in the offspring. Maternal, but not postweaning, folic acid supplementation significantly reduced global DNA methylation (P = 0.03), whereas postweaning, but not maternal, folic acid supplementation significantly decreased DNA methyltransferase activity (P = 0.05) in nonneoplastic mammary glands of the offspring. Our findings suggest that a high intrauterine and postweaning dietary exposure to folic acid may increase the risk of mammary tumors in the offspring. Further, they suggest that this tumor-promoting effect may be mediated in part by altered DNA methylation and DNMT activity.","author":[{"dropping-particle":"","family":"Ly","given":"Anna","non-dropping-particle":"","parse-names":false,"suffix":""},{"dropping-particle":"","family":"Lee","given":"Hanna","non-dropping-particle":"","parse-names":false,"suffix":""},{"dropping-particle":"","family":"Chen","given":"Jianmin","non-dropping-particle":"","parse-names":false,"suffix":""},{"dropping-particle":"","family":"Sie","given":"Karen K Y","non-dropping-particle":"","parse-names":false,"suffix":""},{"dropping-particle":"","family":"Renlund","given":"Richard","non-dropping-particle":"","parse-names":false,"suffix":""},{"dropping-particle":"","family":"Medline","given":"Alan","non-dropping-particle":"","parse-names":false,"suffix":""},{"dropping-particle":"","family":"Sohn","given":"Kyoung-Jin","non-dropping-particle":"","parse-names":false,"suffix":""},{"dropping-particle":"","family":"Croxford","given":"Ruth","non-dropping-particle":"","parse-names":false,"suffix":""},{"dropping-particle":"","family":"Thompson","given":"Lilian U","non-dropping-particle":"","parse-names":false,"suffix":""},{"dropping-particle":"","family":"Kim","given":"Young-In","non-dropping-particle":"","parse-names":false,"suffix":""}],"container-title":"Cancer Res","id":"ITEM-1","issue":"3","issued":{"date-parts":[["2011","2","1"]]},"note":"reference diets","page":"988-97","title":"Effect of maternal and postweaning folic acid supplementation on mammary tumor risk in the offspring.","type":"article-journal","volume":"71"},"uris":["http://www.mendeley.com/documents/?uuid=88da867f-e012-4216-91a5-3ea2b9704cc7"]}],"mendeley":{"formattedCitation":"(Ly et al., 2011)","plainTextFormattedCitation":"(Ly et al., 2011)","previouslyFormattedCitation":"(Ly et al., 2011)"},"properties":{"noteIndex":0},"schema":"https://github.com/citation-style-language/schema/raw/master/csl-citation.json"}</w:instrText>
      </w:r>
      <w:r w:rsidR="00D832AE">
        <w:rPr>
          <w:rFonts w:eastAsia="Times New Roman"/>
          <w:shd w:val="clear" w:color="auto" w:fill="FFFFFF"/>
        </w:rPr>
        <w:fldChar w:fldCharType="separate"/>
      </w:r>
      <w:r w:rsidR="00D832AE" w:rsidRPr="00D832AE">
        <w:rPr>
          <w:rFonts w:eastAsia="Times New Roman"/>
          <w:noProof/>
          <w:shd w:val="clear" w:color="auto" w:fill="FFFFFF"/>
        </w:rPr>
        <w:t>(Ly et al., 2011)</w:t>
      </w:r>
      <w:r w:rsidR="00D832AE">
        <w:rPr>
          <w:rFonts w:eastAsia="Times New Roman"/>
          <w:shd w:val="clear" w:color="auto" w:fill="FFFFFF"/>
        </w:rPr>
        <w:fldChar w:fldCharType="end"/>
      </w:r>
      <w:r w:rsidR="00FD6378" w:rsidRPr="00222243">
        <w:rPr>
          <w:rFonts w:eastAsia="Times New Roman"/>
          <w:shd w:val="clear" w:color="auto" w:fill="FFFFFF"/>
        </w:rPr>
        <w:t>.</w:t>
      </w:r>
      <w:r w:rsidR="00807A6B">
        <w:rPr>
          <w:rFonts w:eastAsia="Times New Roman"/>
          <w:shd w:val="clear" w:color="auto" w:fill="FFFFFF"/>
        </w:rPr>
        <w:t xml:space="preserve"> However, moderate but not excess levels of </w:t>
      </w:r>
      <w:r w:rsidR="00D8004A">
        <w:rPr>
          <w:rFonts w:eastAsia="Times New Roman"/>
          <w:shd w:val="clear" w:color="auto" w:fill="FFFFFF"/>
        </w:rPr>
        <w:t xml:space="preserve">mouse </w:t>
      </w:r>
      <w:r w:rsidR="00807A6B">
        <w:rPr>
          <w:rFonts w:eastAsia="Times New Roman"/>
          <w:shd w:val="clear" w:color="auto" w:fill="FFFFFF"/>
        </w:rPr>
        <w:t xml:space="preserve">maternal </w:t>
      </w:r>
      <w:r w:rsidR="00DC2BE2">
        <w:rPr>
          <w:rFonts w:eastAsia="Times New Roman"/>
          <w:shd w:val="clear" w:color="auto" w:fill="FFFFFF"/>
        </w:rPr>
        <w:t>FA</w:t>
      </w:r>
      <w:r w:rsidR="00807A6B">
        <w:rPr>
          <w:rFonts w:eastAsia="Times New Roman"/>
          <w:shd w:val="clear" w:color="auto" w:fill="FFFFFF"/>
        </w:rPr>
        <w:t xml:space="preserve"> intake</w:t>
      </w:r>
      <w:r w:rsidR="00D8004A">
        <w:rPr>
          <w:rFonts w:eastAsia="Times New Roman"/>
          <w:shd w:val="clear" w:color="auto" w:fill="FFFFFF"/>
        </w:rPr>
        <w:t xml:space="preserve"> may improve success in assisted reproduction treatment</w:t>
      </w:r>
      <w:r w:rsidR="00DC2BE2">
        <w:rPr>
          <w:rFonts w:eastAsia="Times New Roman"/>
          <w:shd w:val="clear" w:color="auto" w:fill="FFFFFF"/>
        </w:rPr>
        <w:t xml:space="preserve"> </w:t>
      </w:r>
      <w:r w:rsidR="00DC2BE2">
        <w:rPr>
          <w:rFonts w:eastAsia="Times New Roman"/>
          <w:shd w:val="clear" w:color="auto" w:fill="FFFFFF"/>
        </w:rPr>
        <w:fldChar w:fldCharType="begin" w:fldLock="1"/>
      </w:r>
      <w:r w:rsidR="000369D5">
        <w:rPr>
          <w:rFonts w:eastAsia="Times New Roman"/>
          <w:shd w:val="clear" w:color="auto" w:fill="FFFFFF"/>
        </w:rPr>
        <w:instrText>ADDIN CSL_CITATION {"citationItems":[{"id":"ITEM-1","itemData":{"DOI":"10.1093/humrep/dez036","ISSN":"0268-1161","author":[{"dropping-particle":"","family":"Rahimi","given":"Sophia","non-dropping-particle":"","parse-names":false,"suffix":""},{"dropping-particle":"","family":"Martel","given":"Josée","non-dropping-particle":"","parse-names":false,"suffix":""},{"dropping-particle":"","family":"Karahan","given":"Gurbet","non-dropping-particle":"","parse-names":false,"suffix":""},{"dropping-particle":"","family":"Angle","given":"Camille","non-dropping-particle":"","parse-names":false,"suffix":""},{"dropping-particle":"","family":"Behan","given":"Nathalie A","non-dropping-particle":"","parse-names":false,"suffix":""},{"dropping-particle":"","family":"Chan","given":"Donovan","non-dropping-particle":"","parse-names":false,"suffix":""},{"dropping-particle":"","family":"MacFarlane","given":"Amanda J","non-dropping-particle":"","parse-names":false,"suffix":""},{"dropping-particle":"","family":"Trasler","given":"Jacquetta M","non-dropping-particle":"","parse-names":false,"suffix":""}],"container-title":"Human Reproduction","id":"ITEM-1","issue":"5","issued":{"date-parts":[["2019","4","16"]]},"page":"851-862","title":"Moderate maternal folic acid supplementation ameliorates adverse embryonic and epigenetic outcomes associated with assisted reproduction in a mouse model","type":"article-journal","volume":"34"},"uris":["http://www.mendeley.com/documents/?uuid=884de761-8655-4d8f-84aa-58e091e34a6e"]}],"mendeley":{"formattedCitation":"(Rahimi et al., 2019)","plainTextFormattedCitation":"(Rahimi et al., 2019)","previouslyFormattedCitation":"(Rahimi et al., 2019)"},"properties":{"noteIndex":0},"schema":"https://github.com/citation-style-language/schema/raw/master/csl-citation.json"}</w:instrText>
      </w:r>
      <w:r w:rsidR="00DC2BE2">
        <w:rPr>
          <w:rFonts w:eastAsia="Times New Roman"/>
          <w:shd w:val="clear" w:color="auto" w:fill="FFFFFF"/>
        </w:rPr>
        <w:fldChar w:fldCharType="separate"/>
      </w:r>
      <w:r w:rsidR="00DC2BE2" w:rsidRPr="00DC2BE2">
        <w:rPr>
          <w:rFonts w:eastAsia="Times New Roman"/>
          <w:noProof/>
          <w:shd w:val="clear" w:color="auto" w:fill="FFFFFF"/>
        </w:rPr>
        <w:t>(Rahimi et al., 2019)</w:t>
      </w:r>
      <w:r w:rsidR="00DC2BE2">
        <w:rPr>
          <w:rFonts w:eastAsia="Times New Roman"/>
          <w:shd w:val="clear" w:color="auto" w:fill="FFFFFF"/>
        </w:rPr>
        <w:fldChar w:fldCharType="end"/>
      </w:r>
      <w:r w:rsidR="00DC2BE2">
        <w:rPr>
          <w:rFonts w:eastAsia="Times New Roman"/>
          <w:shd w:val="clear" w:color="auto" w:fill="FFFFFF"/>
        </w:rPr>
        <w:t>.</w:t>
      </w:r>
    </w:p>
    <w:p w14:paraId="25842407" w14:textId="77777777" w:rsidR="0096692B" w:rsidRPr="00222243" w:rsidRDefault="0096692B" w:rsidP="00F0455A">
      <w:pPr>
        <w:spacing w:line="480" w:lineRule="auto"/>
        <w:ind w:firstLine="720"/>
      </w:pPr>
    </w:p>
    <w:p w14:paraId="3459AA0C" w14:textId="2A159732" w:rsidR="00161478" w:rsidRPr="00222243" w:rsidRDefault="00A4215B" w:rsidP="00F0455A">
      <w:pPr>
        <w:spacing w:line="480" w:lineRule="auto"/>
        <w:ind w:firstLine="720"/>
      </w:pPr>
      <w:r>
        <w:t>D</w:t>
      </w:r>
      <w:r w:rsidR="00CB574B" w:rsidRPr="00222243">
        <w:t>espite the</w:t>
      </w:r>
      <w:r w:rsidR="00CC31D9" w:rsidRPr="00222243">
        <w:t>se</w:t>
      </w:r>
      <w:r w:rsidR="00CB574B" w:rsidRPr="00222243">
        <w:t xml:space="preserve"> </w:t>
      </w:r>
      <w:r w:rsidR="006D6D3B" w:rsidRPr="00222243">
        <w:t>findings</w:t>
      </w:r>
      <w:r w:rsidR="00CB574B" w:rsidRPr="00222243">
        <w:t xml:space="preserve"> that </w:t>
      </w:r>
      <w:r w:rsidR="00CC31D9" w:rsidRPr="00222243">
        <w:t xml:space="preserve">high </w:t>
      </w:r>
      <w:r w:rsidR="00AA1861" w:rsidRPr="00222243">
        <w:t xml:space="preserve">maternal </w:t>
      </w:r>
      <w:r w:rsidR="00CB574B" w:rsidRPr="00222243">
        <w:t xml:space="preserve">FA intake </w:t>
      </w:r>
      <w:r>
        <w:t>may adversely</w:t>
      </w:r>
      <w:r w:rsidRPr="00222243">
        <w:t xml:space="preserve"> </w:t>
      </w:r>
      <w:r w:rsidR="00CC31D9" w:rsidRPr="00222243">
        <w:t>affect embryo development and offspring phenotype,</w:t>
      </w:r>
      <w:r w:rsidR="00CB574B" w:rsidRPr="00222243">
        <w:t xml:space="preserve"> </w:t>
      </w:r>
      <w:r w:rsidR="00161478" w:rsidRPr="00222243">
        <w:t xml:space="preserve">there have been </w:t>
      </w:r>
      <w:r w:rsidR="006E3230" w:rsidRPr="006E3230">
        <w:t>none</w:t>
      </w:r>
      <w:r w:rsidR="00161478" w:rsidRPr="006E3230">
        <w:t xml:space="preserve"> studies</w:t>
      </w:r>
      <w:r w:rsidR="00161478" w:rsidRPr="00222243">
        <w:t xml:space="preserve"> investigating how pre </w:t>
      </w:r>
      <w:r w:rsidR="00A813A9" w:rsidRPr="00222243">
        <w:t>and/</w:t>
      </w:r>
      <w:r w:rsidR="00161478" w:rsidRPr="00222243">
        <w:t xml:space="preserve">or periconceptional </w:t>
      </w:r>
      <w:r w:rsidR="002C2A6A" w:rsidRPr="00222243">
        <w:t>high FA</w:t>
      </w:r>
      <w:r w:rsidR="0080679F" w:rsidRPr="00222243">
        <w:t xml:space="preserve"> intake</w:t>
      </w:r>
      <w:r w:rsidR="00161478" w:rsidRPr="00222243">
        <w:t xml:space="preserve"> </w:t>
      </w:r>
      <w:r w:rsidR="00920BB2" w:rsidRPr="00222243">
        <w:t xml:space="preserve">may </w:t>
      </w:r>
      <w:r w:rsidR="00161478" w:rsidRPr="00222243">
        <w:t xml:space="preserve">affect </w:t>
      </w:r>
      <w:r w:rsidR="00AA1861" w:rsidRPr="00222243">
        <w:t xml:space="preserve">lineage determination </w:t>
      </w:r>
      <w:r w:rsidR="00CC31D9" w:rsidRPr="00222243">
        <w:t>or the expression of</w:t>
      </w:r>
      <w:r w:rsidR="006E3230">
        <w:t xml:space="preserve"> </w:t>
      </w:r>
      <w:r w:rsidR="00CC31D9" w:rsidRPr="00222243">
        <w:t xml:space="preserve">epigenetic regulators </w:t>
      </w:r>
      <w:r w:rsidR="00060623" w:rsidRPr="00222243">
        <w:t>that modulate this process during blastocyst development</w:t>
      </w:r>
      <w:r w:rsidR="0001108D" w:rsidRPr="00222243">
        <w:t xml:space="preserve">. </w:t>
      </w:r>
      <w:r w:rsidR="00280112" w:rsidRPr="00222243">
        <w:t>The purpose of this study was to investigate</w:t>
      </w:r>
      <w:r w:rsidR="00247732" w:rsidRPr="00222243">
        <w:t xml:space="preserve"> </w:t>
      </w:r>
      <w:r w:rsidR="00280112" w:rsidRPr="00222243">
        <w:t xml:space="preserve">whether </w:t>
      </w:r>
      <w:r w:rsidR="00247732" w:rsidRPr="00222243">
        <w:rPr>
          <w:rFonts w:eastAsia="Times New Roman"/>
          <w:shd w:val="clear" w:color="auto" w:fill="FFFFFF"/>
        </w:rPr>
        <w:t xml:space="preserve">differences in </w:t>
      </w:r>
      <w:r w:rsidR="0011351C">
        <w:rPr>
          <w:rFonts w:eastAsia="Times New Roman"/>
          <w:shd w:val="clear" w:color="auto" w:fill="FFFFFF"/>
        </w:rPr>
        <w:t xml:space="preserve">maternal </w:t>
      </w:r>
      <w:r w:rsidR="00247732" w:rsidRPr="00222243">
        <w:rPr>
          <w:shd w:val="clear" w:color="auto" w:fill="FFFFFF"/>
        </w:rPr>
        <w:t>periconceptional</w:t>
      </w:r>
      <w:r w:rsidR="00247732" w:rsidRPr="00222243">
        <w:rPr>
          <w:rFonts w:eastAsia="Times New Roman"/>
          <w:shd w:val="clear" w:color="auto" w:fill="FFFFFF"/>
        </w:rPr>
        <w:t xml:space="preserve"> FA intake </w:t>
      </w:r>
      <w:r w:rsidR="0011351C">
        <w:rPr>
          <w:rFonts w:eastAsia="Times New Roman"/>
          <w:shd w:val="clear" w:color="auto" w:fill="FFFFFF"/>
        </w:rPr>
        <w:t xml:space="preserve">may </w:t>
      </w:r>
      <w:r w:rsidR="00247732" w:rsidRPr="00222243">
        <w:rPr>
          <w:rFonts w:eastAsia="Times New Roman"/>
          <w:shd w:val="clear" w:color="auto" w:fill="FFFFFF"/>
        </w:rPr>
        <w:t xml:space="preserve">modify </w:t>
      </w:r>
      <w:r w:rsidR="0011351C">
        <w:rPr>
          <w:rFonts w:eastAsia="Times New Roman"/>
          <w:shd w:val="clear" w:color="auto" w:fill="FFFFFF"/>
        </w:rPr>
        <w:t>gene expression and early morphogenesis</w:t>
      </w:r>
      <w:r w:rsidR="00280112" w:rsidRPr="00222243">
        <w:rPr>
          <w:rStyle w:val="Emphasis"/>
          <w:rFonts w:eastAsia="Times New Roman"/>
          <w:bCs/>
          <w:i w:val="0"/>
          <w:iCs w:val="0"/>
        </w:rPr>
        <w:t xml:space="preserve">. We used a </w:t>
      </w:r>
      <w:r w:rsidR="00CB574B" w:rsidRPr="00222243">
        <w:t>mouse model</w:t>
      </w:r>
      <w:r w:rsidR="00280112" w:rsidRPr="00222243">
        <w:t xml:space="preserve"> to</w:t>
      </w:r>
      <w:r w:rsidR="006D6D3B" w:rsidRPr="00222243">
        <w:t xml:space="preserve"> </w:t>
      </w:r>
      <w:r w:rsidR="00161478" w:rsidRPr="00222243">
        <w:t xml:space="preserve">examine the effect of </w:t>
      </w:r>
      <w:r w:rsidR="00247732" w:rsidRPr="00222243">
        <w:t>high</w:t>
      </w:r>
      <w:r w:rsidR="00807A6B">
        <w:t xml:space="preserve"> (five-fold recommended daily level)</w:t>
      </w:r>
      <w:r w:rsidR="00247732" w:rsidRPr="00222243">
        <w:t xml:space="preserve"> maternal </w:t>
      </w:r>
      <w:r w:rsidR="00161478" w:rsidRPr="00222243">
        <w:t xml:space="preserve">FA </w:t>
      </w:r>
      <w:r w:rsidR="00247732" w:rsidRPr="00222243">
        <w:t xml:space="preserve">intake </w:t>
      </w:r>
      <w:r w:rsidR="00161478" w:rsidRPr="00222243">
        <w:t xml:space="preserve">4 weeks prior to conception and/or during the </w:t>
      </w:r>
      <w:r w:rsidR="00F84D95" w:rsidRPr="00222243">
        <w:t>preimplantation</w:t>
      </w:r>
      <w:r w:rsidR="00161478" w:rsidRPr="00222243">
        <w:t xml:space="preserve"> period on </w:t>
      </w:r>
      <w:r w:rsidR="00CB574B" w:rsidRPr="00222243">
        <w:t xml:space="preserve">blastocyst </w:t>
      </w:r>
      <w:r w:rsidR="00161478" w:rsidRPr="00222243">
        <w:t xml:space="preserve">number, </w:t>
      </w:r>
      <w:r w:rsidR="00060623" w:rsidRPr="00222243">
        <w:t>lineage allocation and the</w:t>
      </w:r>
      <w:r w:rsidR="006D6D3B" w:rsidRPr="00222243">
        <w:t xml:space="preserve"> </w:t>
      </w:r>
      <w:r w:rsidR="00161478" w:rsidRPr="00222243">
        <w:t xml:space="preserve">expression </w:t>
      </w:r>
      <w:r w:rsidR="00181A80" w:rsidRPr="00222243">
        <w:t xml:space="preserve">of </w:t>
      </w:r>
      <w:r w:rsidR="00060623" w:rsidRPr="00222243">
        <w:t>key epigenetic regulators</w:t>
      </w:r>
      <w:r w:rsidR="00161478" w:rsidRPr="00222243">
        <w:t xml:space="preserve">. </w:t>
      </w:r>
    </w:p>
    <w:p w14:paraId="40B4A683" w14:textId="77777777" w:rsidR="005F02BD" w:rsidRPr="00222243" w:rsidRDefault="005F02BD" w:rsidP="009D5F38">
      <w:pPr>
        <w:rPr>
          <w:highlight w:val="green"/>
        </w:rPr>
      </w:pPr>
    </w:p>
    <w:p w14:paraId="4A51CD86" w14:textId="3E034414" w:rsidR="00923B5A" w:rsidRPr="00222243" w:rsidRDefault="00923B5A" w:rsidP="00B709B2">
      <w:pPr>
        <w:spacing w:line="480" w:lineRule="auto"/>
      </w:pPr>
      <w:r w:rsidRPr="00222243">
        <w:br w:type="page"/>
      </w:r>
    </w:p>
    <w:p w14:paraId="73D0CD00" w14:textId="5EDC4DF7" w:rsidR="008832E1" w:rsidRPr="00222243" w:rsidRDefault="00AD4CEE" w:rsidP="008832E1">
      <w:pPr>
        <w:pStyle w:val="Heading1"/>
        <w:rPr>
          <w:color w:val="auto"/>
        </w:rPr>
      </w:pPr>
      <w:r w:rsidRPr="00222243">
        <w:rPr>
          <w:color w:val="auto"/>
        </w:rPr>
        <w:lastRenderedPageBreak/>
        <w:t>Methods</w:t>
      </w:r>
    </w:p>
    <w:p w14:paraId="30F33FD7" w14:textId="57404D35" w:rsidR="008832E1" w:rsidRPr="00222243" w:rsidRDefault="00CC0660" w:rsidP="008832E1">
      <w:pPr>
        <w:pStyle w:val="Heading2"/>
        <w:rPr>
          <w:color w:val="auto"/>
        </w:rPr>
      </w:pPr>
      <w:r w:rsidRPr="00222243">
        <w:rPr>
          <w:color w:val="auto"/>
        </w:rPr>
        <w:t>Animals and diet</w:t>
      </w:r>
    </w:p>
    <w:p w14:paraId="740A8B55" w14:textId="6AA66487" w:rsidR="00914DB2" w:rsidRPr="00130EEF" w:rsidRDefault="4C47AB05" w:rsidP="00412760">
      <w:pPr>
        <w:spacing w:line="480" w:lineRule="auto"/>
        <w:rPr>
          <w:rFonts w:asciiTheme="majorBidi" w:hAnsiTheme="majorBidi" w:cstheme="majorBidi"/>
          <w:color w:val="000000" w:themeColor="text1"/>
        </w:rPr>
      </w:pPr>
      <w:r w:rsidRPr="00222243">
        <w:t xml:space="preserve">All experimental procedures were conducted using protocols </w:t>
      </w:r>
      <w:r w:rsidR="00424B4F" w:rsidRPr="00222243">
        <w:t>approved by</w:t>
      </w:r>
      <w:r w:rsidRPr="00222243">
        <w:t xml:space="preserve"> and in accordance with the United Kingdom Home Office Animals (Scientific Procedures) Act 1986 and local </w:t>
      </w:r>
      <w:r w:rsidR="00416990" w:rsidRPr="00222243">
        <w:t>E</w:t>
      </w:r>
      <w:r w:rsidRPr="00222243">
        <w:t xml:space="preserve">thics </w:t>
      </w:r>
      <w:r w:rsidR="00416990" w:rsidRPr="00222243">
        <w:t>C</w:t>
      </w:r>
      <w:r w:rsidRPr="00222243">
        <w:t xml:space="preserve">ommittee at the University of Southampton under </w:t>
      </w:r>
      <w:r w:rsidR="00D45F91" w:rsidRPr="00222243">
        <w:t xml:space="preserve">the </w:t>
      </w:r>
      <w:r w:rsidRPr="00222243">
        <w:t xml:space="preserve">United Kingdom Home Office Project License PPL30/2968 and PPL30/3001. </w:t>
      </w:r>
      <w:r w:rsidR="004F2080" w:rsidRPr="00222243">
        <w:t xml:space="preserve">Virgin female C57BL/6 </w:t>
      </w:r>
      <w:r w:rsidR="002005FB" w:rsidRPr="00222243">
        <w:t>mice</w:t>
      </w:r>
      <w:r w:rsidRPr="00222243">
        <w:t xml:space="preserve"> were fed a maintenance</w:t>
      </w:r>
      <w:r w:rsidR="002C1533" w:rsidRPr="00222243">
        <w:t xml:space="preserve"> </w:t>
      </w:r>
      <w:r w:rsidRPr="00222243">
        <w:t>diet (</w:t>
      </w:r>
      <w:r w:rsidR="002C1533" w:rsidRPr="00222243">
        <w:t xml:space="preserve">RM1; </w:t>
      </w:r>
      <w:r w:rsidRPr="00222243">
        <w:t xml:space="preserve">Special Diet Services, Ltd.) </w:t>
      </w:r>
      <w:r w:rsidR="00923B5A" w:rsidRPr="00222243">
        <w:t xml:space="preserve">prior to the experimental period. </w:t>
      </w:r>
      <w:r w:rsidR="004F2080" w:rsidRPr="00222243">
        <w:t>O</w:t>
      </w:r>
      <w:r w:rsidR="00FF5622" w:rsidRPr="00222243">
        <w:t xml:space="preserve">n </w:t>
      </w:r>
      <w:r w:rsidR="006E3230">
        <w:t xml:space="preserve">a </w:t>
      </w:r>
      <w:r w:rsidR="002C1533" w:rsidRPr="00222243">
        <w:t>postnatal day (</w:t>
      </w:r>
      <w:r w:rsidR="00FF5622" w:rsidRPr="00222243">
        <w:t>PND</w:t>
      </w:r>
      <w:r w:rsidR="002C1533" w:rsidRPr="00222243">
        <w:t>)</w:t>
      </w:r>
      <w:r w:rsidR="00FF5622" w:rsidRPr="00222243">
        <w:t xml:space="preserve"> </w:t>
      </w:r>
      <w:r w:rsidR="00022336" w:rsidRPr="00222243">
        <w:t>74, mice</w:t>
      </w:r>
      <w:r w:rsidR="004F2080" w:rsidRPr="00222243">
        <w:t xml:space="preserve"> </w:t>
      </w:r>
      <w:r w:rsidR="00FF5622" w:rsidRPr="00222243">
        <w:t xml:space="preserve">were fed either a </w:t>
      </w:r>
      <w:r w:rsidR="006E3230">
        <w:t>C</w:t>
      </w:r>
      <w:r w:rsidR="002C1533" w:rsidRPr="00222243">
        <w:t xml:space="preserve">ontrol </w:t>
      </w:r>
      <w:r w:rsidR="001462A9" w:rsidRPr="00222243">
        <w:t xml:space="preserve">(Con) </w:t>
      </w:r>
      <w:r w:rsidR="007B5FCD" w:rsidRPr="00222243">
        <w:t>FA diet</w:t>
      </w:r>
      <w:r w:rsidR="00807A6B">
        <w:t xml:space="preserve"> containing rodent </w:t>
      </w:r>
      <w:r w:rsidR="00807A6B" w:rsidRPr="00130EEF">
        <w:rPr>
          <w:color w:val="000000" w:themeColor="text1"/>
        </w:rPr>
        <w:t>recommended daily intake</w:t>
      </w:r>
      <w:r w:rsidR="007B5FCD" w:rsidRPr="00130EEF">
        <w:rPr>
          <w:color w:val="000000" w:themeColor="text1"/>
        </w:rPr>
        <w:t xml:space="preserve"> </w:t>
      </w:r>
      <w:r w:rsidR="0001108D" w:rsidRPr="00130EEF">
        <w:rPr>
          <w:color w:val="000000" w:themeColor="text1"/>
        </w:rPr>
        <w:t>(</w:t>
      </w:r>
      <w:r w:rsidR="00FF5622" w:rsidRPr="00130EEF">
        <w:rPr>
          <w:color w:val="000000" w:themeColor="text1"/>
        </w:rPr>
        <w:t>1 mg of FA/kg</w:t>
      </w:r>
      <w:r w:rsidR="004A154D" w:rsidRPr="00130EEF">
        <w:rPr>
          <w:color w:val="000000" w:themeColor="text1"/>
        </w:rPr>
        <w:t xml:space="preserve"> of feed AIN 93M</w:t>
      </w:r>
      <w:r w:rsidR="002C1533" w:rsidRPr="00130EEF">
        <w:rPr>
          <w:color w:val="000000" w:themeColor="text1"/>
        </w:rPr>
        <w:t>)</w:t>
      </w:r>
      <w:r w:rsidR="00FF5622" w:rsidRPr="00130EEF">
        <w:rPr>
          <w:color w:val="000000" w:themeColor="text1"/>
        </w:rPr>
        <w:t xml:space="preserve"> </w:t>
      </w:r>
      <w:r w:rsidR="00BD0F92" w:rsidRPr="00130EEF">
        <w:rPr>
          <w:color w:val="000000" w:themeColor="text1"/>
        </w:rPr>
        <w:t>(Test Diet, US.)</w:t>
      </w:r>
      <w:r w:rsidR="002E2B79" w:rsidRPr="00130EEF">
        <w:rPr>
          <w:color w:val="000000" w:themeColor="text1"/>
        </w:rPr>
        <w:t xml:space="preserve"> </w:t>
      </w:r>
      <w:r w:rsidR="00E836C3" w:rsidRPr="00130EEF">
        <w:rPr>
          <w:color w:val="000000" w:themeColor="text1"/>
        </w:rPr>
        <w:fldChar w:fldCharType="begin" w:fldLock="1"/>
      </w:r>
      <w:r w:rsidR="001A5C04" w:rsidRPr="00130EEF">
        <w:rPr>
          <w:color w:val="000000" w:themeColor="text1"/>
        </w:rPr>
        <w:instrText>ADDIN CSL_CITATION {"citationItems":[{"id":"ITEM-1","itemData":{"DOI":"10.1093/jn/123.11.1939","ISBN":"0022-3166 (Print)\\n0022-3166 (Linking)","ISSN":"0022-3166","PMID":"8229312","abstract":"For sixteen years, the American Institute of Nutrition Rodent Diets, AIN-76 and AIN-76A, have been used extensively around the world. Because of numerous nutritional and technical problems encountered with the diet during this period, it was revised. Two new formulations were derived: AIN-93G for growth, pregnancy and lactation, and AIN-93M for adult maintenance. Some major differences in the new formulation of AIN-93G compared with AIN-76A are as follows: 7 g soybean oil/100 g diet was substituted for 5 g corn oil/100 g diet to increase the amount of linolenic acid; cornstarch was substituted for sucrose; the amount of phosphorus was reduced to help eliminate the problem of kidney calcification in female rats; L-cystine was substituted for DL-methionine as the amino acid supplement for casein, known to be deficient in the sulfur amino acids; manganese concentration was lowered to one-fifth the amount in the old diet; the amounts of vitamin E, vitamin K and vitamin B-12 were increased; and molybdenum, silicon, fluoride, nickel, boron, lithium and vanadium were added to the mineral mix. For the AIN-93M maintenance diet, the amount of fat was lowered to 40 g/kg diet from 70 g/kg diet, and the amount of casein to 140 g/kg from 200 g/kg in the AIN-93G diet. Because of a better balance of essential nutrients, the AIN-93 diets may prove to be a better choice than AIN-76A for long-term as well as short-term studies with laboratory rodents.","author":[{"dropping-particle":"","family":"Reeves","given":"Philip G","non-dropping-particle":"","parse-names":false,"suffix":""},{"dropping-particle":"","family":"Nielsen","given":"Forrest H","non-dropping-particle":"","parse-names":false,"suffix":""},{"dropping-particle":"","family":"Fahey","given":"George C","non-dropping-particle":"","parse-names":false,"suffix":""}],"container-title":"The Journal of Nutrition","editor":[{"dropping-particle":"","family":"Intergovernmental Panel on Climate Change","given":"","non-dropping-particle":"","parse-names":false,"suffix":""}],"id":"ITEM-1","issue":"11","issued":{"date-parts":[["1993","11","1"]]},"page":"1939-1951","publisher":"Cambridge University Press","publisher-place":"Cambridge","title":"AIN-93 Purified Diets for Laboratory Rodents: Final Report of the American Institute of Nutrition Ad Hoc Writing Committee on the Reformulation of the AIN-76A Rodent Diet","type":"article-journal","volume":"123"},"uris":["http://www.mendeley.com/documents/?uuid=438b2b93-c2f3-4025-8077-0656532cea73"]}],"mendeley":{"formattedCitation":"(Reeves, Nielsen, &amp; Fahey, 1993)","plainTextFormattedCitation":"(Reeves, Nielsen, &amp; Fahey, 1993)","previouslyFormattedCitation":"(Reeves, Nielsen, &amp; Fahey, 1993)"},"properties":{"noteIndex":0},"schema":"https://github.com/citation-style-language/schema/raw/master/csl-citation.json"}</w:instrText>
      </w:r>
      <w:r w:rsidR="00E836C3" w:rsidRPr="00130EEF">
        <w:rPr>
          <w:color w:val="000000" w:themeColor="text1"/>
        </w:rPr>
        <w:fldChar w:fldCharType="separate"/>
      </w:r>
      <w:r w:rsidR="00E836C3" w:rsidRPr="00130EEF">
        <w:rPr>
          <w:noProof/>
          <w:color w:val="000000" w:themeColor="text1"/>
        </w:rPr>
        <w:t>(Reeves, Nielsen, &amp; Fahey, 1993)</w:t>
      </w:r>
      <w:r w:rsidR="00E836C3" w:rsidRPr="00130EEF">
        <w:rPr>
          <w:color w:val="000000" w:themeColor="text1"/>
        </w:rPr>
        <w:fldChar w:fldCharType="end"/>
      </w:r>
      <w:r w:rsidR="00FF5622" w:rsidRPr="00130EEF">
        <w:rPr>
          <w:color w:val="000000" w:themeColor="text1"/>
        </w:rPr>
        <w:t xml:space="preserve"> </w:t>
      </w:r>
      <w:r w:rsidR="00B91F35" w:rsidRPr="00130EEF">
        <w:rPr>
          <w:color w:val="000000" w:themeColor="text1"/>
        </w:rPr>
        <w:t xml:space="preserve">or a </w:t>
      </w:r>
      <w:r w:rsidR="007B5FCD" w:rsidRPr="00130EEF">
        <w:rPr>
          <w:color w:val="000000" w:themeColor="text1"/>
        </w:rPr>
        <w:t>high</w:t>
      </w:r>
      <w:r w:rsidR="002C1533" w:rsidRPr="00130EEF">
        <w:rPr>
          <w:color w:val="000000" w:themeColor="text1"/>
        </w:rPr>
        <w:t>er</w:t>
      </w:r>
      <w:r w:rsidR="007B5FCD" w:rsidRPr="00130EEF">
        <w:rPr>
          <w:color w:val="000000" w:themeColor="text1"/>
        </w:rPr>
        <w:t xml:space="preserve"> </w:t>
      </w:r>
      <w:r w:rsidR="00B91F35" w:rsidRPr="00130EEF">
        <w:rPr>
          <w:color w:val="000000" w:themeColor="text1"/>
        </w:rPr>
        <w:t xml:space="preserve">FA </w:t>
      </w:r>
      <w:r w:rsidR="001462A9" w:rsidRPr="00130EEF">
        <w:rPr>
          <w:color w:val="000000" w:themeColor="text1"/>
        </w:rPr>
        <w:t xml:space="preserve">(HFA) </w:t>
      </w:r>
      <w:r w:rsidR="00B91F35" w:rsidRPr="00130EEF">
        <w:rPr>
          <w:color w:val="000000" w:themeColor="text1"/>
        </w:rPr>
        <w:t xml:space="preserve">diet </w:t>
      </w:r>
      <w:r w:rsidR="0001108D" w:rsidRPr="00130EEF">
        <w:rPr>
          <w:color w:val="000000" w:themeColor="text1"/>
        </w:rPr>
        <w:t>(</w:t>
      </w:r>
      <w:r w:rsidR="00B91F35" w:rsidRPr="00130EEF">
        <w:rPr>
          <w:color w:val="000000" w:themeColor="text1"/>
        </w:rPr>
        <w:t>5</w:t>
      </w:r>
      <w:r w:rsidR="00AC2EF3" w:rsidRPr="00130EEF">
        <w:rPr>
          <w:color w:val="000000" w:themeColor="text1"/>
        </w:rPr>
        <w:t xml:space="preserve"> </w:t>
      </w:r>
      <w:r w:rsidR="00B91F35" w:rsidRPr="00130EEF">
        <w:rPr>
          <w:color w:val="000000" w:themeColor="text1"/>
        </w:rPr>
        <w:t>mg/kg of feed</w:t>
      </w:r>
      <w:r w:rsidR="004A154D" w:rsidRPr="00130EEF">
        <w:rPr>
          <w:color w:val="000000" w:themeColor="text1"/>
        </w:rPr>
        <w:t xml:space="preserve"> AIN 93M</w:t>
      </w:r>
      <w:r w:rsidR="0001108D" w:rsidRPr="00130EEF">
        <w:rPr>
          <w:color w:val="000000" w:themeColor="text1"/>
        </w:rPr>
        <w:t>)</w:t>
      </w:r>
      <w:r w:rsidR="00B91F35" w:rsidRPr="00130EEF">
        <w:rPr>
          <w:color w:val="000000" w:themeColor="text1"/>
        </w:rPr>
        <w:t xml:space="preserve"> (test Diet, US) </w:t>
      </w:r>
      <w:r w:rsidR="00FF5622" w:rsidRPr="00130EEF">
        <w:rPr>
          <w:color w:val="000000" w:themeColor="text1"/>
        </w:rPr>
        <w:t xml:space="preserve">for </w:t>
      </w:r>
      <w:r w:rsidR="00572AAA" w:rsidRPr="00130EEF">
        <w:rPr>
          <w:color w:val="000000" w:themeColor="text1"/>
        </w:rPr>
        <w:t xml:space="preserve">4 </w:t>
      </w:r>
      <w:r w:rsidR="00FF5622" w:rsidRPr="00130EEF">
        <w:rPr>
          <w:color w:val="000000" w:themeColor="text1"/>
        </w:rPr>
        <w:t>weeks</w:t>
      </w:r>
      <w:r w:rsidR="00CF50F8" w:rsidRPr="00130EEF">
        <w:rPr>
          <w:color w:val="000000" w:themeColor="text1"/>
        </w:rPr>
        <w:t xml:space="preserve"> (Table </w:t>
      </w:r>
      <w:r w:rsidR="00222243" w:rsidRPr="00130EEF">
        <w:rPr>
          <w:color w:val="000000" w:themeColor="text1"/>
        </w:rPr>
        <w:t>S</w:t>
      </w:r>
      <w:r w:rsidR="00CF50F8" w:rsidRPr="00130EEF">
        <w:rPr>
          <w:color w:val="000000" w:themeColor="text1"/>
        </w:rPr>
        <w:t>1)</w:t>
      </w:r>
      <w:r w:rsidR="00B91F35" w:rsidRPr="00130EEF">
        <w:rPr>
          <w:color w:val="000000" w:themeColor="text1"/>
        </w:rPr>
        <w:t>.</w:t>
      </w:r>
      <w:r w:rsidR="00CF50F8" w:rsidRPr="00130EEF">
        <w:rPr>
          <w:color w:val="000000" w:themeColor="text1"/>
        </w:rPr>
        <w:t xml:space="preserve"> </w:t>
      </w:r>
      <w:r w:rsidR="00B91F35" w:rsidRPr="00130EEF">
        <w:rPr>
          <w:color w:val="000000" w:themeColor="text1"/>
        </w:rPr>
        <w:t>On PND 102,</w:t>
      </w:r>
      <w:r w:rsidR="00F0455A" w:rsidRPr="00130EEF">
        <w:rPr>
          <w:color w:val="000000" w:themeColor="text1"/>
        </w:rPr>
        <w:t xml:space="preserve"> eight</w:t>
      </w:r>
      <w:r w:rsidR="00D45F91" w:rsidRPr="00130EEF">
        <w:rPr>
          <w:color w:val="000000" w:themeColor="text1"/>
        </w:rPr>
        <w:t xml:space="preserve"> </w:t>
      </w:r>
      <w:r w:rsidR="00F0455A" w:rsidRPr="00130EEF">
        <w:rPr>
          <w:rFonts w:asciiTheme="majorBidi" w:hAnsiTheme="majorBidi" w:cstheme="majorBidi"/>
          <w:color w:val="000000" w:themeColor="text1"/>
        </w:rPr>
        <w:t>animals</w:t>
      </w:r>
      <w:r w:rsidR="00412760" w:rsidRPr="00130EEF">
        <w:rPr>
          <w:rFonts w:asciiTheme="majorBidi" w:hAnsiTheme="majorBidi" w:cstheme="majorBidi"/>
          <w:color w:val="000000" w:themeColor="text1"/>
        </w:rPr>
        <w:t xml:space="preserve"> from each group</w:t>
      </w:r>
      <w:r w:rsidR="00F0455A" w:rsidRPr="00130EEF">
        <w:rPr>
          <w:rFonts w:asciiTheme="majorBidi" w:hAnsiTheme="majorBidi" w:cstheme="majorBidi"/>
          <w:color w:val="000000" w:themeColor="text1"/>
        </w:rPr>
        <w:t xml:space="preserve"> were culled by cervical dislocation</w:t>
      </w:r>
      <w:r w:rsidR="00D45F91" w:rsidRPr="00130EEF">
        <w:rPr>
          <w:rFonts w:asciiTheme="majorBidi" w:hAnsiTheme="majorBidi" w:cstheme="majorBidi"/>
          <w:color w:val="000000" w:themeColor="text1"/>
        </w:rPr>
        <w:t>,</w:t>
      </w:r>
      <w:r w:rsidR="00F0455A" w:rsidRPr="00130EEF">
        <w:rPr>
          <w:rFonts w:asciiTheme="majorBidi" w:hAnsiTheme="majorBidi" w:cstheme="majorBidi"/>
          <w:color w:val="000000" w:themeColor="text1"/>
        </w:rPr>
        <w:t xml:space="preserve"> and </w:t>
      </w:r>
      <w:r w:rsidR="00087438" w:rsidRPr="00130EEF">
        <w:rPr>
          <w:rFonts w:asciiTheme="majorBidi" w:hAnsiTheme="majorBidi" w:cstheme="majorBidi"/>
          <w:color w:val="000000" w:themeColor="text1"/>
        </w:rPr>
        <w:t xml:space="preserve">a </w:t>
      </w:r>
      <w:r w:rsidR="00F0455A" w:rsidRPr="00130EEF">
        <w:rPr>
          <w:rFonts w:asciiTheme="majorBidi" w:hAnsiTheme="majorBidi" w:cstheme="majorBidi"/>
          <w:color w:val="000000" w:themeColor="text1"/>
        </w:rPr>
        <w:t xml:space="preserve">blood sample </w:t>
      </w:r>
      <w:r w:rsidR="00766448" w:rsidRPr="00130EEF">
        <w:rPr>
          <w:rFonts w:asciiTheme="majorBidi" w:hAnsiTheme="majorBidi" w:cstheme="majorBidi"/>
          <w:color w:val="000000" w:themeColor="text1"/>
        </w:rPr>
        <w:t xml:space="preserve">was </w:t>
      </w:r>
      <w:r w:rsidR="00F0455A" w:rsidRPr="00130EEF">
        <w:rPr>
          <w:rFonts w:asciiTheme="majorBidi" w:hAnsiTheme="majorBidi" w:cstheme="majorBidi"/>
          <w:color w:val="000000" w:themeColor="text1"/>
        </w:rPr>
        <w:t xml:space="preserve">collected </w:t>
      </w:r>
      <w:r w:rsidR="00766448" w:rsidRPr="00130EEF">
        <w:rPr>
          <w:rFonts w:asciiTheme="majorBidi" w:hAnsiTheme="majorBidi" w:cstheme="majorBidi"/>
          <w:color w:val="000000" w:themeColor="text1"/>
        </w:rPr>
        <w:t>by cardiac puncture</w:t>
      </w:r>
      <w:r w:rsidR="00EA63B2" w:rsidRPr="00130EEF">
        <w:rPr>
          <w:rFonts w:asciiTheme="majorBidi" w:hAnsiTheme="majorBidi" w:cstheme="majorBidi"/>
          <w:color w:val="000000" w:themeColor="text1"/>
        </w:rPr>
        <w:t xml:space="preserve"> </w:t>
      </w:r>
      <w:r w:rsidR="00F0455A" w:rsidRPr="00130EEF">
        <w:rPr>
          <w:rFonts w:asciiTheme="majorBidi" w:hAnsiTheme="majorBidi" w:cstheme="majorBidi"/>
          <w:color w:val="000000" w:themeColor="text1"/>
        </w:rPr>
        <w:t>for plasma analyses.</w:t>
      </w:r>
      <w:r w:rsidR="00F0455A" w:rsidRPr="00130EEF">
        <w:rPr>
          <w:color w:val="000000" w:themeColor="text1"/>
        </w:rPr>
        <w:t xml:space="preserve"> </w:t>
      </w:r>
      <w:r w:rsidR="004C6D11" w:rsidRPr="00130EEF">
        <w:rPr>
          <w:color w:val="000000" w:themeColor="text1"/>
        </w:rPr>
        <w:t>The r</w:t>
      </w:r>
      <w:r w:rsidR="00333034" w:rsidRPr="00130EEF">
        <w:rPr>
          <w:color w:val="000000" w:themeColor="text1"/>
        </w:rPr>
        <w:t xml:space="preserve">emaining </w:t>
      </w:r>
      <w:r w:rsidR="00B91F35" w:rsidRPr="00130EEF">
        <w:rPr>
          <w:color w:val="000000" w:themeColor="text1"/>
        </w:rPr>
        <w:t>animals</w:t>
      </w:r>
      <w:r w:rsidR="00333034" w:rsidRPr="00130EEF">
        <w:rPr>
          <w:color w:val="000000" w:themeColor="text1"/>
        </w:rPr>
        <w:t xml:space="preserve"> </w:t>
      </w:r>
      <w:r w:rsidR="00B91F35" w:rsidRPr="00130EEF">
        <w:rPr>
          <w:color w:val="000000" w:themeColor="text1"/>
        </w:rPr>
        <w:t>were</w:t>
      </w:r>
      <w:r w:rsidR="00412760" w:rsidRPr="00130EEF">
        <w:rPr>
          <w:color w:val="000000" w:themeColor="text1"/>
        </w:rPr>
        <w:t xml:space="preserve"> mated overnight with C57BL/6 male</w:t>
      </w:r>
      <w:r w:rsidR="00B34184" w:rsidRPr="00130EEF">
        <w:rPr>
          <w:color w:val="000000" w:themeColor="text1"/>
        </w:rPr>
        <w:t xml:space="preserve"> mice</w:t>
      </w:r>
      <w:r w:rsidR="00B91F35" w:rsidRPr="00130EEF">
        <w:rPr>
          <w:color w:val="000000" w:themeColor="text1"/>
        </w:rPr>
        <w:t xml:space="preserve">, and the presence of a positive plug defined as E0.5. The </w:t>
      </w:r>
      <w:r w:rsidR="00480DF8" w:rsidRPr="00130EEF">
        <w:rPr>
          <w:color w:val="000000" w:themeColor="text1"/>
        </w:rPr>
        <w:t>mice were then</w:t>
      </w:r>
      <w:r w:rsidR="00B709B2" w:rsidRPr="00130EEF">
        <w:rPr>
          <w:color w:val="000000" w:themeColor="text1"/>
        </w:rPr>
        <w:t xml:space="preserve"> </w:t>
      </w:r>
      <w:r w:rsidR="00480DF8" w:rsidRPr="00130EEF">
        <w:rPr>
          <w:color w:val="000000" w:themeColor="text1"/>
        </w:rPr>
        <w:t xml:space="preserve">fed </w:t>
      </w:r>
      <w:r w:rsidR="002C1533" w:rsidRPr="00130EEF">
        <w:rPr>
          <w:color w:val="000000" w:themeColor="text1"/>
        </w:rPr>
        <w:t xml:space="preserve">either </w:t>
      </w:r>
      <w:r w:rsidR="00480DF8" w:rsidRPr="00130EEF">
        <w:rPr>
          <w:color w:val="000000" w:themeColor="text1"/>
        </w:rPr>
        <w:t xml:space="preserve">the </w:t>
      </w:r>
      <w:r w:rsidR="006E3230" w:rsidRPr="00130EEF">
        <w:rPr>
          <w:color w:val="000000" w:themeColor="text1"/>
        </w:rPr>
        <w:t>C</w:t>
      </w:r>
      <w:r w:rsidR="00480DF8" w:rsidRPr="00130EEF">
        <w:rPr>
          <w:color w:val="000000" w:themeColor="text1"/>
        </w:rPr>
        <w:t xml:space="preserve">ontrol or </w:t>
      </w:r>
      <w:r w:rsidR="002C1533" w:rsidRPr="00130EEF">
        <w:rPr>
          <w:color w:val="000000" w:themeColor="text1"/>
        </w:rPr>
        <w:t>H</w:t>
      </w:r>
      <w:r w:rsidR="00D32FD3" w:rsidRPr="00130EEF">
        <w:rPr>
          <w:color w:val="000000" w:themeColor="text1"/>
        </w:rPr>
        <w:t xml:space="preserve">FA diet </w:t>
      </w:r>
      <w:r w:rsidR="00480DF8" w:rsidRPr="00130EEF">
        <w:rPr>
          <w:color w:val="000000" w:themeColor="text1"/>
        </w:rPr>
        <w:t xml:space="preserve">during the </w:t>
      </w:r>
      <w:r w:rsidR="00F84D95" w:rsidRPr="00130EEF">
        <w:rPr>
          <w:color w:val="000000" w:themeColor="text1"/>
        </w:rPr>
        <w:t>preimplantation</w:t>
      </w:r>
      <w:r w:rsidR="00480DF8" w:rsidRPr="00130EEF">
        <w:rPr>
          <w:color w:val="000000" w:themeColor="text1"/>
        </w:rPr>
        <w:t xml:space="preserve"> </w:t>
      </w:r>
      <w:r w:rsidR="00022336" w:rsidRPr="00130EEF">
        <w:rPr>
          <w:color w:val="000000" w:themeColor="text1"/>
        </w:rPr>
        <w:t>period</w:t>
      </w:r>
      <w:r w:rsidR="00BD0F92" w:rsidRPr="00130EEF">
        <w:rPr>
          <w:color w:val="000000" w:themeColor="text1"/>
        </w:rPr>
        <w:t>,</w:t>
      </w:r>
      <w:r w:rsidR="00022336" w:rsidRPr="00130EEF">
        <w:rPr>
          <w:color w:val="000000" w:themeColor="text1"/>
        </w:rPr>
        <w:t xml:space="preserve"> before</w:t>
      </w:r>
      <w:r w:rsidR="00480DF8" w:rsidRPr="00130EEF">
        <w:rPr>
          <w:color w:val="000000" w:themeColor="text1"/>
        </w:rPr>
        <w:t xml:space="preserve"> culling </w:t>
      </w:r>
      <w:r w:rsidR="002C1533" w:rsidRPr="00130EEF">
        <w:rPr>
          <w:color w:val="000000" w:themeColor="text1"/>
        </w:rPr>
        <w:t xml:space="preserve">on </w:t>
      </w:r>
      <w:r w:rsidR="00480DF8" w:rsidRPr="00130EEF">
        <w:rPr>
          <w:color w:val="000000" w:themeColor="text1"/>
        </w:rPr>
        <w:t xml:space="preserve">E3.5 by cervical dislocation and </w:t>
      </w:r>
      <w:r w:rsidR="008B4F56" w:rsidRPr="00130EEF">
        <w:rPr>
          <w:color w:val="000000" w:themeColor="text1"/>
        </w:rPr>
        <w:t xml:space="preserve">isolation of </w:t>
      </w:r>
      <w:r w:rsidR="00480DF8" w:rsidRPr="00130EEF">
        <w:rPr>
          <w:color w:val="000000" w:themeColor="text1"/>
        </w:rPr>
        <w:t xml:space="preserve">embryos (Figure 1). Three dietary groups were </w:t>
      </w:r>
      <w:r w:rsidR="001462A9" w:rsidRPr="00130EEF">
        <w:rPr>
          <w:color w:val="000000" w:themeColor="text1"/>
        </w:rPr>
        <w:t>studied:</w:t>
      </w:r>
      <w:r w:rsidR="00480DF8" w:rsidRPr="00130EEF">
        <w:rPr>
          <w:color w:val="000000" w:themeColor="text1"/>
        </w:rPr>
        <w:t xml:space="preserve"> </w:t>
      </w:r>
      <w:r w:rsidR="00EA63B2" w:rsidRPr="00130EEF">
        <w:rPr>
          <w:color w:val="000000" w:themeColor="text1"/>
        </w:rPr>
        <w:t xml:space="preserve">(1) A </w:t>
      </w:r>
      <w:r w:rsidR="00BD0F92" w:rsidRPr="00130EEF">
        <w:rPr>
          <w:color w:val="000000" w:themeColor="text1"/>
        </w:rPr>
        <w:t>c</w:t>
      </w:r>
      <w:r w:rsidR="00480DF8" w:rsidRPr="00130EEF">
        <w:rPr>
          <w:color w:val="000000" w:themeColor="text1"/>
        </w:rPr>
        <w:t xml:space="preserve">ontrol group fed the </w:t>
      </w:r>
      <w:r w:rsidR="006E3230" w:rsidRPr="00130EEF">
        <w:rPr>
          <w:color w:val="000000" w:themeColor="text1"/>
        </w:rPr>
        <w:t>C</w:t>
      </w:r>
      <w:r w:rsidR="001462A9" w:rsidRPr="00130EEF">
        <w:rPr>
          <w:color w:val="000000" w:themeColor="text1"/>
        </w:rPr>
        <w:t>ontrol</w:t>
      </w:r>
      <w:r w:rsidR="00480DF8" w:rsidRPr="00130EEF">
        <w:rPr>
          <w:color w:val="000000" w:themeColor="text1"/>
        </w:rPr>
        <w:t xml:space="preserve"> diet </w:t>
      </w:r>
      <w:r w:rsidR="00B34184" w:rsidRPr="00130EEF">
        <w:rPr>
          <w:color w:val="000000" w:themeColor="text1"/>
        </w:rPr>
        <w:t xml:space="preserve">4 weeks </w:t>
      </w:r>
      <w:r w:rsidR="00FF5622" w:rsidRPr="00130EEF">
        <w:rPr>
          <w:color w:val="000000" w:themeColor="text1"/>
        </w:rPr>
        <w:t xml:space="preserve">prior to conception and during the </w:t>
      </w:r>
      <w:r w:rsidR="00F84D95" w:rsidRPr="00130EEF">
        <w:rPr>
          <w:color w:val="000000" w:themeColor="text1"/>
        </w:rPr>
        <w:t>preimplantation</w:t>
      </w:r>
      <w:r w:rsidR="00FF5622" w:rsidRPr="00130EEF">
        <w:rPr>
          <w:color w:val="000000" w:themeColor="text1"/>
        </w:rPr>
        <w:t xml:space="preserve"> period</w:t>
      </w:r>
      <w:r w:rsidR="001462A9" w:rsidRPr="00130EEF">
        <w:rPr>
          <w:color w:val="000000" w:themeColor="text1"/>
        </w:rPr>
        <w:t xml:space="preserve"> </w:t>
      </w:r>
      <w:r w:rsidR="00247732" w:rsidRPr="00130EEF">
        <w:rPr>
          <w:color w:val="000000" w:themeColor="text1"/>
        </w:rPr>
        <w:t xml:space="preserve">(Con-Con </w:t>
      </w:r>
      <w:r w:rsidR="001462A9" w:rsidRPr="00130EEF">
        <w:rPr>
          <w:color w:val="000000" w:themeColor="text1"/>
        </w:rPr>
        <w:t>group)</w:t>
      </w:r>
      <w:r w:rsidR="0091216E" w:rsidRPr="00130EEF">
        <w:rPr>
          <w:color w:val="000000" w:themeColor="text1"/>
        </w:rPr>
        <w:t>,</w:t>
      </w:r>
      <w:r w:rsidR="00480DF8" w:rsidRPr="00130EEF">
        <w:rPr>
          <w:color w:val="000000" w:themeColor="text1"/>
        </w:rPr>
        <w:t xml:space="preserve"> </w:t>
      </w:r>
      <w:r w:rsidR="00EA63B2" w:rsidRPr="00130EEF">
        <w:rPr>
          <w:color w:val="000000" w:themeColor="text1"/>
        </w:rPr>
        <w:t xml:space="preserve">(2) </w:t>
      </w:r>
      <w:r w:rsidR="001462A9" w:rsidRPr="00130EEF">
        <w:rPr>
          <w:color w:val="000000" w:themeColor="text1"/>
        </w:rPr>
        <w:t xml:space="preserve">a group </w:t>
      </w:r>
      <w:r w:rsidR="00480DF8" w:rsidRPr="00130EEF">
        <w:rPr>
          <w:color w:val="000000" w:themeColor="text1"/>
        </w:rPr>
        <w:t xml:space="preserve">fed </w:t>
      </w:r>
      <w:r w:rsidR="001462A9" w:rsidRPr="00130EEF">
        <w:rPr>
          <w:color w:val="000000" w:themeColor="text1"/>
        </w:rPr>
        <w:t xml:space="preserve">the HFA </w:t>
      </w:r>
      <w:r w:rsidR="00FF5622" w:rsidRPr="00130EEF">
        <w:rPr>
          <w:color w:val="000000" w:themeColor="text1"/>
        </w:rPr>
        <w:t xml:space="preserve">diet for 4 weeks prior to conception and during the </w:t>
      </w:r>
      <w:r w:rsidR="00F84D95" w:rsidRPr="00130EEF">
        <w:rPr>
          <w:color w:val="000000" w:themeColor="text1"/>
        </w:rPr>
        <w:t>preimplantation</w:t>
      </w:r>
      <w:r w:rsidR="00FF5622" w:rsidRPr="00130EEF">
        <w:rPr>
          <w:color w:val="000000" w:themeColor="text1"/>
        </w:rPr>
        <w:t xml:space="preserve"> period</w:t>
      </w:r>
      <w:r w:rsidR="001462A9" w:rsidRPr="00130EEF">
        <w:rPr>
          <w:color w:val="000000" w:themeColor="text1"/>
        </w:rPr>
        <w:t xml:space="preserve"> (HFA-HFA group)</w:t>
      </w:r>
      <w:r w:rsidR="00FF5622" w:rsidRPr="00130EEF">
        <w:rPr>
          <w:color w:val="000000" w:themeColor="text1"/>
        </w:rPr>
        <w:t xml:space="preserve">, </w:t>
      </w:r>
      <w:r w:rsidR="00480DF8" w:rsidRPr="00130EEF">
        <w:rPr>
          <w:color w:val="000000" w:themeColor="text1"/>
        </w:rPr>
        <w:t xml:space="preserve">and </w:t>
      </w:r>
      <w:r w:rsidR="00EA63B2" w:rsidRPr="00130EEF">
        <w:rPr>
          <w:color w:val="000000" w:themeColor="text1"/>
        </w:rPr>
        <w:t xml:space="preserve">(3) </w:t>
      </w:r>
      <w:r w:rsidR="00480DF8" w:rsidRPr="00130EEF">
        <w:rPr>
          <w:color w:val="000000" w:themeColor="text1"/>
        </w:rPr>
        <w:t xml:space="preserve">a </w:t>
      </w:r>
      <w:r w:rsidR="001462A9" w:rsidRPr="00130EEF">
        <w:rPr>
          <w:color w:val="000000" w:themeColor="text1"/>
        </w:rPr>
        <w:t>group</w:t>
      </w:r>
      <w:r w:rsidR="00480DF8" w:rsidRPr="00130EEF">
        <w:rPr>
          <w:color w:val="000000" w:themeColor="text1"/>
        </w:rPr>
        <w:t xml:space="preserve"> fed</w:t>
      </w:r>
      <w:r w:rsidR="00FF5622" w:rsidRPr="00130EEF">
        <w:rPr>
          <w:color w:val="000000" w:themeColor="text1"/>
        </w:rPr>
        <w:t xml:space="preserve"> </w:t>
      </w:r>
      <w:r w:rsidR="001462A9" w:rsidRPr="00130EEF">
        <w:rPr>
          <w:color w:val="000000" w:themeColor="text1"/>
        </w:rPr>
        <w:t>the Cont</w:t>
      </w:r>
      <w:r w:rsidR="00247732" w:rsidRPr="00130EEF">
        <w:rPr>
          <w:color w:val="000000" w:themeColor="text1"/>
        </w:rPr>
        <w:t>rol</w:t>
      </w:r>
      <w:r w:rsidR="001462A9" w:rsidRPr="00130EEF">
        <w:rPr>
          <w:color w:val="000000" w:themeColor="text1"/>
        </w:rPr>
        <w:t xml:space="preserve"> </w:t>
      </w:r>
      <w:r w:rsidR="00FF5622" w:rsidRPr="00130EEF">
        <w:rPr>
          <w:color w:val="000000" w:themeColor="text1"/>
        </w:rPr>
        <w:t xml:space="preserve">diet </w:t>
      </w:r>
      <w:r w:rsidR="00B34184" w:rsidRPr="00130EEF">
        <w:rPr>
          <w:color w:val="000000" w:themeColor="text1"/>
        </w:rPr>
        <w:t xml:space="preserve">for 4 weeks </w:t>
      </w:r>
      <w:r w:rsidR="00F84D95" w:rsidRPr="00130EEF">
        <w:rPr>
          <w:color w:val="000000" w:themeColor="text1"/>
        </w:rPr>
        <w:t>preconception</w:t>
      </w:r>
      <w:r w:rsidR="00FF5622" w:rsidRPr="00130EEF">
        <w:rPr>
          <w:color w:val="000000" w:themeColor="text1"/>
        </w:rPr>
        <w:t xml:space="preserve"> and </w:t>
      </w:r>
      <w:r w:rsidR="00060623" w:rsidRPr="00130EEF">
        <w:rPr>
          <w:color w:val="000000" w:themeColor="text1"/>
        </w:rPr>
        <w:t xml:space="preserve">then switched to </w:t>
      </w:r>
      <w:r w:rsidR="001462A9" w:rsidRPr="00130EEF">
        <w:rPr>
          <w:color w:val="000000" w:themeColor="text1"/>
        </w:rPr>
        <w:t>the H</w:t>
      </w:r>
      <w:r w:rsidR="00D32FD3" w:rsidRPr="00130EEF">
        <w:rPr>
          <w:color w:val="000000" w:themeColor="text1"/>
        </w:rPr>
        <w:t xml:space="preserve">FA </w:t>
      </w:r>
      <w:r w:rsidR="00FF5622" w:rsidRPr="00130EEF">
        <w:rPr>
          <w:color w:val="000000" w:themeColor="text1"/>
        </w:rPr>
        <w:t xml:space="preserve">diet during the </w:t>
      </w:r>
      <w:r w:rsidR="00F84D95" w:rsidRPr="00130EEF">
        <w:rPr>
          <w:color w:val="000000" w:themeColor="text1"/>
        </w:rPr>
        <w:t>preimplantation</w:t>
      </w:r>
      <w:r w:rsidR="00FF5622" w:rsidRPr="00130EEF">
        <w:rPr>
          <w:color w:val="000000" w:themeColor="text1"/>
        </w:rPr>
        <w:t xml:space="preserve"> period</w:t>
      </w:r>
      <w:r w:rsidR="001462A9" w:rsidRPr="00130EEF">
        <w:rPr>
          <w:color w:val="000000" w:themeColor="text1"/>
        </w:rPr>
        <w:t xml:space="preserve"> (</w:t>
      </w:r>
      <w:r w:rsidR="00F30FBF" w:rsidRPr="00130EEF">
        <w:rPr>
          <w:color w:val="000000" w:themeColor="text1"/>
        </w:rPr>
        <w:t>Con</w:t>
      </w:r>
      <w:r w:rsidR="001462A9" w:rsidRPr="00130EEF">
        <w:rPr>
          <w:color w:val="000000" w:themeColor="text1"/>
        </w:rPr>
        <w:t>-</w:t>
      </w:r>
      <w:r w:rsidR="00F30FBF" w:rsidRPr="00130EEF">
        <w:rPr>
          <w:color w:val="000000" w:themeColor="text1"/>
        </w:rPr>
        <w:t>HFA</w:t>
      </w:r>
      <w:r w:rsidR="001462A9" w:rsidRPr="00130EEF">
        <w:rPr>
          <w:color w:val="000000" w:themeColor="text1"/>
        </w:rPr>
        <w:t>)</w:t>
      </w:r>
      <w:r w:rsidR="00FF5622" w:rsidRPr="00130EEF">
        <w:rPr>
          <w:color w:val="000000" w:themeColor="text1"/>
        </w:rPr>
        <w:t>.</w:t>
      </w:r>
      <w:r w:rsidR="001052A9" w:rsidRPr="00130EEF">
        <w:rPr>
          <w:color w:val="000000" w:themeColor="text1"/>
        </w:rPr>
        <w:t xml:space="preserve"> </w:t>
      </w:r>
      <w:r w:rsidR="00914DB2" w:rsidRPr="00130EEF">
        <w:rPr>
          <w:rFonts w:asciiTheme="majorBidi" w:hAnsiTheme="majorBidi" w:cstheme="majorBidi"/>
          <w:color w:val="000000" w:themeColor="text1"/>
        </w:rPr>
        <w:t xml:space="preserve">Individual body weight </w:t>
      </w:r>
      <w:r w:rsidR="00BD0F92" w:rsidRPr="00130EEF">
        <w:rPr>
          <w:rFonts w:asciiTheme="majorBidi" w:hAnsiTheme="majorBidi" w:cstheme="majorBidi"/>
          <w:color w:val="000000" w:themeColor="text1"/>
        </w:rPr>
        <w:t xml:space="preserve">(g) </w:t>
      </w:r>
      <w:r w:rsidR="00914DB2" w:rsidRPr="00130EEF">
        <w:rPr>
          <w:rFonts w:asciiTheme="majorBidi" w:hAnsiTheme="majorBidi" w:cstheme="majorBidi"/>
          <w:color w:val="000000" w:themeColor="text1"/>
        </w:rPr>
        <w:t xml:space="preserve">and </w:t>
      </w:r>
      <w:r w:rsidR="0085219B" w:rsidRPr="00130EEF">
        <w:rPr>
          <w:rFonts w:asciiTheme="majorBidi" w:hAnsiTheme="majorBidi" w:cstheme="majorBidi"/>
          <w:color w:val="000000" w:themeColor="text1"/>
        </w:rPr>
        <w:t>total</w:t>
      </w:r>
      <w:r w:rsidR="00914DB2" w:rsidRPr="00130EEF">
        <w:rPr>
          <w:rFonts w:asciiTheme="majorBidi" w:hAnsiTheme="majorBidi" w:cstheme="majorBidi"/>
          <w:color w:val="000000" w:themeColor="text1"/>
        </w:rPr>
        <w:t xml:space="preserve"> food intake</w:t>
      </w:r>
      <w:r w:rsidR="00EA63B2" w:rsidRPr="00130EEF">
        <w:rPr>
          <w:rFonts w:asciiTheme="majorBidi" w:hAnsiTheme="majorBidi" w:cstheme="majorBidi"/>
          <w:color w:val="000000" w:themeColor="text1"/>
        </w:rPr>
        <w:t xml:space="preserve"> per cage</w:t>
      </w:r>
      <w:r w:rsidR="00914DB2" w:rsidRPr="00130EEF">
        <w:rPr>
          <w:rFonts w:asciiTheme="majorBidi" w:hAnsiTheme="majorBidi" w:cstheme="majorBidi"/>
          <w:color w:val="000000" w:themeColor="text1"/>
        </w:rPr>
        <w:t xml:space="preserve"> </w:t>
      </w:r>
      <w:r w:rsidR="00BD0F92" w:rsidRPr="00130EEF">
        <w:rPr>
          <w:rFonts w:asciiTheme="majorBidi" w:hAnsiTheme="majorBidi" w:cstheme="majorBidi"/>
          <w:color w:val="000000" w:themeColor="text1"/>
        </w:rPr>
        <w:t xml:space="preserve">(g) </w:t>
      </w:r>
      <w:r w:rsidR="00914DB2" w:rsidRPr="00130EEF">
        <w:rPr>
          <w:rFonts w:asciiTheme="majorBidi" w:hAnsiTheme="majorBidi" w:cstheme="majorBidi"/>
          <w:color w:val="000000" w:themeColor="text1"/>
        </w:rPr>
        <w:t xml:space="preserve">over 24 hours were measured weekly throughout the </w:t>
      </w:r>
      <w:proofErr w:type="gramStart"/>
      <w:r w:rsidR="00572AAA" w:rsidRPr="00130EEF">
        <w:rPr>
          <w:rFonts w:asciiTheme="majorBidi" w:hAnsiTheme="majorBidi" w:cstheme="majorBidi"/>
          <w:color w:val="000000" w:themeColor="text1"/>
        </w:rPr>
        <w:t xml:space="preserve">4 </w:t>
      </w:r>
      <w:r w:rsidR="00914DB2" w:rsidRPr="00130EEF">
        <w:rPr>
          <w:rFonts w:asciiTheme="majorBidi" w:hAnsiTheme="majorBidi" w:cstheme="majorBidi"/>
          <w:color w:val="000000" w:themeColor="text1"/>
        </w:rPr>
        <w:t>week</w:t>
      </w:r>
      <w:proofErr w:type="gramEnd"/>
      <w:r w:rsidR="00914DB2" w:rsidRPr="00130EEF">
        <w:rPr>
          <w:rFonts w:asciiTheme="majorBidi" w:hAnsiTheme="majorBidi" w:cstheme="majorBidi"/>
          <w:color w:val="000000" w:themeColor="text1"/>
        </w:rPr>
        <w:t xml:space="preserve"> </w:t>
      </w:r>
      <w:r w:rsidR="00F84D95" w:rsidRPr="00130EEF">
        <w:rPr>
          <w:rFonts w:asciiTheme="majorBidi" w:hAnsiTheme="majorBidi" w:cstheme="majorBidi"/>
          <w:color w:val="000000" w:themeColor="text1"/>
        </w:rPr>
        <w:t>preconception</w:t>
      </w:r>
      <w:r w:rsidR="00914DB2" w:rsidRPr="00130EEF">
        <w:rPr>
          <w:rFonts w:asciiTheme="majorBidi" w:hAnsiTheme="majorBidi" w:cstheme="majorBidi"/>
          <w:color w:val="000000" w:themeColor="text1"/>
        </w:rPr>
        <w:t xml:space="preserve"> period. Energy intake (kJ per 10g of mouse) was </w:t>
      </w:r>
      <w:r w:rsidR="00EA63B2" w:rsidRPr="00130EEF">
        <w:rPr>
          <w:rFonts w:asciiTheme="majorBidi" w:hAnsiTheme="majorBidi" w:cstheme="majorBidi"/>
          <w:color w:val="000000" w:themeColor="text1"/>
        </w:rPr>
        <w:t>est</w:t>
      </w:r>
      <w:r w:rsidR="00060623" w:rsidRPr="00130EEF">
        <w:rPr>
          <w:rFonts w:asciiTheme="majorBidi" w:hAnsiTheme="majorBidi" w:cstheme="majorBidi"/>
          <w:color w:val="000000" w:themeColor="text1"/>
        </w:rPr>
        <w:t>i</w:t>
      </w:r>
      <w:r w:rsidR="00EA63B2" w:rsidRPr="00130EEF">
        <w:rPr>
          <w:rFonts w:asciiTheme="majorBidi" w:hAnsiTheme="majorBidi" w:cstheme="majorBidi"/>
          <w:color w:val="000000" w:themeColor="text1"/>
        </w:rPr>
        <w:t>mated</w:t>
      </w:r>
      <w:r w:rsidR="00914DB2" w:rsidRPr="00130EEF">
        <w:rPr>
          <w:rFonts w:asciiTheme="majorBidi" w:hAnsiTheme="majorBidi" w:cstheme="majorBidi"/>
          <w:color w:val="000000" w:themeColor="text1"/>
        </w:rPr>
        <w:t xml:space="preserve"> for individual mice based on total food consumption over 24 hours per cage</w:t>
      </w:r>
      <w:r w:rsidR="00AA16E6" w:rsidRPr="00130EEF">
        <w:rPr>
          <w:rFonts w:asciiTheme="majorBidi" w:hAnsiTheme="majorBidi" w:cstheme="majorBidi"/>
          <w:color w:val="000000" w:themeColor="text1"/>
        </w:rPr>
        <w:t>.</w:t>
      </w:r>
      <w:r w:rsidR="00914DB2" w:rsidRPr="00130EEF">
        <w:rPr>
          <w:rFonts w:asciiTheme="majorBidi" w:hAnsiTheme="majorBidi" w:cstheme="majorBidi"/>
          <w:color w:val="000000" w:themeColor="text1"/>
        </w:rPr>
        <w:t xml:space="preserve"> Average daily FA intake was </w:t>
      </w:r>
      <w:r w:rsidR="00EA63B2" w:rsidRPr="00130EEF">
        <w:rPr>
          <w:rFonts w:asciiTheme="majorBidi" w:hAnsiTheme="majorBidi" w:cstheme="majorBidi"/>
          <w:color w:val="000000" w:themeColor="text1"/>
        </w:rPr>
        <w:t>estimated</w:t>
      </w:r>
      <w:r w:rsidR="00914DB2" w:rsidRPr="00130EEF">
        <w:rPr>
          <w:rFonts w:asciiTheme="majorBidi" w:hAnsiTheme="majorBidi" w:cstheme="majorBidi"/>
          <w:color w:val="000000" w:themeColor="text1"/>
        </w:rPr>
        <w:t xml:space="preserve"> using </w:t>
      </w:r>
      <w:r w:rsidR="007068C8" w:rsidRPr="00130EEF">
        <w:rPr>
          <w:rFonts w:asciiTheme="majorBidi" w:hAnsiTheme="majorBidi" w:cstheme="majorBidi"/>
          <w:color w:val="000000" w:themeColor="text1"/>
        </w:rPr>
        <w:t xml:space="preserve">whole </w:t>
      </w:r>
      <w:r w:rsidR="00914DB2" w:rsidRPr="00130EEF">
        <w:rPr>
          <w:rFonts w:asciiTheme="majorBidi" w:hAnsiTheme="majorBidi" w:cstheme="majorBidi"/>
          <w:color w:val="000000" w:themeColor="text1"/>
        </w:rPr>
        <w:t>cage intakes and the FA content of the diet</w:t>
      </w:r>
      <w:r w:rsidR="004D5322" w:rsidRPr="00130EEF">
        <w:rPr>
          <w:rFonts w:asciiTheme="majorBidi" w:hAnsiTheme="majorBidi" w:cstheme="majorBidi"/>
          <w:color w:val="000000" w:themeColor="text1"/>
        </w:rPr>
        <w:t>s</w:t>
      </w:r>
      <w:r w:rsidR="00914DB2" w:rsidRPr="00130EEF">
        <w:rPr>
          <w:rFonts w:asciiTheme="majorBidi" w:hAnsiTheme="majorBidi" w:cstheme="majorBidi"/>
          <w:color w:val="000000" w:themeColor="text1"/>
        </w:rPr>
        <w:t xml:space="preserve">.  </w:t>
      </w:r>
    </w:p>
    <w:p w14:paraId="1DC0AFFF" w14:textId="042C83A3" w:rsidR="00D30603" w:rsidRPr="00130EEF" w:rsidRDefault="00D30603" w:rsidP="00412760">
      <w:pPr>
        <w:spacing w:line="480" w:lineRule="auto"/>
        <w:rPr>
          <w:rFonts w:asciiTheme="majorBidi" w:hAnsiTheme="majorBidi" w:cstheme="majorBidi"/>
          <w:color w:val="000000" w:themeColor="text1"/>
        </w:rPr>
      </w:pPr>
    </w:p>
    <w:p w14:paraId="29F11D84" w14:textId="77777777" w:rsidR="00D30603" w:rsidRPr="00130EEF" w:rsidRDefault="00D30603" w:rsidP="00D30603">
      <w:pPr>
        <w:rPr>
          <w:rFonts w:eastAsia="Times New Roman"/>
          <w:b/>
          <w:color w:val="000000" w:themeColor="text1"/>
        </w:rPr>
      </w:pPr>
      <w:r w:rsidRPr="00130EEF">
        <w:rPr>
          <w:rFonts w:eastAsia="Times New Roman"/>
          <w:b/>
          <w:noProof/>
          <w:color w:val="000000" w:themeColor="text1"/>
        </w:rPr>
        <w:drawing>
          <wp:anchor distT="0" distB="0" distL="114300" distR="114300" simplePos="0" relativeHeight="251659264" behindDoc="0" locked="0" layoutInCell="1" allowOverlap="1" wp14:anchorId="613D0412" wp14:editId="7CD22131">
            <wp:simplePos x="0" y="0"/>
            <wp:positionH relativeFrom="column">
              <wp:posOffset>582295</wp:posOffset>
            </wp:positionH>
            <wp:positionV relativeFrom="paragraph">
              <wp:posOffset>0</wp:posOffset>
            </wp:positionV>
            <wp:extent cx="4189095" cy="2983865"/>
            <wp:effectExtent l="0" t="0" r="1905" b="635"/>
            <wp:wrapTopAndBottom/>
            <wp:docPr id="28" name="Imagen 28"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s Transfer K09 copyy.001.jpeg"/>
                    <pic:cNvPicPr/>
                  </pic:nvPicPr>
                  <pic:blipFill rotWithShape="1">
                    <a:blip r:embed="rId8">
                      <a:extLst>
                        <a:ext uri="{28A0092B-C50C-407E-A947-70E740481C1C}">
                          <a14:useLocalDpi xmlns:a14="http://schemas.microsoft.com/office/drawing/2010/main" val="0"/>
                        </a:ext>
                      </a:extLst>
                    </a:blip>
                    <a:srcRect l="9650" t="13335" r="17195" b="17195"/>
                    <a:stretch/>
                  </pic:blipFill>
                  <pic:spPr bwMode="auto">
                    <a:xfrm>
                      <a:off x="0" y="0"/>
                      <a:ext cx="4189095" cy="2983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062819" w14:textId="7F2EC02A" w:rsidR="00D30603" w:rsidRPr="00130EEF" w:rsidRDefault="00D30603" w:rsidP="00E836C3">
      <w:pPr>
        <w:rPr>
          <w:rFonts w:eastAsia="Times New Roman"/>
          <w:color w:val="000000" w:themeColor="text1"/>
        </w:rPr>
      </w:pPr>
      <w:r w:rsidRPr="00130EEF">
        <w:rPr>
          <w:rFonts w:eastAsia="Times New Roman"/>
          <w:b/>
          <w:color w:val="000000" w:themeColor="text1"/>
        </w:rPr>
        <w:t>Figure 1</w:t>
      </w:r>
      <w:r w:rsidRPr="00130EEF">
        <w:rPr>
          <w:rFonts w:eastAsia="Times New Roman"/>
          <w:color w:val="000000" w:themeColor="text1"/>
        </w:rPr>
        <w:t xml:space="preserve"> | Experimental model describing the three diet groups</w:t>
      </w:r>
      <w:r w:rsidR="00DA4DEC" w:rsidRPr="00130EEF">
        <w:rPr>
          <w:rFonts w:eastAsia="Times New Roman"/>
          <w:color w:val="000000" w:themeColor="text1"/>
        </w:rPr>
        <w:t>:</w:t>
      </w:r>
      <w:r w:rsidRPr="00130EEF">
        <w:rPr>
          <w:rFonts w:eastAsia="Times New Roman"/>
          <w:color w:val="000000" w:themeColor="text1"/>
        </w:rPr>
        <w:t xml:space="preserve"> </w:t>
      </w:r>
      <w:r w:rsidRPr="00130EEF">
        <w:rPr>
          <w:rFonts w:eastAsia="Times New Roman"/>
          <w:b/>
          <w:bCs/>
          <w:color w:val="000000" w:themeColor="text1"/>
        </w:rPr>
        <w:t>Con-Con</w:t>
      </w:r>
      <w:r w:rsidRPr="00130EEF">
        <w:rPr>
          <w:rFonts w:eastAsia="Times New Roman"/>
          <w:color w:val="000000" w:themeColor="text1"/>
        </w:rPr>
        <w:t xml:space="preserve"> fed with </w:t>
      </w:r>
      <w:r w:rsidR="00DC2BE2" w:rsidRPr="00130EEF">
        <w:rPr>
          <w:color w:val="000000" w:themeColor="text1"/>
        </w:rPr>
        <w:t>C</w:t>
      </w:r>
      <w:r w:rsidR="00087438" w:rsidRPr="00130EEF">
        <w:rPr>
          <w:color w:val="000000" w:themeColor="text1"/>
        </w:rPr>
        <w:t>ontrol</w:t>
      </w:r>
      <w:r w:rsidRPr="00130EEF">
        <w:rPr>
          <w:color w:val="000000" w:themeColor="text1"/>
        </w:rPr>
        <w:t xml:space="preserve"> diet</w:t>
      </w:r>
      <w:r w:rsidRPr="00130EEF">
        <w:rPr>
          <w:color w:val="000000" w:themeColor="text1"/>
          <w:spacing w:val="3"/>
          <w:shd w:val="clear" w:color="auto" w:fill="FFFFFF"/>
        </w:rPr>
        <w:t xml:space="preserve"> (1 mg/kg food) </w:t>
      </w:r>
      <w:r w:rsidRPr="00130EEF">
        <w:rPr>
          <w:color w:val="000000" w:themeColor="text1"/>
        </w:rPr>
        <w:t xml:space="preserve">for </w:t>
      </w:r>
      <w:r w:rsidR="00572AAA" w:rsidRPr="00130EEF">
        <w:rPr>
          <w:color w:val="000000" w:themeColor="text1"/>
        </w:rPr>
        <w:t>4</w:t>
      </w:r>
      <w:r w:rsidRPr="00130EEF">
        <w:rPr>
          <w:color w:val="000000" w:themeColor="text1"/>
        </w:rPr>
        <w:t xml:space="preserve"> weeks prior to mating and during the </w:t>
      </w:r>
      <w:r w:rsidR="00D8004A" w:rsidRPr="00130EEF">
        <w:rPr>
          <w:color w:val="000000" w:themeColor="text1"/>
        </w:rPr>
        <w:t>pre</w:t>
      </w:r>
      <w:r w:rsidRPr="00130EEF">
        <w:rPr>
          <w:color w:val="000000" w:themeColor="text1"/>
        </w:rPr>
        <w:t>implantation period</w:t>
      </w:r>
      <w:r w:rsidR="00D8004A" w:rsidRPr="00130EEF">
        <w:rPr>
          <w:color w:val="000000" w:themeColor="text1"/>
        </w:rPr>
        <w:t>;</w:t>
      </w:r>
      <w:r w:rsidRPr="00130EEF">
        <w:rPr>
          <w:color w:val="000000" w:themeColor="text1"/>
        </w:rPr>
        <w:t xml:space="preserve"> </w:t>
      </w:r>
      <w:r w:rsidRPr="00130EEF">
        <w:rPr>
          <w:b/>
          <w:bCs/>
          <w:color w:val="000000" w:themeColor="text1"/>
        </w:rPr>
        <w:t>Con-HFA</w:t>
      </w:r>
      <w:r w:rsidRPr="00130EEF">
        <w:rPr>
          <w:color w:val="000000" w:themeColor="text1"/>
        </w:rPr>
        <w:t xml:space="preserve"> fed with </w:t>
      </w:r>
      <w:r w:rsidR="00DC2BE2" w:rsidRPr="00130EEF">
        <w:rPr>
          <w:color w:val="000000" w:themeColor="text1"/>
        </w:rPr>
        <w:t>C</w:t>
      </w:r>
      <w:r w:rsidRPr="00130EEF">
        <w:rPr>
          <w:color w:val="000000" w:themeColor="text1"/>
        </w:rPr>
        <w:t xml:space="preserve">ontrol diet for </w:t>
      </w:r>
      <w:r w:rsidR="00572AAA" w:rsidRPr="00130EEF">
        <w:rPr>
          <w:color w:val="000000" w:themeColor="text1"/>
        </w:rPr>
        <w:t>4</w:t>
      </w:r>
      <w:r w:rsidRPr="00130EEF">
        <w:rPr>
          <w:color w:val="000000" w:themeColor="text1"/>
        </w:rPr>
        <w:t xml:space="preserve"> weeks preconception, followed by high FA (HFA, 5 mg FA/kg food) diet during the preimplantation period</w:t>
      </w:r>
      <w:r w:rsidR="00D8004A" w:rsidRPr="00130EEF">
        <w:rPr>
          <w:color w:val="000000" w:themeColor="text1"/>
        </w:rPr>
        <w:t>;</w:t>
      </w:r>
      <w:r w:rsidRPr="00130EEF">
        <w:rPr>
          <w:color w:val="000000" w:themeColor="text1"/>
        </w:rPr>
        <w:t xml:space="preserve"> </w:t>
      </w:r>
      <w:r w:rsidRPr="00130EEF">
        <w:rPr>
          <w:b/>
          <w:bCs/>
          <w:color w:val="000000" w:themeColor="text1"/>
        </w:rPr>
        <w:t>HFA-HFA</w:t>
      </w:r>
      <w:r w:rsidRPr="00130EEF">
        <w:rPr>
          <w:color w:val="000000" w:themeColor="text1"/>
        </w:rPr>
        <w:t xml:space="preserve"> fed with</w:t>
      </w:r>
      <w:r w:rsidRPr="00130EEF">
        <w:rPr>
          <w:color w:val="000000" w:themeColor="text1"/>
          <w:spacing w:val="3"/>
          <w:shd w:val="clear" w:color="auto" w:fill="FFFFFF"/>
        </w:rPr>
        <w:t xml:space="preserve"> high </w:t>
      </w:r>
      <w:r w:rsidRPr="00130EEF">
        <w:rPr>
          <w:color w:val="000000" w:themeColor="text1"/>
        </w:rPr>
        <w:t xml:space="preserve">FA diet for </w:t>
      </w:r>
      <w:r w:rsidR="00572AAA" w:rsidRPr="00130EEF">
        <w:rPr>
          <w:color w:val="000000" w:themeColor="text1"/>
        </w:rPr>
        <w:t>4</w:t>
      </w:r>
      <w:r w:rsidRPr="00130EEF">
        <w:rPr>
          <w:color w:val="000000" w:themeColor="text1"/>
        </w:rPr>
        <w:t xml:space="preserve"> weeks prior to mating and during the </w:t>
      </w:r>
      <w:r w:rsidR="00D8004A" w:rsidRPr="00130EEF">
        <w:rPr>
          <w:color w:val="000000" w:themeColor="text1"/>
        </w:rPr>
        <w:t>pre</w:t>
      </w:r>
      <w:r w:rsidRPr="00130EEF">
        <w:rPr>
          <w:color w:val="000000" w:themeColor="text1"/>
        </w:rPr>
        <w:t>implantation period.</w:t>
      </w:r>
    </w:p>
    <w:p w14:paraId="3AC2A7F5" w14:textId="77777777" w:rsidR="00D30603" w:rsidRPr="00130EEF" w:rsidRDefault="00D30603" w:rsidP="00412760">
      <w:pPr>
        <w:spacing w:line="480" w:lineRule="auto"/>
        <w:rPr>
          <w:rFonts w:asciiTheme="majorBidi" w:hAnsiTheme="majorBidi" w:cstheme="majorBidi"/>
          <w:color w:val="000000" w:themeColor="text1"/>
        </w:rPr>
      </w:pPr>
    </w:p>
    <w:p w14:paraId="642946A9" w14:textId="46A59AA8" w:rsidR="00AA16E6" w:rsidRPr="00130EEF" w:rsidRDefault="00914DB2" w:rsidP="00AA16E6">
      <w:pPr>
        <w:pStyle w:val="Heading2"/>
        <w:rPr>
          <w:color w:val="000000" w:themeColor="text1"/>
        </w:rPr>
      </w:pPr>
      <w:r w:rsidRPr="00130EEF">
        <w:rPr>
          <w:color w:val="000000" w:themeColor="text1"/>
        </w:rPr>
        <w:t xml:space="preserve">Measurement of Plasma 5-methyltetrahydrofolate and </w:t>
      </w:r>
      <w:r w:rsidR="00060623" w:rsidRPr="00130EEF">
        <w:rPr>
          <w:color w:val="000000" w:themeColor="text1"/>
        </w:rPr>
        <w:t xml:space="preserve">Folate </w:t>
      </w:r>
      <w:r w:rsidR="007068C8" w:rsidRPr="00130EEF">
        <w:rPr>
          <w:color w:val="000000" w:themeColor="text1"/>
        </w:rPr>
        <w:t>Metabolites</w:t>
      </w:r>
    </w:p>
    <w:p w14:paraId="3D6ADB07" w14:textId="4ACA5EFD" w:rsidR="0097644D" w:rsidRPr="00130EEF" w:rsidRDefault="00914DB2" w:rsidP="00317B70">
      <w:pPr>
        <w:spacing w:line="480" w:lineRule="auto"/>
        <w:rPr>
          <w:rFonts w:asciiTheme="majorBidi" w:hAnsiTheme="majorBidi" w:cstheme="majorBidi"/>
          <w:color w:val="000000" w:themeColor="text1"/>
        </w:rPr>
      </w:pPr>
      <w:r w:rsidRPr="00130EEF">
        <w:rPr>
          <w:rFonts w:asciiTheme="majorBidi" w:hAnsiTheme="majorBidi" w:cstheme="majorBidi"/>
          <w:color w:val="000000" w:themeColor="text1"/>
        </w:rPr>
        <w:t xml:space="preserve">The concentration of plasma </w:t>
      </w:r>
      <w:r w:rsidR="00412760" w:rsidRPr="00130EEF">
        <w:rPr>
          <w:rFonts w:asciiTheme="majorBidi" w:hAnsiTheme="majorBidi" w:cstheme="majorBidi"/>
          <w:color w:val="000000" w:themeColor="text1"/>
        </w:rPr>
        <w:t>FA</w:t>
      </w:r>
      <w:r w:rsidRPr="00130EEF">
        <w:rPr>
          <w:rFonts w:asciiTheme="majorBidi" w:hAnsiTheme="majorBidi" w:cstheme="majorBidi"/>
          <w:color w:val="000000" w:themeColor="text1"/>
        </w:rPr>
        <w:t xml:space="preserve"> </w:t>
      </w:r>
      <w:r w:rsidR="00412760" w:rsidRPr="00130EEF">
        <w:rPr>
          <w:rFonts w:asciiTheme="majorBidi" w:hAnsiTheme="majorBidi" w:cstheme="majorBidi"/>
          <w:color w:val="000000" w:themeColor="text1"/>
        </w:rPr>
        <w:t xml:space="preserve">and </w:t>
      </w:r>
      <w:r w:rsidR="00060623" w:rsidRPr="00130EEF">
        <w:rPr>
          <w:rFonts w:asciiTheme="majorBidi" w:hAnsiTheme="majorBidi" w:cstheme="majorBidi"/>
          <w:color w:val="000000" w:themeColor="text1"/>
        </w:rPr>
        <w:t xml:space="preserve">folate metabolites </w:t>
      </w:r>
      <w:r w:rsidRPr="00130EEF">
        <w:rPr>
          <w:rFonts w:asciiTheme="majorBidi" w:hAnsiTheme="majorBidi" w:cstheme="majorBidi"/>
          <w:color w:val="000000" w:themeColor="text1"/>
        </w:rPr>
        <w:t xml:space="preserve"> (5-methyltetrahydrofolate</w:t>
      </w:r>
      <w:r w:rsidRPr="00130EEF">
        <w:rPr>
          <w:rFonts w:asciiTheme="majorBidi" w:hAnsiTheme="majorBidi" w:cstheme="majorBidi"/>
          <w:b/>
          <w:bCs/>
          <w:color w:val="000000" w:themeColor="text1"/>
        </w:rPr>
        <w:t xml:space="preserve"> </w:t>
      </w:r>
      <w:r w:rsidRPr="00130EEF">
        <w:rPr>
          <w:rFonts w:asciiTheme="majorBidi" w:hAnsiTheme="majorBidi" w:cstheme="majorBidi"/>
          <w:color w:val="000000" w:themeColor="text1"/>
        </w:rPr>
        <w:t>(5-meTHF), 4-α-hydroxy 5-methyltetrahydrofolate (</w:t>
      </w:r>
      <w:proofErr w:type="spellStart"/>
      <w:r w:rsidRPr="00130EEF">
        <w:rPr>
          <w:rFonts w:asciiTheme="majorBidi" w:hAnsiTheme="majorBidi" w:cstheme="majorBidi"/>
          <w:color w:val="000000" w:themeColor="text1"/>
        </w:rPr>
        <w:t>hmTHF</w:t>
      </w:r>
      <w:proofErr w:type="spellEnd"/>
      <w:r w:rsidRPr="00130EEF">
        <w:rPr>
          <w:rFonts w:asciiTheme="majorBidi" w:hAnsiTheme="majorBidi" w:cstheme="majorBidi"/>
          <w:color w:val="000000" w:themeColor="text1"/>
        </w:rPr>
        <w:t>), 5-</w:t>
      </w:r>
      <w:r w:rsidR="00D45F91" w:rsidRPr="00130EEF">
        <w:rPr>
          <w:rFonts w:asciiTheme="majorBidi" w:hAnsiTheme="majorBidi" w:cstheme="majorBidi"/>
          <w:color w:val="000000" w:themeColor="text1"/>
        </w:rPr>
        <w:t>formyltetrahydrofolate</w:t>
      </w:r>
      <w:r w:rsidRPr="00130EEF">
        <w:rPr>
          <w:rFonts w:asciiTheme="majorBidi" w:hAnsiTheme="majorBidi" w:cstheme="majorBidi"/>
          <w:color w:val="000000" w:themeColor="text1"/>
        </w:rPr>
        <w:t xml:space="preserve"> (5fTHF), and two </w:t>
      </w:r>
      <w:r w:rsidR="0085219B" w:rsidRPr="00130EEF">
        <w:rPr>
          <w:rFonts w:asciiTheme="majorBidi" w:hAnsiTheme="majorBidi" w:cstheme="majorBidi"/>
          <w:color w:val="000000" w:themeColor="text1"/>
        </w:rPr>
        <w:t xml:space="preserve">folate </w:t>
      </w:r>
      <w:r w:rsidRPr="00130EEF">
        <w:rPr>
          <w:rFonts w:asciiTheme="majorBidi" w:hAnsiTheme="majorBidi" w:cstheme="majorBidi"/>
          <w:color w:val="000000" w:themeColor="text1"/>
        </w:rPr>
        <w:t>degradation products, namely p-</w:t>
      </w:r>
      <w:proofErr w:type="spellStart"/>
      <w:r w:rsidRPr="00130EEF">
        <w:rPr>
          <w:rFonts w:asciiTheme="majorBidi" w:hAnsiTheme="majorBidi" w:cstheme="majorBidi"/>
          <w:color w:val="000000" w:themeColor="text1"/>
        </w:rPr>
        <w:t>aminobenzoylglutamate</w:t>
      </w:r>
      <w:proofErr w:type="spellEnd"/>
      <w:r w:rsidRPr="00130EEF">
        <w:rPr>
          <w:rFonts w:asciiTheme="majorBidi" w:hAnsiTheme="majorBidi" w:cstheme="majorBidi"/>
          <w:color w:val="000000" w:themeColor="text1"/>
        </w:rPr>
        <w:t xml:space="preserve"> (</w:t>
      </w:r>
      <w:proofErr w:type="spellStart"/>
      <w:r w:rsidRPr="00130EEF">
        <w:rPr>
          <w:rFonts w:asciiTheme="majorBidi" w:hAnsiTheme="majorBidi" w:cstheme="majorBidi"/>
          <w:color w:val="000000" w:themeColor="text1"/>
        </w:rPr>
        <w:t>pABG</w:t>
      </w:r>
      <w:proofErr w:type="spellEnd"/>
      <w:r w:rsidRPr="00130EEF">
        <w:rPr>
          <w:rFonts w:asciiTheme="majorBidi" w:hAnsiTheme="majorBidi" w:cstheme="majorBidi"/>
          <w:color w:val="000000" w:themeColor="text1"/>
        </w:rPr>
        <w:t>) and p-</w:t>
      </w:r>
      <w:proofErr w:type="spellStart"/>
      <w:r w:rsidRPr="00130EEF">
        <w:rPr>
          <w:rFonts w:asciiTheme="majorBidi" w:hAnsiTheme="majorBidi" w:cstheme="majorBidi"/>
          <w:color w:val="000000" w:themeColor="text1"/>
        </w:rPr>
        <w:t>acetamidobenzoylglutamate</w:t>
      </w:r>
      <w:proofErr w:type="spellEnd"/>
      <w:r w:rsidRPr="00130EEF">
        <w:rPr>
          <w:rFonts w:asciiTheme="majorBidi" w:hAnsiTheme="majorBidi" w:cstheme="majorBidi"/>
          <w:color w:val="000000" w:themeColor="text1"/>
        </w:rPr>
        <w:t xml:space="preserve"> (</w:t>
      </w:r>
      <w:proofErr w:type="spellStart"/>
      <w:r w:rsidRPr="00130EEF">
        <w:rPr>
          <w:rFonts w:asciiTheme="majorBidi" w:hAnsiTheme="majorBidi" w:cstheme="majorBidi"/>
          <w:color w:val="000000" w:themeColor="text1"/>
        </w:rPr>
        <w:t>apABG</w:t>
      </w:r>
      <w:proofErr w:type="spellEnd"/>
      <w:r w:rsidRPr="00130EEF">
        <w:rPr>
          <w:rFonts w:asciiTheme="majorBidi" w:hAnsiTheme="majorBidi" w:cstheme="majorBidi"/>
          <w:color w:val="000000" w:themeColor="text1"/>
        </w:rPr>
        <w:t>),</w:t>
      </w:r>
      <w:r w:rsidR="00AA16E6" w:rsidRPr="00130EEF">
        <w:rPr>
          <w:rFonts w:asciiTheme="majorBidi" w:hAnsiTheme="majorBidi" w:cstheme="majorBidi"/>
          <w:color w:val="000000" w:themeColor="text1"/>
        </w:rPr>
        <w:t xml:space="preserve"> </w:t>
      </w:r>
      <w:r w:rsidRPr="00130EEF">
        <w:rPr>
          <w:rFonts w:asciiTheme="majorBidi" w:hAnsiTheme="majorBidi" w:cstheme="majorBidi"/>
          <w:color w:val="000000" w:themeColor="text1"/>
        </w:rPr>
        <w:t xml:space="preserve">were measured at the end of the 4 week </w:t>
      </w:r>
      <w:r w:rsidR="00F84D95" w:rsidRPr="00130EEF">
        <w:rPr>
          <w:rFonts w:asciiTheme="majorBidi" w:hAnsiTheme="majorBidi" w:cstheme="majorBidi"/>
          <w:color w:val="000000" w:themeColor="text1"/>
        </w:rPr>
        <w:t>preconception</w:t>
      </w:r>
      <w:r w:rsidRPr="00130EEF">
        <w:rPr>
          <w:rFonts w:asciiTheme="majorBidi" w:hAnsiTheme="majorBidi" w:cstheme="majorBidi"/>
          <w:color w:val="000000" w:themeColor="text1"/>
        </w:rPr>
        <w:t xml:space="preserve"> period using</w:t>
      </w:r>
      <w:r w:rsidRPr="00130EEF">
        <w:rPr>
          <w:color w:val="000000" w:themeColor="text1"/>
        </w:rPr>
        <w:t xml:space="preserve"> </w:t>
      </w:r>
      <w:r w:rsidRPr="00130EEF">
        <w:rPr>
          <w:color w:val="000000" w:themeColor="text1"/>
          <w:shd w:val="clear" w:color="auto" w:fill="FFFFFF"/>
        </w:rPr>
        <w:t>liquid chromatography-tandem mass spectrometry</w:t>
      </w:r>
      <w:r w:rsidR="00515950" w:rsidRPr="00130EEF">
        <w:rPr>
          <w:color w:val="000000" w:themeColor="text1"/>
          <w:shd w:val="clear" w:color="auto" w:fill="FFFFFF"/>
        </w:rPr>
        <w:t xml:space="preserve"> </w:t>
      </w:r>
      <w:r w:rsidR="00515950" w:rsidRPr="00130EEF">
        <w:rPr>
          <w:rFonts w:asciiTheme="majorBidi" w:hAnsiTheme="majorBidi" w:cstheme="majorBidi"/>
          <w:color w:val="000000" w:themeColor="text1"/>
        </w:rPr>
        <w:t>by</w:t>
      </w:r>
      <w:r w:rsidR="00FC0037" w:rsidRPr="00130EEF">
        <w:rPr>
          <w:rFonts w:asciiTheme="majorBidi" w:hAnsiTheme="majorBidi" w:cstheme="majorBidi"/>
          <w:color w:val="000000" w:themeColor="text1"/>
        </w:rPr>
        <w:t xml:space="preserve"> </w:t>
      </w:r>
      <w:proofErr w:type="spellStart"/>
      <w:r w:rsidRPr="00130EEF">
        <w:rPr>
          <w:rFonts w:asciiTheme="majorBidi" w:hAnsiTheme="majorBidi" w:cstheme="majorBidi"/>
          <w:color w:val="000000" w:themeColor="text1"/>
        </w:rPr>
        <w:t>B</w:t>
      </w:r>
      <w:r w:rsidR="00FC0037" w:rsidRPr="00130EEF">
        <w:rPr>
          <w:rFonts w:asciiTheme="majorBidi" w:hAnsiTheme="majorBidi" w:cstheme="majorBidi"/>
          <w:color w:val="000000" w:themeColor="text1"/>
        </w:rPr>
        <w:t>evital</w:t>
      </w:r>
      <w:proofErr w:type="spellEnd"/>
      <w:r w:rsidR="00FC0037" w:rsidRPr="00130EEF">
        <w:rPr>
          <w:rFonts w:asciiTheme="majorBidi" w:hAnsiTheme="majorBidi" w:cstheme="majorBidi"/>
          <w:color w:val="000000" w:themeColor="text1"/>
        </w:rPr>
        <w:t xml:space="preserve"> </w:t>
      </w:r>
      <w:r w:rsidR="00515950" w:rsidRPr="00130EEF">
        <w:rPr>
          <w:rFonts w:asciiTheme="majorBidi" w:hAnsiTheme="majorBidi" w:cstheme="majorBidi"/>
          <w:color w:val="000000" w:themeColor="text1"/>
        </w:rPr>
        <w:t xml:space="preserve">Laboratories </w:t>
      </w:r>
      <w:r w:rsidRPr="00130EEF">
        <w:rPr>
          <w:rFonts w:asciiTheme="majorBidi" w:hAnsiTheme="majorBidi" w:cstheme="majorBidi"/>
          <w:color w:val="000000" w:themeColor="text1"/>
        </w:rPr>
        <w:t xml:space="preserve">(Bergen, Norway). </w:t>
      </w:r>
    </w:p>
    <w:p w14:paraId="72BB46DF" w14:textId="1EE225C7" w:rsidR="005665A6" w:rsidRPr="00130EEF" w:rsidRDefault="005665A6" w:rsidP="008832E1">
      <w:pPr>
        <w:pStyle w:val="Heading2"/>
        <w:rPr>
          <w:b w:val="0"/>
          <w:color w:val="000000" w:themeColor="text1"/>
        </w:rPr>
      </w:pPr>
      <w:r w:rsidRPr="00130EEF">
        <w:rPr>
          <w:color w:val="000000" w:themeColor="text1"/>
        </w:rPr>
        <w:lastRenderedPageBreak/>
        <w:t>Embryo collection</w:t>
      </w:r>
    </w:p>
    <w:p w14:paraId="0947E782" w14:textId="6A43F35F" w:rsidR="002C758E" w:rsidRPr="00130EEF" w:rsidRDefault="00CD622B" w:rsidP="00317B70">
      <w:pPr>
        <w:spacing w:line="480" w:lineRule="auto"/>
        <w:rPr>
          <w:color w:val="000000" w:themeColor="text1"/>
        </w:rPr>
      </w:pPr>
      <w:r w:rsidRPr="00130EEF">
        <w:rPr>
          <w:color w:val="000000" w:themeColor="text1"/>
        </w:rPr>
        <w:t>Pregnant mice were culled at the same hour of the day on E3.5. E</w:t>
      </w:r>
      <w:r w:rsidR="005665A6" w:rsidRPr="00130EEF">
        <w:rPr>
          <w:color w:val="000000" w:themeColor="text1"/>
        </w:rPr>
        <w:t xml:space="preserve">mbryos were collected by flushing </w:t>
      </w:r>
      <w:r w:rsidR="00416990" w:rsidRPr="00130EEF">
        <w:rPr>
          <w:color w:val="000000" w:themeColor="text1"/>
        </w:rPr>
        <w:t xml:space="preserve">the uterus </w:t>
      </w:r>
      <w:r w:rsidR="005665A6" w:rsidRPr="00130EEF">
        <w:rPr>
          <w:color w:val="000000" w:themeColor="text1"/>
        </w:rPr>
        <w:t xml:space="preserve">with H6 medium containing </w:t>
      </w:r>
      <w:r w:rsidR="0085219B" w:rsidRPr="00130EEF">
        <w:rPr>
          <w:color w:val="000000" w:themeColor="text1"/>
        </w:rPr>
        <w:t xml:space="preserve">bovine serum albumin (BSA) </w:t>
      </w:r>
      <w:r w:rsidR="005665A6" w:rsidRPr="00130EEF">
        <w:rPr>
          <w:color w:val="000000" w:themeColor="text1"/>
        </w:rPr>
        <w:t>(4</w:t>
      </w:r>
      <w:r w:rsidR="00317B70" w:rsidRPr="00130EEF">
        <w:rPr>
          <w:color w:val="000000" w:themeColor="text1"/>
        </w:rPr>
        <w:t xml:space="preserve"> </w:t>
      </w:r>
      <w:r w:rsidR="005665A6" w:rsidRPr="00130EEF">
        <w:rPr>
          <w:color w:val="000000" w:themeColor="text1"/>
        </w:rPr>
        <w:t>mg</w:t>
      </w:r>
      <w:r w:rsidR="001A4CD0" w:rsidRPr="00130EEF">
        <w:rPr>
          <w:color w:val="000000" w:themeColor="text1"/>
        </w:rPr>
        <w:t>/</w:t>
      </w:r>
      <w:r w:rsidR="005665A6" w:rsidRPr="00130EEF">
        <w:rPr>
          <w:color w:val="000000" w:themeColor="text1"/>
        </w:rPr>
        <w:t xml:space="preserve">ml, </w:t>
      </w:r>
      <w:r w:rsidR="0091216E" w:rsidRPr="00130EEF">
        <w:rPr>
          <w:color w:val="000000" w:themeColor="text1"/>
        </w:rPr>
        <w:t>H6BSA</w:t>
      </w:r>
      <w:r w:rsidR="0085219B" w:rsidRPr="00130EEF">
        <w:rPr>
          <w:color w:val="000000" w:themeColor="text1"/>
        </w:rPr>
        <w:t>; Sigma</w:t>
      </w:r>
      <w:r w:rsidR="005665A6" w:rsidRPr="00130EEF">
        <w:rPr>
          <w:color w:val="000000" w:themeColor="text1"/>
        </w:rPr>
        <w:t xml:space="preserve">). Freshly </w:t>
      </w:r>
      <w:r w:rsidR="00D45F91" w:rsidRPr="00130EEF">
        <w:rPr>
          <w:color w:val="000000" w:themeColor="text1"/>
        </w:rPr>
        <w:t>harvested</w:t>
      </w:r>
      <w:r w:rsidR="005665A6" w:rsidRPr="00130EEF">
        <w:rPr>
          <w:color w:val="000000" w:themeColor="text1"/>
        </w:rPr>
        <w:t xml:space="preserve"> embryos were washed once in H6BSA, </w:t>
      </w:r>
      <w:r w:rsidR="00FF5622" w:rsidRPr="00130EEF">
        <w:rPr>
          <w:color w:val="000000" w:themeColor="text1"/>
        </w:rPr>
        <w:t xml:space="preserve">followed by three washes </w:t>
      </w:r>
      <w:r w:rsidR="005665A6" w:rsidRPr="00130EEF">
        <w:rPr>
          <w:color w:val="000000" w:themeColor="text1"/>
        </w:rPr>
        <w:t>with H6</w:t>
      </w:r>
      <w:r w:rsidR="00AC2EF3" w:rsidRPr="00130EEF">
        <w:rPr>
          <w:color w:val="000000" w:themeColor="text1"/>
        </w:rPr>
        <w:t xml:space="preserve"> medium containing </w:t>
      </w:r>
      <w:r w:rsidR="005665A6" w:rsidRPr="00130EEF">
        <w:rPr>
          <w:color w:val="000000" w:themeColor="text1"/>
        </w:rPr>
        <w:t>polyvinyl pyrrolidone</w:t>
      </w:r>
      <w:r w:rsidR="00B87BC8" w:rsidRPr="00130EEF">
        <w:rPr>
          <w:color w:val="000000" w:themeColor="text1"/>
        </w:rPr>
        <w:t xml:space="preserve"> (PVP)</w:t>
      </w:r>
      <w:r w:rsidR="005665A6" w:rsidRPr="00130EEF">
        <w:rPr>
          <w:color w:val="000000" w:themeColor="text1"/>
        </w:rPr>
        <w:t xml:space="preserve"> (6</w:t>
      </w:r>
      <w:r w:rsidR="00AB7453" w:rsidRPr="00130EEF">
        <w:rPr>
          <w:color w:val="000000" w:themeColor="text1"/>
        </w:rPr>
        <w:t xml:space="preserve"> </w:t>
      </w:r>
      <w:r w:rsidR="005665A6" w:rsidRPr="00130EEF">
        <w:rPr>
          <w:color w:val="000000" w:themeColor="text1"/>
        </w:rPr>
        <w:t>mg/ml,</w:t>
      </w:r>
      <w:r w:rsidR="00AC2EF3" w:rsidRPr="00130EEF">
        <w:rPr>
          <w:color w:val="000000" w:themeColor="text1"/>
        </w:rPr>
        <w:t xml:space="preserve"> H6PVP</w:t>
      </w:r>
      <w:r w:rsidR="0085219B" w:rsidRPr="00130EEF">
        <w:rPr>
          <w:color w:val="000000" w:themeColor="text1"/>
        </w:rPr>
        <w:t xml:space="preserve"> Sigma</w:t>
      </w:r>
      <w:r w:rsidR="005665A6" w:rsidRPr="00130EEF">
        <w:rPr>
          <w:color w:val="000000" w:themeColor="text1"/>
        </w:rPr>
        <w:t>)</w:t>
      </w:r>
      <w:r w:rsidR="002C758E" w:rsidRPr="00130EEF">
        <w:rPr>
          <w:color w:val="000000" w:themeColor="text1"/>
        </w:rPr>
        <w:t xml:space="preserve">, and three </w:t>
      </w:r>
      <w:r w:rsidR="00FF5622" w:rsidRPr="00130EEF">
        <w:rPr>
          <w:color w:val="000000" w:themeColor="text1"/>
        </w:rPr>
        <w:t xml:space="preserve">washes </w:t>
      </w:r>
      <w:r w:rsidR="00022336" w:rsidRPr="00130EEF">
        <w:rPr>
          <w:color w:val="000000" w:themeColor="text1"/>
        </w:rPr>
        <w:t>in PBS</w:t>
      </w:r>
      <w:r w:rsidR="005665A6" w:rsidRPr="00130EEF">
        <w:rPr>
          <w:color w:val="000000" w:themeColor="text1"/>
        </w:rPr>
        <w:t>.</w:t>
      </w:r>
      <w:r w:rsidR="00480DF8" w:rsidRPr="00130EEF">
        <w:rPr>
          <w:color w:val="000000" w:themeColor="text1"/>
        </w:rPr>
        <w:t xml:space="preserve"> </w:t>
      </w:r>
      <w:r w:rsidR="00416990" w:rsidRPr="00130EEF">
        <w:rPr>
          <w:color w:val="000000" w:themeColor="text1"/>
        </w:rPr>
        <w:t xml:space="preserve">Embryos were classified as follows: </w:t>
      </w:r>
      <w:r w:rsidR="00736C45" w:rsidRPr="00130EEF">
        <w:rPr>
          <w:color w:val="000000" w:themeColor="text1"/>
        </w:rPr>
        <w:t xml:space="preserve">early </w:t>
      </w:r>
      <w:r w:rsidR="00FF5622" w:rsidRPr="00130EEF">
        <w:rPr>
          <w:color w:val="000000" w:themeColor="text1"/>
        </w:rPr>
        <w:t>blastocyst</w:t>
      </w:r>
      <w:r w:rsidR="00251CAD" w:rsidRPr="00130EEF">
        <w:rPr>
          <w:color w:val="000000" w:themeColor="text1"/>
        </w:rPr>
        <w:t>,</w:t>
      </w:r>
      <w:r w:rsidR="00416990" w:rsidRPr="00130EEF">
        <w:rPr>
          <w:color w:val="000000" w:themeColor="text1"/>
        </w:rPr>
        <w:t xml:space="preserve"> </w:t>
      </w:r>
      <w:r w:rsidR="00FF5622" w:rsidRPr="00130EEF">
        <w:rPr>
          <w:color w:val="000000" w:themeColor="text1"/>
        </w:rPr>
        <w:t xml:space="preserve">when the </w:t>
      </w:r>
      <w:r w:rsidR="00736C45" w:rsidRPr="00130EEF">
        <w:rPr>
          <w:color w:val="000000" w:themeColor="text1"/>
        </w:rPr>
        <w:t xml:space="preserve">blastocoel cavity </w:t>
      </w:r>
      <w:r w:rsidR="00FF5622" w:rsidRPr="00130EEF">
        <w:rPr>
          <w:color w:val="000000" w:themeColor="text1"/>
        </w:rPr>
        <w:t>occupied</w:t>
      </w:r>
      <w:r w:rsidR="00736C45" w:rsidRPr="00130EEF">
        <w:rPr>
          <w:color w:val="000000" w:themeColor="text1"/>
        </w:rPr>
        <w:t xml:space="preserve"> less than half</w:t>
      </w:r>
      <w:r w:rsidR="00FF5622" w:rsidRPr="00130EEF">
        <w:rPr>
          <w:color w:val="000000" w:themeColor="text1"/>
        </w:rPr>
        <w:t xml:space="preserve"> the blastocyst</w:t>
      </w:r>
      <w:r w:rsidR="00416990" w:rsidRPr="00130EEF">
        <w:rPr>
          <w:color w:val="000000" w:themeColor="text1"/>
        </w:rPr>
        <w:t>;</w:t>
      </w:r>
      <w:r w:rsidR="00736C45" w:rsidRPr="00130EEF">
        <w:rPr>
          <w:color w:val="000000" w:themeColor="text1"/>
        </w:rPr>
        <w:t xml:space="preserve"> mid</w:t>
      </w:r>
      <w:r w:rsidR="00FF5622" w:rsidRPr="00130EEF">
        <w:rPr>
          <w:color w:val="000000" w:themeColor="text1"/>
        </w:rPr>
        <w:t xml:space="preserve"> blastocyst</w:t>
      </w:r>
      <w:r w:rsidR="00251CAD" w:rsidRPr="00130EEF">
        <w:rPr>
          <w:color w:val="000000" w:themeColor="text1"/>
        </w:rPr>
        <w:t>,</w:t>
      </w:r>
      <w:r w:rsidR="00AA16E6" w:rsidRPr="00130EEF">
        <w:rPr>
          <w:color w:val="000000" w:themeColor="text1"/>
        </w:rPr>
        <w:t xml:space="preserve"> </w:t>
      </w:r>
      <w:r w:rsidR="00FF5622" w:rsidRPr="00130EEF">
        <w:rPr>
          <w:color w:val="000000" w:themeColor="text1"/>
        </w:rPr>
        <w:t>when</w:t>
      </w:r>
      <w:r w:rsidR="00736C45" w:rsidRPr="00130EEF">
        <w:rPr>
          <w:color w:val="000000" w:themeColor="text1"/>
        </w:rPr>
        <w:t xml:space="preserve"> the blastocoel cavity </w:t>
      </w:r>
      <w:r w:rsidR="00FF5622" w:rsidRPr="00130EEF">
        <w:rPr>
          <w:color w:val="000000" w:themeColor="text1"/>
        </w:rPr>
        <w:t>filled half the blastocyst</w:t>
      </w:r>
      <w:r w:rsidR="00416990" w:rsidRPr="00130EEF">
        <w:rPr>
          <w:color w:val="000000" w:themeColor="text1"/>
        </w:rPr>
        <w:t>;</w:t>
      </w:r>
      <w:r w:rsidR="00FF5622" w:rsidRPr="00130EEF">
        <w:rPr>
          <w:color w:val="000000" w:themeColor="text1"/>
        </w:rPr>
        <w:t xml:space="preserve"> </w:t>
      </w:r>
      <w:r w:rsidR="00736C45" w:rsidRPr="00130EEF">
        <w:rPr>
          <w:color w:val="000000" w:themeColor="text1"/>
        </w:rPr>
        <w:t>late blastocyst</w:t>
      </w:r>
      <w:r w:rsidR="00251CAD" w:rsidRPr="00130EEF">
        <w:rPr>
          <w:color w:val="000000" w:themeColor="text1"/>
        </w:rPr>
        <w:t>,</w:t>
      </w:r>
      <w:r w:rsidR="00736C45" w:rsidRPr="00130EEF">
        <w:rPr>
          <w:color w:val="000000" w:themeColor="text1"/>
        </w:rPr>
        <w:t xml:space="preserve"> when the blastocoel cavity fill</w:t>
      </w:r>
      <w:r w:rsidR="00FF5622" w:rsidRPr="00130EEF">
        <w:rPr>
          <w:color w:val="000000" w:themeColor="text1"/>
        </w:rPr>
        <w:t>ed</w:t>
      </w:r>
      <w:r w:rsidR="00736C45" w:rsidRPr="00130EEF">
        <w:rPr>
          <w:color w:val="000000" w:themeColor="text1"/>
        </w:rPr>
        <w:t xml:space="preserve"> </w:t>
      </w:r>
      <w:r w:rsidR="00251CAD" w:rsidRPr="00130EEF">
        <w:rPr>
          <w:color w:val="000000" w:themeColor="text1"/>
        </w:rPr>
        <w:t>the majority of the blastocyst</w:t>
      </w:r>
      <w:r w:rsidR="00D45F91" w:rsidRPr="00130EEF">
        <w:rPr>
          <w:color w:val="000000" w:themeColor="text1"/>
        </w:rPr>
        <w:t>,</w:t>
      </w:r>
      <w:r w:rsidR="00736C45" w:rsidRPr="00130EEF">
        <w:rPr>
          <w:color w:val="000000" w:themeColor="text1"/>
        </w:rPr>
        <w:t xml:space="preserve"> and the zona pellucida </w:t>
      </w:r>
      <w:r w:rsidR="00FF5622" w:rsidRPr="00130EEF">
        <w:rPr>
          <w:color w:val="000000" w:themeColor="text1"/>
        </w:rPr>
        <w:t>was substantially reduced</w:t>
      </w:r>
      <w:r w:rsidR="00416990" w:rsidRPr="00130EEF">
        <w:rPr>
          <w:color w:val="000000" w:themeColor="text1"/>
        </w:rPr>
        <w:t>;</w:t>
      </w:r>
      <w:r w:rsidR="00D6567C" w:rsidRPr="00130EEF">
        <w:rPr>
          <w:color w:val="000000" w:themeColor="text1"/>
        </w:rPr>
        <w:t xml:space="preserve"> and</w:t>
      </w:r>
      <w:r w:rsidR="00251CAD" w:rsidRPr="00130EEF">
        <w:rPr>
          <w:color w:val="000000" w:themeColor="text1"/>
        </w:rPr>
        <w:t xml:space="preserve"> </w:t>
      </w:r>
      <w:r w:rsidR="00FF5622" w:rsidRPr="00130EEF">
        <w:rPr>
          <w:color w:val="000000" w:themeColor="text1"/>
        </w:rPr>
        <w:t>morula</w:t>
      </w:r>
      <w:r w:rsidR="00251CAD" w:rsidRPr="00130EEF">
        <w:rPr>
          <w:color w:val="000000" w:themeColor="text1"/>
        </w:rPr>
        <w:t>,</w:t>
      </w:r>
      <w:r w:rsidR="00FF5622" w:rsidRPr="00130EEF">
        <w:rPr>
          <w:color w:val="000000" w:themeColor="text1"/>
        </w:rPr>
        <w:t xml:space="preserve"> when there was no sign of a cavity</w:t>
      </w:r>
      <w:r w:rsidR="00D6567C" w:rsidRPr="00130EEF">
        <w:rPr>
          <w:color w:val="000000" w:themeColor="text1"/>
        </w:rPr>
        <w:t xml:space="preserve"> </w:t>
      </w:r>
      <w:r w:rsidR="00EB631E" w:rsidRPr="00130EEF">
        <w:rPr>
          <w:color w:val="000000" w:themeColor="text1"/>
        </w:rPr>
        <w:fldChar w:fldCharType="begin" w:fldLock="1"/>
      </w:r>
      <w:r w:rsidR="00D832AE" w:rsidRPr="00130EEF">
        <w:rPr>
          <w:color w:val="000000" w:themeColor="text1"/>
        </w:rPr>
        <w:instrText>ADDIN CSL_CITATION {"citationItems":[{"id":"ITEM-1","itemData":{"DOI":"10.1002/dvg.22368","ISBN":"6176321972","ISSN":"1526954X","PMID":"1000000221","author":[{"dropping-particle":"","family":"Schrode","given":"Nadine","non-dropping-particle":"","parse-names":false,"suffix":""},{"dropping-particle":"","family":"Xenopoulos","given":"Panagiotis","non-dropping-particle":"","parse-names":false,"suffix":""},{"dropping-particle":"","family":"Piliszek","given":"Anna","non-dropping-particle":"","parse-names":false,"suffix":""},{"dropping-particle":"","family":"Frankenberg","given":"Stephen","non-dropping-particle":"","parse-names":false,"suffix":""},{"dropping-particle":"","family":"Plusa","given":"Berenika","non-dropping-particle":"","parse-names":false,"suffix":""},{"dropping-particle":"","family":"Hadjantonakis","given":"Anna-Katerina","non-dropping-particle":"","parse-names":false,"suffix":""}],"container-title":"Genesis","id":"ITEM-1","issue":"4","issued":{"date-parts":[["2013","4"]]},"page":"219-233","title":"Anatomy of a blastocyst: Cell behaviors driving cell fate choice and morphogenesis in the early mouse embryo","type":"article-journal","volume":"51"},"uris":["http://www.mendeley.com/documents/?uuid=d76a3f20-5a1d-4439-9187-9bae5d9ffb48"]}],"mendeley":{"formattedCitation":"(Schrode et al., 2013)","plainTextFormattedCitation":"(Schrode et al., 2013)","previouslyFormattedCitation":"(Schrode et al., 2013)"},"properties":{"noteIndex":0},"schema":"https://github.com/citation-style-language/schema/raw/master/csl-citation.json"}</w:instrText>
      </w:r>
      <w:r w:rsidR="00EB631E" w:rsidRPr="00130EEF">
        <w:rPr>
          <w:color w:val="000000" w:themeColor="text1"/>
        </w:rPr>
        <w:fldChar w:fldCharType="separate"/>
      </w:r>
      <w:r w:rsidR="00EB631E" w:rsidRPr="00130EEF">
        <w:rPr>
          <w:noProof/>
          <w:color w:val="000000" w:themeColor="text1"/>
        </w:rPr>
        <w:t>(Schrode et al., 2013)</w:t>
      </w:r>
      <w:r w:rsidR="00EB631E" w:rsidRPr="00130EEF">
        <w:rPr>
          <w:color w:val="000000" w:themeColor="text1"/>
        </w:rPr>
        <w:fldChar w:fldCharType="end"/>
      </w:r>
      <w:r w:rsidR="00D6567C" w:rsidRPr="00130EEF">
        <w:rPr>
          <w:color w:val="000000" w:themeColor="text1"/>
        </w:rPr>
        <w:t xml:space="preserve">. E-Mouse Atlas Project (http://www.emouseatlas.org) was used as </w:t>
      </w:r>
      <w:r w:rsidR="00D45F91" w:rsidRPr="00130EEF">
        <w:rPr>
          <w:color w:val="000000" w:themeColor="text1"/>
        </w:rPr>
        <w:t xml:space="preserve">a </w:t>
      </w:r>
      <w:r w:rsidR="00D6567C" w:rsidRPr="00130EEF">
        <w:rPr>
          <w:color w:val="000000" w:themeColor="text1"/>
        </w:rPr>
        <w:t>visual reference for embryo classification</w:t>
      </w:r>
      <w:r w:rsidR="00736C45" w:rsidRPr="00130EEF">
        <w:rPr>
          <w:color w:val="000000" w:themeColor="text1"/>
        </w:rPr>
        <w:t>.</w:t>
      </w:r>
      <w:r w:rsidR="00D6567C" w:rsidRPr="00130EEF">
        <w:rPr>
          <w:color w:val="000000" w:themeColor="text1"/>
        </w:rPr>
        <w:t xml:space="preserve"> Embryos and oocytes with signs of disintegration were classified as degenerated </w:t>
      </w:r>
      <w:r w:rsidR="00EA56F2" w:rsidRPr="00130EEF">
        <w:rPr>
          <w:color w:val="000000" w:themeColor="text1"/>
        </w:rPr>
        <w:t xml:space="preserve">embryo or </w:t>
      </w:r>
      <w:r w:rsidR="00D6567C" w:rsidRPr="00130EEF">
        <w:rPr>
          <w:color w:val="000000" w:themeColor="text1"/>
        </w:rPr>
        <w:t>oocyte.</w:t>
      </w:r>
      <w:r w:rsidR="00E24637" w:rsidRPr="00130EEF">
        <w:rPr>
          <w:color w:val="000000" w:themeColor="text1"/>
        </w:rPr>
        <w:t xml:space="preserve"> The total number of embryos </w:t>
      </w:r>
      <w:r w:rsidR="00DA4DEC" w:rsidRPr="00130EEF">
        <w:rPr>
          <w:color w:val="000000" w:themeColor="text1"/>
        </w:rPr>
        <w:t xml:space="preserve">was also </w:t>
      </w:r>
      <w:r w:rsidR="00AF2F0E" w:rsidRPr="00130EEF">
        <w:rPr>
          <w:color w:val="000000" w:themeColor="text1"/>
        </w:rPr>
        <w:t>calculated</w:t>
      </w:r>
      <w:r w:rsidR="00DA4DEC" w:rsidRPr="00130EEF">
        <w:rPr>
          <w:color w:val="000000" w:themeColor="text1"/>
        </w:rPr>
        <w:t>. S</w:t>
      </w:r>
      <w:r w:rsidR="002C758E" w:rsidRPr="00130EEF">
        <w:rPr>
          <w:color w:val="000000" w:themeColor="text1"/>
        </w:rPr>
        <w:t xml:space="preserve">ingle </w:t>
      </w:r>
      <w:r w:rsidR="00DA4DEC" w:rsidRPr="00130EEF">
        <w:rPr>
          <w:color w:val="000000" w:themeColor="text1"/>
        </w:rPr>
        <w:t xml:space="preserve">staged </w:t>
      </w:r>
      <w:r w:rsidR="002C758E" w:rsidRPr="00130EEF">
        <w:rPr>
          <w:color w:val="000000" w:themeColor="text1"/>
        </w:rPr>
        <w:t xml:space="preserve">embryos </w:t>
      </w:r>
      <w:r w:rsidR="005344BC" w:rsidRPr="00130EEF">
        <w:rPr>
          <w:color w:val="000000" w:themeColor="text1"/>
        </w:rPr>
        <w:t xml:space="preserve">to be </w:t>
      </w:r>
      <w:r w:rsidR="002C758E" w:rsidRPr="00130EEF">
        <w:rPr>
          <w:color w:val="000000" w:themeColor="text1"/>
        </w:rPr>
        <w:t xml:space="preserve">used for qPCR were transferred to a </w:t>
      </w:r>
      <w:proofErr w:type="spellStart"/>
      <w:r w:rsidR="006E3230" w:rsidRPr="00130EEF">
        <w:rPr>
          <w:color w:val="000000" w:themeColor="text1"/>
        </w:rPr>
        <w:t>siliconised</w:t>
      </w:r>
      <w:proofErr w:type="spellEnd"/>
      <w:r w:rsidR="002005FB" w:rsidRPr="00130EEF">
        <w:rPr>
          <w:color w:val="000000" w:themeColor="text1"/>
        </w:rPr>
        <w:t xml:space="preserve"> tube</w:t>
      </w:r>
      <w:r w:rsidR="002C758E" w:rsidRPr="00130EEF">
        <w:rPr>
          <w:color w:val="000000" w:themeColor="text1"/>
        </w:rPr>
        <w:t xml:space="preserve"> with a minimal volume (</w:t>
      </w:r>
      <w:r w:rsidR="00B87BC8" w:rsidRPr="00130EEF">
        <w:rPr>
          <w:color w:val="000000" w:themeColor="text1"/>
        </w:rPr>
        <w:t>1</w:t>
      </w:r>
      <w:r w:rsidR="00AB7453" w:rsidRPr="00130EEF">
        <w:rPr>
          <w:color w:val="000000" w:themeColor="text1"/>
        </w:rPr>
        <w:t xml:space="preserve"> </w:t>
      </w:r>
      <w:r w:rsidR="002C758E" w:rsidRPr="00130EEF">
        <w:rPr>
          <w:color w:val="000000" w:themeColor="text1"/>
        </w:rPr>
        <w:t>-</w:t>
      </w:r>
      <w:r w:rsidR="00B87BC8" w:rsidRPr="00130EEF">
        <w:rPr>
          <w:color w:val="000000" w:themeColor="text1"/>
        </w:rPr>
        <w:t xml:space="preserve"> 2</w:t>
      </w:r>
      <w:r w:rsidR="00AB7453" w:rsidRPr="00130EEF">
        <w:rPr>
          <w:color w:val="000000" w:themeColor="text1"/>
        </w:rPr>
        <w:t xml:space="preserve"> </w:t>
      </w:r>
      <w:r w:rsidR="00CF49D7" w:rsidRPr="00130EEF">
        <w:rPr>
          <w:color w:val="000000" w:themeColor="text1"/>
        </w:rPr>
        <w:t>µ</w:t>
      </w:r>
      <w:r w:rsidR="002C758E" w:rsidRPr="00130EEF">
        <w:rPr>
          <w:color w:val="000000" w:themeColor="text1"/>
        </w:rPr>
        <w:t xml:space="preserve">l) of PBS, </w:t>
      </w:r>
      <w:r w:rsidR="00D45F91" w:rsidRPr="00130EEF">
        <w:rPr>
          <w:color w:val="000000" w:themeColor="text1"/>
        </w:rPr>
        <w:t>snap-frozen</w:t>
      </w:r>
      <w:r w:rsidR="002C758E" w:rsidRPr="00130EEF">
        <w:rPr>
          <w:color w:val="000000" w:themeColor="text1"/>
        </w:rPr>
        <w:t xml:space="preserve"> in liquid nitrogen</w:t>
      </w:r>
      <w:r w:rsidR="00D45F91" w:rsidRPr="00130EEF">
        <w:rPr>
          <w:color w:val="000000" w:themeColor="text1"/>
        </w:rPr>
        <w:t>,</w:t>
      </w:r>
      <w:r w:rsidR="002C758E" w:rsidRPr="00130EEF">
        <w:rPr>
          <w:color w:val="000000" w:themeColor="text1"/>
        </w:rPr>
        <w:t xml:space="preserve"> and stored at -80</w:t>
      </w:r>
      <w:r w:rsidR="00AB7453" w:rsidRPr="00130EEF">
        <w:rPr>
          <w:color w:val="000000" w:themeColor="text1"/>
        </w:rPr>
        <w:t xml:space="preserve"> </w:t>
      </w:r>
      <w:r w:rsidR="002C758E" w:rsidRPr="00130EEF">
        <w:rPr>
          <w:color w:val="000000" w:themeColor="text1"/>
        </w:rPr>
        <w:t xml:space="preserve">ºC. For </w:t>
      </w:r>
      <w:r w:rsidR="00DA4DEC" w:rsidRPr="00130EEF">
        <w:rPr>
          <w:color w:val="000000" w:themeColor="text1"/>
        </w:rPr>
        <w:t xml:space="preserve">blastocyst </w:t>
      </w:r>
      <w:r w:rsidR="002C758E" w:rsidRPr="00130EEF">
        <w:rPr>
          <w:color w:val="000000" w:themeColor="text1"/>
        </w:rPr>
        <w:t xml:space="preserve">differential labelling </w:t>
      </w:r>
      <w:r w:rsidR="00DA4DEC" w:rsidRPr="00130EEF">
        <w:rPr>
          <w:color w:val="000000" w:themeColor="text1"/>
        </w:rPr>
        <w:t xml:space="preserve">of cell lineages </w:t>
      </w:r>
      <w:r w:rsidR="002C758E" w:rsidRPr="00130EEF">
        <w:rPr>
          <w:color w:val="000000" w:themeColor="text1"/>
        </w:rPr>
        <w:t xml:space="preserve">and immuno-detection, embryos were washed and used immediately. </w:t>
      </w:r>
    </w:p>
    <w:p w14:paraId="23E9AED4" w14:textId="5CE7C051" w:rsidR="00CC0660" w:rsidRPr="00130EEF" w:rsidRDefault="003A36C7" w:rsidP="008832E1">
      <w:pPr>
        <w:pStyle w:val="Heading2"/>
        <w:rPr>
          <w:b w:val="0"/>
          <w:color w:val="000000" w:themeColor="text1"/>
        </w:rPr>
      </w:pPr>
      <w:r w:rsidRPr="00130EEF">
        <w:rPr>
          <w:color w:val="000000" w:themeColor="text1"/>
        </w:rPr>
        <w:t>Quantitative</w:t>
      </w:r>
      <w:r w:rsidR="00187488" w:rsidRPr="00130EEF">
        <w:rPr>
          <w:color w:val="000000" w:themeColor="text1"/>
        </w:rPr>
        <w:t xml:space="preserve"> RT-</w:t>
      </w:r>
      <w:r w:rsidR="00CC0660" w:rsidRPr="00130EEF">
        <w:rPr>
          <w:color w:val="000000" w:themeColor="text1"/>
        </w:rPr>
        <w:t>PCR</w:t>
      </w:r>
    </w:p>
    <w:p w14:paraId="2CE5661B" w14:textId="1DC4F631" w:rsidR="00F0512C" w:rsidRPr="00130EEF" w:rsidRDefault="005344BC" w:rsidP="00317B70">
      <w:pPr>
        <w:spacing w:line="480" w:lineRule="auto"/>
        <w:rPr>
          <w:color w:val="000000" w:themeColor="text1"/>
        </w:rPr>
      </w:pPr>
      <w:r w:rsidRPr="00130EEF">
        <w:rPr>
          <w:color w:val="000000" w:themeColor="text1"/>
        </w:rPr>
        <w:t xml:space="preserve">RNA was isolated from a </w:t>
      </w:r>
      <w:r w:rsidR="0032737A" w:rsidRPr="00130EEF">
        <w:rPr>
          <w:color w:val="000000" w:themeColor="text1"/>
        </w:rPr>
        <w:t>single blastocyst</w:t>
      </w:r>
      <w:r w:rsidRPr="00130EEF">
        <w:rPr>
          <w:color w:val="000000" w:themeColor="text1"/>
        </w:rPr>
        <w:t xml:space="preserve"> </w:t>
      </w:r>
      <w:r w:rsidR="00021656" w:rsidRPr="00130EEF">
        <w:rPr>
          <w:color w:val="000000" w:themeColor="text1"/>
        </w:rPr>
        <w:t xml:space="preserve">using </w:t>
      </w:r>
      <w:r w:rsidRPr="00130EEF">
        <w:rPr>
          <w:color w:val="000000" w:themeColor="text1"/>
        </w:rPr>
        <w:t xml:space="preserve">the </w:t>
      </w:r>
      <w:proofErr w:type="spellStart"/>
      <w:r w:rsidR="00021656" w:rsidRPr="00130EEF">
        <w:rPr>
          <w:color w:val="000000" w:themeColor="text1"/>
        </w:rPr>
        <w:t>Dynabeads</w:t>
      </w:r>
      <w:proofErr w:type="spellEnd"/>
      <w:r w:rsidR="00021656" w:rsidRPr="00130EEF">
        <w:rPr>
          <w:color w:val="000000" w:themeColor="text1"/>
        </w:rPr>
        <w:t xml:space="preserve"> mRNA </w:t>
      </w:r>
      <w:r w:rsidR="00AB7453" w:rsidRPr="00130EEF">
        <w:rPr>
          <w:color w:val="000000" w:themeColor="text1"/>
        </w:rPr>
        <w:t>DIRECT</w:t>
      </w:r>
      <w:r w:rsidR="00021656" w:rsidRPr="00130EEF">
        <w:rPr>
          <w:color w:val="000000" w:themeColor="text1"/>
        </w:rPr>
        <w:t xml:space="preserve"> kit </w:t>
      </w:r>
      <w:r w:rsidRPr="00130EEF">
        <w:rPr>
          <w:color w:val="000000" w:themeColor="text1"/>
        </w:rPr>
        <w:t>(</w:t>
      </w:r>
      <w:r w:rsidR="00AB7453" w:rsidRPr="00130EEF">
        <w:rPr>
          <w:color w:val="000000" w:themeColor="text1"/>
        </w:rPr>
        <w:t>Invitrogen</w:t>
      </w:r>
      <w:r w:rsidRPr="00130EEF">
        <w:rPr>
          <w:color w:val="000000" w:themeColor="text1"/>
        </w:rPr>
        <w:t>)</w:t>
      </w:r>
      <w:r w:rsidR="00D45F91" w:rsidRPr="00130EEF">
        <w:rPr>
          <w:color w:val="000000" w:themeColor="text1"/>
        </w:rPr>
        <w:t>,</w:t>
      </w:r>
      <w:r w:rsidRPr="00130EEF">
        <w:rPr>
          <w:color w:val="000000" w:themeColor="text1"/>
        </w:rPr>
        <w:t xml:space="preserve"> </w:t>
      </w:r>
      <w:r w:rsidR="00AF2F0E" w:rsidRPr="00130EEF">
        <w:rPr>
          <w:color w:val="000000" w:themeColor="text1"/>
        </w:rPr>
        <w:t>as described</w:t>
      </w:r>
      <w:r w:rsidR="00D45F91" w:rsidRPr="00130EEF">
        <w:rPr>
          <w:color w:val="000000" w:themeColor="text1"/>
        </w:rPr>
        <w:t xml:space="preserve"> by</w:t>
      </w:r>
      <w:r w:rsidR="00CB69F3" w:rsidRPr="00130EEF">
        <w:rPr>
          <w:color w:val="000000" w:themeColor="text1"/>
        </w:rPr>
        <w:t xml:space="preserve"> </w:t>
      </w:r>
      <w:r w:rsidR="00EB631E" w:rsidRPr="00130EEF">
        <w:rPr>
          <w:color w:val="000000" w:themeColor="text1"/>
        </w:rPr>
        <w:fldChar w:fldCharType="begin" w:fldLock="1"/>
      </w:r>
      <w:r w:rsidR="00C70EAA" w:rsidRPr="00130EEF">
        <w:rPr>
          <w:color w:val="000000" w:themeColor="text1"/>
        </w:rPr>
        <w:instrText>ADDIN CSL_CITATION {"citationItems":[{"id":"ITEM-1","itemData":{"DOI":"10.1530/rep.1.01038","ISBN":"1470-1626 (Print)\\r1470-1626 (Linking)","ISSN":"1470-1626","PMID":"16885535","abstract":"In our previous study, we have shown that maternal low protein diet (LPD, 9% casein vs 18% casein control) fed exclusively during the rat preimplantation period (0–4.25 day postcoitum) induced low birth weight, altered postnatal growth and hypertension in a gender-specific manner. In this study, we investigated the effect of maternal LPD restricted only to the preimplantation period (switched diet) or provided throughout gestation on fetal growth and imprinted gene expression in blastocyst and fetal stages of development. Male, but not female, blastocysts collected from LPD dams displayed a significant reduction (30%) in H19 mRNA level. A significant reduction in H19 (9.4%) and Igf2 (10.9%) mRNA was also observed in male, but not in female, fetal liver at day 20 postcoitum in response to maternal LPD restricted to the preimplantation period. No effect on the blastocyst expression of Igf2R was observed in relation to maternal diet. The reduction in H19 mRNA expression did not correlate with an observed alteration in DNA methylation at the H19 differentially methylated region in fetal liver. In contrast, maternal LPD throughout 20 days of gestation did not affect male or female H19 and Igf2 imprinted gene expression in fetal liver. Neither LPD nor switched diet treatments affected H19 and Igf2 imprinted gene expression in day 20 placenta. Our findings demonstrate that one contributor to the alteration in postnatal growth induced by periconceptional maternal LPD may derive from a gender-specific programming of imprinted gene expression originating within the preimplantation embryo itself.","author":[{"dropping-particle":"","family":"Kwong","given":"W Y","non-dropping-particle":"","parse-names":false,"suffix":""},{"dropping-particle":"","family":"Miller","given":"D J","non-dropping-particle":"","parse-names":false,"suffix":""},{"dropping-particle":"","family":"Ursell","given":"E","non-dropping-particle":"","parse-names":false,"suffix":""},{"dropping-particle":"","family":"Wild","given":"A E","non-dropping-particle":"","parse-names":false,"suffix":""},{"dropping-particle":"","family":"Wilkins","given":"A P","non-dropping-particle":"","parse-names":false,"suffix":""},{"dropping-particle":"","family":"Osmond","given":"C","non-dropping-particle":"","parse-names":false,"suffix":""},{"dropping-particle":"","family":"Anthony","given":"F W","non-dropping-particle":"","parse-names":false,"suffix":""},{"dropping-particle":"","family":"Fleming","given":"T P","non-dropping-particle":"","parse-names":false,"suffix":""}],"container-title":"Reproduction","id":"ITEM-1","issue":"2","issued":{"date-parts":[["2006","8"]]},"page":"265-277","title":"Imprinted gene expression in the rat embryo–fetal axis is altered in response to periconceptional maternal low protein diet","type":"article-journal","volume":"132"},"uris":["http://www.mendeley.com/documents/?uuid=049132c2-5dc1-41eb-9f99-0cc9e50fb595"]}],"mendeley":{"formattedCitation":"(Kwong et al., 2006)","manualFormatting":"Kwong et al., 2006","plainTextFormattedCitation":"(Kwong et al., 2006)","previouslyFormattedCitation":"(Kwong et al., 2006)"},"properties":{"noteIndex":0},"schema":"https://github.com/citation-style-language/schema/raw/master/csl-citation.json"}</w:instrText>
      </w:r>
      <w:r w:rsidR="00EB631E" w:rsidRPr="00130EEF">
        <w:rPr>
          <w:color w:val="000000" w:themeColor="text1"/>
        </w:rPr>
        <w:fldChar w:fldCharType="separate"/>
      </w:r>
      <w:r w:rsidR="001A5C04" w:rsidRPr="00130EEF">
        <w:rPr>
          <w:noProof/>
          <w:color w:val="000000" w:themeColor="text1"/>
        </w:rPr>
        <w:t>Kwong et al., 2006</w:t>
      </w:r>
      <w:r w:rsidR="00EB631E" w:rsidRPr="00130EEF">
        <w:rPr>
          <w:color w:val="000000" w:themeColor="text1"/>
        </w:rPr>
        <w:fldChar w:fldCharType="end"/>
      </w:r>
      <w:r w:rsidR="00CD622B" w:rsidRPr="00130EEF">
        <w:rPr>
          <w:color w:val="000000" w:themeColor="text1"/>
        </w:rPr>
        <w:t xml:space="preserve">. In total </w:t>
      </w:r>
      <w:r w:rsidR="00991751" w:rsidRPr="00130EEF">
        <w:rPr>
          <w:color w:val="000000" w:themeColor="text1"/>
        </w:rPr>
        <w:t>one</w:t>
      </w:r>
      <w:r w:rsidR="00CD622B" w:rsidRPr="00130EEF">
        <w:rPr>
          <w:color w:val="000000" w:themeColor="text1"/>
        </w:rPr>
        <w:t xml:space="preserve"> blastocyst</w:t>
      </w:r>
      <w:r w:rsidR="000F2E03" w:rsidRPr="00130EEF">
        <w:rPr>
          <w:color w:val="000000" w:themeColor="text1"/>
        </w:rPr>
        <w:t xml:space="preserve"> per dam, with a total number of 10 dams per group </w:t>
      </w:r>
      <w:r w:rsidR="00CD622B" w:rsidRPr="00130EEF">
        <w:rPr>
          <w:color w:val="000000" w:themeColor="text1"/>
        </w:rPr>
        <w:t xml:space="preserve">were used for </w:t>
      </w:r>
      <w:r w:rsidR="001D6282" w:rsidRPr="00130EEF">
        <w:rPr>
          <w:color w:val="000000" w:themeColor="text1"/>
        </w:rPr>
        <w:t>RNA expression studies</w:t>
      </w:r>
      <w:r w:rsidR="00CD622B" w:rsidRPr="00130EEF">
        <w:rPr>
          <w:color w:val="000000" w:themeColor="text1"/>
        </w:rPr>
        <w:t>.</w:t>
      </w:r>
      <w:r w:rsidR="0032737A" w:rsidRPr="00130EEF">
        <w:rPr>
          <w:color w:val="000000" w:themeColor="text1"/>
        </w:rPr>
        <w:t xml:space="preserve"> </w:t>
      </w:r>
      <w:r w:rsidR="00206FDF" w:rsidRPr="00130EEF">
        <w:rPr>
          <w:color w:val="000000" w:themeColor="text1"/>
        </w:rPr>
        <w:t xml:space="preserve">Complementary DNA </w:t>
      </w:r>
      <w:r w:rsidR="0032737A" w:rsidRPr="00130EEF">
        <w:rPr>
          <w:color w:val="000000" w:themeColor="text1"/>
        </w:rPr>
        <w:t xml:space="preserve">was transcribed using </w:t>
      </w:r>
      <w:r w:rsidR="00206FDF" w:rsidRPr="00130EEF">
        <w:rPr>
          <w:color w:val="000000" w:themeColor="text1"/>
        </w:rPr>
        <w:t xml:space="preserve">Moloney-murine </w:t>
      </w:r>
      <w:proofErr w:type="spellStart"/>
      <w:r w:rsidR="00AB7453" w:rsidRPr="00130EEF">
        <w:rPr>
          <w:color w:val="000000" w:themeColor="text1"/>
        </w:rPr>
        <w:t>leukemia</w:t>
      </w:r>
      <w:proofErr w:type="spellEnd"/>
      <w:r w:rsidR="00206FDF" w:rsidRPr="00130EEF">
        <w:rPr>
          <w:color w:val="000000" w:themeColor="text1"/>
        </w:rPr>
        <w:t xml:space="preserve"> virus reverse transcriptase (M-MLV) (Promega) according to the manufacture</w:t>
      </w:r>
      <w:r w:rsidRPr="00130EEF">
        <w:rPr>
          <w:color w:val="000000" w:themeColor="text1"/>
        </w:rPr>
        <w:t>r</w:t>
      </w:r>
      <w:r w:rsidR="00206FDF" w:rsidRPr="00130EEF">
        <w:rPr>
          <w:color w:val="000000" w:themeColor="text1"/>
        </w:rPr>
        <w:t xml:space="preserve">’s protocol </w:t>
      </w:r>
      <w:r w:rsidR="0032737A" w:rsidRPr="00130EEF">
        <w:rPr>
          <w:color w:val="000000" w:themeColor="text1"/>
        </w:rPr>
        <w:t>and stored at -20</w:t>
      </w:r>
      <w:r w:rsidR="00AB7453" w:rsidRPr="00130EEF">
        <w:rPr>
          <w:color w:val="000000" w:themeColor="text1"/>
        </w:rPr>
        <w:t xml:space="preserve"> °C</w:t>
      </w:r>
      <w:r w:rsidR="0032737A" w:rsidRPr="00130EEF">
        <w:rPr>
          <w:color w:val="000000" w:themeColor="text1"/>
        </w:rPr>
        <w:t>.</w:t>
      </w:r>
      <w:r w:rsidR="00AF2F0E" w:rsidRPr="00130EEF">
        <w:rPr>
          <w:color w:val="000000" w:themeColor="text1"/>
        </w:rPr>
        <w:t xml:space="preserve"> </w:t>
      </w:r>
      <w:r w:rsidR="00D6567C" w:rsidRPr="00130EEF">
        <w:rPr>
          <w:color w:val="000000" w:themeColor="text1"/>
        </w:rPr>
        <w:t xml:space="preserve">Quantitative </w:t>
      </w:r>
      <w:r w:rsidR="00AF2F0E" w:rsidRPr="00130EEF">
        <w:rPr>
          <w:color w:val="000000" w:themeColor="text1"/>
        </w:rPr>
        <w:t>RT</w:t>
      </w:r>
      <w:r w:rsidR="00D6567C" w:rsidRPr="00130EEF">
        <w:rPr>
          <w:color w:val="000000" w:themeColor="text1"/>
        </w:rPr>
        <w:t>-</w:t>
      </w:r>
      <w:r w:rsidR="00206FDF" w:rsidRPr="00130EEF">
        <w:rPr>
          <w:color w:val="000000" w:themeColor="text1"/>
        </w:rPr>
        <w:t xml:space="preserve">PCR was then performed using SYBR Green (Qiagen) and </w:t>
      </w:r>
      <w:r w:rsidR="00BC1A64" w:rsidRPr="00130EEF">
        <w:rPr>
          <w:color w:val="000000" w:themeColor="text1"/>
        </w:rPr>
        <w:t xml:space="preserve">samples </w:t>
      </w:r>
      <w:r w:rsidR="006E3230" w:rsidRPr="00130EEF">
        <w:rPr>
          <w:color w:val="000000" w:themeColor="text1"/>
        </w:rPr>
        <w:t>analysed</w:t>
      </w:r>
      <w:r w:rsidR="00BC1A64" w:rsidRPr="00130EEF">
        <w:rPr>
          <w:color w:val="000000" w:themeColor="text1"/>
        </w:rPr>
        <w:t xml:space="preserve"> i</w:t>
      </w:r>
      <w:r w:rsidR="00206FDF" w:rsidRPr="00130EEF">
        <w:rPr>
          <w:color w:val="000000" w:themeColor="text1"/>
        </w:rPr>
        <w:t xml:space="preserve">n duplicate </w:t>
      </w:r>
      <w:r w:rsidR="00AF2F0E" w:rsidRPr="00130EEF">
        <w:rPr>
          <w:color w:val="000000" w:themeColor="text1"/>
        </w:rPr>
        <w:t xml:space="preserve">using a </w:t>
      </w:r>
      <w:r w:rsidR="00206FDF" w:rsidRPr="00130EEF">
        <w:rPr>
          <w:color w:val="000000" w:themeColor="text1"/>
        </w:rPr>
        <w:t xml:space="preserve">Light Cycler 480 II (Roche). mRNA levels were determined by the standard curve method </w:t>
      </w:r>
      <w:r w:rsidR="00EB631E" w:rsidRPr="00130EEF">
        <w:rPr>
          <w:color w:val="000000" w:themeColor="text1"/>
        </w:rPr>
        <w:lastRenderedPageBreak/>
        <w:fldChar w:fldCharType="begin" w:fldLock="1"/>
      </w:r>
      <w:r w:rsidR="00EB631E" w:rsidRPr="00130EEF">
        <w:rPr>
          <w:color w:val="000000" w:themeColor="text1"/>
        </w:rPr>
        <w:instrText>ADDIN CSL_CITATION {"citationItems":[{"id":"ITEM-1","itemData":{"DOI":"10.1186/1471-2199-8-113","ISBN":"1471-2199 (Electronic)\\r1471-2199 (Linking)","ISSN":"1471-2199","PMID":"18093344","abstract":"BACKGROUND: Fluorescent data obtained from real-time PCR must be processed by some method of data analysis to obtain the relative quantity of target mRNA. The method chosen for data analysis can strongly influence results of the quantification. RESULTS: To compare the performance of six techniques which are currently used for analysing fluorescent data in real-time PCR relative quantification, we quantified four cytokine transcripts (IL-1beta, IL-6 TNF-alpha, and GM-CSF) in an in vivo model of colonic inflammation. Accuracy of the methods was tested by quantification on samples with known relative amounts of target mRNAs. Reproducibility of the methods was estimated by the determination of the intra-assay and inter-assay variability. Cytokine expression normalized to the expression of three reference genes (ACTB, HPRT, SDHA) was then determined using the six methods for data analysis. The best results were obtained with the relative standard curve method, comparative Ct method and with DART-PCR, LinRegPCR and Liu &amp; Saint exponential methods when average amplification efficiency was used. The use of individual amplification efficiencies in DART-PCR, LinRegPCR and Liu &amp; Saint exponential methods significantly impaired the results. The sigmoid curve-fitting (SCF) method produced medium performance; the results indicate that the use of appropriate type of fluorescence data and in some instances manual selection of the number of amplification cycles included in the analysis is necessary when the SCF method is applied. We also compared amplification efficiencies (E) and found that although the E values determined by different methods of analysis were not identical, all the methods were capable to identify two genes whose E values significantly differed from other genes. CONCLUSION: Our results show that all the tested methods can provide quantitative values reflecting the amounts of measured mRNA in samples, but they differ in their accuracy and reproducibility. Selection of the appropriate method can also depend on the design of a particular experiment. The advantages and disadvantages of the methods in different applications are discussed.","author":[{"dropping-particle":"","family":"Čikoš","given":"Štefan","non-dropping-particle":"","parse-names":false,"suffix":""},{"dropping-particle":"","family":"Bukovská","given":"Alexandra","non-dropping-particle":"","parse-names":false,"suffix":""},{"dropping-particle":"","family":"Koppel","given":"Juraj","non-dropping-particle":"","parse-names":false,"suffix":""}],"container-title":"BMC Molecular Biology","id":"ITEM-1","issue":"1","issued":{"date-parts":[["2007"]]},"page":"113","title":"Relative quantification of mRNA: comparison of methods currently used for real-time PCR data analysis","type":"article-journal","volume":"8"},"uris":["http://www.mendeley.com/documents/?uuid=c45828b3-b0f9-4cae-9739-f80c729549f1"]}],"mendeley":{"formattedCitation":"(Čikoš, Bukovská, &amp; Koppel, 2007)","plainTextFormattedCitation":"(Čikoš, Bukovská, &amp; Koppel, 2007)","previouslyFormattedCitation":"(Čikoš, Bukovská, &amp; Koppel, 2007)"},"properties":{"noteIndex":0},"schema":"https://github.com/citation-style-language/schema/raw/master/csl-citation.json"}</w:instrText>
      </w:r>
      <w:r w:rsidR="00EB631E" w:rsidRPr="00130EEF">
        <w:rPr>
          <w:color w:val="000000" w:themeColor="text1"/>
        </w:rPr>
        <w:fldChar w:fldCharType="separate"/>
      </w:r>
      <w:r w:rsidR="00EB631E" w:rsidRPr="00130EEF">
        <w:rPr>
          <w:noProof/>
          <w:color w:val="000000" w:themeColor="text1"/>
        </w:rPr>
        <w:t>(Čikoš, Bukovská, &amp; Koppel, 2007)</w:t>
      </w:r>
      <w:r w:rsidR="00EB631E" w:rsidRPr="00130EEF">
        <w:rPr>
          <w:color w:val="000000" w:themeColor="text1"/>
        </w:rPr>
        <w:fldChar w:fldCharType="end"/>
      </w:r>
      <w:r w:rsidR="00206FDF" w:rsidRPr="00130EEF">
        <w:rPr>
          <w:color w:val="000000" w:themeColor="text1"/>
        </w:rPr>
        <w:t xml:space="preserve"> and </w:t>
      </w:r>
      <w:r w:rsidR="006E3230" w:rsidRPr="00130EEF">
        <w:rPr>
          <w:color w:val="000000" w:themeColor="text1"/>
        </w:rPr>
        <w:t>normalised</w:t>
      </w:r>
      <w:r w:rsidR="00206FDF" w:rsidRPr="00130EEF">
        <w:rPr>
          <w:color w:val="000000" w:themeColor="text1"/>
        </w:rPr>
        <w:t xml:space="preserve"> to</w:t>
      </w:r>
      <w:r w:rsidR="00F26961" w:rsidRPr="00130EEF">
        <w:rPr>
          <w:color w:val="000000" w:themeColor="text1"/>
        </w:rPr>
        <w:t xml:space="preserve"> </w:t>
      </w:r>
      <w:r w:rsidR="00F26961" w:rsidRPr="00130EEF">
        <w:rPr>
          <w:i/>
          <w:color w:val="000000" w:themeColor="text1"/>
        </w:rPr>
        <w:t>H2afz</w:t>
      </w:r>
      <w:r w:rsidR="00F26961" w:rsidRPr="00130EEF">
        <w:rPr>
          <w:color w:val="000000" w:themeColor="text1"/>
        </w:rPr>
        <w:t xml:space="preserve">, </w:t>
      </w:r>
      <w:proofErr w:type="spellStart"/>
      <w:r w:rsidR="00F26961" w:rsidRPr="00130EEF">
        <w:rPr>
          <w:i/>
          <w:color w:val="000000" w:themeColor="text1"/>
        </w:rPr>
        <w:t>Ppib</w:t>
      </w:r>
      <w:proofErr w:type="spellEnd"/>
      <w:r w:rsidR="00D45F91" w:rsidRPr="00130EEF">
        <w:rPr>
          <w:i/>
          <w:color w:val="000000" w:themeColor="text1"/>
        </w:rPr>
        <w:t>,</w:t>
      </w:r>
      <w:r w:rsidR="00F26961" w:rsidRPr="00130EEF">
        <w:rPr>
          <w:color w:val="000000" w:themeColor="text1"/>
        </w:rPr>
        <w:t xml:space="preserve"> and </w:t>
      </w:r>
      <w:r w:rsidR="00F26961" w:rsidRPr="00130EEF">
        <w:rPr>
          <w:i/>
          <w:color w:val="000000" w:themeColor="text1"/>
        </w:rPr>
        <w:t>Tuba</w:t>
      </w:r>
      <w:r w:rsidR="00F26961" w:rsidRPr="00130EEF">
        <w:rPr>
          <w:color w:val="000000" w:themeColor="text1"/>
        </w:rPr>
        <w:t xml:space="preserve"> as reference genes selected </w:t>
      </w:r>
      <w:r w:rsidR="00AF2F0E" w:rsidRPr="00130EEF">
        <w:rPr>
          <w:color w:val="000000" w:themeColor="text1"/>
        </w:rPr>
        <w:t xml:space="preserve">from </w:t>
      </w:r>
      <w:proofErr w:type="spellStart"/>
      <w:r w:rsidR="00F26961" w:rsidRPr="00130EEF">
        <w:rPr>
          <w:color w:val="000000" w:themeColor="text1"/>
        </w:rPr>
        <w:t>geNorm</w:t>
      </w:r>
      <w:proofErr w:type="spellEnd"/>
      <w:r w:rsidR="00F26961" w:rsidRPr="00130EEF">
        <w:rPr>
          <w:color w:val="000000" w:themeColor="text1"/>
        </w:rPr>
        <w:t xml:space="preserve"> analysis</w:t>
      </w:r>
      <w:r w:rsidR="00B57B1D" w:rsidRPr="00130EEF">
        <w:rPr>
          <w:color w:val="000000" w:themeColor="text1"/>
        </w:rPr>
        <w:t xml:space="preserve"> using </w:t>
      </w:r>
      <w:proofErr w:type="spellStart"/>
      <w:r w:rsidR="00B57B1D" w:rsidRPr="00130EEF">
        <w:rPr>
          <w:color w:val="000000" w:themeColor="text1"/>
        </w:rPr>
        <w:t>Biogazelle</w:t>
      </w:r>
      <w:proofErr w:type="spellEnd"/>
      <w:r w:rsidR="00B57B1D" w:rsidRPr="00130EEF">
        <w:rPr>
          <w:color w:val="000000" w:themeColor="text1"/>
        </w:rPr>
        <w:t xml:space="preserve"> </w:t>
      </w:r>
      <w:proofErr w:type="spellStart"/>
      <w:r w:rsidR="00B57B1D" w:rsidRPr="00130EEF">
        <w:rPr>
          <w:color w:val="000000" w:themeColor="text1"/>
        </w:rPr>
        <w:t>qbase</w:t>
      </w:r>
      <w:proofErr w:type="spellEnd"/>
      <w:r w:rsidR="00B57B1D" w:rsidRPr="00130EEF">
        <w:rPr>
          <w:color w:val="000000" w:themeColor="text1"/>
        </w:rPr>
        <w:t xml:space="preserve"> plus 3.0 (</w:t>
      </w:r>
      <w:proofErr w:type="spellStart"/>
      <w:r w:rsidR="00B57B1D" w:rsidRPr="00130EEF">
        <w:rPr>
          <w:color w:val="000000" w:themeColor="text1"/>
        </w:rPr>
        <w:t>Biogazelle</w:t>
      </w:r>
      <w:proofErr w:type="spellEnd"/>
      <w:r w:rsidR="00B57B1D" w:rsidRPr="00130EEF">
        <w:rPr>
          <w:color w:val="000000" w:themeColor="text1"/>
        </w:rPr>
        <w:t>, Belgium)</w:t>
      </w:r>
      <w:r w:rsidR="00206FDF" w:rsidRPr="00130EEF">
        <w:rPr>
          <w:color w:val="000000" w:themeColor="text1"/>
        </w:rPr>
        <w:t xml:space="preserve"> </w:t>
      </w:r>
      <w:r w:rsidR="00EB631E" w:rsidRPr="00130EEF">
        <w:rPr>
          <w:color w:val="000000" w:themeColor="text1"/>
        </w:rPr>
        <w:fldChar w:fldCharType="begin" w:fldLock="1"/>
      </w:r>
      <w:r w:rsidR="00EB631E" w:rsidRPr="00130EEF">
        <w:rPr>
          <w:color w:val="000000" w:themeColor="text1"/>
        </w:rPr>
        <w:instrText>ADDIN CSL_CITATION {"citationItems":[{"id":"ITEM-1","itemData":{"DOI":"10.1186/gb-2002-3-7-research0034","ISBN":"1465-6906","ISSN":"1465-6914","PMID":"12184808","abstract":"Background: Gene-expression analysis is increasingly important in biological research, with real-time reverse transcription PCR (RT-PCR) becoming the method of choice for high-throughput and accurate expression profiling of selected genes. Given the increased sensitivity, reproducibility and large dynamic range of this methodology, the requirements for a proper internal control gene for normalization have become increasingly stringent. Although housekeeping gene expression has been reported to vary considerably, no systematic survey has properly determined the errors related to the common practice of using only one control gene, nor presented an adequate way of working around this problem. Results: We outline a robust and innovative strategy to identify the most stably expressed control genes in a given set of tissues, and to determine the minimum number of genes required to calculate a reliable normalization factor. We have evaluated ten housekeeping genes from different abundance and functional classes in various human tissues, and demonstrated that the conventional use of a single gene for normalization leads to relatively large errors in a significant proportion of samples tested. The geometric mean of multiple carefully selected housekeeping genes was validated as an accurate normalization factor by analyzing publicly available microarray data. Conclusions: The normalization strategy presented here is a prerequisite for accurate RT-PCR expression profiling, which, among other things, opens up the possibility of studying the biological relevance of small expression differences.","author":[{"dropping-particle":"","family":"Vandesompele","given":"Jo","non-dropping-particle":"","parse-names":false,"suffix":""},{"dropping-particle":"","family":"Preter","given":"Katleen","non-dropping-particle":"De","parse-names":false,"suffix":""},{"dropping-particle":"","family":"Pattyn","given":"ilip","non-dropping-particle":"","parse-names":false,"suffix":""},{"dropping-particle":"","family":"Poppe","given":"Bruce","non-dropping-particle":"","parse-names":false,"suffix":""},{"dropping-particle":"","family":"Roy","given":"Nadine","non-dropping-particle":"Van","parse-names":false,"suffix":""},{"dropping-particle":"","family":"Paepe","given":"Anne","non-dropping-particle":"De","parse-names":false,"suffix":""},{"dropping-particle":"","family":"Speleman","given":"rank","non-dropping-particle":"","parse-names":false,"suffix":""}],"container-title":"Genome Biology","id":"ITEM-1","issue":"711","issued":{"date-parts":[["2002"]]},"page":"34-1","title":"Accurate normalization of real-time quantitative RT-PCR data by geometric averaging of multiple internal control genes","type":"article-journal","volume":"3"},"uris":["http://www.mendeley.com/documents/?uuid=b195c103-70e5-4e3d-a2bd-a4e27e72f493"]}],"mendeley":{"formattedCitation":"(Vandesompele et al., 2002)","plainTextFormattedCitation":"(Vandesompele et al., 2002)","previouslyFormattedCitation":"(Vandesompele et al., 2002)"},"properties":{"noteIndex":0},"schema":"https://github.com/citation-style-language/schema/raw/master/csl-citation.json"}</w:instrText>
      </w:r>
      <w:r w:rsidR="00EB631E" w:rsidRPr="00130EEF">
        <w:rPr>
          <w:color w:val="000000" w:themeColor="text1"/>
        </w:rPr>
        <w:fldChar w:fldCharType="separate"/>
      </w:r>
      <w:r w:rsidR="00EB631E" w:rsidRPr="00130EEF">
        <w:rPr>
          <w:noProof/>
          <w:color w:val="000000" w:themeColor="text1"/>
        </w:rPr>
        <w:t>(Vandesompele et al., 2002)</w:t>
      </w:r>
      <w:r w:rsidR="00EB631E" w:rsidRPr="00130EEF">
        <w:rPr>
          <w:color w:val="000000" w:themeColor="text1"/>
        </w:rPr>
        <w:fldChar w:fldCharType="end"/>
      </w:r>
      <w:r w:rsidR="00206FDF" w:rsidRPr="00130EEF">
        <w:rPr>
          <w:color w:val="000000" w:themeColor="text1"/>
        </w:rPr>
        <w:t>.</w:t>
      </w:r>
      <w:r w:rsidR="001B0C95" w:rsidRPr="00130EEF">
        <w:rPr>
          <w:color w:val="000000" w:themeColor="text1"/>
        </w:rPr>
        <w:t xml:space="preserve"> </w:t>
      </w:r>
      <w:r w:rsidR="00C71951" w:rsidRPr="00130EEF">
        <w:rPr>
          <w:color w:val="000000" w:themeColor="text1"/>
        </w:rPr>
        <w:t xml:space="preserve">Six housekeeping genes were tested and the </w:t>
      </w:r>
      <w:r w:rsidR="00875FB6" w:rsidRPr="00130EEF">
        <w:rPr>
          <w:color w:val="000000" w:themeColor="text1"/>
        </w:rPr>
        <w:t>three housekeeping</w:t>
      </w:r>
      <w:r w:rsidR="00B57B1D" w:rsidRPr="00130EEF">
        <w:rPr>
          <w:color w:val="000000" w:themeColor="text1"/>
        </w:rPr>
        <w:t xml:space="preserve"> genes </w:t>
      </w:r>
      <w:r w:rsidR="00C71951" w:rsidRPr="00130EEF">
        <w:rPr>
          <w:color w:val="000000" w:themeColor="text1"/>
        </w:rPr>
        <w:t xml:space="preserve">which </w:t>
      </w:r>
      <w:r w:rsidR="00B57B1D" w:rsidRPr="00130EEF">
        <w:rPr>
          <w:color w:val="000000" w:themeColor="text1"/>
        </w:rPr>
        <w:t>showed the greatest stability (M value</w:t>
      </w:r>
      <w:r w:rsidR="00991751" w:rsidRPr="00130EEF">
        <w:rPr>
          <w:color w:val="000000" w:themeColor="text1"/>
        </w:rPr>
        <w:t xml:space="preserve"> &lt; 0.575</w:t>
      </w:r>
      <w:r w:rsidR="00B57B1D" w:rsidRPr="00130EEF">
        <w:rPr>
          <w:color w:val="000000" w:themeColor="text1"/>
        </w:rPr>
        <w:t>) and the lowe</w:t>
      </w:r>
      <w:r w:rsidR="00FC1C1E" w:rsidRPr="00130EEF">
        <w:rPr>
          <w:color w:val="000000" w:themeColor="text1"/>
        </w:rPr>
        <w:t>st</w:t>
      </w:r>
      <w:r w:rsidR="00B57B1D" w:rsidRPr="00130EEF">
        <w:rPr>
          <w:color w:val="000000" w:themeColor="text1"/>
        </w:rPr>
        <w:t xml:space="preserve"> variability among samples</w:t>
      </w:r>
      <w:r w:rsidR="00991751" w:rsidRPr="00130EEF">
        <w:rPr>
          <w:color w:val="000000" w:themeColor="text1"/>
        </w:rPr>
        <w:t xml:space="preserve"> (V &lt; 0.15)</w:t>
      </w:r>
      <w:r w:rsidR="00C71951" w:rsidRPr="00130EEF">
        <w:rPr>
          <w:color w:val="000000" w:themeColor="text1"/>
        </w:rPr>
        <w:t xml:space="preserve"> </w:t>
      </w:r>
      <w:r w:rsidR="00FC1C1E" w:rsidRPr="00130EEF">
        <w:rPr>
          <w:color w:val="000000" w:themeColor="text1"/>
        </w:rPr>
        <w:t xml:space="preserve">were </w:t>
      </w:r>
      <w:r w:rsidR="00C71951" w:rsidRPr="00130EEF">
        <w:rPr>
          <w:color w:val="000000" w:themeColor="text1"/>
        </w:rPr>
        <w:t>used</w:t>
      </w:r>
      <w:r w:rsidR="00B57B1D" w:rsidRPr="00130EEF">
        <w:rPr>
          <w:color w:val="000000" w:themeColor="text1"/>
        </w:rPr>
        <w:t xml:space="preserve">. </w:t>
      </w:r>
      <w:r w:rsidR="001D6282" w:rsidRPr="00130EEF">
        <w:rPr>
          <w:color w:val="000000" w:themeColor="text1"/>
        </w:rPr>
        <w:t>P</w:t>
      </w:r>
      <w:r w:rsidR="001B0C95" w:rsidRPr="00130EEF">
        <w:rPr>
          <w:color w:val="000000" w:themeColor="text1"/>
        </w:rPr>
        <w:t>rimer</w:t>
      </w:r>
      <w:r w:rsidR="00F01FD5" w:rsidRPr="00130EEF">
        <w:rPr>
          <w:color w:val="000000" w:themeColor="text1"/>
        </w:rPr>
        <w:t xml:space="preserve"> sequences</w:t>
      </w:r>
      <w:r w:rsidR="00AF2F0E" w:rsidRPr="00130EEF">
        <w:rPr>
          <w:color w:val="000000" w:themeColor="text1"/>
        </w:rPr>
        <w:t xml:space="preserve"> </w:t>
      </w:r>
      <w:r w:rsidR="00D6567C" w:rsidRPr="00130EEF">
        <w:rPr>
          <w:color w:val="000000" w:themeColor="text1"/>
        </w:rPr>
        <w:t>and</w:t>
      </w:r>
      <w:r w:rsidR="00AF2F0E" w:rsidRPr="00130EEF">
        <w:rPr>
          <w:color w:val="000000" w:themeColor="text1"/>
        </w:rPr>
        <w:t xml:space="preserve"> </w:t>
      </w:r>
      <w:proofErr w:type="spellStart"/>
      <w:r w:rsidR="00AF2F0E" w:rsidRPr="00130EEF">
        <w:rPr>
          <w:color w:val="000000" w:themeColor="text1"/>
        </w:rPr>
        <w:t>QuantiTect</w:t>
      </w:r>
      <w:proofErr w:type="spellEnd"/>
      <w:r w:rsidR="00AF2F0E" w:rsidRPr="00130EEF">
        <w:rPr>
          <w:color w:val="000000" w:themeColor="text1"/>
        </w:rPr>
        <w:t xml:space="preserve"> primers (Qiagen) </w:t>
      </w:r>
      <w:r w:rsidR="00F01FD5" w:rsidRPr="00130EEF">
        <w:rPr>
          <w:color w:val="000000" w:themeColor="text1"/>
        </w:rPr>
        <w:t xml:space="preserve">are listed in </w:t>
      </w:r>
      <w:r w:rsidR="00DF7F96" w:rsidRPr="00130EEF">
        <w:rPr>
          <w:color w:val="000000" w:themeColor="text1"/>
        </w:rPr>
        <w:t>Table</w:t>
      </w:r>
      <w:r w:rsidR="00CF50F8" w:rsidRPr="00130EEF">
        <w:rPr>
          <w:color w:val="000000" w:themeColor="text1"/>
        </w:rPr>
        <w:t xml:space="preserve"> </w:t>
      </w:r>
      <w:r w:rsidR="00D30603" w:rsidRPr="00130EEF">
        <w:rPr>
          <w:color w:val="000000" w:themeColor="text1"/>
        </w:rPr>
        <w:t>1</w:t>
      </w:r>
      <w:r w:rsidR="00AF2F0E" w:rsidRPr="00130EEF">
        <w:rPr>
          <w:color w:val="000000" w:themeColor="text1"/>
        </w:rPr>
        <w:t>.</w:t>
      </w:r>
      <w:r w:rsidR="00206FDF" w:rsidRPr="00130EEF">
        <w:rPr>
          <w:color w:val="000000" w:themeColor="text1"/>
        </w:rPr>
        <w:t xml:space="preserve"> </w:t>
      </w:r>
      <w:r w:rsidR="0085267C" w:rsidRPr="00130EEF">
        <w:rPr>
          <w:color w:val="000000" w:themeColor="text1"/>
        </w:rPr>
        <w:t>M</w:t>
      </w:r>
      <w:r w:rsidR="00F26961" w:rsidRPr="00130EEF">
        <w:rPr>
          <w:color w:val="000000" w:themeColor="text1"/>
        </w:rPr>
        <w:t>id blastocyst</w:t>
      </w:r>
      <w:r w:rsidR="0085267C" w:rsidRPr="00130EEF">
        <w:rPr>
          <w:color w:val="000000" w:themeColor="text1"/>
        </w:rPr>
        <w:t>s</w:t>
      </w:r>
      <w:r w:rsidR="00F26961" w:rsidRPr="00130EEF">
        <w:rPr>
          <w:color w:val="000000" w:themeColor="text1"/>
        </w:rPr>
        <w:t xml:space="preserve"> </w:t>
      </w:r>
      <w:r w:rsidR="0085267C" w:rsidRPr="00130EEF">
        <w:rPr>
          <w:color w:val="000000" w:themeColor="text1"/>
        </w:rPr>
        <w:t xml:space="preserve">were </w:t>
      </w:r>
      <w:r w:rsidR="00F26961" w:rsidRPr="00130EEF">
        <w:rPr>
          <w:color w:val="000000" w:themeColor="text1"/>
        </w:rPr>
        <w:t xml:space="preserve">the most </w:t>
      </w:r>
      <w:r w:rsidR="00B87BC8" w:rsidRPr="00130EEF">
        <w:rPr>
          <w:color w:val="000000" w:themeColor="text1"/>
        </w:rPr>
        <w:t>abundant</w:t>
      </w:r>
      <w:r w:rsidR="00F26961" w:rsidRPr="00130EEF">
        <w:rPr>
          <w:color w:val="000000" w:themeColor="text1"/>
        </w:rPr>
        <w:t xml:space="preserve"> </w:t>
      </w:r>
      <w:r w:rsidR="0085267C" w:rsidRPr="00130EEF">
        <w:rPr>
          <w:color w:val="000000" w:themeColor="text1"/>
        </w:rPr>
        <w:t xml:space="preserve">stage </w:t>
      </w:r>
      <w:r w:rsidR="00F26961" w:rsidRPr="00130EEF">
        <w:rPr>
          <w:color w:val="000000" w:themeColor="text1"/>
        </w:rPr>
        <w:t>at E3.5 (&gt;</w:t>
      </w:r>
      <w:r w:rsidR="00AB7453" w:rsidRPr="00130EEF">
        <w:rPr>
          <w:color w:val="000000" w:themeColor="text1"/>
        </w:rPr>
        <w:t xml:space="preserve"> </w:t>
      </w:r>
      <w:r w:rsidR="00F26961" w:rsidRPr="00130EEF">
        <w:rPr>
          <w:color w:val="000000" w:themeColor="text1"/>
        </w:rPr>
        <w:t>50%)</w:t>
      </w:r>
      <w:r w:rsidR="0085267C" w:rsidRPr="00130EEF">
        <w:rPr>
          <w:color w:val="000000" w:themeColor="text1"/>
        </w:rPr>
        <w:t>. T</w:t>
      </w:r>
      <w:r w:rsidR="00BC1A64" w:rsidRPr="00130EEF">
        <w:rPr>
          <w:color w:val="000000" w:themeColor="text1"/>
        </w:rPr>
        <w:t xml:space="preserve">otal RNA was extracted from </w:t>
      </w:r>
      <w:r w:rsidR="00F26961" w:rsidRPr="00130EEF">
        <w:rPr>
          <w:color w:val="000000" w:themeColor="text1"/>
        </w:rPr>
        <w:t>80 mid blastocyst</w:t>
      </w:r>
      <w:r w:rsidR="00BC1A64" w:rsidRPr="00130EEF">
        <w:rPr>
          <w:color w:val="000000" w:themeColor="text1"/>
        </w:rPr>
        <w:t>s</w:t>
      </w:r>
      <w:r w:rsidR="00DA4DEC" w:rsidRPr="00130EEF">
        <w:rPr>
          <w:color w:val="000000" w:themeColor="text1"/>
        </w:rPr>
        <w:t xml:space="preserve"> and their sex determined as </w:t>
      </w:r>
      <w:r w:rsidR="00F2048B" w:rsidRPr="00130EEF">
        <w:rPr>
          <w:color w:val="000000" w:themeColor="text1"/>
        </w:rPr>
        <w:t xml:space="preserve">described </w:t>
      </w:r>
      <w:r w:rsidR="00DA4DEC" w:rsidRPr="00130EEF">
        <w:rPr>
          <w:color w:val="000000" w:themeColor="text1"/>
        </w:rPr>
        <w:t>below</w:t>
      </w:r>
      <w:r w:rsidR="0085267C" w:rsidRPr="00130EEF">
        <w:rPr>
          <w:color w:val="000000" w:themeColor="text1"/>
        </w:rPr>
        <w:t xml:space="preserve"> (</w:t>
      </w:r>
      <w:r w:rsidR="00F26961" w:rsidRPr="00130EEF">
        <w:rPr>
          <w:color w:val="000000" w:themeColor="text1"/>
        </w:rPr>
        <w:t>61% male</w:t>
      </w:r>
      <w:r w:rsidR="00B57B1D" w:rsidRPr="00130EEF">
        <w:rPr>
          <w:color w:val="000000" w:themeColor="text1"/>
        </w:rPr>
        <w:t>, 9% female</w:t>
      </w:r>
      <w:r w:rsidR="00FC1C1E" w:rsidRPr="00130EEF">
        <w:rPr>
          <w:color w:val="000000" w:themeColor="text1"/>
        </w:rPr>
        <w:t>,</w:t>
      </w:r>
      <w:r w:rsidR="00B57B1D" w:rsidRPr="00130EEF">
        <w:rPr>
          <w:color w:val="000000" w:themeColor="text1"/>
        </w:rPr>
        <w:t xml:space="preserve"> 30% were undetermined due to insufficient DNA product</w:t>
      </w:r>
      <w:r w:rsidR="0085267C" w:rsidRPr="00130EEF">
        <w:rPr>
          <w:color w:val="000000" w:themeColor="text1"/>
        </w:rPr>
        <w:t>). O</w:t>
      </w:r>
      <w:r w:rsidR="00F26961" w:rsidRPr="00130EEF">
        <w:rPr>
          <w:color w:val="000000" w:themeColor="text1"/>
        </w:rPr>
        <w:t xml:space="preserve">ne male mid blastocyst </w:t>
      </w:r>
      <w:r w:rsidR="0085267C" w:rsidRPr="00130EEF">
        <w:rPr>
          <w:color w:val="000000" w:themeColor="text1"/>
        </w:rPr>
        <w:t xml:space="preserve">was </w:t>
      </w:r>
      <w:r w:rsidR="006E3230" w:rsidRPr="00130EEF">
        <w:rPr>
          <w:color w:val="000000" w:themeColor="text1"/>
        </w:rPr>
        <w:t>analysed</w:t>
      </w:r>
      <w:r w:rsidR="0085267C" w:rsidRPr="00130EEF">
        <w:rPr>
          <w:color w:val="000000" w:themeColor="text1"/>
        </w:rPr>
        <w:t xml:space="preserve"> </w:t>
      </w:r>
      <w:r w:rsidR="004F6ED6" w:rsidRPr="00130EEF">
        <w:rPr>
          <w:color w:val="000000" w:themeColor="text1"/>
        </w:rPr>
        <w:t xml:space="preserve">for qPCR </w:t>
      </w:r>
      <w:r w:rsidR="00F26961" w:rsidRPr="00130EEF">
        <w:rPr>
          <w:color w:val="000000" w:themeColor="text1"/>
        </w:rPr>
        <w:t xml:space="preserve">per </w:t>
      </w:r>
      <w:proofErr w:type="spellStart"/>
      <w:r w:rsidR="00991751" w:rsidRPr="00130EEF">
        <w:rPr>
          <w:color w:val="000000" w:themeColor="text1"/>
        </w:rPr>
        <w:t>dam</w:t>
      </w:r>
      <w:proofErr w:type="spellEnd"/>
      <w:r w:rsidR="00F26961" w:rsidRPr="00130EEF">
        <w:rPr>
          <w:color w:val="000000" w:themeColor="text1"/>
        </w:rPr>
        <w:t xml:space="preserve"> (</w:t>
      </w:r>
      <w:r w:rsidR="00F26961" w:rsidRPr="00130EEF">
        <w:rPr>
          <w:i/>
          <w:iCs/>
          <w:color w:val="000000" w:themeColor="text1"/>
        </w:rPr>
        <w:t>n</w:t>
      </w:r>
      <w:r w:rsidR="00F26961" w:rsidRPr="00130EEF">
        <w:rPr>
          <w:color w:val="000000" w:themeColor="text1"/>
        </w:rPr>
        <w:t xml:space="preserve"> = 10 </w:t>
      </w:r>
      <w:r w:rsidR="00991751" w:rsidRPr="00130EEF">
        <w:rPr>
          <w:color w:val="000000" w:themeColor="text1"/>
        </w:rPr>
        <w:t xml:space="preserve">dam </w:t>
      </w:r>
      <w:r w:rsidR="00F26961" w:rsidRPr="00130EEF">
        <w:rPr>
          <w:color w:val="000000" w:themeColor="text1"/>
        </w:rPr>
        <w:t>per group)</w:t>
      </w:r>
      <w:r w:rsidR="00AD491C" w:rsidRPr="00130EEF">
        <w:rPr>
          <w:color w:val="000000" w:themeColor="text1"/>
        </w:rPr>
        <w:t xml:space="preserve">; only male blastocysts were </w:t>
      </w:r>
      <w:r w:rsidR="006E3230" w:rsidRPr="00130EEF">
        <w:rPr>
          <w:color w:val="000000" w:themeColor="text1"/>
        </w:rPr>
        <w:t>analysed</w:t>
      </w:r>
      <w:r w:rsidR="00AD491C" w:rsidRPr="00130EEF">
        <w:rPr>
          <w:color w:val="000000" w:themeColor="text1"/>
        </w:rPr>
        <w:t xml:space="preserve"> as the number of </w:t>
      </w:r>
      <w:r w:rsidR="00F26961" w:rsidRPr="00130EEF">
        <w:rPr>
          <w:color w:val="000000" w:themeColor="text1"/>
        </w:rPr>
        <w:t xml:space="preserve">female mid blastocysts </w:t>
      </w:r>
      <w:r w:rsidR="00AD491C" w:rsidRPr="00130EEF">
        <w:rPr>
          <w:color w:val="000000" w:themeColor="text1"/>
        </w:rPr>
        <w:t>was limited</w:t>
      </w:r>
      <w:r w:rsidR="00416990" w:rsidRPr="00130EEF">
        <w:rPr>
          <w:color w:val="000000" w:themeColor="text1"/>
        </w:rPr>
        <w:t>.</w:t>
      </w:r>
    </w:p>
    <w:p w14:paraId="57A715EA" w14:textId="4000A207" w:rsidR="00D30603" w:rsidRPr="00130EEF" w:rsidRDefault="00D30603" w:rsidP="00317B70">
      <w:pPr>
        <w:spacing w:line="480" w:lineRule="auto"/>
        <w:rPr>
          <w:color w:val="000000" w:themeColor="text1"/>
        </w:rPr>
      </w:pPr>
    </w:p>
    <w:p w14:paraId="12D2FEE4" w14:textId="29901924" w:rsidR="00D30603" w:rsidRPr="00130EEF" w:rsidRDefault="00D30603" w:rsidP="00D30603">
      <w:pPr>
        <w:rPr>
          <w:rFonts w:eastAsia="Times New Roman"/>
          <w:b/>
          <w:color w:val="000000" w:themeColor="text1"/>
        </w:rPr>
      </w:pPr>
      <w:r w:rsidRPr="00130EEF">
        <w:rPr>
          <w:rFonts w:eastAsia="Times New Roman"/>
          <w:b/>
          <w:bCs/>
          <w:color w:val="000000" w:themeColor="text1"/>
          <w:lang w:val="en-US" w:eastAsia="es-ES_tradnl"/>
        </w:rPr>
        <w:t>Table 1</w:t>
      </w:r>
      <w:r w:rsidRPr="00130EEF">
        <w:rPr>
          <w:rFonts w:eastAsia="Times New Roman"/>
          <w:b/>
          <w:color w:val="000000" w:themeColor="text1"/>
        </w:rPr>
        <w:t xml:space="preserve"> </w:t>
      </w:r>
      <w:r w:rsidRPr="00130EEF">
        <w:rPr>
          <w:rFonts w:eastAsia="Times New Roman"/>
          <w:color w:val="000000" w:themeColor="text1"/>
        </w:rPr>
        <w:t xml:space="preserve">| </w:t>
      </w:r>
      <w:r w:rsidRPr="00130EEF">
        <w:rPr>
          <w:rFonts w:eastAsia="Times New Roman"/>
          <w:color w:val="000000" w:themeColor="text1"/>
          <w:lang w:val="en-US" w:eastAsia="es-ES_tradnl"/>
        </w:rPr>
        <w:t>Primer sequences for blastocyst Real-time RTPCR</w:t>
      </w:r>
    </w:p>
    <w:p w14:paraId="43893AEF" w14:textId="77777777" w:rsidR="00D30603" w:rsidRPr="00130EEF" w:rsidRDefault="00D30603" w:rsidP="00D30603">
      <w:pPr>
        <w:rPr>
          <w:rFonts w:eastAsia="Times New Roman"/>
          <w:b/>
          <w:color w:val="000000" w:themeColor="text1"/>
        </w:rPr>
      </w:pPr>
    </w:p>
    <w:tbl>
      <w:tblPr>
        <w:tblW w:w="8789" w:type="dxa"/>
        <w:tblCellMar>
          <w:left w:w="70" w:type="dxa"/>
          <w:right w:w="70" w:type="dxa"/>
        </w:tblCellMar>
        <w:tblLook w:val="04A0" w:firstRow="1" w:lastRow="0" w:firstColumn="1" w:lastColumn="0" w:noHBand="0" w:noVBand="1"/>
      </w:tblPr>
      <w:tblGrid>
        <w:gridCol w:w="1701"/>
        <w:gridCol w:w="1134"/>
        <w:gridCol w:w="5954"/>
      </w:tblGrid>
      <w:tr w:rsidR="00D30603" w:rsidRPr="00130EEF" w14:paraId="43647CD1" w14:textId="77777777" w:rsidTr="009D4177">
        <w:trPr>
          <w:trHeight w:val="340"/>
        </w:trPr>
        <w:tc>
          <w:tcPr>
            <w:tcW w:w="1701" w:type="dxa"/>
            <w:tcBorders>
              <w:top w:val="single" w:sz="4" w:space="0" w:color="auto"/>
              <w:left w:val="nil"/>
              <w:bottom w:val="single" w:sz="4" w:space="0" w:color="auto"/>
              <w:right w:val="nil"/>
            </w:tcBorders>
            <w:shd w:val="clear" w:color="auto" w:fill="auto"/>
            <w:noWrap/>
            <w:vAlign w:val="bottom"/>
          </w:tcPr>
          <w:p w14:paraId="02A6AEF5" w14:textId="77777777" w:rsidR="00D30603" w:rsidRPr="00130EEF" w:rsidRDefault="00D30603" w:rsidP="009D4177">
            <w:pPr>
              <w:rPr>
                <w:rFonts w:eastAsia="Times New Roman"/>
                <w:color w:val="000000" w:themeColor="text1"/>
                <w:lang w:val="es-CL" w:eastAsia="es-ES_tradnl"/>
              </w:rPr>
            </w:pPr>
            <w:r w:rsidRPr="00130EEF">
              <w:rPr>
                <w:rFonts w:eastAsia="Times New Roman"/>
                <w:color w:val="000000" w:themeColor="text1"/>
                <w:lang w:val="es-CL" w:eastAsia="es-ES_tradnl"/>
              </w:rPr>
              <w:t>Gene</w:t>
            </w:r>
          </w:p>
        </w:tc>
        <w:tc>
          <w:tcPr>
            <w:tcW w:w="1134" w:type="dxa"/>
            <w:tcBorders>
              <w:top w:val="single" w:sz="4" w:space="0" w:color="auto"/>
              <w:left w:val="nil"/>
              <w:bottom w:val="single" w:sz="4" w:space="0" w:color="auto"/>
              <w:right w:val="nil"/>
            </w:tcBorders>
            <w:shd w:val="clear" w:color="auto" w:fill="auto"/>
            <w:noWrap/>
            <w:vAlign w:val="bottom"/>
          </w:tcPr>
          <w:p w14:paraId="4F928F18" w14:textId="77777777" w:rsidR="00D30603" w:rsidRPr="00130EEF" w:rsidRDefault="00D30603"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Primer</w:t>
            </w:r>
          </w:p>
        </w:tc>
        <w:tc>
          <w:tcPr>
            <w:tcW w:w="5954" w:type="dxa"/>
            <w:tcBorders>
              <w:top w:val="single" w:sz="4" w:space="0" w:color="auto"/>
              <w:left w:val="nil"/>
              <w:bottom w:val="single" w:sz="4" w:space="0" w:color="auto"/>
              <w:right w:val="nil"/>
            </w:tcBorders>
            <w:shd w:val="clear" w:color="auto" w:fill="auto"/>
            <w:noWrap/>
            <w:vAlign w:val="bottom"/>
          </w:tcPr>
          <w:p w14:paraId="44887E5D" w14:textId="77777777" w:rsidR="00D30603" w:rsidRPr="00130EEF" w:rsidRDefault="00D30603"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Primer Sequence</w:t>
            </w:r>
          </w:p>
        </w:tc>
      </w:tr>
      <w:tr w:rsidR="00D30603" w:rsidRPr="00130EEF" w14:paraId="0555B663" w14:textId="77777777" w:rsidTr="009D4177">
        <w:trPr>
          <w:trHeight w:val="320"/>
        </w:trPr>
        <w:tc>
          <w:tcPr>
            <w:tcW w:w="1701" w:type="dxa"/>
            <w:vMerge w:val="restart"/>
            <w:tcBorders>
              <w:top w:val="single" w:sz="4" w:space="0" w:color="auto"/>
              <w:left w:val="nil"/>
              <w:right w:val="nil"/>
            </w:tcBorders>
            <w:shd w:val="clear" w:color="auto" w:fill="auto"/>
            <w:noWrap/>
            <w:vAlign w:val="center"/>
            <w:hideMark/>
          </w:tcPr>
          <w:p w14:paraId="01153F43" w14:textId="77777777" w:rsidR="00D30603" w:rsidRPr="00130EEF" w:rsidRDefault="00D30603" w:rsidP="009D4177">
            <w:pPr>
              <w:rPr>
                <w:rFonts w:eastAsia="Times New Roman"/>
                <w:color w:val="000000" w:themeColor="text1"/>
                <w:lang w:val="es-CL" w:eastAsia="es-ES_tradnl"/>
              </w:rPr>
            </w:pPr>
            <w:r w:rsidRPr="00130EEF">
              <w:rPr>
                <w:rFonts w:eastAsia="Times New Roman"/>
                <w:color w:val="000000" w:themeColor="text1"/>
                <w:lang w:val="es-CL" w:eastAsia="es-ES_tradnl"/>
              </w:rPr>
              <w:t>Ppib</w:t>
            </w:r>
            <w:r w:rsidRPr="00130EEF">
              <w:rPr>
                <w:color w:val="000000" w:themeColor="text1"/>
              </w:rPr>
              <w:t>†</w:t>
            </w:r>
          </w:p>
          <w:p w14:paraId="27289EF2" w14:textId="77777777" w:rsidR="00D30603" w:rsidRPr="00130EEF" w:rsidRDefault="00D30603" w:rsidP="009D4177">
            <w:pPr>
              <w:rPr>
                <w:rFonts w:eastAsia="Times New Roman"/>
                <w:color w:val="000000" w:themeColor="text1"/>
                <w:lang w:val="es-CL" w:eastAsia="es-ES_tradnl"/>
              </w:rPr>
            </w:pPr>
          </w:p>
        </w:tc>
        <w:tc>
          <w:tcPr>
            <w:tcW w:w="1134" w:type="dxa"/>
            <w:tcBorders>
              <w:top w:val="single" w:sz="4" w:space="0" w:color="auto"/>
              <w:left w:val="nil"/>
              <w:right w:val="nil"/>
            </w:tcBorders>
            <w:shd w:val="clear" w:color="auto" w:fill="auto"/>
            <w:noWrap/>
            <w:vAlign w:val="bottom"/>
            <w:hideMark/>
          </w:tcPr>
          <w:p w14:paraId="5C6666D5" w14:textId="77777777" w:rsidR="00D30603" w:rsidRPr="00130EEF" w:rsidRDefault="00D30603" w:rsidP="009D4177">
            <w:pPr>
              <w:jc w:val="center"/>
              <w:rPr>
                <w:rFonts w:eastAsia="Times New Roman"/>
                <w:color w:val="000000" w:themeColor="text1"/>
                <w:lang w:val="es-CL" w:eastAsia="es-ES_tradnl"/>
              </w:rPr>
            </w:pPr>
            <w:r w:rsidRPr="00130EEF">
              <w:rPr>
                <w:rFonts w:eastAsia="Times New Roman"/>
                <w:noProof/>
                <w:color w:val="000000" w:themeColor="text1"/>
              </w:rPr>
              <w:drawing>
                <wp:anchor distT="0" distB="0" distL="114300" distR="114300" simplePos="0" relativeHeight="251661312" behindDoc="0" locked="0" layoutInCell="1" allowOverlap="1" wp14:anchorId="02E4762D" wp14:editId="11964D0E">
                  <wp:simplePos x="0" y="0"/>
                  <wp:positionH relativeFrom="column">
                    <wp:posOffset>393700</wp:posOffset>
                  </wp:positionH>
                  <wp:positionV relativeFrom="paragraph">
                    <wp:posOffset>190500</wp:posOffset>
                  </wp:positionV>
                  <wp:extent cx="25400" cy="25400"/>
                  <wp:effectExtent l="0" t="0" r="0" b="0"/>
                  <wp:wrapNone/>
                  <wp:docPr id="20" name="Imagen 20" descr="page85image35660608">
                    <a:extLst xmlns:a="http://schemas.openxmlformats.org/drawingml/2006/main">
                      <a:ext uri="{FF2B5EF4-FFF2-40B4-BE49-F238E27FC236}">
                        <a16:creationId xmlns:a16="http://schemas.microsoft.com/office/drawing/2014/main" id="{FC94DB50-172B-5F46-B28A-B77AADD81905}"/>
                      </a:ext>
                    </a:extLst>
                  </wp:docPr>
                  <wp:cNvGraphicFramePr/>
                  <a:graphic xmlns:a="http://schemas.openxmlformats.org/drawingml/2006/main">
                    <a:graphicData uri="http://schemas.openxmlformats.org/drawingml/2006/picture">
                      <pic:pic xmlns:pic="http://schemas.openxmlformats.org/drawingml/2006/picture">
                        <pic:nvPicPr>
                          <pic:cNvPr id="5" name="Imagen 4" descr="page85image35660608">
                            <a:extLst>
                              <a:ext uri="{FF2B5EF4-FFF2-40B4-BE49-F238E27FC236}">
                                <a16:creationId xmlns:a16="http://schemas.microsoft.com/office/drawing/2014/main" id="{FC94DB50-172B-5F46-B28A-B77AADD81905}"/>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130EEF">
              <w:rPr>
                <w:rFonts w:eastAsia="Times New Roman"/>
                <w:color w:val="000000" w:themeColor="text1"/>
                <w:lang w:val="es-CL" w:eastAsia="es-ES_tradnl"/>
              </w:rPr>
              <w:t>Forward</w:t>
            </w:r>
          </w:p>
          <w:p w14:paraId="5F83D234" w14:textId="77777777" w:rsidR="00D30603" w:rsidRPr="00130EEF" w:rsidRDefault="00D30603" w:rsidP="009D4177">
            <w:pPr>
              <w:jc w:val="center"/>
              <w:rPr>
                <w:rFonts w:eastAsia="Times New Roman"/>
                <w:color w:val="000000" w:themeColor="text1"/>
                <w:lang w:val="es-CL" w:eastAsia="es-ES_tradnl"/>
              </w:rPr>
            </w:pPr>
          </w:p>
        </w:tc>
        <w:tc>
          <w:tcPr>
            <w:tcW w:w="5954" w:type="dxa"/>
            <w:tcBorders>
              <w:top w:val="single" w:sz="4" w:space="0" w:color="auto"/>
              <w:left w:val="nil"/>
              <w:right w:val="nil"/>
            </w:tcBorders>
            <w:shd w:val="clear" w:color="auto" w:fill="auto"/>
            <w:noWrap/>
            <w:vAlign w:val="bottom"/>
            <w:hideMark/>
          </w:tcPr>
          <w:p w14:paraId="5F240EB9" w14:textId="77777777" w:rsidR="00D30603" w:rsidRPr="00130EEF" w:rsidRDefault="00D30603"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TTCTTCATAACCACAGTCAAGACC</w:t>
            </w:r>
          </w:p>
        </w:tc>
      </w:tr>
      <w:tr w:rsidR="00D30603" w:rsidRPr="00130EEF" w14:paraId="559CE52D" w14:textId="77777777" w:rsidTr="009D4177">
        <w:trPr>
          <w:trHeight w:val="320"/>
        </w:trPr>
        <w:tc>
          <w:tcPr>
            <w:tcW w:w="1701" w:type="dxa"/>
            <w:vMerge/>
            <w:tcBorders>
              <w:top w:val="nil"/>
              <w:left w:val="nil"/>
              <w:right w:val="nil"/>
            </w:tcBorders>
            <w:vAlign w:val="center"/>
            <w:hideMark/>
          </w:tcPr>
          <w:p w14:paraId="4442AC03" w14:textId="77777777" w:rsidR="00D30603" w:rsidRPr="00130EEF" w:rsidRDefault="00D30603" w:rsidP="009D4177">
            <w:pPr>
              <w:rPr>
                <w:rFonts w:eastAsia="Times New Roman"/>
                <w:color w:val="000000" w:themeColor="text1"/>
                <w:lang w:val="es-CL" w:eastAsia="es-ES_tradnl"/>
              </w:rPr>
            </w:pPr>
          </w:p>
        </w:tc>
        <w:tc>
          <w:tcPr>
            <w:tcW w:w="1134" w:type="dxa"/>
            <w:tcBorders>
              <w:top w:val="nil"/>
              <w:left w:val="nil"/>
              <w:right w:val="nil"/>
            </w:tcBorders>
            <w:shd w:val="clear" w:color="auto" w:fill="auto"/>
            <w:noWrap/>
            <w:vAlign w:val="bottom"/>
            <w:hideMark/>
          </w:tcPr>
          <w:p w14:paraId="4CCDC3D5" w14:textId="77777777" w:rsidR="00D30603" w:rsidRPr="00130EEF" w:rsidRDefault="00D30603"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Reverse</w:t>
            </w:r>
          </w:p>
        </w:tc>
        <w:tc>
          <w:tcPr>
            <w:tcW w:w="5954" w:type="dxa"/>
            <w:tcBorders>
              <w:top w:val="nil"/>
              <w:left w:val="nil"/>
              <w:right w:val="nil"/>
            </w:tcBorders>
            <w:shd w:val="clear" w:color="auto" w:fill="auto"/>
            <w:noWrap/>
            <w:vAlign w:val="bottom"/>
            <w:hideMark/>
          </w:tcPr>
          <w:p w14:paraId="0CDEACEE" w14:textId="77777777" w:rsidR="00D30603" w:rsidRPr="00130EEF" w:rsidRDefault="00D30603"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ACCTTCCGTACCACATCCAT</w:t>
            </w:r>
          </w:p>
        </w:tc>
      </w:tr>
      <w:tr w:rsidR="00D30603" w:rsidRPr="00130EEF" w14:paraId="145C380F" w14:textId="77777777" w:rsidTr="009D4177">
        <w:trPr>
          <w:trHeight w:val="320"/>
        </w:trPr>
        <w:tc>
          <w:tcPr>
            <w:tcW w:w="1701" w:type="dxa"/>
            <w:vMerge w:val="restart"/>
            <w:tcBorders>
              <w:top w:val="nil"/>
              <w:left w:val="nil"/>
              <w:right w:val="nil"/>
            </w:tcBorders>
            <w:shd w:val="clear" w:color="auto" w:fill="auto"/>
            <w:noWrap/>
            <w:vAlign w:val="center"/>
            <w:hideMark/>
          </w:tcPr>
          <w:p w14:paraId="7F10CA75" w14:textId="77777777" w:rsidR="00D30603" w:rsidRPr="00130EEF" w:rsidRDefault="00D30603" w:rsidP="009D4177">
            <w:pPr>
              <w:rPr>
                <w:rFonts w:eastAsia="Times New Roman"/>
                <w:color w:val="000000" w:themeColor="text1"/>
                <w:lang w:val="es-CL" w:eastAsia="es-ES_tradnl"/>
              </w:rPr>
            </w:pPr>
            <w:r w:rsidRPr="00130EEF">
              <w:rPr>
                <w:rFonts w:eastAsia="Times New Roman"/>
                <w:color w:val="000000" w:themeColor="text1"/>
                <w:lang w:val="es-CL" w:eastAsia="es-ES_tradnl"/>
              </w:rPr>
              <w:t>Tuba</w:t>
            </w:r>
            <w:r w:rsidRPr="00130EEF">
              <w:rPr>
                <w:color w:val="000000" w:themeColor="text1"/>
              </w:rPr>
              <w:t>‡</w:t>
            </w:r>
            <w:r w:rsidRPr="00130EEF">
              <w:rPr>
                <w:rFonts w:eastAsia="Times New Roman"/>
                <w:color w:val="000000" w:themeColor="text1"/>
                <w:lang w:val="es-CL" w:eastAsia="es-ES_tradnl"/>
              </w:rPr>
              <w:t xml:space="preserve"> </w:t>
            </w:r>
            <w:r w:rsidRPr="00130EEF">
              <w:rPr>
                <w:rFonts w:eastAsia="Times New Roman"/>
                <w:noProof/>
                <w:color w:val="000000" w:themeColor="text1"/>
              </w:rPr>
              <w:drawing>
                <wp:anchor distT="0" distB="0" distL="114300" distR="114300" simplePos="0" relativeHeight="251662336" behindDoc="0" locked="0" layoutInCell="1" allowOverlap="1" wp14:anchorId="4E16C81C" wp14:editId="5B07C997">
                  <wp:simplePos x="0" y="0"/>
                  <wp:positionH relativeFrom="column">
                    <wp:posOffset>812800</wp:posOffset>
                  </wp:positionH>
                  <wp:positionV relativeFrom="paragraph">
                    <wp:posOffset>393700</wp:posOffset>
                  </wp:positionV>
                  <wp:extent cx="596900" cy="12700"/>
                  <wp:effectExtent l="0" t="0" r="0" b="0"/>
                  <wp:wrapNone/>
                  <wp:docPr id="18" name="Imagen 18" descr="page85image63476992">
                    <a:extLst xmlns:a="http://schemas.openxmlformats.org/drawingml/2006/main">
                      <a:ext uri="{FF2B5EF4-FFF2-40B4-BE49-F238E27FC236}">
                        <a16:creationId xmlns:a16="http://schemas.microsoft.com/office/drawing/2014/main" id="{DA0C842D-A1C7-1547-84DF-1D2A98E2DF88}"/>
                      </a:ext>
                    </a:extLst>
                  </wp:docPr>
                  <wp:cNvGraphicFramePr/>
                  <a:graphic xmlns:a="http://schemas.openxmlformats.org/drawingml/2006/main">
                    <a:graphicData uri="http://schemas.openxmlformats.org/drawingml/2006/picture">
                      <pic:pic xmlns:pic="http://schemas.openxmlformats.org/drawingml/2006/picture">
                        <pic:nvPicPr>
                          <pic:cNvPr id="6" name="Imagen 5" descr="page85image63476992">
                            <a:extLst>
                              <a:ext uri="{FF2B5EF4-FFF2-40B4-BE49-F238E27FC236}">
                                <a16:creationId xmlns:a16="http://schemas.microsoft.com/office/drawing/2014/main" id="{DA0C842D-A1C7-1547-84DF-1D2A98E2DF88}"/>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200" cy="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130EEF">
              <w:rPr>
                <w:rFonts w:eastAsia="Times New Roman"/>
                <w:noProof/>
                <w:color w:val="000000" w:themeColor="text1"/>
              </w:rPr>
              <w:drawing>
                <wp:anchor distT="0" distB="0" distL="114300" distR="114300" simplePos="0" relativeHeight="251663360" behindDoc="0" locked="0" layoutInCell="1" allowOverlap="1" wp14:anchorId="54CD8384" wp14:editId="6B3B3ABD">
                  <wp:simplePos x="0" y="0"/>
                  <wp:positionH relativeFrom="column">
                    <wp:posOffset>1219200</wp:posOffset>
                  </wp:positionH>
                  <wp:positionV relativeFrom="paragraph">
                    <wp:posOffset>393700</wp:posOffset>
                  </wp:positionV>
                  <wp:extent cx="25400" cy="25400"/>
                  <wp:effectExtent l="0" t="0" r="0" b="0"/>
                  <wp:wrapNone/>
                  <wp:docPr id="17" name="Imagen 17" descr="page85image35661184">
                    <a:extLst xmlns:a="http://schemas.openxmlformats.org/drawingml/2006/main">
                      <a:ext uri="{FF2B5EF4-FFF2-40B4-BE49-F238E27FC236}">
                        <a16:creationId xmlns:a16="http://schemas.microsoft.com/office/drawing/2014/main" id="{F741CF93-9552-3746-AAF6-0C7875DB697A}"/>
                      </a:ext>
                    </a:extLst>
                  </wp:docPr>
                  <wp:cNvGraphicFramePr/>
                  <a:graphic xmlns:a="http://schemas.openxmlformats.org/drawingml/2006/main">
                    <a:graphicData uri="http://schemas.openxmlformats.org/drawingml/2006/picture">
                      <pic:pic xmlns:pic="http://schemas.openxmlformats.org/drawingml/2006/picture">
                        <pic:nvPicPr>
                          <pic:cNvPr id="7" name="Imagen 6" descr="page85image35661184">
                            <a:extLst>
                              <a:ext uri="{FF2B5EF4-FFF2-40B4-BE49-F238E27FC236}">
                                <a16:creationId xmlns:a16="http://schemas.microsoft.com/office/drawing/2014/main" id="{F741CF93-9552-3746-AAF6-0C7875DB697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130EEF">
              <w:rPr>
                <w:rFonts w:eastAsia="Times New Roman"/>
                <w:noProof/>
                <w:color w:val="000000" w:themeColor="text1"/>
              </w:rPr>
              <w:drawing>
                <wp:anchor distT="0" distB="0" distL="114300" distR="114300" simplePos="0" relativeHeight="251664384" behindDoc="0" locked="0" layoutInCell="1" allowOverlap="1" wp14:anchorId="5A49520E" wp14:editId="49DDC46B">
                  <wp:simplePos x="0" y="0"/>
                  <wp:positionH relativeFrom="column">
                    <wp:posOffset>1219200</wp:posOffset>
                  </wp:positionH>
                  <wp:positionV relativeFrom="paragraph">
                    <wp:posOffset>393700</wp:posOffset>
                  </wp:positionV>
                  <wp:extent cx="25400" cy="25400"/>
                  <wp:effectExtent l="0" t="0" r="0" b="0"/>
                  <wp:wrapNone/>
                  <wp:docPr id="8" name="Imagen 8" descr="page85image35675264">
                    <a:extLst xmlns:a="http://schemas.openxmlformats.org/drawingml/2006/main">
                      <a:ext uri="{FF2B5EF4-FFF2-40B4-BE49-F238E27FC236}">
                        <a16:creationId xmlns:a16="http://schemas.microsoft.com/office/drawing/2014/main" id="{BE58B654-8EBE-A140-AAD3-88B29DC403C6}"/>
                      </a:ext>
                    </a:extLst>
                  </wp:docPr>
                  <wp:cNvGraphicFramePr/>
                  <a:graphic xmlns:a="http://schemas.openxmlformats.org/drawingml/2006/main">
                    <a:graphicData uri="http://schemas.openxmlformats.org/drawingml/2006/picture">
                      <pic:pic xmlns:pic="http://schemas.openxmlformats.org/drawingml/2006/picture">
                        <pic:nvPicPr>
                          <pic:cNvPr id="8" name="Imagen 7" descr="page85image35675264">
                            <a:extLst>
                              <a:ext uri="{FF2B5EF4-FFF2-40B4-BE49-F238E27FC236}">
                                <a16:creationId xmlns:a16="http://schemas.microsoft.com/office/drawing/2014/main" id="{BE58B654-8EBE-A140-AAD3-88B29DC403C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14:paraId="4233E5E9" w14:textId="77777777" w:rsidR="00D30603" w:rsidRPr="00130EEF" w:rsidRDefault="00D30603" w:rsidP="009D4177">
            <w:pPr>
              <w:rPr>
                <w:rFonts w:eastAsia="Times New Roman"/>
                <w:color w:val="000000" w:themeColor="text1"/>
                <w:lang w:val="es-CL" w:eastAsia="es-ES_tradnl"/>
              </w:rPr>
            </w:pPr>
          </w:p>
        </w:tc>
        <w:tc>
          <w:tcPr>
            <w:tcW w:w="1134" w:type="dxa"/>
            <w:tcBorders>
              <w:top w:val="nil"/>
              <w:left w:val="nil"/>
              <w:right w:val="nil"/>
            </w:tcBorders>
            <w:shd w:val="clear" w:color="auto" w:fill="auto"/>
            <w:noWrap/>
            <w:vAlign w:val="bottom"/>
            <w:hideMark/>
          </w:tcPr>
          <w:p w14:paraId="5C07FBC7" w14:textId="77777777" w:rsidR="00D30603" w:rsidRPr="00130EEF" w:rsidRDefault="00D30603" w:rsidP="009D4177">
            <w:pPr>
              <w:jc w:val="center"/>
              <w:rPr>
                <w:rFonts w:eastAsia="Times New Roman"/>
                <w:color w:val="000000" w:themeColor="text1"/>
                <w:lang w:val="es-CL" w:eastAsia="es-ES_tradnl"/>
              </w:rPr>
            </w:pPr>
            <w:r w:rsidRPr="00130EEF">
              <w:rPr>
                <w:rFonts w:eastAsia="Times New Roman"/>
                <w:noProof/>
                <w:color w:val="000000" w:themeColor="text1"/>
              </w:rPr>
              <w:drawing>
                <wp:anchor distT="0" distB="0" distL="114300" distR="114300" simplePos="0" relativeHeight="251665408" behindDoc="0" locked="0" layoutInCell="1" allowOverlap="1" wp14:anchorId="5BC514D6" wp14:editId="32BD3906">
                  <wp:simplePos x="0" y="0"/>
                  <wp:positionH relativeFrom="column">
                    <wp:posOffset>393700</wp:posOffset>
                  </wp:positionH>
                  <wp:positionV relativeFrom="paragraph">
                    <wp:posOffset>190500</wp:posOffset>
                  </wp:positionV>
                  <wp:extent cx="25400" cy="25400"/>
                  <wp:effectExtent l="0" t="0" r="0" b="0"/>
                  <wp:wrapNone/>
                  <wp:docPr id="5" name="Imagen 20" descr="page85image35660608">
                    <a:extLst xmlns:a="http://schemas.openxmlformats.org/drawingml/2006/main">
                      <a:ext uri="{FF2B5EF4-FFF2-40B4-BE49-F238E27FC236}">
                        <a16:creationId xmlns:a16="http://schemas.microsoft.com/office/drawing/2014/main" id="{FC94DB50-172B-5F46-B28A-B77AADD81905}"/>
                      </a:ext>
                    </a:extLst>
                  </wp:docPr>
                  <wp:cNvGraphicFramePr/>
                  <a:graphic xmlns:a="http://schemas.openxmlformats.org/drawingml/2006/main">
                    <a:graphicData uri="http://schemas.openxmlformats.org/drawingml/2006/picture">
                      <pic:pic xmlns:pic="http://schemas.openxmlformats.org/drawingml/2006/picture">
                        <pic:nvPicPr>
                          <pic:cNvPr id="5" name="Imagen 4" descr="page85image35660608">
                            <a:extLst>
                              <a:ext uri="{FF2B5EF4-FFF2-40B4-BE49-F238E27FC236}">
                                <a16:creationId xmlns:a16="http://schemas.microsoft.com/office/drawing/2014/main" id="{FC94DB50-172B-5F46-B28A-B77AADD81905}"/>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130EEF">
              <w:rPr>
                <w:rFonts w:eastAsia="Times New Roman"/>
                <w:color w:val="000000" w:themeColor="text1"/>
                <w:lang w:val="es-CL" w:eastAsia="es-ES_tradnl"/>
              </w:rPr>
              <w:t>Forward</w:t>
            </w:r>
          </w:p>
          <w:p w14:paraId="3952DCDB" w14:textId="77777777" w:rsidR="00D30603" w:rsidRPr="00130EEF" w:rsidRDefault="00D30603" w:rsidP="009D4177">
            <w:pPr>
              <w:jc w:val="center"/>
              <w:rPr>
                <w:rFonts w:eastAsia="Times New Roman"/>
                <w:color w:val="000000" w:themeColor="text1"/>
                <w:lang w:val="es-CL" w:eastAsia="es-ES_tradnl"/>
              </w:rPr>
            </w:pPr>
          </w:p>
        </w:tc>
        <w:tc>
          <w:tcPr>
            <w:tcW w:w="5954" w:type="dxa"/>
            <w:tcBorders>
              <w:top w:val="nil"/>
              <w:left w:val="nil"/>
              <w:right w:val="nil"/>
            </w:tcBorders>
            <w:shd w:val="clear" w:color="auto" w:fill="auto"/>
            <w:noWrap/>
            <w:vAlign w:val="bottom"/>
            <w:hideMark/>
          </w:tcPr>
          <w:p w14:paraId="3AEF960D" w14:textId="77777777" w:rsidR="00D30603" w:rsidRPr="00130EEF" w:rsidRDefault="00D30603"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CTGGAACCCACGGTCATC</w:t>
            </w:r>
          </w:p>
        </w:tc>
      </w:tr>
      <w:tr w:rsidR="00D30603" w:rsidRPr="00130EEF" w14:paraId="167D521F" w14:textId="77777777" w:rsidTr="009D4177">
        <w:trPr>
          <w:trHeight w:val="320"/>
        </w:trPr>
        <w:tc>
          <w:tcPr>
            <w:tcW w:w="1701" w:type="dxa"/>
            <w:vMerge/>
            <w:tcBorders>
              <w:top w:val="nil"/>
              <w:left w:val="nil"/>
              <w:right w:val="nil"/>
            </w:tcBorders>
            <w:vAlign w:val="center"/>
            <w:hideMark/>
          </w:tcPr>
          <w:p w14:paraId="30DF47EE" w14:textId="77777777" w:rsidR="00D30603" w:rsidRPr="00130EEF" w:rsidRDefault="00D30603" w:rsidP="009D4177">
            <w:pPr>
              <w:rPr>
                <w:rFonts w:eastAsia="Times New Roman"/>
                <w:color w:val="000000" w:themeColor="text1"/>
                <w:lang w:val="es-CL" w:eastAsia="es-ES_tradnl"/>
              </w:rPr>
            </w:pPr>
          </w:p>
        </w:tc>
        <w:tc>
          <w:tcPr>
            <w:tcW w:w="1134" w:type="dxa"/>
            <w:tcBorders>
              <w:top w:val="nil"/>
              <w:left w:val="nil"/>
              <w:right w:val="nil"/>
            </w:tcBorders>
            <w:shd w:val="clear" w:color="auto" w:fill="auto"/>
            <w:noWrap/>
            <w:vAlign w:val="bottom"/>
            <w:hideMark/>
          </w:tcPr>
          <w:p w14:paraId="00D73CF2" w14:textId="77777777" w:rsidR="00D30603" w:rsidRPr="00130EEF" w:rsidRDefault="00D30603"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Reverse</w:t>
            </w:r>
          </w:p>
        </w:tc>
        <w:tc>
          <w:tcPr>
            <w:tcW w:w="5954" w:type="dxa"/>
            <w:tcBorders>
              <w:top w:val="nil"/>
              <w:left w:val="nil"/>
              <w:right w:val="nil"/>
            </w:tcBorders>
            <w:shd w:val="clear" w:color="auto" w:fill="auto"/>
            <w:noWrap/>
            <w:vAlign w:val="bottom"/>
            <w:hideMark/>
          </w:tcPr>
          <w:p w14:paraId="5C49CE54" w14:textId="77777777" w:rsidR="00D30603" w:rsidRPr="00130EEF" w:rsidRDefault="00D30603"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GTGGCCACGAGCATAGTTATT</w:t>
            </w:r>
          </w:p>
        </w:tc>
      </w:tr>
      <w:tr w:rsidR="00D30603" w:rsidRPr="00130EEF" w14:paraId="7957AC10" w14:textId="77777777" w:rsidTr="009D4177">
        <w:trPr>
          <w:trHeight w:val="320"/>
        </w:trPr>
        <w:tc>
          <w:tcPr>
            <w:tcW w:w="1701" w:type="dxa"/>
            <w:vMerge w:val="restart"/>
            <w:tcBorders>
              <w:top w:val="nil"/>
              <w:left w:val="nil"/>
              <w:right w:val="nil"/>
            </w:tcBorders>
            <w:shd w:val="clear" w:color="auto" w:fill="auto"/>
            <w:noWrap/>
            <w:vAlign w:val="center"/>
            <w:hideMark/>
          </w:tcPr>
          <w:p w14:paraId="60C439E3" w14:textId="77777777" w:rsidR="00D30603" w:rsidRPr="00130EEF" w:rsidRDefault="00D30603" w:rsidP="009D4177">
            <w:pPr>
              <w:rPr>
                <w:rFonts w:eastAsia="Times New Roman"/>
                <w:color w:val="000000" w:themeColor="text1"/>
                <w:lang w:val="es-CL" w:eastAsia="es-ES_tradnl"/>
              </w:rPr>
            </w:pPr>
            <w:r w:rsidRPr="00130EEF">
              <w:rPr>
                <w:rFonts w:eastAsia="Times New Roman"/>
                <w:color w:val="000000" w:themeColor="text1"/>
                <w:lang w:val="es-CL" w:eastAsia="es-ES_tradnl"/>
              </w:rPr>
              <w:t>Oct4A</w:t>
            </w:r>
            <w:r w:rsidRPr="00130EEF">
              <w:rPr>
                <w:color w:val="000000" w:themeColor="text1"/>
              </w:rPr>
              <w:t>§</w:t>
            </w:r>
            <w:r w:rsidRPr="00130EEF">
              <w:rPr>
                <w:rFonts w:eastAsia="Times New Roman"/>
                <w:noProof/>
                <w:color w:val="000000" w:themeColor="text1"/>
              </w:rPr>
              <w:drawing>
                <wp:anchor distT="0" distB="0" distL="114300" distR="114300" simplePos="0" relativeHeight="251666432" behindDoc="0" locked="0" layoutInCell="1" allowOverlap="1" wp14:anchorId="20416882" wp14:editId="08530817">
                  <wp:simplePos x="0" y="0"/>
                  <wp:positionH relativeFrom="column">
                    <wp:posOffset>812800</wp:posOffset>
                  </wp:positionH>
                  <wp:positionV relativeFrom="paragraph">
                    <wp:posOffset>393700</wp:posOffset>
                  </wp:positionV>
                  <wp:extent cx="596900" cy="12700"/>
                  <wp:effectExtent l="0" t="0" r="0" b="0"/>
                  <wp:wrapNone/>
                  <wp:docPr id="7" name="Imagen 7" descr="page85image63478448">
                    <a:extLst xmlns:a="http://schemas.openxmlformats.org/drawingml/2006/main">
                      <a:ext uri="{FF2B5EF4-FFF2-40B4-BE49-F238E27FC236}">
                        <a16:creationId xmlns:a16="http://schemas.microsoft.com/office/drawing/2014/main" id="{F3E837A3-77C6-B049-809C-9FDD85D8D2B7}"/>
                      </a:ext>
                    </a:extLst>
                  </wp:docPr>
                  <wp:cNvGraphicFramePr/>
                  <a:graphic xmlns:a="http://schemas.openxmlformats.org/drawingml/2006/main">
                    <a:graphicData uri="http://schemas.openxmlformats.org/drawingml/2006/picture">
                      <pic:pic xmlns:pic="http://schemas.openxmlformats.org/drawingml/2006/picture">
                        <pic:nvPicPr>
                          <pic:cNvPr id="9" name="Imagen 8" descr="page85image63478448">
                            <a:extLst>
                              <a:ext uri="{FF2B5EF4-FFF2-40B4-BE49-F238E27FC236}">
                                <a16:creationId xmlns:a16="http://schemas.microsoft.com/office/drawing/2014/main" id="{F3E837A3-77C6-B049-809C-9FDD85D8D2B7}"/>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200" cy="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130EEF">
              <w:rPr>
                <w:rFonts w:eastAsia="Times New Roman"/>
                <w:noProof/>
                <w:color w:val="000000" w:themeColor="text1"/>
              </w:rPr>
              <w:drawing>
                <wp:anchor distT="0" distB="0" distL="114300" distR="114300" simplePos="0" relativeHeight="251667456" behindDoc="0" locked="0" layoutInCell="1" allowOverlap="1" wp14:anchorId="746A0B0E" wp14:editId="23371AD7">
                  <wp:simplePos x="0" y="0"/>
                  <wp:positionH relativeFrom="column">
                    <wp:posOffset>1219200</wp:posOffset>
                  </wp:positionH>
                  <wp:positionV relativeFrom="paragraph">
                    <wp:posOffset>393700</wp:posOffset>
                  </wp:positionV>
                  <wp:extent cx="25400" cy="25400"/>
                  <wp:effectExtent l="0" t="0" r="0" b="0"/>
                  <wp:wrapNone/>
                  <wp:docPr id="10" name="Imagen 10" descr="page85image35670656">
                    <a:extLst xmlns:a="http://schemas.openxmlformats.org/drawingml/2006/main">
                      <a:ext uri="{FF2B5EF4-FFF2-40B4-BE49-F238E27FC236}">
                        <a16:creationId xmlns:a16="http://schemas.microsoft.com/office/drawing/2014/main" id="{650FDF6E-F149-E347-A544-25A1394847D2}"/>
                      </a:ext>
                    </a:extLst>
                  </wp:docPr>
                  <wp:cNvGraphicFramePr/>
                  <a:graphic xmlns:a="http://schemas.openxmlformats.org/drawingml/2006/main">
                    <a:graphicData uri="http://schemas.openxmlformats.org/drawingml/2006/picture">
                      <pic:pic xmlns:pic="http://schemas.openxmlformats.org/drawingml/2006/picture">
                        <pic:nvPicPr>
                          <pic:cNvPr id="10" name="Imagen 9" descr="page85image35670656">
                            <a:extLst>
                              <a:ext uri="{FF2B5EF4-FFF2-40B4-BE49-F238E27FC236}">
                                <a16:creationId xmlns:a16="http://schemas.microsoft.com/office/drawing/2014/main" id="{650FDF6E-F149-E347-A544-25A1394847D2}"/>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130EEF">
              <w:rPr>
                <w:rFonts w:eastAsia="Times New Roman"/>
                <w:noProof/>
                <w:color w:val="000000" w:themeColor="text1"/>
              </w:rPr>
              <w:drawing>
                <wp:anchor distT="0" distB="0" distL="114300" distR="114300" simplePos="0" relativeHeight="251668480" behindDoc="0" locked="0" layoutInCell="1" allowOverlap="1" wp14:anchorId="140D5C3C" wp14:editId="5F983121">
                  <wp:simplePos x="0" y="0"/>
                  <wp:positionH relativeFrom="column">
                    <wp:posOffset>1219200</wp:posOffset>
                  </wp:positionH>
                  <wp:positionV relativeFrom="paragraph">
                    <wp:posOffset>393700</wp:posOffset>
                  </wp:positionV>
                  <wp:extent cx="25400" cy="25400"/>
                  <wp:effectExtent l="0" t="0" r="0" b="0"/>
                  <wp:wrapNone/>
                  <wp:docPr id="11" name="Imagen 11" descr="page85image35715136">
                    <a:extLst xmlns:a="http://schemas.openxmlformats.org/drawingml/2006/main">
                      <a:ext uri="{FF2B5EF4-FFF2-40B4-BE49-F238E27FC236}">
                        <a16:creationId xmlns:a16="http://schemas.microsoft.com/office/drawing/2014/main" id="{6E48C4E7-3A87-AD4A-9773-D57D08BD211F}"/>
                      </a:ext>
                    </a:extLst>
                  </wp:docPr>
                  <wp:cNvGraphicFramePr/>
                  <a:graphic xmlns:a="http://schemas.openxmlformats.org/drawingml/2006/main">
                    <a:graphicData uri="http://schemas.openxmlformats.org/drawingml/2006/picture">
                      <pic:pic xmlns:pic="http://schemas.openxmlformats.org/drawingml/2006/picture">
                        <pic:nvPicPr>
                          <pic:cNvPr id="11" name="Imagen 10" descr="page85image35715136">
                            <a:extLst>
                              <a:ext uri="{FF2B5EF4-FFF2-40B4-BE49-F238E27FC236}">
                                <a16:creationId xmlns:a16="http://schemas.microsoft.com/office/drawing/2014/main" id="{6E48C4E7-3A87-AD4A-9773-D57D08BD211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14:paraId="62EDB65E" w14:textId="77777777" w:rsidR="00D30603" w:rsidRPr="00130EEF" w:rsidRDefault="00D30603" w:rsidP="009D4177">
            <w:pPr>
              <w:rPr>
                <w:rFonts w:eastAsia="Times New Roman"/>
                <w:color w:val="000000" w:themeColor="text1"/>
                <w:lang w:val="es-CL" w:eastAsia="es-ES_tradnl"/>
              </w:rPr>
            </w:pPr>
          </w:p>
        </w:tc>
        <w:tc>
          <w:tcPr>
            <w:tcW w:w="1134" w:type="dxa"/>
            <w:tcBorders>
              <w:top w:val="nil"/>
              <w:left w:val="nil"/>
              <w:right w:val="nil"/>
            </w:tcBorders>
            <w:shd w:val="clear" w:color="auto" w:fill="auto"/>
            <w:noWrap/>
            <w:vAlign w:val="bottom"/>
            <w:hideMark/>
          </w:tcPr>
          <w:p w14:paraId="547A2C7B" w14:textId="77777777" w:rsidR="00D30603" w:rsidRPr="00130EEF" w:rsidRDefault="00D30603" w:rsidP="009D4177">
            <w:pPr>
              <w:jc w:val="center"/>
              <w:rPr>
                <w:rFonts w:eastAsia="Times New Roman"/>
                <w:color w:val="000000" w:themeColor="text1"/>
                <w:lang w:val="es-CL" w:eastAsia="es-ES_tradnl"/>
              </w:rPr>
            </w:pPr>
            <w:r w:rsidRPr="00130EEF">
              <w:rPr>
                <w:rFonts w:eastAsia="Times New Roman"/>
                <w:noProof/>
                <w:color w:val="000000" w:themeColor="text1"/>
              </w:rPr>
              <w:drawing>
                <wp:anchor distT="0" distB="0" distL="114300" distR="114300" simplePos="0" relativeHeight="251669504" behindDoc="0" locked="0" layoutInCell="1" allowOverlap="1" wp14:anchorId="6CA195D4" wp14:editId="0DFDD3DD">
                  <wp:simplePos x="0" y="0"/>
                  <wp:positionH relativeFrom="column">
                    <wp:posOffset>393700</wp:posOffset>
                  </wp:positionH>
                  <wp:positionV relativeFrom="paragraph">
                    <wp:posOffset>190500</wp:posOffset>
                  </wp:positionV>
                  <wp:extent cx="25400" cy="25400"/>
                  <wp:effectExtent l="0" t="0" r="0" b="0"/>
                  <wp:wrapNone/>
                  <wp:docPr id="9" name="Imagen 20" descr="page85image35660608">
                    <a:extLst xmlns:a="http://schemas.openxmlformats.org/drawingml/2006/main">
                      <a:ext uri="{FF2B5EF4-FFF2-40B4-BE49-F238E27FC236}">
                        <a16:creationId xmlns:a16="http://schemas.microsoft.com/office/drawing/2014/main" id="{FC94DB50-172B-5F46-B28A-B77AADD81905}"/>
                      </a:ext>
                    </a:extLst>
                  </wp:docPr>
                  <wp:cNvGraphicFramePr/>
                  <a:graphic xmlns:a="http://schemas.openxmlformats.org/drawingml/2006/main">
                    <a:graphicData uri="http://schemas.openxmlformats.org/drawingml/2006/picture">
                      <pic:pic xmlns:pic="http://schemas.openxmlformats.org/drawingml/2006/picture">
                        <pic:nvPicPr>
                          <pic:cNvPr id="5" name="Imagen 4" descr="page85image35660608">
                            <a:extLst>
                              <a:ext uri="{FF2B5EF4-FFF2-40B4-BE49-F238E27FC236}">
                                <a16:creationId xmlns:a16="http://schemas.microsoft.com/office/drawing/2014/main" id="{FC94DB50-172B-5F46-B28A-B77AADD81905}"/>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130EEF">
              <w:rPr>
                <w:rFonts w:eastAsia="Times New Roman"/>
                <w:color w:val="000000" w:themeColor="text1"/>
                <w:lang w:val="es-CL" w:eastAsia="es-ES_tradnl"/>
              </w:rPr>
              <w:t>Forward</w:t>
            </w:r>
          </w:p>
          <w:p w14:paraId="6E095FF2" w14:textId="77777777" w:rsidR="00D30603" w:rsidRPr="00130EEF" w:rsidRDefault="00D30603" w:rsidP="009D4177">
            <w:pPr>
              <w:jc w:val="center"/>
              <w:rPr>
                <w:rFonts w:eastAsia="Times New Roman"/>
                <w:color w:val="000000" w:themeColor="text1"/>
                <w:lang w:val="es-CL" w:eastAsia="es-ES_tradnl"/>
              </w:rPr>
            </w:pPr>
          </w:p>
        </w:tc>
        <w:tc>
          <w:tcPr>
            <w:tcW w:w="5954" w:type="dxa"/>
            <w:tcBorders>
              <w:top w:val="nil"/>
              <w:left w:val="nil"/>
              <w:right w:val="nil"/>
            </w:tcBorders>
            <w:shd w:val="clear" w:color="auto" w:fill="auto"/>
            <w:noWrap/>
            <w:vAlign w:val="bottom"/>
            <w:hideMark/>
          </w:tcPr>
          <w:p w14:paraId="78B2AB04" w14:textId="77777777" w:rsidR="00D30603" w:rsidRPr="00130EEF" w:rsidRDefault="00D30603"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CACGAGTGGAAAGCAACTCA</w:t>
            </w:r>
          </w:p>
        </w:tc>
      </w:tr>
      <w:tr w:rsidR="00D30603" w:rsidRPr="00130EEF" w14:paraId="3D430BF5" w14:textId="77777777" w:rsidTr="009D4177">
        <w:trPr>
          <w:trHeight w:val="320"/>
        </w:trPr>
        <w:tc>
          <w:tcPr>
            <w:tcW w:w="1701" w:type="dxa"/>
            <w:vMerge/>
            <w:tcBorders>
              <w:top w:val="nil"/>
              <w:left w:val="nil"/>
              <w:right w:val="nil"/>
            </w:tcBorders>
            <w:vAlign w:val="center"/>
            <w:hideMark/>
          </w:tcPr>
          <w:p w14:paraId="3370EC82" w14:textId="77777777" w:rsidR="00D30603" w:rsidRPr="00130EEF" w:rsidRDefault="00D30603" w:rsidP="009D4177">
            <w:pPr>
              <w:rPr>
                <w:rFonts w:eastAsia="Times New Roman"/>
                <w:color w:val="000000" w:themeColor="text1"/>
                <w:lang w:val="es-CL" w:eastAsia="es-ES_tradnl"/>
              </w:rPr>
            </w:pPr>
          </w:p>
        </w:tc>
        <w:tc>
          <w:tcPr>
            <w:tcW w:w="1134" w:type="dxa"/>
            <w:tcBorders>
              <w:top w:val="nil"/>
              <w:left w:val="nil"/>
              <w:right w:val="nil"/>
            </w:tcBorders>
            <w:shd w:val="clear" w:color="auto" w:fill="auto"/>
            <w:noWrap/>
            <w:vAlign w:val="bottom"/>
            <w:hideMark/>
          </w:tcPr>
          <w:p w14:paraId="0E2DF319" w14:textId="77777777" w:rsidR="00D30603" w:rsidRPr="00130EEF" w:rsidRDefault="00D30603"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Reverse</w:t>
            </w:r>
          </w:p>
        </w:tc>
        <w:tc>
          <w:tcPr>
            <w:tcW w:w="5954" w:type="dxa"/>
            <w:tcBorders>
              <w:top w:val="nil"/>
              <w:left w:val="nil"/>
              <w:right w:val="nil"/>
            </w:tcBorders>
            <w:shd w:val="clear" w:color="auto" w:fill="auto"/>
            <w:noWrap/>
            <w:vAlign w:val="bottom"/>
            <w:hideMark/>
          </w:tcPr>
          <w:p w14:paraId="13D3BE95" w14:textId="77777777" w:rsidR="00D30603" w:rsidRPr="00130EEF" w:rsidRDefault="00D30603"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TTGGTTCCACCTTCTCCAAC</w:t>
            </w:r>
          </w:p>
        </w:tc>
      </w:tr>
      <w:tr w:rsidR="00D30603" w:rsidRPr="00130EEF" w14:paraId="33FDA18F" w14:textId="77777777" w:rsidTr="009D4177">
        <w:trPr>
          <w:trHeight w:val="320"/>
        </w:trPr>
        <w:tc>
          <w:tcPr>
            <w:tcW w:w="1701" w:type="dxa"/>
            <w:vMerge w:val="restart"/>
            <w:tcBorders>
              <w:top w:val="nil"/>
              <w:left w:val="nil"/>
              <w:right w:val="nil"/>
            </w:tcBorders>
            <w:shd w:val="clear" w:color="auto" w:fill="auto"/>
            <w:noWrap/>
            <w:vAlign w:val="center"/>
            <w:hideMark/>
          </w:tcPr>
          <w:p w14:paraId="502E87D3" w14:textId="77777777" w:rsidR="00D30603" w:rsidRPr="00130EEF" w:rsidRDefault="00D30603" w:rsidP="009D4177">
            <w:pPr>
              <w:rPr>
                <w:rFonts w:eastAsia="Times New Roman"/>
                <w:color w:val="000000" w:themeColor="text1"/>
                <w:lang w:val="es-CL" w:eastAsia="es-ES_tradnl"/>
              </w:rPr>
            </w:pPr>
            <w:r w:rsidRPr="00130EEF">
              <w:rPr>
                <w:rFonts w:eastAsia="Times New Roman"/>
                <w:color w:val="000000" w:themeColor="text1"/>
                <w:lang w:val="es-CL" w:eastAsia="es-ES_tradnl"/>
              </w:rPr>
              <w:t>Nanog</w:t>
            </w:r>
            <w:r w:rsidRPr="00130EEF">
              <w:rPr>
                <w:color w:val="000000" w:themeColor="text1"/>
              </w:rPr>
              <w:t>¶</w:t>
            </w:r>
          </w:p>
        </w:tc>
        <w:tc>
          <w:tcPr>
            <w:tcW w:w="1134" w:type="dxa"/>
            <w:tcBorders>
              <w:top w:val="nil"/>
              <w:left w:val="nil"/>
              <w:right w:val="nil"/>
            </w:tcBorders>
            <w:shd w:val="clear" w:color="auto" w:fill="auto"/>
            <w:noWrap/>
            <w:vAlign w:val="bottom"/>
            <w:hideMark/>
          </w:tcPr>
          <w:p w14:paraId="241D90FB" w14:textId="77777777" w:rsidR="00D30603" w:rsidRPr="00130EEF" w:rsidRDefault="00D30603" w:rsidP="009D4177">
            <w:pPr>
              <w:jc w:val="center"/>
              <w:rPr>
                <w:rFonts w:eastAsia="Times New Roman"/>
                <w:color w:val="000000" w:themeColor="text1"/>
                <w:lang w:val="es-CL" w:eastAsia="es-ES_tradnl"/>
              </w:rPr>
            </w:pPr>
            <w:r w:rsidRPr="00130EEF">
              <w:rPr>
                <w:rFonts w:eastAsia="Times New Roman"/>
                <w:noProof/>
                <w:color w:val="000000" w:themeColor="text1"/>
              </w:rPr>
              <w:drawing>
                <wp:anchor distT="0" distB="0" distL="114300" distR="114300" simplePos="0" relativeHeight="251670528" behindDoc="0" locked="0" layoutInCell="1" allowOverlap="1" wp14:anchorId="5DB583D9" wp14:editId="17900F60">
                  <wp:simplePos x="0" y="0"/>
                  <wp:positionH relativeFrom="column">
                    <wp:posOffset>393700</wp:posOffset>
                  </wp:positionH>
                  <wp:positionV relativeFrom="paragraph">
                    <wp:posOffset>190500</wp:posOffset>
                  </wp:positionV>
                  <wp:extent cx="25400" cy="25400"/>
                  <wp:effectExtent l="0" t="0" r="0" b="0"/>
                  <wp:wrapNone/>
                  <wp:docPr id="13" name="Imagen 20" descr="page85image35660608">
                    <a:extLst xmlns:a="http://schemas.openxmlformats.org/drawingml/2006/main">
                      <a:ext uri="{FF2B5EF4-FFF2-40B4-BE49-F238E27FC236}">
                        <a16:creationId xmlns:a16="http://schemas.microsoft.com/office/drawing/2014/main" id="{FC94DB50-172B-5F46-B28A-B77AADD81905}"/>
                      </a:ext>
                    </a:extLst>
                  </wp:docPr>
                  <wp:cNvGraphicFramePr/>
                  <a:graphic xmlns:a="http://schemas.openxmlformats.org/drawingml/2006/main">
                    <a:graphicData uri="http://schemas.openxmlformats.org/drawingml/2006/picture">
                      <pic:pic xmlns:pic="http://schemas.openxmlformats.org/drawingml/2006/picture">
                        <pic:nvPicPr>
                          <pic:cNvPr id="5" name="Imagen 4" descr="page85image35660608">
                            <a:extLst>
                              <a:ext uri="{FF2B5EF4-FFF2-40B4-BE49-F238E27FC236}">
                                <a16:creationId xmlns:a16="http://schemas.microsoft.com/office/drawing/2014/main" id="{FC94DB50-172B-5F46-B28A-B77AADD81905}"/>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130EEF">
              <w:rPr>
                <w:rFonts w:eastAsia="Times New Roman"/>
                <w:color w:val="000000" w:themeColor="text1"/>
                <w:lang w:val="es-CL" w:eastAsia="es-ES_tradnl"/>
              </w:rPr>
              <w:t>Forward</w:t>
            </w:r>
          </w:p>
          <w:p w14:paraId="1D4FB32B" w14:textId="77777777" w:rsidR="00D30603" w:rsidRPr="00130EEF" w:rsidRDefault="00D30603" w:rsidP="009D4177">
            <w:pPr>
              <w:jc w:val="center"/>
              <w:rPr>
                <w:rFonts w:eastAsia="Times New Roman"/>
                <w:color w:val="000000" w:themeColor="text1"/>
                <w:lang w:val="es-CL" w:eastAsia="es-ES_tradnl"/>
              </w:rPr>
            </w:pPr>
          </w:p>
        </w:tc>
        <w:tc>
          <w:tcPr>
            <w:tcW w:w="5954" w:type="dxa"/>
            <w:tcBorders>
              <w:top w:val="nil"/>
              <w:left w:val="nil"/>
              <w:right w:val="nil"/>
            </w:tcBorders>
            <w:shd w:val="clear" w:color="auto" w:fill="auto"/>
            <w:noWrap/>
            <w:vAlign w:val="bottom"/>
            <w:hideMark/>
          </w:tcPr>
          <w:p w14:paraId="15994520" w14:textId="77777777" w:rsidR="00D30603" w:rsidRPr="00130EEF" w:rsidRDefault="00D30603"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TGCTTACAAGGGTCTGCTACT</w:t>
            </w:r>
          </w:p>
        </w:tc>
      </w:tr>
      <w:tr w:rsidR="00D30603" w:rsidRPr="00130EEF" w14:paraId="1FF56EE7" w14:textId="77777777" w:rsidTr="009D4177">
        <w:trPr>
          <w:trHeight w:val="320"/>
        </w:trPr>
        <w:tc>
          <w:tcPr>
            <w:tcW w:w="1701" w:type="dxa"/>
            <w:vMerge/>
            <w:tcBorders>
              <w:top w:val="nil"/>
              <w:left w:val="nil"/>
              <w:right w:val="nil"/>
            </w:tcBorders>
            <w:vAlign w:val="center"/>
            <w:hideMark/>
          </w:tcPr>
          <w:p w14:paraId="242BC8FC" w14:textId="77777777" w:rsidR="00D30603" w:rsidRPr="00130EEF" w:rsidRDefault="00D30603" w:rsidP="009D4177">
            <w:pPr>
              <w:rPr>
                <w:rFonts w:eastAsia="Times New Roman"/>
                <w:color w:val="000000" w:themeColor="text1"/>
                <w:lang w:val="es-CL" w:eastAsia="es-ES_tradnl"/>
              </w:rPr>
            </w:pPr>
          </w:p>
        </w:tc>
        <w:tc>
          <w:tcPr>
            <w:tcW w:w="1134" w:type="dxa"/>
            <w:tcBorders>
              <w:top w:val="nil"/>
              <w:left w:val="nil"/>
              <w:right w:val="nil"/>
            </w:tcBorders>
            <w:shd w:val="clear" w:color="auto" w:fill="auto"/>
            <w:noWrap/>
            <w:vAlign w:val="bottom"/>
            <w:hideMark/>
          </w:tcPr>
          <w:p w14:paraId="3ECA43D0" w14:textId="77777777" w:rsidR="00D30603" w:rsidRPr="00130EEF" w:rsidRDefault="00D30603"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Reverse</w:t>
            </w:r>
          </w:p>
        </w:tc>
        <w:tc>
          <w:tcPr>
            <w:tcW w:w="5954" w:type="dxa"/>
            <w:tcBorders>
              <w:top w:val="nil"/>
              <w:left w:val="nil"/>
              <w:right w:val="nil"/>
            </w:tcBorders>
            <w:shd w:val="clear" w:color="auto" w:fill="auto"/>
            <w:noWrap/>
            <w:vAlign w:val="bottom"/>
            <w:hideMark/>
          </w:tcPr>
          <w:p w14:paraId="70985B5A" w14:textId="77777777" w:rsidR="00D30603" w:rsidRPr="00130EEF" w:rsidRDefault="00D30603"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GAGGCAGGTCTTCAGAGGAA</w:t>
            </w:r>
          </w:p>
        </w:tc>
      </w:tr>
      <w:tr w:rsidR="00D30603" w:rsidRPr="00130EEF" w14:paraId="50283C24" w14:textId="77777777" w:rsidTr="009D4177">
        <w:trPr>
          <w:trHeight w:val="320"/>
        </w:trPr>
        <w:tc>
          <w:tcPr>
            <w:tcW w:w="1701" w:type="dxa"/>
            <w:vMerge w:val="restart"/>
            <w:tcBorders>
              <w:top w:val="nil"/>
              <w:left w:val="nil"/>
              <w:right w:val="nil"/>
            </w:tcBorders>
            <w:shd w:val="clear" w:color="auto" w:fill="auto"/>
            <w:noWrap/>
            <w:vAlign w:val="center"/>
            <w:hideMark/>
          </w:tcPr>
          <w:p w14:paraId="25AC5A47" w14:textId="77777777" w:rsidR="00D30603" w:rsidRPr="00130EEF" w:rsidRDefault="00D30603" w:rsidP="009D4177">
            <w:pPr>
              <w:rPr>
                <w:rFonts w:eastAsia="Times New Roman"/>
                <w:color w:val="000000" w:themeColor="text1"/>
                <w:lang w:val="es-CL" w:eastAsia="es-ES_tradnl"/>
              </w:rPr>
            </w:pPr>
            <w:r w:rsidRPr="00130EEF">
              <w:rPr>
                <w:rFonts w:eastAsia="Times New Roman"/>
                <w:color w:val="000000" w:themeColor="text1"/>
                <w:lang w:val="es-CL" w:eastAsia="es-ES_tradnl"/>
              </w:rPr>
              <w:t>Cdx2</w:t>
            </w:r>
            <w:r w:rsidRPr="00130EEF">
              <w:rPr>
                <w:color w:val="000000" w:themeColor="text1"/>
              </w:rPr>
              <w:t>¶</w:t>
            </w:r>
          </w:p>
        </w:tc>
        <w:tc>
          <w:tcPr>
            <w:tcW w:w="1134" w:type="dxa"/>
            <w:tcBorders>
              <w:top w:val="nil"/>
              <w:left w:val="nil"/>
              <w:right w:val="nil"/>
            </w:tcBorders>
            <w:shd w:val="clear" w:color="auto" w:fill="auto"/>
            <w:noWrap/>
            <w:vAlign w:val="bottom"/>
            <w:hideMark/>
          </w:tcPr>
          <w:p w14:paraId="60101EC6" w14:textId="77777777" w:rsidR="00D30603" w:rsidRPr="00130EEF" w:rsidRDefault="00D30603" w:rsidP="009D4177">
            <w:pPr>
              <w:jc w:val="center"/>
              <w:rPr>
                <w:rFonts w:eastAsia="Times New Roman"/>
                <w:color w:val="000000" w:themeColor="text1"/>
                <w:lang w:val="es-CL" w:eastAsia="es-ES_tradnl"/>
              </w:rPr>
            </w:pPr>
            <w:r w:rsidRPr="00130EEF">
              <w:rPr>
                <w:rFonts w:eastAsia="Times New Roman"/>
                <w:noProof/>
                <w:color w:val="000000" w:themeColor="text1"/>
              </w:rPr>
              <w:drawing>
                <wp:anchor distT="0" distB="0" distL="114300" distR="114300" simplePos="0" relativeHeight="251671552" behindDoc="0" locked="0" layoutInCell="1" allowOverlap="1" wp14:anchorId="0CAA8CCD" wp14:editId="05E84D6C">
                  <wp:simplePos x="0" y="0"/>
                  <wp:positionH relativeFrom="column">
                    <wp:posOffset>393700</wp:posOffset>
                  </wp:positionH>
                  <wp:positionV relativeFrom="paragraph">
                    <wp:posOffset>190500</wp:posOffset>
                  </wp:positionV>
                  <wp:extent cx="25400" cy="25400"/>
                  <wp:effectExtent l="0" t="0" r="0" b="0"/>
                  <wp:wrapNone/>
                  <wp:docPr id="14" name="Imagen 20" descr="page85image35660608">
                    <a:extLst xmlns:a="http://schemas.openxmlformats.org/drawingml/2006/main">
                      <a:ext uri="{FF2B5EF4-FFF2-40B4-BE49-F238E27FC236}">
                        <a16:creationId xmlns:a16="http://schemas.microsoft.com/office/drawing/2014/main" id="{FC94DB50-172B-5F46-B28A-B77AADD81905}"/>
                      </a:ext>
                    </a:extLst>
                  </wp:docPr>
                  <wp:cNvGraphicFramePr/>
                  <a:graphic xmlns:a="http://schemas.openxmlformats.org/drawingml/2006/main">
                    <a:graphicData uri="http://schemas.openxmlformats.org/drawingml/2006/picture">
                      <pic:pic xmlns:pic="http://schemas.openxmlformats.org/drawingml/2006/picture">
                        <pic:nvPicPr>
                          <pic:cNvPr id="5" name="Imagen 4" descr="page85image35660608">
                            <a:extLst>
                              <a:ext uri="{FF2B5EF4-FFF2-40B4-BE49-F238E27FC236}">
                                <a16:creationId xmlns:a16="http://schemas.microsoft.com/office/drawing/2014/main" id="{FC94DB50-172B-5F46-B28A-B77AADD81905}"/>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130EEF">
              <w:rPr>
                <w:rFonts w:eastAsia="Times New Roman"/>
                <w:color w:val="000000" w:themeColor="text1"/>
                <w:lang w:val="es-CL" w:eastAsia="es-ES_tradnl"/>
              </w:rPr>
              <w:t>Forward</w:t>
            </w:r>
          </w:p>
          <w:p w14:paraId="6579689F" w14:textId="77777777" w:rsidR="00D30603" w:rsidRPr="00130EEF" w:rsidRDefault="00D30603" w:rsidP="009D4177">
            <w:pPr>
              <w:jc w:val="center"/>
              <w:rPr>
                <w:rFonts w:eastAsia="Times New Roman"/>
                <w:color w:val="000000" w:themeColor="text1"/>
                <w:lang w:val="es-CL" w:eastAsia="es-ES_tradnl"/>
              </w:rPr>
            </w:pPr>
          </w:p>
        </w:tc>
        <w:tc>
          <w:tcPr>
            <w:tcW w:w="5954" w:type="dxa"/>
            <w:tcBorders>
              <w:top w:val="nil"/>
              <w:left w:val="nil"/>
              <w:right w:val="nil"/>
            </w:tcBorders>
            <w:shd w:val="clear" w:color="auto" w:fill="auto"/>
            <w:noWrap/>
            <w:vAlign w:val="bottom"/>
            <w:hideMark/>
          </w:tcPr>
          <w:p w14:paraId="7DAF7BAB" w14:textId="77777777" w:rsidR="00D30603" w:rsidRPr="00130EEF" w:rsidRDefault="00D30603"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CTGCCACACTTGGGCTCT</w:t>
            </w:r>
          </w:p>
        </w:tc>
      </w:tr>
      <w:tr w:rsidR="00D30603" w:rsidRPr="00130EEF" w14:paraId="077C6834" w14:textId="77777777" w:rsidTr="009D4177">
        <w:trPr>
          <w:trHeight w:val="320"/>
        </w:trPr>
        <w:tc>
          <w:tcPr>
            <w:tcW w:w="1701" w:type="dxa"/>
            <w:vMerge/>
            <w:tcBorders>
              <w:top w:val="nil"/>
              <w:left w:val="nil"/>
              <w:right w:val="nil"/>
            </w:tcBorders>
            <w:vAlign w:val="center"/>
            <w:hideMark/>
          </w:tcPr>
          <w:p w14:paraId="32981602" w14:textId="77777777" w:rsidR="00D30603" w:rsidRPr="00130EEF" w:rsidRDefault="00D30603" w:rsidP="009D4177">
            <w:pPr>
              <w:rPr>
                <w:rFonts w:eastAsia="Times New Roman"/>
                <w:color w:val="000000" w:themeColor="text1"/>
                <w:lang w:val="es-CL" w:eastAsia="es-ES_tradnl"/>
              </w:rPr>
            </w:pPr>
          </w:p>
        </w:tc>
        <w:tc>
          <w:tcPr>
            <w:tcW w:w="1134" w:type="dxa"/>
            <w:tcBorders>
              <w:top w:val="nil"/>
              <w:left w:val="nil"/>
              <w:right w:val="nil"/>
            </w:tcBorders>
            <w:shd w:val="clear" w:color="auto" w:fill="auto"/>
            <w:noWrap/>
            <w:vAlign w:val="bottom"/>
            <w:hideMark/>
          </w:tcPr>
          <w:p w14:paraId="0F9117E8" w14:textId="77777777" w:rsidR="00D30603" w:rsidRPr="00130EEF" w:rsidRDefault="00D30603"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Reverse</w:t>
            </w:r>
          </w:p>
        </w:tc>
        <w:tc>
          <w:tcPr>
            <w:tcW w:w="5954" w:type="dxa"/>
            <w:tcBorders>
              <w:top w:val="nil"/>
              <w:left w:val="nil"/>
              <w:right w:val="nil"/>
            </w:tcBorders>
            <w:shd w:val="clear" w:color="auto" w:fill="auto"/>
            <w:noWrap/>
            <w:vAlign w:val="bottom"/>
            <w:hideMark/>
          </w:tcPr>
          <w:p w14:paraId="4C4ED634" w14:textId="77777777" w:rsidR="00D30603" w:rsidRPr="00130EEF" w:rsidRDefault="00D30603"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CTGCTGCTGCTTCTTCTTGA</w:t>
            </w:r>
          </w:p>
        </w:tc>
      </w:tr>
      <w:tr w:rsidR="00D30603" w:rsidRPr="00130EEF" w14:paraId="5F47C44B" w14:textId="77777777" w:rsidTr="009D4177">
        <w:trPr>
          <w:trHeight w:val="320"/>
        </w:trPr>
        <w:tc>
          <w:tcPr>
            <w:tcW w:w="1701" w:type="dxa"/>
            <w:vMerge w:val="restart"/>
            <w:tcBorders>
              <w:top w:val="nil"/>
              <w:left w:val="nil"/>
              <w:right w:val="nil"/>
            </w:tcBorders>
            <w:shd w:val="clear" w:color="auto" w:fill="auto"/>
            <w:noWrap/>
            <w:vAlign w:val="center"/>
            <w:hideMark/>
          </w:tcPr>
          <w:p w14:paraId="4AB6482A" w14:textId="77777777" w:rsidR="00D30603" w:rsidRPr="00130EEF" w:rsidRDefault="00D30603" w:rsidP="009D4177">
            <w:pPr>
              <w:rPr>
                <w:rFonts w:eastAsia="Times New Roman"/>
                <w:color w:val="000000" w:themeColor="text1"/>
                <w:lang w:val="es-CL" w:eastAsia="es-ES_tradnl"/>
              </w:rPr>
            </w:pPr>
            <w:r w:rsidRPr="00130EEF">
              <w:rPr>
                <w:rFonts w:eastAsia="Times New Roman"/>
                <w:color w:val="000000" w:themeColor="text1"/>
                <w:lang w:val="es-CL" w:eastAsia="es-ES_tradnl"/>
              </w:rPr>
              <w:t>Dnmt1</w:t>
            </w:r>
            <w:r w:rsidRPr="00130EEF">
              <w:rPr>
                <w:color w:val="000000" w:themeColor="text1"/>
              </w:rPr>
              <w:t>†</w:t>
            </w:r>
          </w:p>
        </w:tc>
        <w:tc>
          <w:tcPr>
            <w:tcW w:w="1134" w:type="dxa"/>
            <w:tcBorders>
              <w:top w:val="nil"/>
              <w:left w:val="nil"/>
              <w:right w:val="nil"/>
            </w:tcBorders>
            <w:shd w:val="clear" w:color="auto" w:fill="auto"/>
            <w:noWrap/>
            <w:vAlign w:val="bottom"/>
            <w:hideMark/>
          </w:tcPr>
          <w:p w14:paraId="4DFB52B7" w14:textId="77777777" w:rsidR="00D30603" w:rsidRPr="00130EEF" w:rsidRDefault="00D30603" w:rsidP="009D4177">
            <w:pPr>
              <w:jc w:val="center"/>
              <w:rPr>
                <w:rFonts w:eastAsia="Times New Roman"/>
                <w:color w:val="000000" w:themeColor="text1"/>
                <w:lang w:val="es-CL" w:eastAsia="es-ES_tradnl"/>
              </w:rPr>
            </w:pPr>
            <w:r w:rsidRPr="00130EEF">
              <w:rPr>
                <w:rFonts w:eastAsia="Times New Roman"/>
                <w:noProof/>
                <w:color w:val="000000" w:themeColor="text1"/>
              </w:rPr>
              <w:drawing>
                <wp:anchor distT="0" distB="0" distL="114300" distR="114300" simplePos="0" relativeHeight="251672576" behindDoc="0" locked="0" layoutInCell="1" allowOverlap="1" wp14:anchorId="3BEEDD82" wp14:editId="55B4A3AF">
                  <wp:simplePos x="0" y="0"/>
                  <wp:positionH relativeFrom="column">
                    <wp:posOffset>393700</wp:posOffset>
                  </wp:positionH>
                  <wp:positionV relativeFrom="paragraph">
                    <wp:posOffset>190500</wp:posOffset>
                  </wp:positionV>
                  <wp:extent cx="25400" cy="25400"/>
                  <wp:effectExtent l="0" t="0" r="0" b="0"/>
                  <wp:wrapNone/>
                  <wp:docPr id="24" name="Imagen 20" descr="page85image35660608">
                    <a:extLst xmlns:a="http://schemas.openxmlformats.org/drawingml/2006/main">
                      <a:ext uri="{FF2B5EF4-FFF2-40B4-BE49-F238E27FC236}">
                        <a16:creationId xmlns:a16="http://schemas.microsoft.com/office/drawing/2014/main" id="{FC94DB50-172B-5F46-B28A-B77AADD81905}"/>
                      </a:ext>
                    </a:extLst>
                  </wp:docPr>
                  <wp:cNvGraphicFramePr/>
                  <a:graphic xmlns:a="http://schemas.openxmlformats.org/drawingml/2006/main">
                    <a:graphicData uri="http://schemas.openxmlformats.org/drawingml/2006/picture">
                      <pic:pic xmlns:pic="http://schemas.openxmlformats.org/drawingml/2006/picture">
                        <pic:nvPicPr>
                          <pic:cNvPr id="5" name="Imagen 4" descr="page85image35660608">
                            <a:extLst>
                              <a:ext uri="{FF2B5EF4-FFF2-40B4-BE49-F238E27FC236}">
                                <a16:creationId xmlns:a16="http://schemas.microsoft.com/office/drawing/2014/main" id="{FC94DB50-172B-5F46-B28A-B77AADD81905}"/>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130EEF">
              <w:rPr>
                <w:rFonts w:eastAsia="Times New Roman"/>
                <w:color w:val="000000" w:themeColor="text1"/>
                <w:lang w:val="es-CL" w:eastAsia="es-ES_tradnl"/>
              </w:rPr>
              <w:t>Forward</w:t>
            </w:r>
          </w:p>
          <w:p w14:paraId="3DA1200E" w14:textId="77777777" w:rsidR="00D30603" w:rsidRPr="00130EEF" w:rsidRDefault="00D30603" w:rsidP="009D4177">
            <w:pPr>
              <w:jc w:val="center"/>
              <w:rPr>
                <w:rFonts w:eastAsia="Times New Roman"/>
                <w:color w:val="000000" w:themeColor="text1"/>
                <w:lang w:val="es-CL" w:eastAsia="es-ES_tradnl"/>
              </w:rPr>
            </w:pPr>
          </w:p>
        </w:tc>
        <w:tc>
          <w:tcPr>
            <w:tcW w:w="5954" w:type="dxa"/>
            <w:tcBorders>
              <w:top w:val="nil"/>
              <w:left w:val="nil"/>
              <w:right w:val="nil"/>
            </w:tcBorders>
            <w:shd w:val="clear" w:color="auto" w:fill="auto"/>
            <w:noWrap/>
            <w:vAlign w:val="bottom"/>
            <w:hideMark/>
          </w:tcPr>
          <w:p w14:paraId="6957904D" w14:textId="77777777" w:rsidR="00D30603" w:rsidRPr="00130EEF" w:rsidRDefault="00D30603"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GCTACCAGTGCACCTTTGGT</w:t>
            </w:r>
          </w:p>
        </w:tc>
      </w:tr>
      <w:tr w:rsidR="00D30603" w:rsidRPr="00130EEF" w14:paraId="576FE0B0" w14:textId="77777777" w:rsidTr="009D4177">
        <w:trPr>
          <w:trHeight w:val="320"/>
        </w:trPr>
        <w:tc>
          <w:tcPr>
            <w:tcW w:w="1701" w:type="dxa"/>
            <w:vMerge/>
            <w:tcBorders>
              <w:left w:val="nil"/>
              <w:right w:val="nil"/>
            </w:tcBorders>
            <w:vAlign w:val="center"/>
            <w:hideMark/>
          </w:tcPr>
          <w:p w14:paraId="5F4267C8" w14:textId="77777777" w:rsidR="00D30603" w:rsidRPr="00130EEF" w:rsidRDefault="00D30603" w:rsidP="009D4177">
            <w:pPr>
              <w:rPr>
                <w:rFonts w:eastAsia="Times New Roman"/>
                <w:color w:val="000000" w:themeColor="text1"/>
                <w:lang w:val="es-CL" w:eastAsia="es-ES_tradnl"/>
              </w:rPr>
            </w:pPr>
          </w:p>
        </w:tc>
        <w:tc>
          <w:tcPr>
            <w:tcW w:w="1134" w:type="dxa"/>
            <w:tcBorders>
              <w:left w:val="nil"/>
              <w:right w:val="nil"/>
            </w:tcBorders>
            <w:shd w:val="clear" w:color="auto" w:fill="auto"/>
            <w:noWrap/>
            <w:vAlign w:val="bottom"/>
            <w:hideMark/>
          </w:tcPr>
          <w:p w14:paraId="11944B23" w14:textId="77777777" w:rsidR="00D30603" w:rsidRPr="00130EEF" w:rsidRDefault="00D30603"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Reverse</w:t>
            </w:r>
          </w:p>
        </w:tc>
        <w:tc>
          <w:tcPr>
            <w:tcW w:w="5954" w:type="dxa"/>
            <w:tcBorders>
              <w:left w:val="nil"/>
              <w:right w:val="nil"/>
            </w:tcBorders>
            <w:shd w:val="clear" w:color="auto" w:fill="auto"/>
            <w:noWrap/>
            <w:vAlign w:val="bottom"/>
            <w:hideMark/>
          </w:tcPr>
          <w:p w14:paraId="01132B47" w14:textId="77777777" w:rsidR="00D30603" w:rsidRPr="00130EEF" w:rsidRDefault="00D30603"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ATGATGGCCCTCCTTCGT</w:t>
            </w:r>
          </w:p>
        </w:tc>
      </w:tr>
      <w:tr w:rsidR="00D30603" w:rsidRPr="00130EEF" w14:paraId="067F84EB" w14:textId="77777777" w:rsidTr="009D4177">
        <w:trPr>
          <w:trHeight w:val="162"/>
        </w:trPr>
        <w:tc>
          <w:tcPr>
            <w:tcW w:w="2835" w:type="dxa"/>
            <w:gridSpan w:val="2"/>
            <w:tcBorders>
              <w:left w:val="nil"/>
              <w:right w:val="nil"/>
            </w:tcBorders>
            <w:shd w:val="clear" w:color="auto" w:fill="auto"/>
          </w:tcPr>
          <w:p w14:paraId="7A0BABFB" w14:textId="77777777" w:rsidR="00D30603" w:rsidRPr="00130EEF" w:rsidRDefault="00D30603" w:rsidP="009D4177">
            <w:pPr>
              <w:rPr>
                <w:rFonts w:eastAsia="Times New Roman"/>
                <w:color w:val="000000" w:themeColor="text1"/>
                <w:lang w:val="en-US" w:eastAsia="es-ES_tradnl"/>
              </w:rPr>
            </w:pPr>
          </w:p>
        </w:tc>
        <w:tc>
          <w:tcPr>
            <w:tcW w:w="5954" w:type="dxa"/>
            <w:tcBorders>
              <w:left w:val="nil"/>
              <w:right w:val="nil"/>
            </w:tcBorders>
            <w:shd w:val="clear" w:color="auto" w:fill="auto"/>
          </w:tcPr>
          <w:p w14:paraId="2CD1C501" w14:textId="77777777" w:rsidR="00D30603" w:rsidRPr="00130EEF" w:rsidRDefault="00D30603" w:rsidP="009D4177">
            <w:pPr>
              <w:rPr>
                <w:rFonts w:eastAsia="Times New Roman"/>
                <w:color w:val="000000" w:themeColor="text1"/>
                <w:lang w:val="en-US" w:eastAsia="es-ES_tradnl"/>
              </w:rPr>
            </w:pPr>
          </w:p>
        </w:tc>
      </w:tr>
      <w:tr w:rsidR="00D30603" w:rsidRPr="00130EEF" w14:paraId="2114505D" w14:textId="77777777" w:rsidTr="009D4177">
        <w:trPr>
          <w:trHeight w:val="158"/>
        </w:trPr>
        <w:tc>
          <w:tcPr>
            <w:tcW w:w="2835" w:type="dxa"/>
            <w:gridSpan w:val="2"/>
            <w:tcBorders>
              <w:left w:val="nil"/>
              <w:right w:val="nil"/>
            </w:tcBorders>
            <w:shd w:val="clear" w:color="auto" w:fill="auto"/>
          </w:tcPr>
          <w:p w14:paraId="651ADEC5" w14:textId="77777777" w:rsidR="00D30603" w:rsidRPr="00130EEF" w:rsidRDefault="00D30603" w:rsidP="009D4177">
            <w:pPr>
              <w:tabs>
                <w:tab w:val="left" w:pos="889"/>
                <w:tab w:val="center" w:pos="3474"/>
              </w:tabs>
              <w:rPr>
                <w:rFonts w:eastAsia="Times New Roman"/>
                <w:color w:val="000000" w:themeColor="text1"/>
                <w:lang w:val="en-US" w:eastAsia="es-ES_tradnl"/>
              </w:rPr>
            </w:pPr>
          </w:p>
        </w:tc>
        <w:tc>
          <w:tcPr>
            <w:tcW w:w="5954" w:type="dxa"/>
            <w:tcBorders>
              <w:left w:val="nil"/>
              <w:right w:val="nil"/>
            </w:tcBorders>
            <w:shd w:val="clear" w:color="auto" w:fill="auto"/>
          </w:tcPr>
          <w:p w14:paraId="52E11CA2" w14:textId="77777777" w:rsidR="00D30603" w:rsidRPr="00130EEF" w:rsidRDefault="00D30603" w:rsidP="009D4177">
            <w:pPr>
              <w:tabs>
                <w:tab w:val="left" w:pos="889"/>
                <w:tab w:val="center" w:pos="3474"/>
              </w:tabs>
              <w:jc w:val="center"/>
              <w:rPr>
                <w:rFonts w:eastAsia="Times New Roman"/>
                <w:color w:val="000000" w:themeColor="text1"/>
                <w:lang w:val="en-US" w:eastAsia="es-ES_tradnl"/>
              </w:rPr>
            </w:pPr>
            <w:proofErr w:type="spellStart"/>
            <w:r w:rsidRPr="00130EEF">
              <w:rPr>
                <w:rFonts w:eastAsia="Times New Roman"/>
                <w:color w:val="000000" w:themeColor="text1"/>
                <w:lang w:val="en-US" w:eastAsia="es-ES_tradnl"/>
              </w:rPr>
              <w:t>Quantitect</w:t>
            </w:r>
            <w:proofErr w:type="spellEnd"/>
            <w:r w:rsidRPr="00130EEF">
              <w:rPr>
                <w:rFonts w:eastAsia="Times New Roman"/>
                <w:color w:val="000000" w:themeColor="text1"/>
                <w:lang w:val="en-US" w:eastAsia="es-ES_tradnl"/>
              </w:rPr>
              <w:t xml:space="preserve"> Primer Assay</w:t>
            </w:r>
          </w:p>
        </w:tc>
      </w:tr>
      <w:tr w:rsidR="00D30603" w:rsidRPr="00130EEF" w14:paraId="7AFB5CFD" w14:textId="77777777" w:rsidTr="009D4177">
        <w:trPr>
          <w:trHeight w:val="158"/>
        </w:trPr>
        <w:tc>
          <w:tcPr>
            <w:tcW w:w="2835" w:type="dxa"/>
            <w:gridSpan w:val="2"/>
            <w:tcBorders>
              <w:left w:val="nil"/>
              <w:right w:val="nil"/>
            </w:tcBorders>
            <w:shd w:val="clear" w:color="auto" w:fill="auto"/>
            <w:vAlign w:val="bottom"/>
          </w:tcPr>
          <w:p w14:paraId="235BCDA3" w14:textId="77777777" w:rsidR="00D30603" w:rsidRPr="00130EEF" w:rsidRDefault="00D30603" w:rsidP="009D4177">
            <w:pPr>
              <w:tabs>
                <w:tab w:val="left" w:pos="1927"/>
              </w:tabs>
              <w:rPr>
                <w:rFonts w:eastAsia="Times New Roman"/>
                <w:color w:val="000000" w:themeColor="text1"/>
                <w:lang w:val="en-US" w:eastAsia="es-ES_tradnl"/>
              </w:rPr>
            </w:pPr>
            <w:r w:rsidRPr="00130EEF">
              <w:rPr>
                <w:rFonts w:eastAsia="Times New Roman"/>
                <w:color w:val="000000" w:themeColor="text1"/>
                <w:lang w:val="es-CL" w:eastAsia="es-ES_tradnl"/>
              </w:rPr>
              <w:t>H2afz</w:t>
            </w:r>
          </w:p>
        </w:tc>
        <w:tc>
          <w:tcPr>
            <w:tcW w:w="5954" w:type="dxa"/>
            <w:tcBorders>
              <w:left w:val="nil"/>
              <w:right w:val="nil"/>
            </w:tcBorders>
            <w:shd w:val="clear" w:color="auto" w:fill="auto"/>
            <w:vAlign w:val="bottom"/>
          </w:tcPr>
          <w:p w14:paraId="13ECB57E" w14:textId="77777777" w:rsidR="00D30603" w:rsidRPr="00130EEF" w:rsidRDefault="00D30603" w:rsidP="009D4177">
            <w:pPr>
              <w:tabs>
                <w:tab w:val="left" w:pos="1927"/>
              </w:tabs>
              <w:jc w:val="center"/>
              <w:rPr>
                <w:rFonts w:eastAsia="Times New Roman"/>
                <w:color w:val="000000" w:themeColor="text1"/>
                <w:lang w:val="en-US" w:eastAsia="es-ES_tradnl"/>
              </w:rPr>
            </w:pPr>
            <w:r w:rsidRPr="00130EEF">
              <w:rPr>
                <w:rFonts w:eastAsia="Times New Roman"/>
                <w:color w:val="000000" w:themeColor="text1"/>
                <w:lang w:val="en-US" w:eastAsia="es-ES_tradnl"/>
              </w:rPr>
              <w:t>QT00137319</w:t>
            </w:r>
          </w:p>
        </w:tc>
      </w:tr>
      <w:tr w:rsidR="00D30603" w:rsidRPr="00130EEF" w14:paraId="580C1D19" w14:textId="77777777" w:rsidTr="009D4177">
        <w:trPr>
          <w:trHeight w:val="158"/>
        </w:trPr>
        <w:tc>
          <w:tcPr>
            <w:tcW w:w="2835" w:type="dxa"/>
            <w:gridSpan w:val="2"/>
            <w:tcBorders>
              <w:left w:val="nil"/>
              <w:right w:val="nil"/>
            </w:tcBorders>
            <w:shd w:val="clear" w:color="auto" w:fill="auto"/>
            <w:vAlign w:val="bottom"/>
          </w:tcPr>
          <w:p w14:paraId="182B5B49" w14:textId="77777777" w:rsidR="00D30603" w:rsidRPr="00130EEF" w:rsidRDefault="00D30603" w:rsidP="009D4177">
            <w:pPr>
              <w:rPr>
                <w:rFonts w:eastAsia="Times New Roman"/>
                <w:color w:val="000000" w:themeColor="text1"/>
                <w:lang w:val="en-US" w:eastAsia="es-ES_tradnl"/>
              </w:rPr>
            </w:pPr>
            <w:r w:rsidRPr="00130EEF">
              <w:rPr>
                <w:rFonts w:eastAsia="Times New Roman"/>
                <w:color w:val="000000" w:themeColor="text1"/>
                <w:lang w:val="es-CL" w:eastAsia="es-ES_tradnl"/>
              </w:rPr>
              <w:lastRenderedPageBreak/>
              <w:t>Ezh2</w:t>
            </w:r>
          </w:p>
        </w:tc>
        <w:tc>
          <w:tcPr>
            <w:tcW w:w="5954" w:type="dxa"/>
            <w:tcBorders>
              <w:left w:val="nil"/>
              <w:right w:val="nil"/>
            </w:tcBorders>
            <w:shd w:val="clear" w:color="auto" w:fill="auto"/>
            <w:vAlign w:val="bottom"/>
          </w:tcPr>
          <w:p w14:paraId="5259BF48" w14:textId="77777777" w:rsidR="00D30603" w:rsidRPr="00130EEF" w:rsidRDefault="00D30603" w:rsidP="009D4177">
            <w:pPr>
              <w:jc w:val="center"/>
              <w:rPr>
                <w:rFonts w:eastAsia="Times New Roman"/>
                <w:color w:val="000000" w:themeColor="text1"/>
                <w:lang w:val="en-US" w:eastAsia="es-ES_tradnl"/>
              </w:rPr>
            </w:pPr>
            <w:r w:rsidRPr="00130EEF">
              <w:rPr>
                <w:rFonts w:eastAsia="Times New Roman"/>
                <w:color w:val="000000" w:themeColor="text1"/>
                <w:lang w:val="en-US" w:eastAsia="es-ES_tradnl"/>
              </w:rPr>
              <w:t>QT01063671</w:t>
            </w:r>
          </w:p>
        </w:tc>
      </w:tr>
      <w:tr w:rsidR="00D30603" w:rsidRPr="00130EEF" w14:paraId="78FE0265" w14:textId="77777777" w:rsidTr="009D4177">
        <w:trPr>
          <w:trHeight w:val="158"/>
        </w:trPr>
        <w:tc>
          <w:tcPr>
            <w:tcW w:w="2835" w:type="dxa"/>
            <w:gridSpan w:val="2"/>
            <w:tcBorders>
              <w:left w:val="nil"/>
              <w:right w:val="nil"/>
            </w:tcBorders>
            <w:shd w:val="clear" w:color="auto" w:fill="auto"/>
            <w:vAlign w:val="bottom"/>
          </w:tcPr>
          <w:p w14:paraId="63C53028" w14:textId="77777777" w:rsidR="00D30603" w:rsidRPr="00130EEF" w:rsidRDefault="00D30603" w:rsidP="009D4177">
            <w:pPr>
              <w:rPr>
                <w:rFonts w:eastAsia="Times New Roman"/>
                <w:color w:val="000000" w:themeColor="text1"/>
                <w:lang w:val="en-US" w:eastAsia="es-ES_tradnl"/>
              </w:rPr>
            </w:pPr>
            <w:r w:rsidRPr="00130EEF">
              <w:rPr>
                <w:rFonts w:eastAsia="Times New Roman"/>
                <w:color w:val="000000" w:themeColor="text1"/>
                <w:lang w:val="es-CL" w:eastAsia="es-ES_tradnl"/>
              </w:rPr>
              <w:t>Gata6</w:t>
            </w:r>
          </w:p>
        </w:tc>
        <w:tc>
          <w:tcPr>
            <w:tcW w:w="5954" w:type="dxa"/>
            <w:tcBorders>
              <w:left w:val="nil"/>
              <w:right w:val="nil"/>
            </w:tcBorders>
            <w:shd w:val="clear" w:color="auto" w:fill="auto"/>
            <w:vAlign w:val="bottom"/>
          </w:tcPr>
          <w:p w14:paraId="1ED553D6" w14:textId="77777777" w:rsidR="00D30603" w:rsidRPr="00130EEF" w:rsidRDefault="00D30603" w:rsidP="009D4177">
            <w:pPr>
              <w:jc w:val="center"/>
              <w:rPr>
                <w:rFonts w:eastAsia="Times New Roman"/>
                <w:color w:val="000000" w:themeColor="text1"/>
                <w:lang w:val="en-US" w:eastAsia="es-ES_tradnl"/>
              </w:rPr>
            </w:pPr>
            <w:r w:rsidRPr="00130EEF">
              <w:rPr>
                <w:rFonts w:eastAsia="Times New Roman"/>
                <w:color w:val="000000" w:themeColor="text1"/>
                <w:lang w:val="es-CL" w:eastAsia="es-ES_tradnl"/>
              </w:rPr>
              <w:t>QT00171297</w:t>
            </w:r>
          </w:p>
        </w:tc>
      </w:tr>
      <w:tr w:rsidR="00D30603" w:rsidRPr="00130EEF" w14:paraId="36191474" w14:textId="77777777" w:rsidTr="009D4177">
        <w:trPr>
          <w:trHeight w:val="158"/>
        </w:trPr>
        <w:tc>
          <w:tcPr>
            <w:tcW w:w="2835" w:type="dxa"/>
            <w:gridSpan w:val="2"/>
            <w:tcBorders>
              <w:left w:val="nil"/>
              <w:bottom w:val="single" w:sz="4" w:space="0" w:color="auto"/>
              <w:right w:val="nil"/>
            </w:tcBorders>
            <w:shd w:val="clear" w:color="auto" w:fill="auto"/>
            <w:vAlign w:val="bottom"/>
          </w:tcPr>
          <w:p w14:paraId="43AECBBC" w14:textId="77777777" w:rsidR="00D30603" w:rsidRPr="00130EEF" w:rsidRDefault="00D30603" w:rsidP="009D4177">
            <w:pPr>
              <w:rPr>
                <w:rFonts w:eastAsia="Times New Roman"/>
                <w:color w:val="000000" w:themeColor="text1"/>
                <w:lang w:val="en-US" w:eastAsia="es-ES_tradnl"/>
              </w:rPr>
            </w:pPr>
            <w:r w:rsidRPr="00130EEF">
              <w:rPr>
                <w:rFonts w:eastAsia="Times New Roman"/>
                <w:color w:val="000000" w:themeColor="text1"/>
                <w:lang w:val="es-CL" w:eastAsia="es-ES_tradnl"/>
              </w:rPr>
              <w:t>Eed</w:t>
            </w:r>
          </w:p>
        </w:tc>
        <w:tc>
          <w:tcPr>
            <w:tcW w:w="5954" w:type="dxa"/>
            <w:tcBorders>
              <w:left w:val="nil"/>
              <w:bottom w:val="single" w:sz="4" w:space="0" w:color="auto"/>
              <w:right w:val="nil"/>
            </w:tcBorders>
            <w:shd w:val="clear" w:color="auto" w:fill="auto"/>
            <w:vAlign w:val="bottom"/>
          </w:tcPr>
          <w:p w14:paraId="23CACCA1" w14:textId="77777777" w:rsidR="00D30603" w:rsidRPr="00130EEF" w:rsidRDefault="00D30603" w:rsidP="009D4177">
            <w:pPr>
              <w:jc w:val="center"/>
              <w:rPr>
                <w:rFonts w:eastAsia="Times New Roman"/>
                <w:color w:val="000000" w:themeColor="text1"/>
                <w:lang w:val="en-US" w:eastAsia="es-ES_tradnl"/>
              </w:rPr>
            </w:pPr>
            <w:r w:rsidRPr="00130EEF">
              <w:rPr>
                <w:rFonts w:eastAsia="Times New Roman"/>
                <w:color w:val="000000" w:themeColor="text1"/>
                <w:lang w:val="en-US" w:eastAsia="es-ES_tradnl"/>
              </w:rPr>
              <w:t>QT00172424</w:t>
            </w:r>
          </w:p>
        </w:tc>
      </w:tr>
    </w:tbl>
    <w:p w14:paraId="5CCEC18F" w14:textId="595691A1" w:rsidR="00D30603" w:rsidRPr="00130EEF" w:rsidRDefault="00D30603" w:rsidP="00D30603">
      <w:pPr>
        <w:rPr>
          <w:rFonts w:eastAsia="Times New Roman"/>
          <w:color w:val="000000" w:themeColor="text1"/>
          <w:lang w:val="en-US" w:eastAsia="es-ES_tradnl"/>
        </w:rPr>
      </w:pPr>
      <w:r w:rsidRPr="00130EEF">
        <w:rPr>
          <w:color w:val="000000" w:themeColor="text1"/>
        </w:rPr>
        <w:t>†</w:t>
      </w:r>
      <w:r w:rsidRPr="00130EEF">
        <w:rPr>
          <w:rFonts w:eastAsia="Times New Roman"/>
          <w:color w:val="000000" w:themeColor="text1"/>
          <w:lang w:eastAsia="es-ES_tradnl"/>
        </w:rPr>
        <w:t xml:space="preserve"> </w:t>
      </w:r>
      <w:r w:rsidR="00E836C3" w:rsidRPr="00130EEF">
        <w:rPr>
          <w:rFonts w:eastAsia="Times New Roman"/>
          <w:color w:val="000000" w:themeColor="text1"/>
          <w:lang w:val="es-CL" w:eastAsia="es-ES_tradnl"/>
        </w:rPr>
        <w:fldChar w:fldCharType="begin" w:fldLock="1"/>
      </w:r>
      <w:r w:rsidR="00E836C3" w:rsidRPr="00130EEF">
        <w:rPr>
          <w:rFonts w:eastAsia="Times New Roman"/>
          <w:color w:val="000000" w:themeColor="text1"/>
          <w:lang w:eastAsia="es-ES_tradnl"/>
        </w:rPr>
        <w:instrText>ADDIN CSL_CITATION {"citationItems":[{"id":"ITEM-1","itemData":{"DOI":"10.1016/j.bbadis.2017.02.009","ISSN":"1879260X","PMID":"28189722","abstract":"Defining the mechanisms underlying the programming of early life growth is fundamental for improving adult health and wellbeing. While the association between maternal diet, offspring growth and adult disease risk is well-established, the effect of father's diet on offspring development is largely unknown. Therefore, we fed male mice an imbalanced low protein diet (LPD) to determine the impact on post-fertilisation development and fetal growth. We observed that in preimplantation embryos derived from LPD fed males, expression of multiple genes within the central metabolic AMPK pathway was reduced. In late gestation, paternal LPD programmed increased fetal weight, however, placental weight was reduced, resulting in an elevated fetal:placental weight ratio. Analysis of gene expression patterns revealed increased levels of transporters for calcium, amino acids and glucose within LPD placentas. Furthermore, placental expression of the epigenetic regulators Dnmt1 and Dnmt3L were increased also, coinciding with altered patterns of maternal and paternal imprinted genes. More strikingly, we observed fetal skeletal development was perturbed in response to paternal LPD. Here, while offspring of LPD fed males possessed larger skeletons, their bones comprised lower volumes of high mineral density in combination with reduced maturity of bone apatite. These data offer new insight in the underlying programming mechanisms linking poor paternal diet at the time of conception with the development and growth of his offspring.","author":[{"dropping-particle":"","family":"Watkins","given":"Adam J.","non-dropping-particle":"","parse-names":false,"suffix":""},{"dropping-particle":"","family":"Sirovica","given":"Slobodan","non-dropping-particle":"","parse-names":false,"suffix":""},{"dropping-particle":"","family":"Stokes","given":"Ben","non-dropping-particle":"","parse-names":false,"suffix":""},{"dropping-particle":"","family":"Isaacs","given":"Mark","non-dropping-particle":"","parse-names":false,"suffix":""},{"dropping-particle":"","family":"Addison","given":"Owen","non-dropping-particle":"","parse-names":false,"suffix":""},{"dropping-particle":"","family":"Martin","given":"Richard A.","non-dropping-particle":"","parse-names":false,"suffix":""}],"container-title":"Biochimica et Biophysica Acta - Molecular Basis of Disease","id":"ITEM-1","issue":"6","issued":{"date-parts":[["2017"]]},"page":"1371-1381","publisher":"Elsevier B.V.","title":"Paternal low protein diet programs preimplantation embryo gene expression, fetal growth and skeletal development in mice","type":"article-journal","volume":"1863"},"uris":["http://www.mendeley.com/documents/?uuid=bf0523c9-5c9c-40bb-abd0-e337f0bdc227"]}],"mendeley":{"formattedCitation":"(Watkins et al., 2017)","manualFormatting":"Watkins et al., 2017","plainTextFormattedCitation":"(Watkins et al., 2017)","previouslyFormattedCitation":"(Watkins et al., 2017)"},"properties":{"noteIndex":0},"schema":"https://github.com/citation-style-language/schema/raw/master/csl-citation.json"}</w:instrText>
      </w:r>
      <w:r w:rsidR="00E836C3" w:rsidRPr="00130EEF">
        <w:rPr>
          <w:rFonts w:eastAsia="Times New Roman"/>
          <w:color w:val="000000" w:themeColor="text1"/>
          <w:lang w:val="es-CL" w:eastAsia="es-ES_tradnl"/>
        </w:rPr>
        <w:fldChar w:fldCharType="separate"/>
      </w:r>
      <w:r w:rsidR="00E836C3" w:rsidRPr="00130EEF">
        <w:rPr>
          <w:rFonts w:eastAsia="Times New Roman"/>
          <w:noProof/>
          <w:color w:val="000000" w:themeColor="text1"/>
          <w:lang w:eastAsia="es-ES_tradnl"/>
        </w:rPr>
        <w:t>Watkins et al., 2017</w:t>
      </w:r>
      <w:r w:rsidR="00E836C3" w:rsidRPr="00130EEF">
        <w:rPr>
          <w:rFonts w:eastAsia="Times New Roman"/>
          <w:color w:val="000000" w:themeColor="text1"/>
          <w:lang w:val="es-CL" w:eastAsia="es-ES_tradnl"/>
        </w:rPr>
        <w:fldChar w:fldCharType="end"/>
      </w:r>
      <w:r w:rsidRPr="00130EEF">
        <w:rPr>
          <w:rFonts w:eastAsia="Times New Roman"/>
          <w:color w:val="000000" w:themeColor="text1"/>
          <w:lang w:eastAsia="es-ES_tradnl"/>
        </w:rPr>
        <w:t xml:space="preserve">, </w:t>
      </w:r>
      <w:r w:rsidRPr="00130EEF">
        <w:rPr>
          <w:color w:val="000000" w:themeColor="text1"/>
        </w:rPr>
        <w:t>‡</w:t>
      </w:r>
      <w:r w:rsidRPr="00130EEF">
        <w:rPr>
          <w:rFonts w:eastAsia="Times New Roman"/>
          <w:color w:val="000000" w:themeColor="text1"/>
          <w:lang w:eastAsia="es-ES_tradnl"/>
        </w:rPr>
        <w:t xml:space="preserve"> </w:t>
      </w:r>
      <w:r w:rsidR="00E836C3" w:rsidRPr="00130EEF">
        <w:rPr>
          <w:rFonts w:eastAsia="Times New Roman"/>
          <w:color w:val="000000" w:themeColor="text1"/>
          <w:lang w:val="en-US" w:eastAsia="es-ES_tradnl"/>
        </w:rPr>
        <w:fldChar w:fldCharType="begin" w:fldLock="1"/>
      </w:r>
      <w:r w:rsidR="00E836C3" w:rsidRPr="00130EEF">
        <w:rPr>
          <w:rFonts w:eastAsia="Times New Roman"/>
          <w:color w:val="000000" w:themeColor="text1"/>
          <w:lang w:eastAsia="es-ES_tradnl"/>
        </w:rPr>
        <w:instrText>ADDIN CSL_CITATION {"citationItems":[{"id":"ITEM-1","itemData":{"DOI":"10.1016/j.theriogenology.2011.03.008","ISSN":"0093691X","author":[{"dropping-particle":"","family":"Lucas","given":"E.S.","non-dropping-particle":"","parse-names":false,"suffix":""},{"dropping-particle":"","family":"Watkins","given":"A.J.","non-dropping-particle":"","parse-names":false,"suffix":""},{"dropping-particle":"","family":"Cox","given":"A.L.","non-dropping-particle":"","parse-names":false,"suffix":""},{"dropping-particle":"","family":"Marfy-Smith","given":"S.J.","non-dropping-particle":"","parse-names":false,"suffix":""},{"dropping-particle":"","family":"Smyth","given":"Neil","non-dropping-particle":"","parse-names":false,"suffix":""},{"dropping-particle":"","family":"Fleming","given":"Tom P.","non-dropping-particle":"","parse-names":false,"suffix":""}],"container-title":"Theriogenology","id":"ITEM-1","issue":"3","issued":{"date-parts":[["2011","8"]]},"page":"558-569","publisher":"Elsevier Inc.","title":"Tissue-specific selection of reference genes is required for expression studies in the mouse model of maternal protein undernutrition","type":"article-journal","volume":"76"},"uris":["http://www.mendeley.com/documents/?uuid=ff094f26-117f-4246-a86a-c8a48fa8367f"]}],"mendeley":{"formattedCitation":"(Lucas et al., 2011)","manualFormatting":"Lucas et al., 2011","plainTextFormattedCitation":"(Lucas et al., 2011)","previouslyFormattedCitation":"(Lucas et al., 2011)"},"properties":{"noteIndex":0},"schema":"https://github.com/citation-style-language/schema/raw/master/csl-citation.json"}</w:instrText>
      </w:r>
      <w:r w:rsidR="00E836C3" w:rsidRPr="00130EEF">
        <w:rPr>
          <w:rFonts w:eastAsia="Times New Roman"/>
          <w:color w:val="000000" w:themeColor="text1"/>
          <w:lang w:val="en-US" w:eastAsia="es-ES_tradnl"/>
        </w:rPr>
        <w:fldChar w:fldCharType="separate"/>
      </w:r>
      <w:r w:rsidR="00E836C3" w:rsidRPr="00130EEF">
        <w:rPr>
          <w:rFonts w:eastAsia="Times New Roman"/>
          <w:noProof/>
          <w:color w:val="000000" w:themeColor="text1"/>
          <w:lang w:eastAsia="es-ES_tradnl"/>
        </w:rPr>
        <w:t>Lucas et al., 2011</w:t>
      </w:r>
      <w:r w:rsidR="00E836C3" w:rsidRPr="00130EEF">
        <w:rPr>
          <w:rFonts w:eastAsia="Times New Roman"/>
          <w:color w:val="000000" w:themeColor="text1"/>
          <w:lang w:val="en-US" w:eastAsia="es-ES_tradnl"/>
        </w:rPr>
        <w:fldChar w:fldCharType="end"/>
      </w:r>
      <w:r w:rsidRPr="00130EEF">
        <w:rPr>
          <w:rFonts w:eastAsia="Times New Roman"/>
          <w:color w:val="000000" w:themeColor="text1"/>
          <w:lang w:eastAsia="es-ES_tradnl"/>
        </w:rPr>
        <w:t xml:space="preserve">, </w:t>
      </w:r>
      <w:r w:rsidRPr="00130EEF">
        <w:rPr>
          <w:color w:val="000000" w:themeColor="text1"/>
        </w:rPr>
        <w:t>§</w:t>
      </w:r>
      <w:r w:rsidRPr="00130EEF">
        <w:rPr>
          <w:rFonts w:eastAsia="Times New Roman"/>
          <w:color w:val="000000" w:themeColor="text1"/>
          <w:lang w:eastAsia="es-ES_tradnl"/>
        </w:rPr>
        <w:t xml:space="preserve"> </w:t>
      </w:r>
      <w:r w:rsidR="00E836C3" w:rsidRPr="00130EEF">
        <w:rPr>
          <w:rFonts w:eastAsia="Times New Roman"/>
          <w:color w:val="000000" w:themeColor="text1"/>
          <w:lang w:val="en-US" w:eastAsia="es-ES_tradnl"/>
        </w:rPr>
        <w:fldChar w:fldCharType="begin" w:fldLock="1"/>
      </w:r>
      <w:r w:rsidR="00E836C3" w:rsidRPr="00130EEF">
        <w:rPr>
          <w:rFonts w:eastAsia="Times New Roman"/>
          <w:color w:val="000000" w:themeColor="text1"/>
          <w:lang w:eastAsia="es-ES_tradnl"/>
        </w:rPr>
        <w:instrText>ADDIN CSL_CITATION {"citationItems":[{"id":"ITEM-1","itemData":{"DOI":"10.1002/cbin.10260","ISSN":"10656995","author":[{"dropping-particle":"","family":"Kashani","given":"Iraj Ragerdi","non-dropping-particle":"","parse-names":false,"suffix":""},{"dropping-particle":"","family":"Zarnani","given":"Amir Hassan","non-dropping-particle":"","parse-names":false,"suffix":""},{"dropping-particle":"","family":"Soleimani","given":"Masoud","non-dropping-particle":"","parse-names":false,"suffix":""},{"dropping-particle":"","family":"Abdolvahabi","given":"Mir Abbas","non-dropping-particle":"","parse-names":false,"suffix":""},{"dropping-particle":"","family":"Nayernia","given":"Karim","non-dropping-particle":"","parse-names":false,"suffix":""},{"dropping-particle":"","family":"Shirazi","given":"Reza","non-dropping-particle":"","parse-names":false,"suffix":""}],"container-title":"Cell Biology International","id":"ITEM-1","issue":"6","issued":{"date-parts":[["2014"]]},"note":"CACGAGTGGAAAGCAACTCA\nTTGGTTCCACCTTCTCCAAC\n\n355-374 19bp\n422-441","page":"782-789","title":"Retinoic acid induces mouse bone marrow-derived CD15 &lt;sup&gt;+&lt;/sup&gt; , Oct4 &lt;sup&gt;+&lt;/sup&gt; and CXCR4 &lt;sup&gt;+&lt;/sup&gt; stem cells into male germ-like cells in a two-dimensional cell culture system","type":"article-journal","volume":"38"},"uris":["http://www.mendeley.com/documents/?uuid=770d7f26-6f40-4aa8-bdea-4976ddc8b720"]}],"mendeley":{"formattedCitation":"(Kashani et al., 2014)","manualFormatting":"Kashani et a</w:instrText>
      </w:r>
      <w:r w:rsidR="00E836C3" w:rsidRPr="00130EEF">
        <w:rPr>
          <w:rFonts w:eastAsia="Times New Roman"/>
          <w:color w:val="000000" w:themeColor="text1"/>
          <w:lang w:val="en-US" w:eastAsia="es-ES_tradnl"/>
        </w:rPr>
        <w:instrText>l., 2014","plainTextFormattedCitation":"(Kashani et al., 2014)","previouslyFormattedCitation":"(Kashani et al., 2014)"},"properties":{"noteIndex":0},"schema":"https://github.com/citation-style-language/schema/raw/master/csl-citation.json"}</w:instrText>
      </w:r>
      <w:r w:rsidR="00E836C3" w:rsidRPr="00130EEF">
        <w:rPr>
          <w:rFonts w:eastAsia="Times New Roman"/>
          <w:color w:val="000000" w:themeColor="text1"/>
          <w:lang w:val="en-US" w:eastAsia="es-ES_tradnl"/>
        </w:rPr>
        <w:fldChar w:fldCharType="separate"/>
      </w:r>
      <w:r w:rsidR="00E836C3" w:rsidRPr="00130EEF">
        <w:rPr>
          <w:rFonts w:eastAsia="Times New Roman"/>
          <w:noProof/>
          <w:color w:val="000000" w:themeColor="text1"/>
          <w:lang w:val="en-US" w:eastAsia="es-ES_tradnl"/>
        </w:rPr>
        <w:t>Kashani et al., 2014</w:t>
      </w:r>
      <w:r w:rsidR="00E836C3" w:rsidRPr="00130EEF">
        <w:rPr>
          <w:rFonts w:eastAsia="Times New Roman"/>
          <w:color w:val="000000" w:themeColor="text1"/>
          <w:lang w:val="en-US" w:eastAsia="es-ES_tradnl"/>
        </w:rPr>
        <w:fldChar w:fldCharType="end"/>
      </w:r>
      <w:r w:rsidRPr="00130EEF">
        <w:rPr>
          <w:rFonts w:eastAsia="Times New Roman"/>
          <w:color w:val="000000" w:themeColor="text1"/>
          <w:lang w:val="en-US" w:eastAsia="es-ES_tradnl"/>
        </w:rPr>
        <w:t xml:space="preserve">, and </w:t>
      </w:r>
      <w:r w:rsidRPr="00130EEF">
        <w:rPr>
          <w:color w:val="000000" w:themeColor="text1"/>
          <w:lang w:val="en-US"/>
        </w:rPr>
        <w:t>¶</w:t>
      </w:r>
      <w:r w:rsidRPr="00130EEF">
        <w:rPr>
          <w:rFonts w:eastAsia="Times New Roman"/>
          <w:color w:val="000000" w:themeColor="text1"/>
          <w:lang w:val="en-US" w:eastAsia="es-ES_tradnl"/>
        </w:rPr>
        <w:t xml:space="preserve"> from J. Eckert, University of Southampton. </w:t>
      </w:r>
    </w:p>
    <w:p w14:paraId="7354AF38" w14:textId="77777777" w:rsidR="00D30603" w:rsidRPr="00130EEF" w:rsidRDefault="00D30603" w:rsidP="00317B70">
      <w:pPr>
        <w:spacing w:line="480" w:lineRule="auto"/>
        <w:rPr>
          <w:color w:val="000000" w:themeColor="text1"/>
          <w:lang w:val="en-US"/>
        </w:rPr>
      </w:pPr>
    </w:p>
    <w:p w14:paraId="765D93C7" w14:textId="77777777" w:rsidR="005344BC" w:rsidRPr="00130EEF" w:rsidRDefault="005344BC" w:rsidP="008832E1">
      <w:pPr>
        <w:pStyle w:val="Heading2"/>
        <w:rPr>
          <w:b w:val="0"/>
          <w:color w:val="000000" w:themeColor="text1"/>
        </w:rPr>
      </w:pPr>
      <w:r w:rsidRPr="00130EEF">
        <w:rPr>
          <w:color w:val="000000" w:themeColor="text1"/>
        </w:rPr>
        <w:t>Embryo sex determination</w:t>
      </w:r>
    </w:p>
    <w:p w14:paraId="3F13D19F" w14:textId="73530866" w:rsidR="005344BC" w:rsidRPr="00130EEF" w:rsidRDefault="005344BC" w:rsidP="00317B70">
      <w:pPr>
        <w:spacing w:line="480" w:lineRule="auto"/>
        <w:rPr>
          <w:color w:val="000000" w:themeColor="text1"/>
        </w:rPr>
      </w:pPr>
      <w:r w:rsidRPr="00130EEF">
        <w:rPr>
          <w:color w:val="000000" w:themeColor="text1"/>
        </w:rPr>
        <w:t xml:space="preserve">To identify the sex of the embryo, </w:t>
      </w:r>
      <w:r w:rsidR="00416990" w:rsidRPr="00130EEF">
        <w:rPr>
          <w:color w:val="000000" w:themeColor="text1"/>
        </w:rPr>
        <w:t xml:space="preserve">DNA was </w:t>
      </w:r>
      <w:r w:rsidR="00221B7E" w:rsidRPr="00130EEF">
        <w:rPr>
          <w:color w:val="000000" w:themeColor="text1"/>
        </w:rPr>
        <w:t>collected</w:t>
      </w:r>
      <w:r w:rsidR="00416990" w:rsidRPr="00130EEF">
        <w:rPr>
          <w:color w:val="000000" w:themeColor="text1"/>
        </w:rPr>
        <w:t xml:space="preserve"> from the </w:t>
      </w:r>
      <w:r w:rsidRPr="00130EEF">
        <w:rPr>
          <w:color w:val="000000" w:themeColor="text1"/>
        </w:rPr>
        <w:t xml:space="preserve">supernatant from the RNA extraction of a single embryo </w:t>
      </w:r>
      <w:r w:rsidR="00794A24" w:rsidRPr="00130EEF">
        <w:rPr>
          <w:color w:val="000000" w:themeColor="text1"/>
        </w:rPr>
        <w:fldChar w:fldCharType="begin" w:fldLock="1"/>
      </w:r>
      <w:r w:rsidR="00C70EAA" w:rsidRPr="00130EEF">
        <w:rPr>
          <w:color w:val="000000" w:themeColor="text1"/>
        </w:rPr>
        <w:instrText>ADDIN CSL_CITATION {"citationItems":[{"id":"ITEM-1","itemData":{"DOI":"10.1530/rep.1.01038","ISBN":"1470-1626 (Print)\\r1470-1626 (Linking)","ISSN":"1470-1626","PMID":"16885535","abstract":"In our previous study, we have shown that maternal low protein diet (LPD, 9% casein vs 18% casein control) fed exclusively during the rat preimplantation period (0–4.25 day postcoitum) induced low birth weight, altered postnatal growth and hypertension in a gender-specific manner. In this study, we investigated the effect of maternal LPD restricted only to the preimplantation period (switched diet) or provided throughout gestation on fetal growth and imprinted gene expression in blastocyst and fetal stages of development. Male, but not female, blastocysts collected from LPD dams displayed a significant reduction (30%) in H19 mRNA level. A significant reduction in H19 (9.4%) and Igf2 (10.9%) mRNA was also observed in male, but not in female, fetal liver at day 20 postcoitum in response to maternal LPD restricted to the preimplantation period. No effect on the blastocyst expression of Igf2R was observed in relation to maternal diet. The reduction in H19 mRNA expression did not correlate with an observed alteration in DNA methylation at the H19 differentially methylated region in fetal liver. In contrast, maternal LPD throughout 20 days of gestation did not affect male or female H19 and Igf2 imprinted gene expression in fetal liver. Neither LPD nor switched diet treatments affected H19 and Igf2 imprinted gene expression in day 20 placenta. Our findings demonstrate that one contributor to the alteration in postnatal growth induced by periconceptional maternal LPD may derive from a gender-specific programming of imprinted gene expression originating within the preimplantation embryo itself.","author":[{"dropping-particle":"","family":"Kwong","given":"W Y","non-dropping-particle":"","parse-names":false,"suffix":""},{"dropping-particle":"","family":"Miller","given":"D J","non-dropping-particle":"","parse-names":false,"suffix":""},{"dropping-particle":"","family":"Ursell","given":"E","non-dropping-particle":"","parse-names":false,"suffix":""},{"dropping-particle":"","family":"Wild","given":"A E","non-dropping-particle":"","parse-names":false,"suffix":""},{"dropping-particle":"","family":"Wilkins","given":"A P","non-dropping-particle":"","parse-names":false,"suffix":""},{"dropping-particle":"","family":"Osmond","given":"C","non-dropping-particle":"","parse-names":false,"suffix":""},{"dropping-particle":"","family":"Anthony","given":"F W","non-dropping-particle":"","parse-names":false,"suffix":""},{"dropping-particle":"","family":"Fleming","given":"T P","non-dropping-particle":"","parse-names":false,"suffix":""}],"container-title":"Reproduction","id":"ITEM-1","issue":"2","issued":{"date-parts":[["2006","8"]]},"page":"265-277","title":"Imprinted gene expression in the rat embryo–fetal axis is altered in response to periconceptional maternal low protein diet","type":"article-journal","volume":"132"},"uris":["http://www.mendeley.com/documents/?uuid=049132c2-5dc1-41eb-9f99-0cc9e50fb595"]}],"mendeley":{"formattedCitation":"(Kwong et al., 2006)","plainTextFormattedCitation":"(Kwong et al., 2006)","previouslyFormattedCitation":"(Kwong et al., 2006)"},"properties":{"noteIndex":0},"schema":"https://github.com/citation-style-language/schema/raw/master/csl-citation.json"}</w:instrText>
      </w:r>
      <w:r w:rsidR="00794A24" w:rsidRPr="00130EEF">
        <w:rPr>
          <w:color w:val="000000" w:themeColor="text1"/>
        </w:rPr>
        <w:fldChar w:fldCharType="separate"/>
      </w:r>
      <w:r w:rsidR="001A5C04" w:rsidRPr="00130EEF">
        <w:rPr>
          <w:noProof/>
          <w:color w:val="000000" w:themeColor="text1"/>
        </w:rPr>
        <w:t>(Kwong et al., 2006)</w:t>
      </w:r>
      <w:r w:rsidR="00794A24" w:rsidRPr="00130EEF">
        <w:rPr>
          <w:color w:val="000000" w:themeColor="text1"/>
        </w:rPr>
        <w:fldChar w:fldCharType="end"/>
      </w:r>
      <w:r w:rsidRPr="00130EEF">
        <w:rPr>
          <w:color w:val="000000" w:themeColor="text1"/>
        </w:rPr>
        <w:t xml:space="preserve"> using glycogen and ethanol precipitation. </w:t>
      </w:r>
      <w:r w:rsidR="00416990" w:rsidRPr="00130EEF">
        <w:rPr>
          <w:color w:val="000000" w:themeColor="text1"/>
        </w:rPr>
        <w:t xml:space="preserve">The </w:t>
      </w:r>
      <w:r w:rsidRPr="00130EEF">
        <w:rPr>
          <w:color w:val="000000" w:themeColor="text1"/>
        </w:rPr>
        <w:t xml:space="preserve">DNA was </w:t>
      </w:r>
      <w:r w:rsidR="00416990" w:rsidRPr="00130EEF">
        <w:rPr>
          <w:color w:val="000000" w:themeColor="text1"/>
        </w:rPr>
        <w:t xml:space="preserve">then </w:t>
      </w:r>
      <w:r w:rsidRPr="00130EEF">
        <w:rPr>
          <w:color w:val="000000" w:themeColor="text1"/>
        </w:rPr>
        <w:t xml:space="preserve">used in a nested PCR reaction with specific primers for </w:t>
      </w:r>
      <w:r w:rsidRPr="00130EEF">
        <w:rPr>
          <w:i/>
          <w:iCs/>
          <w:color w:val="000000" w:themeColor="text1"/>
        </w:rPr>
        <w:t>DXNd-3</w:t>
      </w:r>
      <w:r w:rsidRPr="00130EEF">
        <w:rPr>
          <w:color w:val="000000" w:themeColor="text1"/>
        </w:rPr>
        <w:t xml:space="preserve">, </w:t>
      </w:r>
      <w:r w:rsidRPr="00130EEF">
        <w:rPr>
          <w:i/>
          <w:iCs/>
          <w:color w:val="000000" w:themeColor="text1"/>
        </w:rPr>
        <w:t>SRY</w:t>
      </w:r>
      <w:r w:rsidR="00D45F91" w:rsidRPr="00130EEF">
        <w:rPr>
          <w:color w:val="000000" w:themeColor="text1"/>
        </w:rPr>
        <w:t>,</w:t>
      </w:r>
      <w:r w:rsidRPr="00130EEF">
        <w:rPr>
          <w:color w:val="000000" w:themeColor="text1"/>
        </w:rPr>
        <w:t xml:space="preserve"> and </w:t>
      </w:r>
      <w:r w:rsidRPr="00130EEF">
        <w:rPr>
          <w:i/>
          <w:iCs/>
          <w:color w:val="000000" w:themeColor="text1"/>
        </w:rPr>
        <w:t>ZFY</w:t>
      </w:r>
      <w:r w:rsidR="00D6567C" w:rsidRPr="00130EEF">
        <w:rPr>
          <w:color w:val="000000" w:themeColor="text1"/>
        </w:rPr>
        <w:t xml:space="preserve"> </w:t>
      </w:r>
      <w:r w:rsidR="00794A24" w:rsidRPr="00130EEF">
        <w:rPr>
          <w:color w:val="000000" w:themeColor="text1"/>
        </w:rPr>
        <w:fldChar w:fldCharType="begin" w:fldLock="1"/>
      </w:r>
      <w:r w:rsidR="00794A24" w:rsidRPr="00130EEF">
        <w:rPr>
          <w:color w:val="000000" w:themeColor="text1"/>
        </w:rPr>
        <w:instrText>ADDIN CSL_CITATION {"citationItems":[{"id":"ITEM-1","itemData":{"DOI":"10.1095/biolreprod46.4.692","ISBN":"0006-3363 (Print) 0006-3363 (Linking)","ISSN":"0006-3363","PMID":"1576268","abstract":"Detection of genes known to be present on the mammalian Y chromosome was adapted for sexing mouse early embryos using the polymerase chain reaction (PCR) method. Sry and Zfy genes located in the sex-determining region of the Y chromosome were chosen for Y-specific target sequences, and DXNds3 sequence on the X chromosome was chosen for control. The two-step PCR method using two pairs of primers for each of the target sequences was employed for detecting the sequences. When DNAs of male and female mice were amplified with these primers, male-specific fragments were detected even in DNAs that were equivalent in amount to two cells. Mouse embryos at the two-cell stage were separated into two individual blastomeres, and one blastomere was karyotyped at the second cleavage. The remaining blastomere was subjected to PCR amplification immediately or after having been cultured for 48 h up to the morula stage. The Sry and Zfy sequences were detected in about half the embryos; detection of the Sry and Zfy sequences corresponded exactly to the presence of the Y chromosome, except in one sample of male morula in which embryos may have been lost before the PCR amplification. It is concluded that the sex of mouse preimplantation embryos can be accurately determined through detection of the Y-specific sequences using the two-step PCR method, even with the single blastomeres separated at the two-cell stage.","author":[{"dropping-particle":"","family":"Kunieda","given":"Tetsuo","non-dropping-particle":"","parse-names":false,"suffix":""},{"dropping-particle":"","family":"Xian","given":"Meiwei","non-dropping-particle":"","parse-names":false,"suffix":""},{"dropping-particle":"","family":"Kobayashi","given":"Eiji","non-dropping-particle":"","parse-names":false,"suffix":""},{"dropping-particle":"","family":"Imamichi","given":"Tomonori","non-dropping-particle":"","parse-names":false,"suffix":""},{"dropping-particle":"","family":"Moriwaki","given":"Kazuo","non-dropping-particle":"","parse-names":false,"suffix":""},{"dropping-particle":"","family":"Toyoda","given":"Yutaka","non-dropping-particle":"","parse-names":false,"suffix":""}],"container-title":"Biology of Reproduction","id":"ITEM-1","issue":"4","issued":{"date-parts":[["1992","4","1"]]},"note":"Genotyping embryos primers","page":"692-697","title":"Sexing of Mouse Preimplantation Embryos by Detection of Y Chromosome-Specific Sequences Using Polymerase Chain Reaction1","type":"article-journal","volume":"46"},"uris":["http://www.mendeley.com/documents/?uuid=f8dd2bd5-d922-40a6-a68e-969f61df89a1"]}],"mendeley":{"formattedCitation":"(Kunieda et al., 1992)","plainTextFormattedCitation":"(Kunieda et al., 1992)","previouslyFormattedCitation":"(Kunieda et al., 1992)"},"properties":{"noteIndex":0},"schema":"https://github.com/citation-style-language/schema/raw/master/csl-citation.json"}</w:instrText>
      </w:r>
      <w:r w:rsidR="00794A24" w:rsidRPr="00130EEF">
        <w:rPr>
          <w:color w:val="000000" w:themeColor="text1"/>
        </w:rPr>
        <w:fldChar w:fldCharType="separate"/>
      </w:r>
      <w:r w:rsidR="00794A24" w:rsidRPr="00130EEF">
        <w:rPr>
          <w:noProof/>
          <w:color w:val="000000" w:themeColor="text1"/>
        </w:rPr>
        <w:t>(Kunieda et al., 1992)</w:t>
      </w:r>
      <w:r w:rsidR="00794A24" w:rsidRPr="00130EEF">
        <w:rPr>
          <w:color w:val="000000" w:themeColor="text1"/>
        </w:rPr>
        <w:fldChar w:fldCharType="end"/>
      </w:r>
      <w:r w:rsidRPr="00130EEF">
        <w:rPr>
          <w:color w:val="000000" w:themeColor="text1"/>
        </w:rPr>
        <w:t xml:space="preserve">. The PCR product was </w:t>
      </w:r>
      <w:r w:rsidR="0085267C" w:rsidRPr="00130EEF">
        <w:rPr>
          <w:color w:val="000000" w:themeColor="text1"/>
        </w:rPr>
        <w:t xml:space="preserve">separated by electrophoresis using </w:t>
      </w:r>
      <w:r w:rsidR="00D45F91" w:rsidRPr="00130EEF">
        <w:rPr>
          <w:color w:val="000000" w:themeColor="text1"/>
        </w:rPr>
        <w:t>a</w:t>
      </w:r>
      <w:r w:rsidR="0085267C" w:rsidRPr="00130EEF">
        <w:rPr>
          <w:color w:val="000000" w:themeColor="text1"/>
        </w:rPr>
        <w:t xml:space="preserve"> </w:t>
      </w:r>
      <w:r w:rsidRPr="00130EEF">
        <w:rPr>
          <w:color w:val="000000" w:themeColor="text1"/>
        </w:rPr>
        <w:t xml:space="preserve">1.5% </w:t>
      </w:r>
      <w:r w:rsidR="0085267C" w:rsidRPr="00130EEF">
        <w:rPr>
          <w:color w:val="000000" w:themeColor="text1"/>
        </w:rPr>
        <w:t xml:space="preserve">(w/v) </w:t>
      </w:r>
      <w:r w:rsidRPr="00130EEF">
        <w:rPr>
          <w:color w:val="000000" w:themeColor="text1"/>
        </w:rPr>
        <w:t>agarose gel to identify bands associated with female embryos (</w:t>
      </w:r>
      <w:proofErr w:type="spellStart"/>
      <w:r w:rsidRPr="00130EEF">
        <w:rPr>
          <w:i/>
          <w:iCs/>
          <w:color w:val="000000" w:themeColor="text1"/>
        </w:rPr>
        <w:t>DXNd</w:t>
      </w:r>
      <w:proofErr w:type="spellEnd"/>
      <w:r w:rsidRPr="00130EEF">
        <w:rPr>
          <w:color w:val="000000" w:themeColor="text1"/>
        </w:rPr>
        <w:t xml:space="preserve"> single band) or male (</w:t>
      </w:r>
      <w:proofErr w:type="spellStart"/>
      <w:r w:rsidRPr="00130EEF">
        <w:rPr>
          <w:i/>
          <w:iCs/>
          <w:color w:val="000000" w:themeColor="text1"/>
        </w:rPr>
        <w:t>DXNd</w:t>
      </w:r>
      <w:proofErr w:type="spellEnd"/>
      <w:r w:rsidRPr="00130EEF">
        <w:rPr>
          <w:color w:val="000000" w:themeColor="text1"/>
        </w:rPr>
        <w:t xml:space="preserve">, </w:t>
      </w:r>
      <w:r w:rsidRPr="00130EEF">
        <w:rPr>
          <w:i/>
          <w:iCs/>
          <w:color w:val="000000" w:themeColor="text1"/>
        </w:rPr>
        <w:t>SRY</w:t>
      </w:r>
      <w:r w:rsidRPr="00130EEF">
        <w:rPr>
          <w:color w:val="000000" w:themeColor="text1"/>
        </w:rPr>
        <w:t xml:space="preserve"> and </w:t>
      </w:r>
      <w:r w:rsidRPr="00130EEF">
        <w:rPr>
          <w:i/>
          <w:iCs/>
          <w:color w:val="000000" w:themeColor="text1"/>
        </w:rPr>
        <w:t>ZFY</w:t>
      </w:r>
      <w:r w:rsidRPr="00130EEF">
        <w:rPr>
          <w:color w:val="000000" w:themeColor="text1"/>
        </w:rPr>
        <w:t xml:space="preserve">, </w:t>
      </w:r>
      <w:r w:rsidR="0085267C" w:rsidRPr="00130EEF">
        <w:rPr>
          <w:color w:val="000000" w:themeColor="text1"/>
        </w:rPr>
        <w:t>three</w:t>
      </w:r>
      <w:r w:rsidRPr="00130EEF">
        <w:rPr>
          <w:color w:val="000000" w:themeColor="text1"/>
        </w:rPr>
        <w:t xml:space="preserve"> band</w:t>
      </w:r>
      <w:r w:rsidR="0085267C" w:rsidRPr="00130EEF">
        <w:rPr>
          <w:color w:val="000000" w:themeColor="text1"/>
        </w:rPr>
        <w:t>s</w:t>
      </w:r>
      <w:r w:rsidRPr="00130EEF">
        <w:rPr>
          <w:color w:val="000000" w:themeColor="text1"/>
        </w:rPr>
        <w:t>).</w:t>
      </w:r>
    </w:p>
    <w:p w14:paraId="778AD2C0" w14:textId="77CD1D9D" w:rsidR="009D630D" w:rsidRPr="00130EEF" w:rsidRDefault="009D630D" w:rsidP="008832E1">
      <w:pPr>
        <w:pStyle w:val="Heading2"/>
        <w:rPr>
          <w:b w:val="0"/>
          <w:color w:val="000000" w:themeColor="text1"/>
        </w:rPr>
      </w:pPr>
      <w:r w:rsidRPr="00130EEF">
        <w:rPr>
          <w:color w:val="000000" w:themeColor="text1"/>
        </w:rPr>
        <w:t>Differential labelling</w:t>
      </w:r>
      <w:r w:rsidR="007A20CA" w:rsidRPr="00130EEF">
        <w:rPr>
          <w:color w:val="000000" w:themeColor="text1"/>
        </w:rPr>
        <w:t xml:space="preserve"> of embryos</w:t>
      </w:r>
    </w:p>
    <w:p w14:paraId="2E718577" w14:textId="75E6DDE5" w:rsidR="009C620D" w:rsidRPr="00130EEF" w:rsidRDefault="00EF5212" w:rsidP="00317B70">
      <w:pPr>
        <w:spacing w:line="480" w:lineRule="auto"/>
        <w:rPr>
          <w:rFonts w:cstheme="minorHAnsi"/>
          <w:color w:val="000000" w:themeColor="text1"/>
          <w:shd w:val="clear" w:color="auto" w:fill="FFFFFF"/>
          <w:lang w:val="en-US"/>
        </w:rPr>
      </w:pPr>
      <w:r w:rsidRPr="00130EEF">
        <w:rPr>
          <w:color w:val="000000" w:themeColor="text1"/>
        </w:rPr>
        <w:t>Differential labelling of the</w:t>
      </w:r>
      <w:r w:rsidR="004F6ED6" w:rsidRPr="00130EEF">
        <w:rPr>
          <w:color w:val="000000" w:themeColor="text1"/>
        </w:rPr>
        <w:t xml:space="preserve"> blastocyst inner cell mass</w:t>
      </w:r>
      <w:r w:rsidRPr="00130EEF">
        <w:rPr>
          <w:color w:val="000000" w:themeColor="text1"/>
        </w:rPr>
        <w:t xml:space="preserve"> </w:t>
      </w:r>
      <w:r w:rsidR="004F6ED6" w:rsidRPr="00130EEF">
        <w:rPr>
          <w:color w:val="000000" w:themeColor="text1"/>
        </w:rPr>
        <w:t>(</w:t>
      </w:r>
      <w:r w:rsidRPr="00130EEF">
        <w:rPr>
          <w:color w:val="000000" w:themeColor="text1"/>
        </w:rPr>
        <w:t>ICM</w:t>
      </w:r>
      <w:r w:rsidR="004F6ED6" w:rsidRPr="00130EEF">
        <w:rPr>
          <w:color w:val="000000" w:themeColor="text1"/>
        </w:rPr>
        <w:t>)</w:t>
      </w:r>
      <w:r w:rsidRPr="00130EEF">
        <w:rPr>
          <w:color w:val="000000" w:themeColor="text1"/>
        </w:rPr>
        <w:t xml:space="preserve"> and</w:t>
      </w:r>
      <w:r w:rsidR="004F6ED6" w:rsidRPr="00130EEF">
        <w:rPr>
          <w:color w:val="000000" w:themeColor="text1"/>
        </w:rPr>
        <w:t xml:space="preserve"> trophectoderm</w:t>
      </w:r>
      <w:r w:rsidRPr="00130EEF">
        <w:rPr>
          <w:color w:val="000000" w:themeColor="text1"/>
        </w:rPr>
        <w:t xml:space="preserve"> </w:t>
      </w:r>
      <w:r w:rsidR="004F6ED6" w:rsidRPr="00130EEF">
        <w:rPr>
          <w:color w:val="000000" w:themeColor="text1"/>
        </w:rPr>
        <w:t>(</w:t>
      </w:r>
      <w:r w:rsidRPr="00130EEF">
        <w:rPr>
          <w:color w:val="000000" w:themeColor="text1"/>
        </w:rPr>
        <w:t>TE</w:t>
      </w:r>
      <w:r w:rsidR="004F6ED6" w:rsidRPr="00130EEF">
        <w:rPr>
          <w:color w:val="000000" w:themeColor="text1"/>
        </w:rPr>
        <w:t>)</w:t>
      </w:r>
      <w:r w:rsidRPr="00130EEF">
        <w:rPr>
          <w:color w:val="000000" w:themeColor="text1"/>
        </w:rPr>
        <w:t xml:space="preserve"> </w:t>
      </w:r>
      <w:r w:rsidR="4C47AB05" w:rsidRPr="00130EEF">
        <w:rPr>
          <w:color w:val="000000" w:themeColor="text1"/>
        </w:rPr>
        <w:t xml:space="preserve">was </w:t>
      </w:r>
      <w:r w:rsidRPr="00130EEF">
        <w:rPr>
          <w:color w:val="000000" w:themeColor="text1"/>
        </w:rPr>
        <w:t>carried out as described by</w:t>
      </w:r>
      <w:r w:rsidR="00174754" w:rsidRPr="00130EEF">
        <w:rPr>
          <w:color w:val="000000" w:themeColor="text1"/>
        </w:rPr>
        <w:t xml:space="preserve"> Hardy et al.  </w:t>
      </w:r>
      <w:r w:rsidR="00C13FD2" w:rsidRPr="00130EEF">
        <w:rPr>
          <w:color w:val="000000" w:themeColor="text1"/>
        </w:rPr>
        <w:t xml:space="preserve">in </w:t>
      </w:r>
      <w:r w:rsidR="00174754" w:rsidRPr="00130EEF">
        <w:rPr>
          <w:color w:val="000000" w:themeColor="text1"/>
        </w:rPr>
        <w:t>1989</w:t>
      </w:r>
      <w:r w:rsidRPr="00130EEF">
        <w:rPr>
          <w:color w:val="000000" w:themeColor="text1"/>
        </w:rPr>
        <w:t xml:space="preserve"> </w:t>
      </w:r>
      <w:r w:rsidR="00174754" w:rsidRPr="00130EEF">
        <w:rPr>
          <w:color w:val="000000" w:themeColor="text1"/>
        </w:rPr>
        <w:t>(</w:t>
      </w:r>
      <w:r w:rsidR="00794A24" w:rsidRPr="00130EEF">
        <w:rPr>
          <w:color w:val="000000" w:themeColor="text1"/>
        </w:rPr>
        <w:fldChar w:fldCharType="begin" w:fldLock="1"/>
      </w:r>
      <w:r w:rsidR="00A305CA" w:rsidRPr="00130EEF">
        <w:rPr>
          <w:color w:val="000000" w:themeColor="text1"/>
        </w:rPr>
        <w:instrText>ADDIN CSL_CITATION {"citationItems":[{"id":"ITEM-1","itemData":{"author":[{"dropping-particle":"","family":"Hardy","given":"Kate","non-dropping-particle":"","parse-names":false,"suffix":""},{"dropping-particle":"","family":"Handyside","given":"Alan","non-dropping-particle":"","parse-names":false,"suffix":""},{"dropping-particle":"","family":"Winston","given":"Robert","non-dropping-particle":"","parse-names":false,"suffix":""}],"container-title":"Development","id":"ITEM-1","issue":"3","issued":{"date-parts":[["1989"]]},"page":"597-604","title":"The human blastocyst: cell number, death and allocation during late preimplantation development in vitro","type":"article-journal","volume":"107"},"uris":["http://www.mendeley.com/documents/?uuid=3d63ad31-2922-4d3f-9dd3-6451859e665a"]}],"mendeley":{"formattedCitation":"(Hardy, Handyside, &amp; Winston, 1989)","manualFormatting":"Hardy, Handyside, &amp; Winston, 1989","plainTextFormattedCitation":"(Hardy, Handyside, &amp; Winston, 1989)","previouslyFormattedCitation":"(Hardy, Handyside, &amp; Winston, 1989)"},"properties":{"noteIndex":0},"schema":"https://github.com/citation-style-language/schema/raw/master/csl-citation.json"}</w:instrText>
      </w:r>
      <w:r w:rsidR="00794A24" w:rsidRPr="00130EEF">
        <w:rPr>
          <w:color w:val="000000" w:themeColor="text1"/>
        </w:rPr>
        <w:fldChar w:fldCharType="separate"/>
      </w:r>
      <w:r w:rsidR="00794A24" w:rsidRPr="00130EEF">
        <w:rPr>
          <w:noProof/>
          <w:color w:val="000000" w:themeColor="text1"/>
        </w:rPr>
        <w:t>Hardy, Handyside, &amp; Winston, 1989</w:t>
      </w:r>
      <w:r w:rsidR="00794A24" w:rsidRPr="00130EEF">
        <w:rPr>
          <w:color w:val="000000" w:themeColor="text1"/>
        </w:rPr>
        <w:fldChar w:fldCharType="end"/>
      </w:r>
      <w:r w:rsidR="00174754" w:rsidRPr="00130EEF">
        <w:rPr>
          <w:color w:val="000000" w:themeColor="text1"/>
        </w:rPr>
        <w:t>)</w:t>
      </w:r>
      <w:r w:rsidR="4C47AB05" w:rsidRPr="00130EEF">
        <w:rPr>
          <w:color w:val="000000" w:themeColor="text1"/>
        </w:rPr>
        <w:t xml:space="preserve"> with modifications </w:t>
      </w:r>
      <w:r w:rsidRPr="00130EEF">
        <w:rPr>
          <w:color w:val="000000" w:themeColor="text1"/>
        </w:rPr>
        <w:t>by</w:t>
      </w:r>
      <w:r w:rsidR="00174754" w:rsidRPr="00130EEF">
        <w:rPr>
          <w:color w:val="000000" w:themeColor="text1"/>
        </w:rPr>
        <w:t xml:space="preserve"> Velazquez et al. in 2011</w:t>
      </w:r>
      <w:r w:rsidR="00BC1A64" w:rsidRPr="00130EEF">
        <w:rPr>
          <w:color w:val="000000" w:themeColor="text1"/>
        </w:rPr>
        <w:t xml:space="preserve"> </w:t>
      </w:r>
      <w:r w:rsidR="00174754" w:rsidRPr="00130EEF">
        <w:rPr>
          <w:color w:val="000000" w:themeColor="text1"/>
        </w:rPr>
        <w:t>(</w:t>
      </w:r>
      <w:r w:rsidR="00794A24" w:rsidRPr="00130EEF">
        <w:rPr>
          <w:color w:val="000000" w:themeColor="text1"/>
        </w:rPr>
        <w:fldChar w:fldCharType="begin" w:fldLock="1"/>
      </w:r>
      <w:r w:rsidR="00C70EAA" w:rsidRPr="00130EEF">
        <w:rPr>
          <w:color w:val="000000" w:themeColor="text1"/>
        </w:rPr>
        <w:instrText>ADDIN CSL_CITATION {"citationItems":[{"id":"ITEM-1","itemData":{"DOI":"10.1530/REP-10-0336","ISBN":"1741-7899 (Electronic)\\r1470-1626 (Linking)","ISSN":"1470-1626","PMID":"20926690","abstract":"The hypothesis that high concentrations of IGF1 can impair embryo development was investigated in a bovine in vitro model to reflect conditions in polycystic ovary syndrome (PCOS) patients. Embryos were either cultured in the absence or presence of a physiological (100 ng/ml) or supraphysiological (1000 ng/ml) IGF1 concentration. Cell allocation, apoptosis, transcript and protein expression of selected genes involved in apoptosis, glucose metabolism and the IGF system were analysed. Supraphysiological IGF1 concentration did not improve blastocyst formation over controls, but induced higher levels of apoptosis, decreased TP53 protein expression in the trophectoderm and increased the number of cells in the inner cell mass (ICM). The increase in ICM cells corresponded with an increase in IGF1 receptor (IGF1R) protein in the ICM. A small, but significant, percentage of blastocysts displayed a hypertrophic ICM, not observed in controls and virtually absent in embryos treated with physiological concentrations of IGF1. Physiological IGF1 concentrations increased total IGF1R protein expression and upregulated IGFBP3 transcripts leading to an increase in blastocyst formation with no effects on cell number or apoptosis. In conclusion, the results support the hypothesis of detrimental effects of supraphysiological IGF1 concentrations on early pregnancy. However, our results do not support the premise that increased apoptosis associated with high levels of IGF1 is mediated via downregulation of the IGF1R as previously found in preimplantation mouse embryos. This in vitro system with the bovine preimplantation embryo reflects critical features of fertility in PCOS patients and could thus serve as a useful model for in-depth mechanistic studies.","author":[{"dropping-particle":"","family":"Velazquez","given":"M. A.","non-dropping-particle":"","parse-names":false,"suffix":""},{"dropping-particle":"","family":"Hermann","given":"D.","non-dropping-particle":"","parse-names":false,"suffix":""},{"dropping-particle":"","family":"Kues","given":"W. A.","non-dropping-particle":"","parse-names":false,"suffix":""},{"dropping-particle":"","family":"Niemann","given":"H.","non-dropping-particle":"","parse-names":false,"suffix":""}],"container-title":"REPRODUCTION","id":"ITEM-1","issue":"1","issued":{"date-parts":[["2011","1"]]},"page":"91-103","title":"Increased apoptosis in bovine blastocysts exposed to high levels of IGF1 is not associated with downregulation of the IGF1 receptor","type":"article-journal","volume":"141"},"uris":["http://www.mendeley.com/documents/?uuid=64025c1c-b9a9-498d-b8a5-ead42ba12f06"]}],"mendeley":{"formattedCitation":"(M. A. Velazquez, Hermann, Kues, &amp; Niemann, 2011)","manualFormatting":"Velazquez, Hermann, Kues, &amp; Niemann, 2011","plainTextFormattedCitation":"(M. A. Velazquez, Hermann, Kues, &amp; Niemann, 2011)","previouslyFormattedCitation":"(M. A. Velazquez, Hermann, Kues, &amp; Niemann, 2011)"},"properties":{"noteIndex":0},"schema":"https://github.com/citation-style-language/schema/raw/master/csl-citation.json"}</w:instrText>
      </w:r>
      <w:r w:rsidR="00794A24" w:rsidRPr="00130EEF">
        <w:rPr>
          <w:color w:val="000000" w:themeColor="text1"/>
        </w:rPr>
        <w:fldChar w:fldCharType="separate"/>
      </w:r>
      <w:r w:rsidR="00794A24" w:rsidRPr="00130EEF">
        <w:rPr>
          <w:noProof/>
          <w:color w:val="000000" w:themeColor="text1"/>
        </w:rPr>
        <w:t>Velazquez, Hermann, Kues, &amp; Niemann, 2011</w:t>
      </w:r>
      <w:r w:rsidR="00794A24" w:rsidRPr="00130EEF">
        <w:rPr>
          <w:color w:val="000000" w:themeColor="text1"/>
        </w:rPr>
        <w:fldChar w:fldCharType="end"/>
      </w:r>
      <w:r w:rsidR="00174754" w:rsidRPr="00130EEF">
        <w:rPr>
          <w:color w:val="000000" w:themeColor="text1"/>
        </w:rPr>
        <w:t>)</w:t>
      </w:r>
      <w:r w:rsidR="00CB69F3" w:rsidRPr="00130EEF">
        <w:rPr>
          <w:color w:val="000000" w:themeColor="text1"/>
        </w:rPr>
        <w:t xml:space="preserve">. </w:t>
      </w:r>
      <w:r w:rsidR="4C47AB05" w:rsidRPr="00130EEF">
        <w:rPr>
          <w:color w:val="000000" w:themeColor="text1"/>
        </w:rPr>
        <w:t xml:space="preserve">After </w:t>
      </w:r>
      <w:r w:rsidR="00FF5622" w:rsidRPr="00130EEF">
        <w:rPr>
          <w:color w:val="000000" w:themeColor="text1"/>
        </w:rPr>
        <w:t>embryo</w:t>
      </w:r>
      <w:r w:rsidR="4C47AB05" w:rsidRPr="00130EEF">
        <w:rPr>
          <w:color w:val="000000" w:themeColor="text1"/>
        </w:rPr>
        <w:t xml:space="preserve"> collection, blastocysts were washed three times in H6BSA medium</w:t>
      </w:r>
      <w:r w:rsidR="00756512" w:rsidRPr="00130EEF">
        <w:rPr>
          <w:color w:val="000000" w:themeColor="text1"/>
        </w:rPr>
        <w:t xml:space="preserve"> and </w:t>
      </w:r>
      <w:r w:rsidR="4C47AB05" w:rsidRPr="00130EEF">
        <w:rPr>
          <w:color w:val="000000" w:themeColor="text1"/>
        </w:rPr>
        <w:t xml:space="preserve">zona pellucida removed using </w:t>
      </w:r>
      <w:r w:rsidR="00756512" w:rsidRPr="00130EEF">
        <w:rPr>
          <w:color w:val="000000" w:themeColor="text1"/>
        </w:rPr>
        <w:t>a</w:t>
      </w:r>
      <w:r w:rsidR="4C47AB05" w:rsidRPr="00130EEF">
        <w:rPr>
          <w:color w:val="000000" w:themeColor="text1"/>
        </w:rPr>
        <w:t>cid</w:t>
      </w:r>
      <w:r w:rsidRPr="00130EEF">
        <w:rPr>
          <w:color w:val="000000" w:themeColor="text1"/>
        </w:rPr>
        <w:t>ified</w:t>
      </w:r>
      <w:r w:rsidR="4C47AB05" w:rsidRPr="00130EEF">
        <w:rPr>
          <w:color w:val="000000" w:themeColor="text1"/>
        </w:rPr>
        <w:t xml:space="preserve"> </w:t>
      </w:r>
      <w:proofErr w:type="spellStart"/>
      <w:r w:rsidRPr="00130EEF">
        <w:rPr>
          <w:color w:val="000000" w:themeColor="text1"/>
        </w:rPr>
        <w:t>Tyrodes</w:t>
      </w:r>
      <w:proofErr w:type="spellEnd"/>
      <w:r w:rsidRPr="00130EEF">
        <w:rPr>
          <w:color w:val="000000" w:themeColor="text1"/>
        </w:rPr>
        <w:t xml:space="preserve"> </w:t>
      </w:r>
      <w:r w:rsidR="00A47816" w:rsidRPr="00130EEF">
        <w:rPr>
          <w:color w:val="000000" w:themeColor="text1"/>
        </w:rPr>
        <w:t xml:space="preserve">solution </w:t>
      </w:r>
      <w:r w:rsidR="003822DE" w:rsidRPr="00130EEF">
        <w:rPr>
          <w:color w:val="000000" w:themeColor="text1"/>
        </w:rPr>
        <w:t>(Sigma)</w:t>
      </w:r>
      <w:r w:rsidR="00A47816" w:rsidRPr="00130EEF">
        <w:rPr>
          <w:color w:val="000000" w:themeColor="text1"/>
        </w:rPr>
        <w:t>, pH 2.3</w:t>
      </w:r>
      <w:r w:rsidR="4C47AB05" w:rsidRPr="00130EEF">
        <w:rPr>
          <w:color w:val="000000" w:themeColor="text1"/>
        </w:rPr>
        <w:t xml:space="preserve"> at 37</w:t>
      </w:r>
      <w:r w:rsidR="00AB7453" w:rsidRPr="00130EEF">
        <w:rPr>
          <w:color w:val="000000" w:themeColor="text1"/>
        </w:rPr>
        <w:t xml:space="preserve"> </w:t>
      </w:r>
      <w:r w:rsidR="4C47AB05" w:rsidRPr="00130EEF">
        <w:rPr>
          <w:color w:val="000000" w:themeColor="text1"/>
        </w:rPr>
        <w:t>°C</w:t>
      </w:r>
      <w:r w:rsidR="00CC26D5" w:rsidRPr="00130EEF">
        <w:rPr>
          <w:color w:val="000000" w:themeColor="text1"/>
        </w:rPr>
        <w:t xml:space="preserve"> for 30-60 seconds</w:t>
      </w:r>
      <w:r w:rsidR="004F6ED6" w:rsidRPr="00130EEF">
        <w:rPr>
          <w:color w:val="000000" w:themeColor="text1"/>
        </w:rPr>
        <w:t xml:space="preserve"> followed by extensive washing in H6BSA</w:t>
      </w:r>
      <w:r w:rsidR="4C47AB05" w:rsidRPr="00130EEF">
        <w:rPr>
          <w:color w:val="000000" w:themeColor="text1"/>
        </w:rPr>
        <w:t xml:space="preserve">. </w:t>
      </w:r>
      <w:r w:rsidR="00FF5622" w:rsidRPr="00130EEF">
        <w:rPr>
          <w:color w:val="000000" w:themeColor="text1"/>
        </w:rPr>
        <w:t>The o</w:t>
      </w:r>
      <w:r w:rsidR="4C47AB05" w:rsidRPr="00130EEF">
        <w:rPr>
          <w:color w:val="000000" w:themeColor="text1"/>
        </w:rPr>
        <w:t xml:space="preserve">uter cells of the blastocysts were labelled using </w:t>
      </w:r>
      <w:r w:rsidR="000028ED" w:rsidRPr="00130EEF">
        <w:rPr>
          <w:color w:val="000000" w:themeColor="text1"/>
        </w:rPr>
        <w:t>10%</w:t>
      </w:r>
      <w:r w:rsidRPr="00130EEF">
        <w:rPr>
          <w:color w:val="000000" w:themeColor="text1"/>
        </w:rPr>
        <w:t xml:space="preserve"> (w/v)</w:t>
      </w:r>
      <w:r w:rsidR="000028ED" w:rsidRPr="00130EEF">
        <w:rPr>
          <w:color w:val="000000" w:themeColor="text1"/>
        </w:rPr>
        <w:t xml:space="preserve"> </w:t>
      </w:r>
      <w:r w:rsidRPr="00130EEF">
        <w:rPr>
          <w:color w:val="000000" w:themeColor="text1"/>
        </w:rPr>
        <w:t xml:space="preserve">trinitrobenzene </w:t>
      </w:r>
      <w:r w:rsidR="4C47AB05" w:rsidRPr="00130EEF">
        <w:rPr>
          <w:color w:val="000000" w:themeColor="text1"/>
        </w:rPr>
        <w:t>sulfonic</w:t>
      </w:r>
      <w:r w:rsidR="000028ED" w:rsidRPr="00130EEF">
        <w:rPr>
          <w:color w:val="000000" w:themeColor="text1"/>
        </w:rPr>
        <w:t xml:space="preserve"> acid </w:t>
      </w:r>
      <w:r w:rsidR="0041651B" w:rsidRPr="00130EEF">
        <w:rPr>
          <w:color w:val="000000" w:themeColor="text1"/>
        </w:rPr>
        <w:t>(</w:t>
      </w:r>
      <w:r w:rsidR="000028ED" w:rsidRPr="00130EEF">
        <w:rPr>
          <w:color w:val="000000" w:themeColor="text1"/>
        </w:rPr>
        <w:t>Sigma) at room temperature</w:t>
      </w:r>
      <w:r w:rsidRPr="00130EEF">
        <w:rPr>
          <w:color w:val="000000" w:themeColor="text1"/>
        </w:rPr>
        <w:t xml:space="preserve"> for 10 minutes</w:t>
      </w:r>
      <w:r w:rsidR="4C47AB05" w:rsidRPr="00130EEF">
        <w:rPr>
          <w:color w:val="000000" w:themeColor="text1"/>
        </w:rPr>
        <w:t xml:space="preserve">. </w:t>
      </w:r>
      <w:r w:rsidRPr="00130EEF">
        <w:rPr>
          <w:color w:val="000000" w:themeColor="text1"/>
        </w:rPr>
        <w:t>B</w:t>
      </w:r>
      <w:r w:rsidR="00FF5622" w:rsidRPr="00130EEF">
        <w:rPr>
          <w:color w:val="000000" w:themeColor="text1"/>
        </w:rPr>
        <w:t xml:space="preserve">lastocysts were </w:t>
      </w:r>
      <w:r w:rsidRPr="00130EEF">
        <w:rPr>
          <w:color w:val="000000" w:themeColor="text1"/>
        </w:rPr>
        <w:t xml:space="preserve">then </w:t>
      </w:r>
      <w:r w:rsidR="00FF5622" w:rsidRPr="00130EEF">
        <w:rPr>
          <w:color w:val="000000" w:themeColor="text1"/>
        </w:rPr>
        <w:t xml:space="preserve">washed </w:t>
      </w:r>
      <w:r w:rsidR="4C47AB05" w:rsidRPr="00130EEF">
        <w:rPr>
          <w:color w:val="000000" w:themeColor="text1"/>
        </w:rPr>
        <w:t>three times in H6PVP</w:t>
      </w:r>
      <w:r w:rsidRPr="00130EEF">
        <w:rPr>
          <w:color w:val="000000" w:themeColor="text1"/>
        </w:rPr>
        <w:t xml:space="preserve"> and </w:t>
      </w:r>
      <w:r w:rsidR="00BC1A64" w:rsidRPr="00130EEF">
        <w:rPr>
          <w:color w:val="000000" w:themeColor="text1"/>
        </w:rPr>
        <w:t xml:space="preserve">then </w:t>
      </w:r>
      <w:r w:rsidR="4C47AB05" w:rsidRPr="00130EEF">
        <w:rPr>
          <w:color w:val="000000" w:themeColor="text1"/>
        </w:rPr>
        <w:t xml:space="preserve">incubated with anti-dinitrophenol (1 mg/ml </w:t>
      </w:r>
      <w:r w:rsidR="004F6ED6" w:rsidRPr="00130EEF">
        <w:rPr>
          <w:color w:val="000000" w:themeColor="text1"/>
        </w:rPr>
        <w:t xml:space="preserve">in </w:t>
      </w:r>
      <w:r w:rsidR="4C47AB05" w:rsidRPr="00130EEF">
        <w:rPr>
          <w:color w:val="000000" w:themeColor="text1"/>
        </w:rPr>
        <w:t>H6PVP</w:t>
      </w:r>
      <w:r w:rsidR="000028ED" w:rsidRPr="00130EEF">
        <w:rPr>
          <w:color w:val="000000" w:themeColor="text1"/>
        </w:rPr>
        <w:t>, Sigma</w:t>
      </w:r>
      <w:r w:rsidR="4C47AB05" w:rsidRPr="00130EEF">
        <w:rPr>
          <w:color w:val="000000" w:themeColor="text1"/>
        </w:rPr>
        <w:t>) and washed three times in H6PVP.</w:t>
      </w:r>
      <w:r w:rsidR="00BC1A64" w:rsidRPr="00130EEF">
        <w:rPr>
          <w:color w:val="000000" w:themeColor="text1"/>
        </w:rPr>
        <w:t xml:space="preserve"> </w:t>
      </w:r>
      <w:r w:rsidR="009D630D" w:rsidRPr="00130EEF">
        <w:rPr>
          <w:color w:val="000000" w:themeColor="text1"/>
        </w:rPr>
        <w:t xml:space="preserve">Blastocysts were </w:t>
      </w:r>
      <w:r w:rsidR="00BC1A64" w:rsidRPr="00130EEF">
        <w:rPr>
          <w:color w:val="000000" w:themeColor="text1"/>
        </w:rPr>
        <w:t xml:space="preserve">subsequently </w:t>
      </w:r>
      <w:r w:rsidR="009D630D" w:rsidRPr="00130EEF">
        <w:rPr>
          <w:color w:val="000000" w:themeColor="text1"/>
        </w:rPr>
        <w:t xml:space="preserve">incubated </w:t>
      </w:r>
      <w:r w:rsidR="000028ED" w:rsidRPr="00130EEF">
        <w:rPr>
          <w:color w:val="000000" w:themeColor="text1"/>
        </w:rPr>
        <w:t xml:space="preserve">with </w:t>
      </w:r>
      <w:r w:rsidR="00A47816" w:rsidRPr="00130EEF">
        <w:rPr>
          <w:color w:val="000000" w:themeColor="text1"/>
        </w:rPr>
        <w:t>g</w:t>
      </w:r>
      <w:r w:rsidR="009D630D" w:rsidRPr="00130EEF">
        <w:rPr>
          <w:color w:val="000000" w:themeColor="text1"/>
        </w:rPr>
        <w:t xml:space="preserve">uinea pig complement </w:t>
      </w:r>
      <w:r w:rsidR="00A47816" w:rsidRPr="00130EEF">
        <w:rPr>
          <w:color w:val="000000" w:themeColor="text1"/>
        </w:rPr>
        <w:t>(diluted 1:10 in H6BSA, Sigma)</w:t>
      </w:r>
      <w:r w:rsidR="000028ED" w:rsidRPr="00130EEF">
        <w:rPr>
          <w:color w:val="000000" w:themeColor="text1"/>
        </w:rPr>
        <w:t xml:space="preserve"> supplemented with 4 </w:t>
      </w:r>
      <w:r w:rsidR="000028ED" w:rsidRPr="00130EEF">
        <w:rPr>
          <w:color w:val="000000" w:themeColor="text1"/>
        </w:rPr>
        <w:lastRenderedPageBreak/>
        <w:t>µl propidium iodide (1 mg/ml, Sigma)</w:t>
      </w:r>
      <w:r w:rsidR="00A47816" w:rsidRPr="00130EEF">
        <w:rPr>
          <w:color w:val="000000" w:themeColor="text1"/>
        </w:rPr>
        <w:t xml:space="preserve"> </w:t>
      </w:r>
      <w:r w:rsidR="009D630D" w:rsidRPr="00130EEF">
        <w:rPr>
          <w:color w:val="000000" w:themeColor="text1"/>
        </w:rPr>
        <w:t xml:space="preserve">and </w:t>
      </w:r>
      <w:r w:rsidR="00BC1A64" w:rsidRPr="00130EEF">
        <w:rPr>
          <w:color w:val="000000" w:themeColor="text1"/>
        </w:rPr>
        <w:t xml:space="preserve">incubated at </w:t>
      </w:r>
      <w:r w:rsidR="009D630D" w:rsidRPr="00130EEF">
        <w:rPr>
          <w:color w:val="000000" w:themeColor="text1"/>
        </w:rPr>
        <w:t>37</w:t>
      </w:r>
      <w:r w:rsidR="00AB7453" w:rsidRPr="00130EEF">
        <w:rPr>
          <w:color w:val="000000" w:themeColor="text1"/>
        </w:rPr>
        <w:t xml:space="preserve"> </w:t>
      </w:r>
      <w:r w:rsidR="009D630D" w:rsidRPr="00130EEF">
        <w:rPr>
          <w:color w:val="000000" w:themeColor="text1"/>
        </w:rPr>
        <w:t xml:space="preserve">°C for 10 minutes. </w:t>
      </w:r>
      <w:r w:rsidRPr="00130EEF">
        <w:rPr>
          <w:color w:val="000000" w:themeColor="text1"/>
        </w:rPr>
        <w:t>B</w:t>
      </w:r>
      <w:r w:rsidR="009D630D" w:rsidRPr="00130EEF">
        <w:rPr>
          <w:color w:val="000000" w:themeColor="text1"/>
        </w:rPr>
        <w:t xml:space="preserve">lastocysts were </w:t>
      </w:r>
      <w:r w:rsidRPr="00130EEF">
        <w:rPr>
          <w:color w:val="000000" w:themeColor="text1"/>
        </w:rPr>
        <w:t xml:space="preserve">then </w:t>
      </w:r>
      <w:r w:rsidR="009D630D" w:rsidRPr="00130EEF">
        <w:rPr>
          <w:color w:val="000000" w:themeColor="text1"/>
        </w:rPr>
        <w:t>washed three times in H6BSA</w:t>
      </w:r>
      <w:r w:rsidRPr="00130EEF">
        <w:rPr>
          <w:color w:val="000000" w:themeColor="text1"/>
        </w:rPr>
        <w:t xml:space="preserve"> and </w:t>
      </w:r>
      <w:r w:rsidR="00BC1A64" w:rsidRPr="00130EEF">
        <w:rPr>
          <w:color w:val="000000" w:themeColor="text1"/>
        </w:rPr>
        <w:t xml:space="preserve">then fixed using </w:t>
      </w:r>
      <w:r w:rsidR="009D630D" w:rsidRPr="00130EEF">
        <w:rPr>
          <w:color w:val="000000" w:themeColor="text1"/>
        </w:rPr>
        <w:t xml:space="preserve">absolute ethanol </w:t>
      </w:r>
      <w:r w:rsidR="00CB69F3" w:rsidRPr="00130EEF">
        <w:rPr>
          <w:color w:val="000000" w:themeColor="text1"/>
        </w:rPr>
        <w:t xml:space="preserve">with 1% </w:t>
      </w:r>
      <w:r w:rsidR="009D630D" w:rsidRPr="00130EEF">
        <w:rPr>
          <w:color w:val="000000" w:themeColor="text1"/>
        </w:rPr>
        <w:t>Bisbenzimide (Hoechst 33258, 2.5 mg/ml in distilled water</w:t>
      </w:r>
      <w:r w:rsidR="005A6134" w:rsidRPr="00130EEF">
        <w:rPr>
          <w:color w:val="000000" w:themeColor="text1"/>
        </w:rPr>
        <w:t>, Sigma</w:t>
      </w:r>
      <w:r w:rsidR="009D630D" w:rsidRPr="00130EEF">
        <w:rPr>
          <w:color w:val="000000" w:themeColor="text1"/>
        </w:rPr>
        <w:t>) at 4</w:t>
      </w:r>
      <w:r w:rsidR="00AB7453" w:rsidRPr="00130EEF">
        <w:rPr>
          <w:color w:val="000000" w:themeColor="text1"/>
        </w:rPr>
        <w:t xml:space="preserve"> </w:t>
      </w:r>
      <w:r w:rsidR="009D630D" w:rsidRPr="00130EEF">
        <w:rPr>
          <w:color w:val="000000" w:themeColor="text1"/>
        </w:rPr>
        <w:t xml:space="preserve">°C for 30 minutes or until the image was taken. </w:t>
      </w:r>
      <w:r w:rsidR="004F6ED6" w:rsidRPr="00130EEF">
        <w:rPr>
          <w:color w:val="000000" w:themeColor="text1"/>
        </w:rPr>
        <w:t xml:space="preserve">A </w:t>
      </w:r>
      <w:r w:rsidR="00BC1A64" w:rsidRPr="00130EEF">
        <w:rPr>
          <w:color w:val="000000" w:themeColor="text1"/>
        </w:rPr>
        <w:t>Z-</w:t>
      </w:r>
      <w:r w:rsidR="004F6ED6" w:rsidRPr="00130EEF">
        <w:rPr>
          <w:color w:val="000000" w:themeColor="text1"/>
        </w:rPr>
        <w:t>series of</w:t>
      </w:r>
      <w:r w:rsidR="00BC1A64" w:rsidRPr="00130EEF">
        <w:rPr>
          <w:color w:val="000000" w:themeColor="text1"/>
        </w:rPr>
        <w:t xml:space="preserve"> </w:t>
      </w:r>
      <w:r w:rsidR="00FF5622" w:rsidRPr="00130EEF">
        <w:rPr>
          <w:color w:val="000000" w:themeColor="text1"/>
        </w:rPr>
        <w:t>i</w:t>
      </w:r>
      <w:r w:rsidR="00BC1A64" w:rsidRPr="00130EEF">
        <w:rPr>
          <w:color w:val="000000" w:themeColor="text1"/>
        </w:rPr>
        <w:t xml:space="preserve">mages </w:t>
      </w:r>
      <w:r w:rsidR="00FF5622" w:rsidRPr="00130EEF">
        <w:rPr>
          <w:color w:val="000000" w:themeColor="text1"/>
        </w:rPr>
        <w:t>w</w:t>
      </w:r>
      <w:r w:rsidR="004F6ED6" w:rsidRPr="00130EEF">
        <w:rPr>
          <w:color w:val="000000" w:themeColor="text1"/>
        </w:rPr>
        <w:t>as</w:t>
      </w:r>
      <w:r w:rsidR="00FF5622" w:rsidRPr="00130EEF">
        <w:rPr>
          <w:color w:val="000000" w:themeColor="text1"/>
        </w:rPr>
        <w:t xml:space="preserve"> </w:t>
      </w:r>
      <w:r w:rsidR="009D630D" w:rsidRPr="00130EEF">
        <w:rPr>
          <w:color w:val="000000" w:themeColor="text1"/>
        </w:rPr>
        <w:t xml:space="preserve">taken </w:t>
      </w:r>
      <w:r w:rsidR="000D5650" w:rsidRPr="00130EEF">
        <w:rPr>
          <w:color w:val="000000" w:themeColor="text1"/>
        </w:rPr>
        <w:t xml:space="preserve">using a </w:t>
      </w:r>
      <w:r w:rsidR="009D630D" w:rsidRPr="00130EEF">
        <w:rPr>
          <w:color w:val="000000" w:themeColor="text1"/>
        </w:rPr>
        <w:t xml:space="preserve">Nikon </w:t>
      </w:r>
      <w:proofErr w:type="spellStart"/>
      <w:r w:rsidR="009D630D" w:rsidRPr="00130EEF">
        <w:rPr>
          <w:color w:val="000000" w:themeColor="text1"/>
        </w:rPr>
        <w:t>Elipse</w:t>
      </w:r>
      <w:proofErr w:type="spellEnd"/>
      <w:r w:rsidR="009D630D" w:rsidRPr="00130EEF">
        <w:rPr>
          <w:color w:val="000000" w:themeColor="text1"/>
        </w:rPr>
        <w:t xml:space="preserve"> </w:t>
      </w:r>
      <w:proofErr w:type="spellStart"/>
      <w:r w:rsidR="009D630D" w:rsidRPr="00130EEF">
        <w:rPr>
          <w:color w:val="000000" w:themeColor="text1"/>
        </w:rPr>
        <w:t>Ti</w:t>
      </w:r>
      <w:proofErr w:type="spellEnd"/>
      <w:r w:rsidR="000D5650" w:rsidRPr="00130EEF">
        <w:rPr>
          <w:color w:val="000000" w:themeColor="text1"/>
        </w:rPr>
        <w:t xml:space="preserve"> fluorescence microscope with </w:t>
      </w:r>
      <w:r w:rsidR="009D630D" w:rsidRPr="00130EEF">
        <w:rPr>
          <w:color w:val="000000" w:themeColor="text1"/>
        </w:rPr>
        <w:t xml:space="preserve">NIS elements </w:t>
      </w:r>
      <w:r w:rsidR="000D5650" w:rsidRPr="00130EEF">
        <w:rPr>
          <w:color w:val="000000" w:themeColor="text1"/>
        </w:rPr>
        <w:t xml:space="preserve">software </w:t>
      </w:r>
      <w:r w:rsidR="009D630D" w:rsidRPr="00130EEF">
        <w:rPr>
          <w:color w:val="000000" w:themeColor="text1"/>
        </w:rPr>
        <w:t xml:space="preserve">(version 4.30). </w:t>
      </w:r>
      <w:r w:rsidR="009C620D" w:rsidRPr="00130EEF">
        <w:rPr>
          <w:rFonts w:cstheme="minorHAnsi"/>
          <w:color w:val="000000" w:themeColor="text1"/>
          <w:shd w:val="clear" w:color="auto" w:fill="FFFFFF"/>
        </w:rPr>
        <w:t xml:space="preserve">This method has been used previously in a number of published studies </w:t>
      </w:r>
      <w:r w:rsidR="009C620D" w:rsidRPr="00130EEF">
        <w:rPr>
          <w:rFonts w:cstheme="minorHAnsi"/>
          <w:color w:val="000000" w:themeColor="text1"/>
          <w:shd w:val="clear" w:color="auto" w:fill="FFFFFF"/>
        </w:rPr>
        <w:fldChar w:fldCharType="begin" w:fldLock="1"/>
      </w:r>
      <w:r w:rsidR="00C05664" w:rsidRPr="00130EEF">
        <w:rPr>
          <w:rFonts w:cstheme="minorHAnsi"/>
          <w:color w:val="000000" w:themeColor="text1"/>
          <w:shd w:val="clear" w:color="auto" w:fill="FFFFFF"/>
        </w:rPr>
        <w:instrText>ADDIN CSL_CITATION {"citationItems":[{"id":"ITEM-1","itemData":{"DOI":"10.1371/journal.pone.0010074","ISBN":"1932-6203 (Electronic)\\r1932-6203 (Linking)","ISSN":"1932-6203","PMID":"20404917","abstract":"The negative impact of obesity on reproductive success is well documented but the stages at which development of the conceptus is compromised and the mechanisms responsible for the developmental failure still remain unclear. Recent findings suggest that mitochondria may be a contributing factor. However to date no studies have directly addressed the consequences of maternal obesity on mitochondria in early embryogenesis.Using an established murine model of maternal diet induced obesity and a live cell dynamic fluorescence imaging techniques coupled with molecular biology we have investigated the underlying mechanisms of obesity-induced reduced fertility. Our study is the first to show that maternal obesity prior to conception is associated with altered mitochondria in mouse oocytes and zygotes. Specifically, maternal diet-induced obesity in mice led to an increase in mitochondrial potential, mitochondrial DNA content and biogenesis. Generation of reactive oxygen species (ROS) was raised while glutathione was depleted and the redox state became more oxidised, suggestive of oxidative stress. These altered mitochondrial properties were associated with significant developmental impairment as shown by the increased number of obese mothers who failed to support blastocyst formation compared to lean dams. We propose that compromised oocyte and early embryo mitochondrial metabolism, resulting from excessive nutrient exposure prior to and during conception, may underlie poor reproductive outcomes frequently reported in obese women.","author":[{"dropping-particle":"","family":"Igosheva","given":"Natalia","non-dropping-particle":"","parse-names":false,"suffix":""},{"dropping-particle":"","family":"Abramov","given":"Andrey Y.","non-dropping-particle":"","parse-names":false,"suffix":""},{"dropping-particle":"","family":"Poston","given":"Lucilla","non-dropping-particle":"","parse-names":false,"suffix":""},{"dropping-particle":"","family":"Eckert","given":"Judith J.","non-dropping-particle":"","parse-names":false,"suffix":""},{"dropping-particle":"","family":"Fleming","given":"Tom P.","non-dropping-particle":"","parse-names":false,"suffix":""},{"dropping-particle":"","family":"Duchen","given":"Michael R.","non-dropping-particle":"","parse-names":false,"suffix":""},{"dropping-particle":"","family":"McConnell","given":"Josie","non-dropping-particle":"","parse-names":false,"suffix":""}],"container-title":"PLoS ONE","editor":[{"dropping-particle":"","family":"Sorensen","given":"Thorkild I.A.","non-dropping-particle":"","parse-names":false,"suffix":""}],"id":"ITEM-1","issue":"4","issued":{"date-parts":[["2010","4","9"]]},"page":"e10074","title":"Maternal Diet-Induced Obesity Alters Mitochondrial Activity and Redox Status in Mouse Oocytes and Zygotes","type":"article-journal","volume":"5"},"uris":["http://www.mendeley.com/documents/?uuid=edd9c73f-947f-4d3a-938b-7c965c9090a3"]},{"id":"ITEM-2","itemData":{"DOI":"10.1095/biolreprod.110.088351","ISBN":"1529-7268 (Electronic)\\r0006-3363 (Linking)","ISSN":"1529-7268","PMID":"21349824","abstract":"In addition to its role in the prevention of neural tube defects, folic acid has many other physiological functions, including cell proliferation, DNA replication, and antioxidant protection. The aim of this study was to determine the role that folic acid has in regulating placental trophoblast development. Placental explants from placentae at gestational age 7 wk (n = 3) were cultured in folic acid at concentrations of 10(-6) M, 10(-8) M, and 10(-10) M. Extravillous trophoblast (EVT) invasion was assessed following 6-day culture, and explants were used for immunohistochemical evaluation of proliferation (MKI67) and apoptosis (active caspase 3). In addition, an array was performed on cell culture supernatants to examine a range of matrix metalloproteinases (MMPs) and tissue inhibitors of MMPs (TIMPs). Folic acid increased the invasion of EVT cells in this explant model by between 83% and 19% (P = 0.005), and this was associated with increased MKI67 positivity and decreased active caspase 3 positivity; this effect was concentration dependent and showed a biphasic response. In addition, culture in folic acid increased vascular density, as determined by anti-CD31 immunostaining (P = 0.05). The increase in EVT invasion correlated with increased placental explant secretion of MMP2 (P = 0.01), MMP3 (P = 0.01), and MMP9 (P = 0.02). This study demonstrates that folic acid is potentially important in a number of crucial early stages of placental development, including EVT invasion, angiogenesis, and secretion of MMPs, and highlights the need for further studies to address the benefit of longer-term folic acid supplementation throughout pregnancy to prevent pregnancy disorders associated with deficient placental development, including preeclampsia.","author":[{"dropping-particle":"","family":"Williams","given":"Paula J","non-dropping-particle":"","parse-names":false,"suffix":""},{"dropping-particle":"","family":"Bulmer","given":"Judith N","non-dropping-particle":"","parse-names":false,"suffix":""},{"dropping-particle":"","family":"Innes","given":"Barbara a","non-dropping-particle":"","parse-names":false,"suffix":""},{"dropping-particle":"","family":"Broughton Pipkin","given":"Fiona","non-dropping-particle":"","parse-names":false,"suffix":""}],"container-title":"Biology of reproduction","id":"ITEM-2","issue":"6","issued":{"date-parts":[["2011"]]},"page":"1148-53","title":"Possible roles for folic acid in the regulation of trophoblast invasion and placental development in normal early human pregnancy.","type":"article-journal","volume":"84"},"uris":["http://www.mendeley.com/documents/?uuid=530ec96e-e14b-4077-ad44-bf860f9f161e"]},{"id":"ITEM-3","itemData":{"DOI":"10.1093/humrep/dew177","ISBN":"0268-1161","ISSN":"14602350","PMID":"27402911","abstract":"STUDY QUESTION Does advanced maternal age (AMA) in mice affect cardiometabolic health during post-natal life in offspring derived from an assisted reproduction technology (ART) procedure? SUMMARY ANSWER Offspring derived from blastocysts collected from aged female mice displayed impaired body weight gain, blood pressure, glucose metabolism and organ allometry during post-natal life compared with offspring derived from blastocysts from young females; since all blastocysts were transferred to normalized young mothers, this effect is independent of maternal pregnancy conditions. WHAT IS KNOWN ALREADY Although studies in mice have shown that AMA can affect body weight and behaviour of offspring derived from natural reproduction, data on the effects of AMA on offspring cardiometabolic health during post-natal development are not available. Given the increasing use of ART to alleviate infertility in women of AMA, it is pivotal to develop ART-AMA models addressing the effects of maternal aging on offspring health. STUDY DESIGN, SIZE, DURATION Blastocysts from old (34-39 weeks) or young (8-9 weeks) C57BL/6 females mated with young CBA males (13-15 weeks) were either subjected to differential cell staining (inner cell mass and trophectoderm) or underwent embryo transfer (ET) into young MF1 surrogates (8-9 weeks) to produce young (Young-ET, 9 litters) and old (Old-ET, 10 litters) embryo-derived offspring. Offspring health monitoring was carried out for 30 weeks. PARTICIPANTS/MATERIALS, SETTING, METHODS All animals were fed with standard chow. Blood pressure was measured at post-natal Weeks 9, 15 and 21, and at post-natal Week 30 a glucose tolerance test (GTT) was performed. Two days after the GTT mice were killed for organ allometry. Blastocyst cell allocation variables were evaluated by T-test and developmental data were analysed with a multilevel random effects regression model. MAIN RESULTS AND THE ROLE OF CHANCE The total number of cells in blastocysts from aged mice was decreased (P &lt; 0.05) relative to young mice due to a lower number of cells in the trophectoderm (mean ± SEM: 34.5 ± 2.1 versus 29.6 ± 1.0). Weekly body weight did not differ in male offspring, but an increase in body weight from Week 13 onwards was observed in Old-ET females (final body weight at post-natal Week 30: 38.5 ± 0.8 versus 33.4 ± 0.8 g, P &lt; 0.05). Blood pressure was increased in Old-ET offspring at Weeks 9-15 in males (Week 9: 108.5 ± 3.13 versus 100.8 ± 1.5 mmHg, Week 15: 112.9 ± …","author":[{"dropping-particle":"","family":"Velazquez","given":"M. A.","non-dropping-particle":"","parse-names":false,"suffix":""},{"dropping-particle":"","family":"Smith","given":"C. G.C.","non-dropping-particle":"","parse-names":false,"suffix":""},{"dropping-particle":"","family":"Smyth","given":"N. R.","non-dropping-particle":"","parse-names":false,"suffix":""},{"dropping-particle":"","family":"Osmond","given":"C.","non-dropping-particle":"","parse-names":false,"suffix":""},{"dropping-particle":"","family":"Fleming","given":"T. P.","non-dropping-particle":"","parse-names":false,"suffix":""}],"container-title":"Human Reproduction","id":"ITEM-3","issue":"9","issued":{"date-parts":[["2016"]]},"page":"1970-1980","title":"Advanced maternal age causes adverse programming of mouse blastocysts leading to altered growth and impaired cardiometabolic health in post-natal life","type":"article-journal","volume":"31"},"uris":["http://www.mendeley.com/documents/?uuid=4ca61cff-7d5c-4daf-adf7-5d96c686c8af"]}],"mendeley":{"formattedCitation":"(Igosheva et al., 2010; M. A. Velazquez, Smith, Smyth, Osmond, &amp; Fleming, 2016; P. J. Williams, Bulmer, Innes, &amp; Broughton Pipkin, 2011)","plainTextFormattedCitation":"(Igosheva et al., 2010; M. A. Velazquez, Smith, Smyth, Osmond, &amp; Fleming, 2016; P. J. Williams, Bulmer, Innes, &amp; Broughton Pipkin, 2011)","previouslyFormattedCitation":"(Igosheva et al., 2010; M. A. Velazquez, Smith, Smyth, Osmond, &amp; Fleming, 2016; P. J. Williams, Bulmer, Innes, &amp; Broughton Pipkin, 2011)"},"properties":{"noteIndex":0},"schema":"https://github.com/citation-style-language/schema/raw/master/csl-citation.json"}</w:instrText>
      </w:r>
      <w:r w:rsidR="009C620D" w:rsidRPr="00130EEF">
        <w:rPr>
          <w:rFonts w:cstheme="minorHAnsi"/>
          <w:color w:val="000000" w:themeColor="text1"/>
          <w:shd w:val="clear" w:color="auto" w:fill="FFFFFF"/>
        </w:rPr>
        <w:fldChar w:fldCharType="separate"/>
      </w:r>
      <w:r w:rsidR="009C620D" w:rsidRPr="00130EEF">
        <w:rPr>
          <w:rFonts w:cstheme="minorHAnsi"/>
          <w:noProof/>
          <w:color w:val="000000" w:themeColor="text1"/>
          <w:shd w:val="clear" w:color="auto" w:fill="FFFFFF"/>
        </w:rPr>
        <w:t>(Igosheva et al., 2010; M. A. Velazquez, Smith, Smyth, Osmond, &amp; Fleming, 2016; P. J. Williams, Bulmer, Innes, &amp; Broughton Pipkin, 2011)</w:t>
      </w:r>
      <w:r w:rsidR="009C620D" w:rsidRPr="00130EEF">
        <w:rPr>
          <w:rFonts w:cstheme="minorHAnsi"/>
          <w:color w:val="000000" w:themeColor="text1"/>
          <w:shd w:val="clear" w:color="auto" w:fill="FFFFFF"/>
        </w:rPr>
        <w:fldChar w:fldCharType="end"/>
      </w:r>
      <w:r w:rsidR="009C620D" w:rsidRPr="00130EEF">
        <w:rPr>
          <w:rFonts w:cstheme="minorHAnsi"/>
          <w:color w:val="000000" w:themeColor="text1"/>
          <w:shd w:val="clear" w:color="auto" w:fill="FFFFFF"/>
        </w:rPr>
        <w:t>.</w:t>
      </w:r>
    </w:p>
    <w:p w14:paraId="09021A20" w14:textId="79FA4162" w:rsidR="009D630D" w:rsidRPr="00130EEF" w:rsidRDefault="00914C51" w:rsidP="008832E1">
      <w:pPr>
        <w:pStyle w:val="Heading2"/>
        <w:rPr>
          <w:b w:val="0"/>
          <w:color w:val="000000" w:themeColor="text1"/>
        </w:rPr>
      </w:pPr>
      <w:r w:rsidRPr="00130EEF">
        <w:rPr>
          <w:color w:val="000000" w:themeColor="text1"/>
        </w:rPr>
        <w:t>Immunohistochemistry</w:t>
      </w:r>
    </w:p>
    <w:p w14:paraId="0567E4F4" w14:textId="3B1AD025" w:rsidR="009D630D" w:rsidRPr="00130EEF" w:rsidRDefault="00CC26D5" w:rsidP="00317B70">
      <w:pPr>
        <w:spacing w:line="480" w:lineRule="auto"/>
        <w:rPr>
          <w:color w:val="000000" w:themeColor="text1"/>
        </w:rPr>
      </w:pPr>
      <w:r w:rsidRPr="00130EEF">
        <w:rPr>
          <w:color w:val="000000" w:themeColor="text1"/>
        </w:rPr>
        <w:t>B</w:t>
      </w:r>
      <w:r w:rsidR="009D630D" w:rsidRPr="00130EEF">
        <w:rPr>
          <w:color w:val="000000" w:themeColor="text1"/>
        </w:rPr>
        <w:t xml:space="preserve">lastocysts collected from the uterus of the female </w:t>
      </w:r>
      <w:r w:rsidR="00756512" w:rsidRPr="00130EEF">
        <w:rPr>
          <w:color w:val="000000" w:themeColor="text1"/>
        </w:rPr>
        <w:t>at E3.5</w:t>
      </w:r>
      <w:r w:rsidR="009D630D" w:rsidRPr="00130EEF">
        <w:rPr>
          <w:color w:val="000000" w:themeColor="text1"/>
        </w:rPr>
        <w:t xml:space="preserve"> </w:t>
      </w:r>
      <w:r w:rsidR="00756512" w:rsidRPr="00130EEF">
        <w:rPr>
          <w:color w:val="000000" w:themeColor="text1"/>
        </w:rPr>
        <w:t>after their zona pellucida was removed, were</w:t>
      </w:r>
      <w:r w:rsidR="00BC1A64" w:rsidRPr="00130EEF">
        <w:rPr>
          <w:color w:val="000000" w:themeColor="text1"/>
        </w:rPr>
        <w:t xml:space="preserve"> </w:t>
      </w:r>
      <w:r w:rsidR="009D630D" w:rsidRPr="00130EEF">
        <w:rPr>
          <w:color w:val="000000" w:themeColor="text1"/>
        </w:rPr>
        <w:t xml:space="preserve">fixed with 4% </w:t>
      </w:r>
      <w:r w:rsidR="004F6ED6" w:rsidRPr="00130EEF">
        <w:rPr>
          <w:color w:val="000000" w:themeColor="text1"/>
        </w:rPr>
        <w:t xml:space="preserve">paraformaldehyde </w:t>
      </w:r>
      <w:r w:rsidR="00C34EE3" w:rsidRPr="00130EEF">
        <w:rPr>
          <w:color w:val="000000" w:themeColor="text1"/>
        </w:rPr>
        <w:t>in PBS</w:t>
      </w:r>
      <w:r w:rsidR="009D630D" w:rsidRPr="00130EEF">
        <w:rPr>
          <w:color w:val="000000" w:themeColor="text1"/>
        </w:rPr>
        <w:t xml:space="preserve"> at </w:t>
      </w:r>
      <w:r w:rsidR="00CB69F3" w:rsidRPr="00130EEF">
        <w:rPr>
          <w:color w:val="000000" w:themeColor="text1"/>
        </w:rPr>
        <w:t>room temperature</w:t>
      </w:r>
      <w:r w:rsidR="009D630D" w:rsidRPr="00130EEF">
        <w:rPr>
          <w:color w:val="000000" w:themeColor="text1"/>
        </w:rPr>
        <w:t xml:space="preserve"> for 10 minutes</w:t>
      </w:r>
      <w:r w:rsidR="00E24BC1" w:rsidRPr="00130EEF">
        <w:rPr>
          <w:color w:val="000000" w:themeColor="text1"/>
        </w:rPr>
        <w:t xml:space="preserve"> and washed </w:t>
      </w:r>
      <w:r w:rsidR="009D630D" w:rsidRPr="00130EEF">
        <w:rPr>
          <w:color w:val="000000" w:themeColor="text1"/>
        </w:rPr>
        <w:t>in PBS-PVP drops.</w:t>
      </w:r>
      <w:r w:rsidR="00E66BB2" w:rsidRPr="00130EEF">
        <w:rPr>
          <w:color w:val="000000" w:themeColor="text1"/>
        </w:rPr>
        <w:t xml:space="preserve"> </w:t>
      </w:r>
      <w:r w:rsidR="009D630D" w:rsidRPr="00130EEF">
        <w:rPr>
          <w:color w:val="000000" w:themeColor="text1"/>
        </w:rPr>
        <w:t xml:space="preserve">Permeabilization of the embryos was </w:t>
      </w:r>
      <w:r w:rsidR="004F6ED6" w:rsidRPr="00130EEF">
        <w:rPr>
          <w:color w:val="000000" w:themeColor="text1"/>
        </w:rPr>
        <w:t xml:space="preserve">achieved </w:t>
      </w:r>
      <w:r w:rsidR="009D630D" w:rsidRPr="00130EEF">
        <w:rPr>
          <w:color w:val="000000" w:themeColor="text1"/>
        </w:rPr>
        <w:t>with 0.25%</w:t>
      </w:r>
      <w:r w:rsidR="00392190" w:rsidRPr="00130EEF">
        <w:rPr>
          <w:color w:val="000000" w:themeColor="text1"/>
        </w:rPr>
        <w:t xml:space="preserve"> (v/v) </w:t>
      </w:r>
      <w:r w:rsidR="009D630D" w:rsidRPr="00130EEF">
        <w:rPr>
          <w:color w:val="000000" w:themeColor="text1"/>
        </w:rPr>
        <w:t>Triton X-100</w:t>
      </w:r>
      <w:r w:rsidR="00E66BB2" w:rsidRPr="00130EEF">
        <w:rPr>
          <w:color w:val="000000" w:themeColor="text1"/>
        </w:rPr>
        <w:t xml:space="preserve"> </w:t>
      </w:r>
      <w:r w:rsidR="009D630D" w:rsidRPr="00130EEF">
        <w:rPr>
          <w:color w:val="000000" w:themeColor="text1"/>
        </w:rPr>
        <w:t>in PBS for 15 minutes</w:t>
      </w:r>
      <w:r w:rsidR="00BC1A64" w:rsidRPr="00130EEF">
        <w:rPr>
          <w:color w:val="000000" w:themeColor="text1"/>
        </w:rPr>
        <w:t xml:space="preserve">, followed by </w:t>
      </w:r>
      <w:r w:rsidR="006E3230" w:rsidRPr="00130EEF">
        <w:rPr>
          <w:color w:val="000000" w:themeColor="text1"/>
        </w:rPr>
        <w:t>neutralisation</w:t>
      </w:r>
      <w:r w:rsidR="002005FB" w:rsidRPr="00130EEF">
        <w:rPr>
          <w:color w:val="000000" w:themeColor="text1"/>
        </w:rPr>
        <w:t xml:space="preserve"> with</w:t>
      </w:r>
      <w:r w:rsidR="00E66BB2" w:rsidRPr="00130EEF">
        <w:rPr>
          <w:color w:val="000000" w:themeColor="text1"/>
        </w:rPr>
        <w:t xml:space="preserve"> </w:t>
      </w:r>
      <w:r w:rsidR="009D630D" w:rsidRPr="00130EEF">
        <w:rPr>
          <w:color w:val="000000" w:themeColor="text1"/>
        </w:rPr>
        <w:t xml:space="preserve">ammonium chloride </w:t>
      </w:r>
      <w:r w:rsidR="00C34EE3" w:rsidRPr="00130EEF">
        <w:rPr>
          <w:color w:val="000000" w:themeColor="text1"/>
        </w:rPr>
        <w:t xml:space="preserve">(2.6 mg/ml in PBS) </w:t>
      </w:r>
      <w:r w:rsidR="009D630D" w:rsidRPr="00130EEF">
        <w:rPr>
          <w:color w:val="000000" w:themeColor="text1"/>
        </w:rPr>
        <w:t>solution for 10 minutes.</w:t>
      </w:r>
      <w:r w:rsidR="00AB7453" w:rsidRPr="00130EEF">
        <w:rPr>
          <w:color w:val="000000" w:themeColor="text1"/>
        </w:rPr>
        <w:t xml:space="preserve"> </w:t>
      </w:r>
      <w:r w:rsidR="00221B7E" w:rsidRPr="00130EEF">
        <w:rPr>
          <w:color w:val="000000" w:themeColor="text1"/>
        </w:rPr>
        <w:t xml:space="preserve">The embryos were washed </w:t>
      </w:r>
      <w:r w:rsidR="00AB7453" w:rsidRPr="00130EEF">
        <w:rPr>
          <w:color w:val="000000" w:themeColor="text1"/>
        </w:rPr>
        <w:t xml:space="preserve">with PBS containing </w:t>
      </w:r>
      <w:r w:rsidR="001E6EB5" w:rsidRPr="00130EEF">
        <w:rPr>
          <w:color w:val="000000" w:themeColor="text1"/>
        </w:rPr>
        <w:t xml:space="preserve">0.1% </w:t>
      </w:r>
      <w:r w:rsidR="00392190" w:rsidRPr="00130EEF">
        <w:rPr>
          <w:color w:val="000000" w:themeColor="text1"/>
        </w:rPr>
        <w:t>(v/v)</w:t>
      </w:r>
      <w:r w:rsidR="008E6D05" w:rsidRPr="00130EEF">
        <w:rPr>
          <w:color w:val="000000" w:themeColor="text1"/>
        </w:rPr>
        <w:t xml:space="preserve"> </w:t>
      </w:r>
      <w:r w:rsidR="001E6EB5" w:rsidRPr="00130EEF">
        <w:rPr>
          <w:color w:val="000000" w:themeColor="text1"/>
        </w:rPr>
        <w:t>Tween 20 (PBST)</w:t>
      </w:r>
      <w:r w:rsidR="00DB0B42" w:rsidRPr="00130EEF">
        <w:rPr>
          <w:color w:val="000000" w:themeColor="text1"/>
        </w:rPr>
        <w:t xml:space="preserve">, </w:t>
      </w:r>
      <w:r w:rsidR="00B34184" w:rsidRPr="00130EEF">
        <w:rPr>
          <w:color w:val="000000" w:themeColor="text1"/>
        </w:rPr>
        <w:t xml:space="preserve">incubated </w:t>
      </w:r>
      <w:r w:rsidR="009D630D" w:rsidRPr="00130EEF">
        <w:rPr>
          <w:color w:val="000000" w:themeColor="text1"/>
        </w:rPr>
        <w:t xml:space="preserve">with blocking solution </w:t>
      </w:r>
      <w:r w:rsidR="008E6D05" w:rsidRPr="00130EEF">
        <w:rPr>
          <w:color w:val="000000" w:themeColor="text1"/>
        </w:rPr>
        <w:t>(</w:t>
      </w:r>
      <w:r w:rsidR="009D630D" w:rsidRPr="00130EEF">
        <w:rPr>
          <w:color w:val="000000" w:themeColor="text1"/>
        </w:rPr>
        <w:t xml:space="preserve">PBST and 3% </w:t>
      </w:r>
      <w:r w:rsidR="00392190" w:rsidRPr="00130EEF">
        <w:rPr>
          <w:color w:val="000000" w:themeColor="text1"/>
        </w:rPr>
        <w:t xml:space="preserve">(w/v) </w:t>
      </w:r>
      <w:r w:rsidR="009D630D" w:rsidRPr="00130EEF">
        <w:rPr>
          <w:color w:val="000000" w:themeColor="text1"/>
        </w:rPr>
        <w:t>BSA</w:t>
      </w:r>
      <w:r w:rsidR="008E6D05" w:rsidRPr="00130EEF">
        <w:rPr>
          <w:color w:val="000000" w:themeColor="text1"/>
        </w:rPr>
        <w:t>)</w:t>
      </w:r>
      <w:r w:rsidR="009D630D" w:rsidRPr="00130EEF">
        <w:rPr>
          <w:color w:val="000000" w:themeColor="text1"/>
        </w:rPr>
        <w:t xml:space="preserve"> for 30 minutes</w:t>
      </w:r>
      <w:r w:rsidR="00DB0B42" w:rsidRPr="00130EEF">
        <w:rPr>
          <w:color w:val="000000" w:themeColor="text1"/>
        </w:rPr>
        <w:t xml:space="preserve">, then </w:t>
      </w:r>
      <w:r w:rsidR="00B34184" w:rsidRPr="00130EEF">
        <w:rPr>
          <w:color w:val="000000" w:themeColor="text1"/>
        </w:rPr>
        <w:t>incubat</w:t>
      </w:r>
      <w:r w:rsidR="00DB0B42" w:rsidRPr="00130EEF">
        <w:rPr>
          <w:color w:val="000000" w:themeColor="text1"/>
        </w:rPr>
        <w:t xml:space="preserve">ed </w:t>
      </w:r>
      <w:r w:rsidR="00BC1A64" w:rsidRPr="00130EEF">
        <w:rPr>
          <w:color w:val="000000" w:themeColor="text1"/>
        </w:rPr>
        <w:t xml:space="preserve">with </w:t>
      </w:r>
      <w:r w:rsidR="00F0512C" w:rsidRPr="00130EEF">
        <w:rPr>
          <w:color w:val="000000" w:themeColor="text1"/>
        </w:rPr>
        <w:t>primary antibody (</w:t>
      </w:r>
      <w:r w:rsidR="008E6D05" w:rsidRPr="00130EEF">
        <w:rPr>
          <w:color w:val="000000" w:themeColor="text1"/>
        </w:rPr>
        <w:t xml:space="preserve">monoclonal </w:t>
      </w:r>
      <w:r w:rsidR="00F0512C" w:rsidRPr="00130EEF">
        <w:rPr>
          <w:color w:val="000000" w:themeColor="text1"/>
        </w:rPr>
        <w:t>CDX2</w:t>
      </w:r>
      <w:r w:rsidR="00AB7453" w:rsidRPr="00130EEF">
        <w:rPr>
          <w:color w:val="000000" w:themeColor="text1"/>
        </w:rPr>
        <w:t xml:space="preserve"> 1:100 dilution; </w:t>
      </w:r>
      <w:r w:rsidR="00DB0B42" w:rsidRPr="00130EEF">
        <w:rPr>
          <w:color w:val="000000" w:themeColor="text1"/>
        </w:rPr>
        <w:t xml:space="preserve">or </w:t>
      </w:r>
      <w:r w:rsidR="00AB7453" w:rsidRPr="00130EEF">
        <w:rPr>
          <w:color w:val="000000" w:themeColor="text1"/>
        </w:rPr>
        <w:t>product no.</w:t>
      </w:r>
      <w:r w:rsidR="00F0512C" w:rsidRPr="00130EEF">
        <w:rPr>
          <w:color w:val="000000" w:themeColor="text1"/>
        </w:rPr>
        <w:t xml:space="preserve"> Ab157524, Abcam; </w:t>
      </w:r>
      <w:r w:rsidR="008E6D05" w:rsidRPr="00130EEF">
        <w:rPr>
          <w:color w:val="000000" w:themeColor="text1"/>
        </w:rPr>
        <w:t xml:space="preserve">monoclonal </w:t>
      </w:r>
      <w:r w:rsidR="00F0512C" w:rsidRPr="00130EEF">
        <w:rPr>
          <w:color w:val="000000" w:themeColor="text1"/>
        </w:rPr>
        <w:t>NANOG</w:t>
      </w:r>
      <w:r w:rsidR="00AB7453" w:rsidRPr="00130EEF">
        <w:rPr>
          <w:color w:val="000000" w:themeColor="text1"/>
        </w:rPr>
        <w:t xml:space="preserve"> 1:100 dilution; product no.</w:t>
      </w:r>
      <w:r w:rsidR="00F0512C" w:rsidRPr="00130EEF">
        <w:rPr>
          <w:color w:val="000000" w:themeColor="text1"/>
        </w:rPr>
        <w:t xml:space="preserve"> Ab80892, Abcam</w:t>
      </w:r>
      <w:r w:rsidR="009D630D" w:rsidRPr="00130EEF">
        <w:rPr>
          <w:color w:val="000000" w:themeColor="text1"/>
        </w:rPr>
        <w:t xml:space="preserve">) </w:t>
      </w:r>
      <w:r w:rsidR="00E66BB2" w:rsidRPr="00130EEF">
        <w:rPr>
          <w:color w:val="000000" w:themeColor="text1"/>
        </w:rPr>
        <w:t>overnight</w:t>
      </w:r>
      <w:r w:rsidR="009D630D" w:rsidRPr="00130EEF">
        <w:rPr>
          <w:color w:val="000000" w:themeColor="text1"/>
        </w:rPr>
        <w:t xml:space="preserve"> at 4</w:t>
      </w:r>
      <w:r w:rsidR="00AB7453" w:rsidRPr="00130EEF">
        <w:rPr>
          <w:color w:val="000000" w:themeColor="text1"/>
        </w:rPr>
        <w:t xml:space="preserve"> </w:t>
      </w:r>
      <w:r w:rsidR="009D630D" w:rsidRPr="00130EEF">
        <w:rPr>
          <w:color w:val="000000" w:themeColor="text1"/>
        </w:rPr>
        <w:t xml:space="preserve">°C in the dark. </w:t>
      </w:r>
      <w:r w:rsidR="00756512" w:rsidRPr="00130EEF">
        <w:rPr>
          <w:color w:val="000000" w:themeColor="text1"/>
        </w:rPr>
        <w:t>The next day, e</w:t>
      </w:r>
      <w:r w:rsidR="00E66BB2" w:rsidRPr="00130EEF">
        <w:rPr>
          <w:color w:val="000000" w:themeColor="text1"/>
        </w:rPr>
        <w:t>mbryos were</w:t>
      </w:r>
      <w:r w:rsidR="009D630D" w:rsidRPr="00130EEF">
        <w:rPr>
          <w:color w:val="000000" w:themeColor="text1"/>
        </w:rPr>
        <w:t xml:space="preserve"> washe</w:t>
      </w:r>
      <w:r w:rsidR="00E66BB2" w:rsidRPr="00130EEF">
        <w:rPr>
          <w:color w:val="000000" w:themeColor="text1"/>
        </w:rPr>
        <w:t>d</w:t>
      </w:r>
      <w:r w:rsidR="009D630D" w:rsidRPr="00130EEF">
        <w:rPr>
          <w:color w:val="000000" w:themeColor="text1"/>
        </w:rPr>
        <w:t xml:space="preserve"> </w:t>
      </w:r>
      <w:r w:rsidR="00E66BB2" w:rsidRPr="00130EEF">
        <w:rPr>
          <w:color w:val="000000" w:themeColor="text1"/>
        </w:rPr>
        <w:t>and</w:t>
      </w:r>
      <w:r w:rsidR="009D630D" w:rsidRPr="00130EEF">
        <w:rPr>
          <w:color w:val="000000" w:themeColor="text1"/>
        </w:rPr>
        <w:t xml:space="preserve"> incubat</w:t>
      </w:r>
      <w:r w:rsidR="00E66BB2" w:rsidRPr="00130EEF">
        <w:rPr>
          <w:color w:val="000000" w:themeColor="text1"/>
        </w:rPr>
        <w:t>ed</w:t>
      </w:r>
      <w:r w:rsidR="009D630D" w:rsidRPr="00130EEF">
        <w:rPr>
          <w:color w:val="000000" w:themeColor="text1"/>
        </w:rPr>
        <w:t xml:space="preserve"> with secon</w:t>
      </w:r>
      <w:r w:rsidR="00F0512C" w:rsidRPr="00130EEF">
        <w:rPr>
          <w:color w:val="000000" w:themeColor="text1"/>
        </w:rPr>
        <w:t>dary antibody (</w:t>
      </w:r>
      <w:r w:rsidR="008E6D05" w:rsidRPr="00130EEF">
        <w:rPr>
          <w:color w:val="000000" w:themeColor="text1"/>
        </w:rPr>
        <w:t xml:space="preserve">Donkey Anti-mouse </w:t>
      </w:r>
      <w:r w:rsidR="00F0512C" w:rsidRPr="00130EEF">
        <w:rPr>
          <w:color w:val="000000" w:themeColor="text1"/>
        </w:rPr>
        <w:t>Alexa fluor 488</w:t>
      </w:r>
      <w:r w:rsidR="00AB7453" w:rsidRPr="00130EEF">
        <w:rPr>
          <w:color w:val="000000" w:themeColor="text1"/>
        </w:rPr>
        <w:t xml:space="preserve"> 1:500 dilution, product no.</w:t>
      </w:r>
      <w:r w:rsidR="00F0512C" w:rsidRPr="00130EEF">
        <w:rPr>
          <w:color w:val="000000" w:themeColor="text1"/>
        </w:rPr>
        <w:t xml:space="preserve"> Ab150105, Abcam;</w:t>
      </w:r>
      <w:r w:rsidR="008E6D05" w:rsidRPr="00130EEF">
        <w:rPr>
          <w:color w:val="000000" w:themeColor="text1"/>
        </w:rPr>
        <w:t xml:space="preserve"> </w:t>
      </w:r>
      <w:r w:rsidR="00DB0B42" w:rsidRPr="00130EEF">
        <w:rPr>
          <w:color w:val="000000" w:themeColor="text1"/>
        </w:rPr>
        <w:t xml:space="preserve">or </w:t>
      </w:r>
      <w:r w:rsidR="008E6D05" w:rsidRPr="00130EEF">
        <w:rPr>
          <w:color w:val="000000" w:themeColor="text1"/>
        </w:rPr>
        <w:t xml:space="preserve">Donkey Anti-rabbit </w:t>
      </w:r>
      <w:r w:rsidR="00AB7453" w:rsidRPr="00130EEF">
        <w:rPr>
          <w:color w:val="000000" w:themeColor="text1"/>
        </w:rPr>
        <w:t xml:space="preserve">Alexa fluor </w:t>
      </w:r>
      <w:r w:rsidR="00F0512C" w:rsidRPr="00130EEF">
        <w:rPr>
          <w:color w:val="000000" w:themeColor="text1"/>
        </w:rPr>
        <w:t>568</w:t>
      </w:r>
      <w:r w:rsidR="00AB7453" w:rsidRPr="00130EEF">
        <w:rPr>
          <w:color w:val="000000" w:themeColor="text1"/>
        </w:rPr>
        <w:t xml:space="preserve"> 1:500 dilution, product no.</w:t>
      </w:r>
      <w:r w:rsidR="00F0512C" w:rsidRPr="00130EEF">
        <w:rPr>
          <w:color w:val="000000" w:themeColor="text1"/>
        </w:rPr>
        <w:t xml:space="preserve"> Ab175470, Abcam</w:t>
      </w:r>
      <w:r w:rsidR="009D630D" w:rsidRPr="00130EEF">
        <w:rPr>
          <w:color w:val="000000" w:themeColor="text1"/>
        </w:rPr>
        <w:t xml:space="preserve">) in </w:t>
      </w:r>
      <w:r w:rsidR="00DB0B42" w:rsidRPr="00130EEF">
        <w:rPr>
          <w:color w:val="000000" w:themeColor="text1"/>
        </w:rPr>
        <w:t xml:space="preserve">blocking solution </w:t>
      </w:r>
      <w:r w:rsidR="009D630D" w:rsidRPr="00130EEF">
        <w:rPr>
          <w:color w:val="000000" w:themeColor="text1"/>
        </w:rPr>
        <w:t xml:space="preserve">for 1 hour at room temperature in the dark. </w:t>
      </w:r>
      <w:r w:rsidR="00BC1A64" w:rsidRPr="00130EEF">
        <w:rPr>
          <w:color w:val="000000" w:themeColor="text1"/>
        </w:rPr>
        <w:t>E</w:t>
      </w:r>
      <w:r w:rsidR="009D630D" w:rsidRPr="00130EEF">
        <w:rPr>
          <w:color w:val="000000" w:themeColor="text1"/>
        </w:rPr>
        <w:t xml:space="preserve">mbryos were </w:t>
      </w:r>
      <w:r w:rsidR="00BC1A64" w:rsidRPr="00130EEF">
        <w:rPr>
          <w:color w:val="000000" w:themeColor="text1"/>
        </w:rPr>
        <w:t xml:space="preserve">then </w:t>
      </w:r>
      <w:r w:rsidR="009D630D" w:rsidRPr="00130EEF">
        <w:rPr>
          <w:color w:val="000000" w:themeColor="text1"/>
        </w:rPr>
        <w:t xml:space="preserve">washed </w:t>
      </w:r>
      <w:r w:rsidR="00E66BB2" w:rsidRPr="00130EEF">
        <w:rPr>
          <w:color w:val="000000" w:themeColor="text1"/>
        </w:rPr>
        <w:t>and incubated</w:t>
      </w:r>
      <w:r w:rsidR="009D630D" w:rsidRPr="00130EEF">
        <w:rPr>
          <w:color w:val="000000" w:themeColor="text1"/>
        </w:rPr>
        <w:t xml:space="preserve"> with</w:t>
      </w:r>
      <w:r w:rsidR="008E6D05" w:rsidRPr="00130EEF">
        <w:rPr>
          <w:color w:val="000000" w:themeColor="text1"/>
        </w:rPr>
        <w:t xml:space="preserve"> 4’,6-diamidino-2-phenylindole</w:t>
      </w:r>
      <w:r w:rsidR="009D630D" w:rsidRPr="00130EEF">
        <w:rPr>
          <w:color w:val="000000" w:themeColor="text1"/>
        </w:rPr>
        <w:t xml:space="preserve"> </w:t>
      </w:r>
      <w:r w:rsidR="00CB69F3" w:rsidRPr="00130EEF">
        <w:rPr>
          <w:color w:val="000000" w:themeColor="text1"/>
        </w:rPr>
        <w:t>(</w:t>
      </w:r>
      <w:r w:rsidR="009D630D" w:rsidRPr="00130EEF">
        <w:rPr>
          <w:color w:val="000000" w:themeColor="text1"/>
        </w:rPr>
        <w:t>DAPI</w:t>
      </w:r>
      <w:r w:rsidR="005A6134" w:rsidRPr="00130EEF">
        <w:rPr>
          <w:color w:val="000000" w:themeColor="text1"/>
        </w:rPr>
        <w:t>, Sigma</w:t>
      </w:r>
      <w:r w:rsidR="00CB69F3" w:rsidRPr="00130EEF">
        <w:rPr>
          <w:color w:val="000000" w:themeColor="text1"/>
        </w:rPr>
        <w:t>)</w:t>
      </w:r>
      <w:r w:rsidR="009D630D" w:rsidRPr="00130EEF">
        <w:rPr>
          <w:color w:val="000000" w:themeColor="text1"/>
        </w:rPr>
        <w:t xml:space="preserve"> for 20 minutes at room temperature in the dark. </w:t>
      </w:r>
      <w:proofErr w:type="spellStart"/>
      <w:r w:rsidR="009D630D" w:rsidRPr="00130EEF">
        <w:rPr>
          <w:color w:val="000000" w:themeColor="text1"/>
        </w:rPr>
        <w:t>Citifluor</w:t>
      </w:r>
      <w:proofErr w:type="spellEnd"/>
      <w:r w:rsidR="009D630D" w:rsidRPr="00130EEF">
        <w:rPr>
          <w:color w:val="000000" w:themeColor="text1"/>
        </w:rPr>
        <w:t xml:space="preserve"> anti</w:t>
      </w:r>
      <w:r w:rsidR="00392190" w:rsidRPr="00130EEF">
        <w:rPr>
          <w:color w:val="000000" w:themeColor="text1"/>
        </w:rPr>
        <w:t>-</w:t>
      </w:r>
      <w:r w:rsidR="009D630D" w:rsidRPr="00130EEF">
        <w:rPr>
          <w:color w:val="000000" w:themeColor="text1"/>
        </w:rPr>
        <w:t xml:space="preserve">fading mounting solution </w:t>
      </w:r>
      <w:r w:rsidR="008E6D05" w:rsidRPr="00130EEF">
        <w:rPr>
          <w:color w:val="000000" w:themeColor="text1"/>
        </w:rPr>
        <w:t xml:space="preserve">(Agar Scientific) </w:t>
      </w:r>
      <w:r w:rsidR="009D630D" w:rsidRPr="00130EEF">
        <w:rPr>
          <w:color w:val="000000" w:themeColor="text1"/>
        </w:rPr>
        <w:t xml:space="preserve">was added to the </w:t>
      </w:r>
      <w:r w:rsidR="00E66BB2" w:rsidRPr="00130EEF">
        <w:rPr>
          <w:color w:val="000000" w:themeColor="text1"/>
        </w:rPr>
        <w:t>embryo</w:t>
      </w:r>
      <w:r w:rsidR="009D630D" w:rsidRPr="00130EEF">
        <w:rPr>
          <w:color w:val="000000" w:themeColor="text1"/>
        </w:rPr>
        <w:t xml:space="preserve"> and </w:t>
      </w:r>
      <w:r w:rsidR="00BC1A64" w:rsidRPr="00130EEF">
        <w:rPr>
          <w:color w:val="000000" w:themeColor="text1"/>
        </w:rPr>
        <w:t>the</w:t>
      </w:r>
      <w:r w:rsidR="00392190" w:rsidRPr="00130EEF">
        <w:rPr>
          <w:color w:val="000000" w:themeColor="text1"/>
        </w:rPr>
        <w:t xml:space="preserve">n mounted with a </w:t>
      </w:r>
      <w:r w:rsidR="009D630D" w:rsidRPr="00130EEF">
        <w:rPr>
          <w:color w:val="000000" w:themeColor="text1"/>
        </w:rPr>
        <w:t xml:space="preserve">coverslip. Imaging was performed </w:t>
      </w:r>
      <w:r w:rsidR="00392190" w:rsidRPr="00130EEF">
        <w:rPr>
          <w:color w:val="000000" w:themeColor="text1"/>
        </w:rPr>
        <w:t>using</w:t>
      </w:r>
      <w:r w:rsidR="00D45F91" w:rsidRPr="00130EEF">
        <w:rPr>
          <w:color w:val="000000" w:themeColor="text1"/>
        </w:rPr>
        <w:t xml:space="preserve"> </w:t>
      </w:r>
      <w:r w:rsidR="009D630D" w:rsidRPr="00130EEF">
        <w:rPr>
          <w:color w:val="000000" w:themeColor="text1"/>
        </w:rPr>
        <w:t xml:space="preserve">a Leica SP8 Confocal microscope </w:t>
      </w:r>
      <w:r w:rsidR="00392190" w:rsidRPr="00130EEF">
        <w:rPr>
          <w:color w:val="000000" w:themeColor="text1"/>
        </w:rPr>
        <w:t xml:space="preserve">equipped with </w:t>
      </w:r>
      <w:r w:rsidR="009D630D" w:rsidRPr="00130EEF">
        <w:rPr>
          <w:color w:val="000000" w:themeColor="text1"/>
        </w:rPr>
        <w:t xml:space="preserve">a 63x glycerol objective and </w:t>
      </w:r>
      <w:r w:rsidR="009D630D" w:rsidRPr="00130EEF">
        <w:rPr>
          <w:color w:val="000000" w:themeColor="text1"/>
        </w:rPr>
        <w:lastRenderedPageBreak/>
        <w:t>LAS-X software</w:t>
      </w:r>
      <w:r w:rsidR="008E6D05" w:rsidRPr="00130EEF">
        <w:rPr>
          <w:color w:val="000000" w:themeColor="text1"/>
        </w:rPr>
        <w:t xml:space="preserve"> (Leica)</w:t>
      </w:r>
      <w:r w:rsidR="009D630D" w:rsidRPr="00130EEF">
        <w:rPr>
          <w:color w:val="000000" w:themeColor="text1"/>
        </w:rPr>
        <w:t xml:space="preserve">. Images were acquired by </w:t>
      </w:r>
      <w:r w:rsidR="00D45F91" w:rsidRPr="00130EEF">
        <w:rPr>
          <w:color w:val="000000" w:themeColor="text1"/>
        </w:rPr>
        <w:t xml:space="preserve">an </w:t>
      </w:r>
      <w:r w:rsidR="009D630D" w:rsidRPr="00130EEF">
        <w:rPr>
          <w:color w:val="000000" w:themeColor="text1"/>
        </w:rPr>
        <w:t xml:space="preserve">accumulation of </w:t>
      </w:r>
      <w:r w:rsidR="001E6EB5" w:rsidRPr="00130EEF">
        <w:rPr>
          <w:color w:val="000000" w:themeColor="text1"/>
        </w:rPr>
        <w:t>Z</w:t>
      </w:r>
      <w:r w:rsidR="009D630D" w:rsidRPr="00130EEF">
        <w:rPr>
          <w:color w:val="000000" w:themeColor="text1"/>
        </w:rPr>
        <w:t>-series 2</w:t>
      </w:r>
      <w:r w:rsidR="001E6EB5" w:rsidRPr="00130EEF">
        <w:rPr>
          <w:color w:val="000000" w:themeColor="text1"/>
        </w:rPr>
        <w:t xml:space="preserve"> </w:t>
      </w:r>
      <w:proofErr w:type="spellStart"/>
      <w:r w:rsidR="009D630D" w:rsidRPr="00130EEF">
        <w:rPr>
          <w:color w:val="000000" w:themeColor="text1"/>
        </w:rPr>
        <w:t>μm</w:t>
      </w:r>
      <w:proofErr w:type="spellEnd"/>
      <w:r w:rsidR="009D630D" w:rsidRPr="00130EEF">
        <w:rPr>
          <w:color w:val="000000" w:themeColor="text1"/>
        </w:rPr>
        <w:t xml:space="preserve"> </w:t>
      </w:r>
      <w:r w:rsidR="004C7055" w:rsidRPr="00130EEF">
        <w:rPr>
          <w:color w:val="000000" w:themeColor="text1"/>
        </w:rPr>
        <w:t xml:space="preserve">sections </w:t>
      </w:r>
      <w:r w:rsidR="009D630D" w:rsidRPr="00130EEF">
        <w:rPr>
          <w:color w:val="000000" w:themeColor="text1"/>
        </w:rPr>
        <w:t xml:space="preserve">of </w:t>
      </w:r>
      <w:r w:rsidR="00DB0B42" w:rsidRPr="00130EEF">
        <w:rPr>
          <w:color w:val="000000" w:themeColor="text1"/>
        </w:rPr>
        <w:t xml:space="preserve">each </w:t>
      </w:r>
      <w:r w:rsidR="009D630D" w:rsidRPr="00130EEF">
        <w:rPr>
          <w:color w:val="000000" w:themeColor="text1"/>
        </w:rPr>
        <w:t xml:space="preserve">whole embryo. </w:t>
      </w:r>
      <w:r w:rsidR="009C620D" w:rsidRPr="00130EEF">
        <w:rPr>
          <w:color w:val="000000" w:themeColor="text1"/>
        </w:rPr>
        <w:t xml:space="preserve">CDX2 and NANOG expression was defined as the number of cells expressing the </w:t>
      </w:r>
      <w:r w:rsidR="009C2B5E" w:rsidRPr="00130EEF">
        <w:rPr>
          <w:color w:val="000000" w:themeColor="text1"/>
        </w:rPr>
        <w:t>protein of interest</w:t>
      </w:r>
      <w:r w:rsidR="009C620D" w:rsidRPr="00130EEF">
        <w:rPr>
          <w:color w:val="000000" w:themeColor="text1"/>
        </w:rPr>
        <w:t xml:space="preserve"> divided by the total of cell</w:t>
      </w:r>
      <w:r w:rsidR="00C13FD2" w:rsidRPr="00130EEF">
        <w:rPr>
          <w:color w:val="000000" w:themeColor="text1"/>
        </w:rPr>
        <w:t>s</w:t>
      </w:r>
      <w:r w:rsidR="009C620D" w:rsidRPr="00130EEF">
        <w:rPr>
          <w:color w:val="000000" w:themeColor="text1"/>
        </w:rPr>
        <w:t xml:space="preserve"> per blastocyst.</w:t>
      </w:r>
    </w:p>
    <w:p w14:paraId="7A717C37" w14:textId="5A127B56" w:rsidR="001C0D15" w:rsidRPr="00130EEF" w:rsidRDefault="001C0D15" w:rsidP="008832E1">
      <w:pPr>
        <w:pStyle w:val="Heading2"/>
        <w:rPr>
          <w:b w:val="0"/>
          <w:color w:val="000000" w:themeColor="text1"/>
        </w:rPr>
      </w:pPr>
      <w:r w:rsidRPr="00130EEF">
        <w:rPr>
          <w:color w:val="000000" w:themeColor="text1"/>
        </w:rPr>
        <w:t>Statistical analysis</w:t>
      </w:r>
    </w:p>
    <w:p w14:paraId="013EBF19" w14:textId="349B0779" w:rsidR="0097644D" w:rsidRPr="00130EEF" w:rsidRDefault="001C0D15" w:rsidP="00317B70">
      <w:pPr>
        <w:spacing w:line="480" w:lineRule="auto"/>
        <w:rPr>
          <w:rFonts w:eastAsiaTheme="majorEastAsia"/>
          <w:color w:val="000000" w:themeColor="text1"/>
          <w:sz w:val="28"/>
          <w:szCs w:val="28"/>
        </w:rPr>
      </w:pPr>
      <w:r w:rsidRPr="00130EEF">
        <w:rPr>
          <w:color w:val="000000" w:themeColor="text1"/>
        </w:rPr>
        <w:t xml:space="preserve">Statistical analysis of data </w:t>
      </w:r>
      <w:r w:rsidR="002005FB" w:rsidRPr="00130EEF">
        <w:rPr>
          <w:color w:val="000000" w:themeColor="text1"/>
        </w:rPr>
        <w:t>was</w:t>
      </w:r>
      <w:r w:rsidRPr="00130EEF">
        <w:rPr>
          <w:color w:val="000000" w:themeColor="text1"/>
        </w:rPr>
        <w:t xml:space="preserve"> performed using STATA statistical software version 12 for Mac</w:t>
      </w:r>
      <w:r w:rsidR="004C7055" w:rsidRPr="00130EEF">
        <w:rPr>
          <w:color w:val="000000" w:themeColor="text1"/>
        </w:rPr>
        <w:t xml:space="preserve"> </w:t>
      </w:r>
      <w:r w:rsidR="008E6D05" w:rsidRPr="00130EEF">
        <w:rPr>
          <w:color w:val="000000" w:themeColor="text1"/>
        </w:rPr>
        <w:t>(</w:t>
      </w:r>
      <w:proofErr w:type="spellStart"/>
      <w:r w:rsidR="008E6D05" w:rsidRPr="00130EEF">
        <w:rPr>
          <w:color w:val="000000" w:themeColor="text1"/>
        </w:rPr>
        <w:t>StataCorp</w:t>
      </w:r>
      <w:proofErr w:type="spellEnd"/>
      <w:r w:rsidR="008E6D05" w:rsidRPr="00130EEF">
        <w:rPr>
          <w:color w:val="000000" w:themeColor="text1"/>
        </w:rPr>
        <w:t>)</w:t>
      </w:r>
      <w:r w:rsidRPr="00130EEF">
        <w:rPr>
          <w:color w:val="000000" w:themeColor="text1"/>
        </w:rPr>
        <w:t xml:space="preserve">. </w:t>
      </w:r>
      <w:r w:rsidR="004C7055" w:rsidRPr="00130EEF">
        <w:rPr>
          <w:color w:val="000000" w:themeColor="text1"/>
        </w:rPr>
        <w:t xml:space="preserve">The </w:t>
      </w:r>
      <w:r w:rsidRPr="00130EEF">
        <w:rPr>
          <w:color w:val="000000" w:themeColor="text1"/>
        </w:rPr>
        <w:t xml:space="preserve">distribution </w:t>
      </w:r>
      <w:r w:rsidR="004C7055" w:rsidRPr="00130EEF">
        <w:rPr>
          <w:color w:val="000000" w:themeColor="text1"/>
        </w:rPr>
        <w:t xml:space="preserve">of the data </w:t>
      </w:r>
      <w:r w:rsidRPr="00130EEF">
        <w:rPr>
          <w:color w:val="000000" w:themeColor="text1"/>
        </w:rPr>
        <w:t xml:space="preserve">was tested </w:t>
      </w:r>
      <w:r w:rsidR="004C7055" w:rsidRPr="00130EEF">
        <w:rPr>
          <w:color w:val="000000" w:themeColor="text1"/>
        </w:rPr>
        <w:t xml:space="preserve">using </w:t>
      </w:r>
      <w:r w:rsidRPr="00130EEF">
        <w:rPr>
          <w:color w:val="000000" w:themeColor="text1"/>
        </w:rPr>
        <w:t>the Shapiro-Wilk test</w:t>
      </w:r>
      <w:r w:rsidR="004C7055" w:rsidRPr="00130EEF">
        <w:rPr>
          <w:color w:val="000000" w:themeColor="text1"/>
        </w:rPr>
        <w:t xml:space="preserve">. </w:t>
      </w:r>
      <w:r w:rsidR="005332DD" w:rsidRPr="00130EEF">
        <w:rPr>
          <w:color w:val="000000" w:themeColor="text1"/>
        </w:rPr>
        <w:t>In case</w:t>
      </w:r>
      <w:r w:rsidR="009C2B5E" w:rsidRPr="00130EEF">
        <w:rPr>
          <w:color w:val="000000" w:themeColor="text1"/>
        </w:rPr>
        <w:t>s where the</w:t>
      </w:r>
      <w:r w:rsidR="005332DD" w:rsidRPr="00130EEF">
        <w:rPr>
          <w:color w:val="000000" w:themeColor="text1"/>
        </w:rPr>
        <w:t xml:space="preserve"> data </w:t>
      </w:r>
      <w:r w:rsidR="004C7055" w:rsidRPr="00130EEF">
        <w:rPr>
          <w:color w:val="000000" w:themeColor="text1"/>
        </w:rPr>
        <w:t xml:space="preserve">did not approximate </w:t>
      </w:r>
      <w:r w:rsidR="00314645" w:rsidRPr="00130EEF">
        <w:rPr>
          <w:color w:val="000000" w:themeColor="text1"/>
        </w:rPr>
        <w:t xml:space="preserve">to </w:t>
      </w:r>
      <w:r w:rsidR="004C7055" w:rsidRPr="00130EEF">
        <w:rPr>
          <w:color w:val="000000" w:themeColor="text1"/>
        </w:rPr>
        <w:t>a normal distribution</w:t>
      </w:r>
      <w:r w:rsidR="009C2B5E" w:rsidRPr="00130EEF">
        <w:rPr>
          <w:color w:val="000000" w:themeColor="text1"/>
        </w:rPr>
        <w:t xml:space="preserve">, data </w:t>
      </w:r>
      <w:r w:rsidR="007F7A53" w:rsidRPr="00130EEF">
        <w:rPr>
          <w:color w:val="000000" w:themeColor="text1"/>
        </w:rPr>
        <w:t>was log</w:t>
      </w:r>
      <w:r w:rsidRPr="00130EEF">
        <w:rPr>
          <w:color w:val="000000" w:themeColor="text1"/>
        </w:rPr>
        <w:t xml:space="preserve">-transformed and re-checked for normality prior to analysis by ANOVA </w:t>
      </w:r>
      <w:r w:rsidR="006F0F5C" w:rsidRPr="00130EEF">
        <w:rPr>
          <w:color w:val="000000" w:themeColor="text1"/>
        </w:rPr>
        <w:t>test</w:t>
      </w:r>
      <w:r w:rsidR="00F7185A" w:rsidRPr="00130EEF">
        <w:rPr>
          <w:color w:val="000000" w:themeColor="text1"/>
        </w:rPr>
        <w:t xml:space="preserve"> with Bonferroni correction for multiple comparisons</w:t>
      </w:r>
      <w:r w:rsidR="006F0F5C" w:rsidRPr="00130EEF">
        <w:rPr>
          <w:color w:val="000000" w:themeColor="text1"/>
        </w:rPr>
        <w:t>. For FA plasma</w:t>
      </w:r>
      <w:r w:rsidR="00FC1C1E" w:rsidRPr="00130EEF">
        <w:rPr>
          <w:color w:val="000000" w:themeColor="text1"/>
        </w:rPr>
        <w:t xml:space="preserve"> measurements</w:t>
      </w:r>
      <w:r w:rsidR="006F0F5C" w:rsidRPr="00130EEF">
        <w:rPr>
          <w:color w:val="000000" w:themeColor="text1"/>
        </w:rPr>
        <w:t xml:space="preserve">, animal food intake and body weight </w:t>
      </w:r>
      <w:r w:rsidR="008E6160" w:rsidRPr="00130EEF">
        <w:rPr>
          <w:rFonts w:eastAsia="Times New Roman"/>
          <w:color w:val="000000" w:themeColor="text1"/>
        </w:rPr>
        <w:t>Student’s unpaired T-test</w:t>
      </w:r>
      <w:r w:rsidR="006F0F5C" w:rsidRPr="00130EEF">
        <w:rPr>
          <w:rFonts w:eastAsia="Times New Roman"/>
          <w:color w:val="000000" w:themeColor="text1"/>
        </w:rPr>
        <w:t xml:space="preserve"> was used</w:t>
      </w:r>
      <w:r w:rsidR="00AB2A1A" w:rsidRPr="00130EEF">
        <w:rPr>
          <w:color w:val="000000" w:themeColor="text1"/>
        </w:rPr>
        <w:t xml:space="preserve">. </w:t>
      </w:r>
      <w:r w:rsidR="00F7185A" w:rsidRPr="00130EEF">
        <w:rPr>
          <w:color w:val="000000" w:themeColor="text1"/>
        </w:rPr>
        <w:t xml:space="preserve">All </w:t>
      </w:r>
      <w:r w:rsidR="000E3248" w:rsidRPr="00130EEF">
        <w:rPr>
          <w:color w:val="000000" w:themeColor="text1"/>
        </w:rPr>
        <w:t xml:space="preserve">data analyses from the embryo studies </w:t>
      </w:r>
      <w:r w:rsidR="00430B79" w:rsidRPr="00130EEF">
        <w:rPr>
          <w:color w:val="000000" w:themeColor="text1"/>
        </w:rPr>
        <w:t xml:space="preserve">were analysed in </w:t>
      </w:r>
      <w:r w:rsidR="00D72DCC" w:rsidRPr="00130EEF">
        <w:rPr>
          <w:color w:val="000000" w:themeColor="text1"/>
        </w:rPr>
        <w:t>parallel by</w:t>
      </w:r>
      <w:r w:rsidR="004C7055" w:rsidRPr="00130EEF">
        <w:rPr>
          <w:color w:val="000000" w:themeColor="text1"/>
        </w:rPr>
        <w:t xml:space="preserve"> </w:t>
      </w:r>
      <w:r w:rsidRPr="00130EEF">
        <w:rPr>
          <w:color w:val="000000" w:themeColor="text1"/>
        </w:rPr>
        <w:t xml:space="preserve">a multilevel random effect regression model </w:t>
      </w:r>
      <w:r w:rsidR="009C620D" w:rsidRPr="00130EEF">
        <w:rPr>
          <w:color w:val="000000" w:themeColor="text1"/>
        </w:rPr>
        <w:t xml:space="preserve">(supplementary Table S2) </w:t>
      </w:r>
      <w:r w:rsidR="00F410C8" w:rsidRPr="00130EEF">
        <w:rPr>
          <w:color w:val="000000" w:themeColor="text1"/>
        </w:rPr>
        <w:t xml:space="preserve">which takes into account the hierarchical nature of the data </w:t>
      </w:r>
      <w:r w:rsidR="00C8245B" w:rsidRPr="00130EEF">
        <w:rPr>
          <w:color w:val="000000" w:themeColor="text1"/>
        </w:rPr>
        <w:t>considering</w:t>
      </w:r>
      <w:r w:rsidR="00F410C8" w:rsidRPr="00130EEF">
        <w:rPr>
          <w:color w:val="000000" w:themeColor="text1"/>
        </w:rPr>
        <w:t xml:space="preserve"> between-</w:t>
      </w:r>
      <w:r w:rsidR="00C8245B" w:rsidRPr="00130EEF">
        <w:rPr>
          <w:color w:val="000000" w:themeColor="text1"/>
        </w:rPr>
        <w:t>dams</w:t>
      </w:r>
      <w:r w:rsidR="00C70EAA" w:rsidRPr="00130EEF">
        <w:rPr>
          <w:color w:val="000000" w:themeColor="text1"/>
        </w:rPr>
        <w:t xml:space="preserve"> </w:t>
      </w:r>
      <w:r w:rsidR="00F410C8" w:rsidRPr="00130EEF">
        <w:rPr>
          <w:color w:val="000000" w:themeColor="text1"/>
        </w:rPr>
        <w:t xml:space="preserve">and </w:t>
      </w:r>
      <w:r w:rsidR="00C8245B" w:rsidRPr="00130EEF">
        <w:rPr>
          <w:color w:val="000000" w:themeColor="text1"/>
        </w:rPr>
        <w:t>between</w:t>
      </w:r>
      <w:r w:rsidR="00F410C8" w:rsidRPr="00130EEF">
        <w:rPr>
          <w:color w:val="000000" w:themeColor="text1"/>
        </w:rPr>
        <w:t>-</w:t>
      </w:r>
      <w:r w:rsidR="00ED4AF6" w:rsidRPr="00130EEF">
        <w:rPr>
          <w:color w:val="000000" w:themeColor="text1"/>
        </w:rPr>
        <w:t>litter</w:t>
      </w:r>
      <w:r w:rsidR="00C70EAA" w:rsidRPr="00130EEF">
        <w:rPr>
          <w:color w:val="000000" w:themeColor="text1"/>
        </w:rPr>
        <w:t xml:space="preserve"> </w:t>
      </w:r>
      <w:r w:rsidR="00F410C8" w:rsidRPr="00130EEF">
        <w:rPr>
          <w:color w:val="000000" w:themeColor="text1"/>
        </w:rPr>
        <w:t>variation</w:t>
      </w:r>
      <w:r w:rsidR="00C8245B" w:rsidRPr="00130EEF">
        <w:rPr>
          <w:color w:val="000000" w:themeColor="text1"/>
        </w:rPr>
        <w:t>s</w:t>
      </w:r>
      <w:r w:rsidR="00F410C8" w:rsidRPr="00130EEF">
        <w:rPr>
          <w:color w:val="000000" w:themeColor="text1"/>
        </w:rPr>
        <w:t xml:space="preserve"> and </w:t>
      </w:r>
      <w:r w:rsidR="00C70EAA" w:rsidRPr="00130EEF">
        <w:rPr>
          <w:color w:val="000000" w:themeColor="text1"/>
        </w:rPr>
        <w:t xml:space="preserve">the </w:t>
      </w:r>
      <w:r w:rsidR="00F410C8" w:rsidRPr="00130EEF">
        <w:rPr>
          <w:color w:val="000000" w:themeColor="text1"/>
        </w:rPr>
        <w:t xml:space="preserve">different </w:t>
      </w:r>
      <w:r w:rsidR="00D45F91" w:rsidRPr="00130EEF">
        <w:rPr>
          <w:color w:val="000000" w:themeColor="text1"/>
        </w:rPr>
        <w:t>parameter</w:t>
      </w:r>
      <w:r w:rsidR="00DB0B42" w:rsidRPr="00130EEF">
        <w:rPr>
          <w:color w:val="000000" w:themeColor="text1"/>
        </w:rPr>
        <w:t>s</w:t>
      </w:r>
      <w:r w:rsidR="00F410C8" w:rsidRPr="00130EEF">
        <w:rPr>
          <w:color w:val="000000" w:themeColor="text1"/>
        </w:rPr>
        <w:t xml:space="preserve"> measure</w:t>
      </w:r>
      <w:r w:rsidR="00DB0B42" w:rsidRPr="00130EEF">
        <w:rPr>
          <w:color w:val="000000" w:themeColor="text1"/>
        </w:rPr>
        <w:t>d</w:t>
      </w:r>
      <w:r w:rsidR="00F410C8" w:rsidRPr="00130EEF">
        <w:rPr>
          <w:color w:val="000000" w:themeColor="text1"/>
        </w:rPr>
        <w:t xml:space="preserve"> from individual embryos</w:t>
      </w:r>
      <w:r w:rsidR="00C70EAA" w:rsidRPr="00130EEF">
        <w:rPr>
          <w:color w:val="000000" w:themeColor="text1"/>
        </w:rPr>
        <w:t xml:space="preserve"> including num</w:t>
      </w:r>
      <w:r w:rsidR="006F0F5C" w:rsidRPr="00130EEF">
        <w:rPr>
          <w:color w:val="000000" w:themeColor="text1"/>
        </w:rPr>
        <w:t>b</w:t>
      </w:r>
      <w:r w:rsidR="00C70EAA" w:rsidRPr="00130EEF">
        <w:rPr>
          <w:color w:val="000000" w:themeColor="text1"/>
        </w:rPr>
        <w:t xml:space="preserve">er of cells, gene expression and </w:t>
      </w:r>
      <w:r w:rsidR="003E2390" w:rsidRPr="00130EEF">
        <w:rPr>
          <w:color w:val="000000" w:themeColor="text1"/>
        </w:rPr>
        <w:t>immunofluorescence</w:t>
      </w:r>
      <w:r w:rsidR="004C7055" w:rsidRPr="00130EEF">
        <w:rPr>
          <w:color w:val="000000" w:themeColor="text1"/>
        </w:rPr>
        <w:t>.</w:t>
      </w:r>
      <w:r w:rsidR="00F410C8" w:rsidRPr="00130EEF">
        <w:rPr>
          <w:color w:val="000000" w:themeColor="text1"/>
        </w:rPr>
        <w:t xml:space="preserve"> </w:t>
      </w:r>
      <w:r w:rsidR="00C70EAA" w:rsidRPr="00130EEF">
        <w:rPr>
          <w:rFonts w:cstheme="minorHAnsi"/>
          <w:color w:val="000000" w:themeColor="text1"/>
          <w:shd w:val="clear" w:color="auto" w:fill="FFFFFF"/>
        </w:rPr>
        <w:t xml:space="preserve">This regression model accounting for embryo number has been widely used previously  </w:t>
      </w:r>
      <w:r w:rsidR="00C70EAA" w:rsidRPr="00130EEF">
        <w:rPr>
          <w:rFonts w:cstheme="minorHAnsi"/>
          <w:color w:val="000000" w:themeColor="text1"/>
          <w:shd w:val="clear" w:color="auto" w:fill="FFFFFF"/>
        </w:rPr>
        <w:fldChar w:fldCharType="begin" w:fldLock="1"/>
      </w:r>
      <w:r w:rsidR="00C05664" w:rsidRPr="00130EEF">
        <w:rPr>
          <w:rFonts w:cstheme="minorHAnsi"/>
          <w:color w:val="000000" w:themeColor="text1"/>
          <w:shd w:val="clear" w:color="auto" w:fill="FFFFFF"/>
        </w:rPr>
        <w:instrText>ADDIN CSL_CITATION {"citationItems":[{"id":"ITEM-1","itemData":{"DOI":"10.1095/biolreprod.107.064220","ISBN":"0006-3363 (Print)\\r0006-3363 (Linking)","ISSN":"0006-3363","PMID":"17989357","abstract":"Poor maternal nutrition during pregnancy can alter postnatal phenotype and increase susceptibility to adult cardiovascular and metabolic diseases. However, underlying mechanisms are largely unknown. Here, we show that maternal low protein diet (LPD), fed exclusively during mouse preimplantation development, leads to offspring with increased weight from birth, sustained hypertension, and abnormal anxiety-related behavior, especially in females. These adverse outcomes were interrelated with increased perinatal weight being predictive of later adult overweight and hypertension. Embryo transfer experiments revealed that the increase in perinatal weight was induced within blastocysts responding to preimplantation LPD, independent of subsequent maternal environment during later pregnancy. We further identified the embryo-derived visceral yolk sac endoderm (VYSE) as one mediator of this response. VYSE contributes to fetal growth through endocytosis of maternal proteins, mainly via the multiligand megalin (LRP2) receptor and supply of liberated amino acids. Thus, LPD maintained throughout gestation stimulated VYSE nutrient transport capacity and megalin expression in late pregnancy, with enhanced megalin expression evident even when LPD was limited to the preimplantation period. Our results demonstrate that in a nutrient-restricted environment, the preimplantation embryo activates physiological mechanisms of developmental plasticity to stablize conceptus growth and enhance postnatal fitness. However, activation of such responses may also lead to adult excess growth and cardiovascular and behavioral diseases.","author":[{"dropping-particle":"","family":"Watkins","given":"Adam J","non-dropping-particle":"","parse-names":false,"suffix":""},{"dropping-particle":"","family":"Ursell","given":"Elizabeth","non-dropping-particle":"","parse-names":false,"suffix":""},{"dropping-particle":"","family":"Panton","given":"Rose","non-dropping-particle":"","parse-names":false,"suffix":""},{"dropping-particle":"","family":"Papenbrock","given":"Thomas","non-dropping-particle":"","parse-names":false,"suffix":""},{"dropping-particle":"","family":"Hollis","given":"Lisa","non-dropping-particle":"","parse-names":false,"suffix":""},{"dropping-particle":"","family":"Cunningham","given":"Colm","non-dropping-particle":"","parse-names":false,"suffix":""},{"dropping-particle":"","family":"Wilkins","given":"Adrian","non-dropping-particle":"","parse-names":false,"suffix":""},{"dropping-particle":"","family":"Perry","given":"V Hugh","non-dropping-particle":"","parse-names":false,"suffix":""},{"dropping-particle":"","family":"Sheth","given":"Bhavwanti","non-dropping-particle":"","parse-names":false,"suffix":""},{"dropping-particle":"","family":"Kwong","given":"Wing Yee","non-dropping-particle":"","parse-names":false,"suffix":""},{"dropping-particle":"","family":"Eckert","given":"Judith J","non-dropping-particle":"","parse-names":false,"suffix":""},{"dropping-particle":"","family":"Wild","given":"Arthur E","non-dropping-particle":"","parse-names":false,"suffix":""},{"dropping-particle":"","family":"Hanson","given":"Mark a","non-dropping-particle":"","parse-names":false,"suffix":""},{"dropping-particle":"","family":"Osmond","given":"Clive","non-dropping-particle":"","parse-names":false,"suffix":""},{"dropping-particle":"","family":"Fleming","given":"Tom P","non-dropping-particle":"","parse-names":false,"suffix":""}],"container-title":"Biology of Reproduction","id":"ITEM-1","issue":"2","issued":{"date-parts":[["2008","2","1"]]},"page":"299-306","title":"Adaptive Responses by Mouse Early Embryos to Maternal Diet Protect Fetal Growth but Predispose to Adult Onset Disease1","type":"article-journal","volume":"78"},"uris":["http://www.mendeley.com/documents/?uuid=64d7941e-3486-4693-b12a-43b0a2281638"]},{"id":"ITEM-2","itemData":{"DOI":"10.1113/jphysiol.2007.149229","ISBN":"1469-7793 (Electronic)\\r0022-3751 (Linking)","ISSN":"00223751","PMID":"18308825","abstract":"Early embryonic development is known to be susceptible to maternal undernutrition, leading to a disease-related postnatal phenotype. To determine whether this sensitivity extended into oocyte development, we examined the effect of maternal normal protein diet (18% casein; NPD) or isocaloric low protein diet (9% casein; LPD) restricted to one ovulatory cycle (3.5 days) prior to natural mating in female MF-1 mice. After mating, all females received NPD for the remainder of gestation and all offspring were litter size adjusted and fed standard chow. No difference in gestation length, litter size, sex ratio or postnatal growth was observed between treatments. Maternal LPD did, however, induce abnormal anxiety-related behaviour in open field activities in male and female offspring (P &lt; 0.05). Maternal LPD offspring also exhibited elevated systolic blood pressure (SBP) in males at 9 and 15 weeks and in both sexes at 21 weeks (P &lt; 0.05). Male LPD offspring hypertension was accompanied by attenuated arterial responsiveness in vitro to vasodilators acetylcholine and isoprenaline (P &lt; 0.05). LPD female offspring adult kidneys were also smaller, but had increased nephron numbers (P &lt; 0.05). Moreover, the relationship between SBP and kidney or heart size or nephron number was altered by diet treatment (P &lt; 0.05). These data demonstrate the sensitivity of mouse maturing oocytes in vivo to maternal protein undernutrition and identify both behavioural and cardiovascular postnatal outcomes, indicative of adult disease. These outcomes probably derive from a direct effect of protein restriction, although indirect stress mechanisms may also be contributory. Similar and distinct postnatal outcomes were observed here compared with maternal LPD treatment during post-fertilization preimplantation development which may reflect the relative contribution of the paternal genome.","author":[{"dropping-particle":"","family":"Watkins","given":"Adam J","non-dropping-particle":"","parse-names":false,"suffix":""},{"dropping-particle":"","family":"Wilkins","given":"Adrian","non-dropping-particle":"","parse-names":false,"suffix":""},{"dropping-particle":"","family":"Cunningham","given":"Colm","non-dropping-particle":"","parse-names":false,"suffix":""},{"dropping-particle":"","family":"Perry","given":"V Hugh","non-dropping-particle":"","parse-names":false,"suffix":""},{"dropping-particle":"","family":"Seet","given":"Meei J","non-dropping-particle":"","parse-names":false,"suffix":""},{"dropping-particle":"","family":"Osmond","given":"Clive","non-dropping-particle":"","parse-names":false,"suffix":""},{"dropping-particle":"","family":"Eckert","given":"Judith J","non-dropping-particle":"","parse-names":false,"suffix":""},{"dropping-particle":"","family":"Torrens","given":"Christopher","non-dropping-particle":"","parse-names":false,"suffix":""},{"dropping-particle":"","family":"Cagampang","given":"Felino R a","non-dropping-particle":"","parse-names":false,"suffix":""},{"dropping-particle":"","family":"Cleal","given":"Jane","non-dropping-particle":"","parse-names":false,"suffix":""},{"dropping-particle":"","family":"Gray","given":"William P","non-dropping-particle":"","parse-names":false,"suffix":""},{"dropping-particle":"","family":"Hanson","given":"Mark a","non-dropping-particle":"","parse-names":false,"suffix":""},{"dropping-particle":"","family":"Fleming","given":"Tom P","non-dropping-particle":"","parse-names":false,"suffix":""}],"container-title":"The Journal of Physiology","id":"ITEM-2","issue":"8","issued":{"date-parts":[["2008","4","15"]]},"page":"2231-2244","title":"Low protein diet fed exclusively during mouse oocyte maturation leads to behavioural and cardiovascular abnormalities in offspring","type":"article-journal","volume":"586"},"uris":["http://www.mendeley.com/documents/?uuid=e7dd98a9-b7f6-4df3-aa07-1396a310ce57"]},{"id":"ITEM-3","itemData":{"DOI":"10.1073/pnas.0610317104","ISBN":"0027-8424 (Print)\\r0027-8424 (Linking)","ISSN":"0027-8424","PMID":"17372207","abstract":"A key factor in the use of assisted reproductive technologies (ART) for diverse species is the safety of procedures for long-term health. By using a mouse model, we have investigated the effect of in vitro culture and embryo transfer (ET) of superovulated embryos on postnatal growth and physiological activity compared with that of embryos developing in vivo. Embryo culture from two-cell to blastocyst stages in T6 medium either with or without a protein source reduced blastocyst trophectoderm and inner cell mass cell number compared with that of embryos developing in vivo. Embryo culture and ET had minimal effects on postnatal growth when compared with in vivo development with an equivalent litter size. However, embryo culture, and to a lesser extent ET, led to an enhanced systolic blood pressure at 21 weeks compared with in vivo development independent of litter size, maternal origin, or body weight. Moreover, activity of enzymatic regulators of cardiovascular and metabolic physiology, namely, serum angiotensin-converting enzyme and the gluconeogenesis controller, hepatic phosphoenolpyruvate carboxykinase, were significantly elevated in response to embryo culture and/or ET in female offspring at 27 weeks, independent of maternal factors and postnatal growth. These animal data indicate that postnatal physiological criteria important in cardiovascular and metabolic health may be more sensitive to routine ART procedures than growth.","author":[{"dropping-particle":"","family":"Watkins","given":"Adam J","non-dropping-particle":"","parse-names":false,"suffix":""},{"dropping-particle":"","family":"Platt","given":"Duncan","non-dropping-particle":"","parse-names":false,"suffix":""},{"dropping-particle":"","family":"Papenbrock","given":"Tom","non-dropping-particle":"","parse-names":false,"suffix":""},{"dropping-particle":"","family":"Wilkins","given":"Adrian","non-dropping-particle":"","parse-names":false,"suffix":""},{"dropping-particle":"","family":"Eckert","given":"Judith J","non-dropping-particle":"","parse-names":false,"suffix":""},{"dropping-particle":"","family":"Kwong","given":"Wing Yee","non-dropping-particle":"","parse-names":false,"suffix":""},{"dropping-particle":"","family":"Osmond","given":"Clive","non-dropping-particle":"","parse-names":false,"suffix":""},{"dropping-particle":"","family":"Hanson","given":"Mark","non-dropping-particle":"","parse-names":false,"suffix":""},{"dropping-particle":"","family":"Fleming","given":"Tom P","non-dropping-particle":"","parse-names":false,"suffix":""}],"container-title":"Proceedings of the National Academy of Sciences","id":"ITEM-3","issue":"13","issued":{"date-parts":[["2007","3","27"]]},"page":"5449-5454","title":"Mouse embryo culture induces changes in postnatal phenotype including raised systolic blood pressure","type":"article-journal","volume":"104"},"uris":["http://www.mendeley.com/documents/?uuid=d6bfd25e-3ba3-472b-a040-22ab0ba5cf6a"]},{"id":"ITEM-4","itemData":{"DOI":"10.1017/S0007114509993783","ISBN":"0007114509993","ISSN":"0007-1145","PMID":"20128937","abstract":"Environmental perturbations during early mammalian development can affect aspects of offspring growth and cardiovascular health. We have demonstrated previously that maternal gestational dietary protein restriction in mice significantly elevated adult offspring systolic blood pressure. Therefore, the present study investigates the key mechanisms of blood pressure regulation in these mice. Following mating, female MF-1 mice were assigned to either a normal-protein diet (NPD; 18 % casein) or an isocaloric low-protein diet throughout gestation (LPD; 9 % casein), or fed the LPD exclusively during the pre-implantation period (3.5 d) before returning to the NPD for the remainder of gestation (Emb-LPD). All offspring received standard chow. At 22 weeks, isolated mesenteric arteries from LPD and Emb-LPD males displayed significantly attenuated vasodilatation to isoprenaline (P = 0.04 and P = 0.025, respectively), when compared with NPD arteries. At 28 weeks, stereological analysis of glomerular number in female left kidneys revealed no significant difference between the groups. Real-time RT-PCR analysis of type 1a angiotensin II receptor, Na+/K+ ATPase transporter subunits and glucocorticoid receptor expression in male and female left kidneys revealed no significant differences between the groups. LPD females displayed elevated serum angiotensin-converting enzyme (ACE) activity (P = 0.044), whilst Emb-LPD males had elevated lung ACE activity (P = 0.001), when compared with NPD offspring. These data demonstrate that elevated offspring systolic blood pressure following maternal gestational protein undernutrition is associated with impaired arterial vasodilatation in male offspring, elevated serum and lung ACE activity in female and male offspring, respectively, but kidney glomerular number in females and kidney gene expression in male and female offspring appear unaffected.","author":[{"dropping-particle":"","family":"Watkins","given":"Adam J","non-dropping-particle":"","parse-names":false,"suffix":""},{"dropping-particle":"","family":"Lucas","given":"Emma S","non-dropping-particle":"","parse-names":false,"suffix":""},{"dropping-particle":"","family":"Torrens","given":"Christopher","non-dropping-particle":"","parse-names":false,"suffix":""},{"dropping-particle":"","family":"Cleal","given":"Jane K","non-dropping-particle":"","parse-names":false,"suffix":""},{"dropping-particle":"","family":"Green","given":"Lauren","non-dropping-particle":"","parse-names":false,"suffix":""},{"dropping-particle":"","family":"Osmond","given":"Clive","non-dropping-particle":"","parse-names":false,"suffix":""},{"dropping-particle":"","family":"Eckert","given":"Judith J","non-dropping-particle":"","parse-names":false,"suffix":""},{"dropping-particle":"","family":"Gray","given":"William P","non-dropping-particle":"","parse-names":false,"suffix":""},{"dropping-particle":"","family":"Hanson","given":"Mark a","non-dropping-particle":"","parse-names":false,"suffix":""},{"dropping-particle":"","family":"Fleming","given":"Tom P","non-dropping-particle":"","parse-names":false,"suffix":""}],"container-title":"British Journal of Nutrition","id":"ITEM-4","issue":"12","issued":{"date-parts":[["2010","6","4"]]},"page":"1762-1770","title":"Maternal low-protein diet during mouse pre-implantation development induces vascular dysfunction and altered renin–angiotensin-system homeostasis in the offspring","type":"article-journal","volume":"103"},"uris":["http://www.mendeley.com/documents/?uuid=0c0cd750-16c0-4497-8026-298225ce653e"]},{"id":"ITEM-5","itemData":{"DOI":"10.1371/journal.pone.0028745","ISBN":"1932-6203","ISSN":"1932-6203","PMID":"22194901","abstract":"Human and animal studies have revealed a strong association between periconceptional environmental factors, such as poor maternal diet, and an increased propensity for cardiovascular and metabolic disease in adult offspring. Previously, we reported cardiovascular and physiological effects of maternal low protein diet (LPD) fed during discrete periods of periconceptional development on 6-month-old mouse offspring. Here, we extend the analysis in 1 year aging offspring, evaluating mechanisms regulating growth and adiposity. Isocaloric LPD (9% casein) or normal protein diet (18% casein; NPD) was fed to female MF-1 mice either exclusively during oocyte maturation (for 3.5 days prior to mating; Egg-LPD, Egg-NPD, respectively), throughout gestation (LPD, NPD) or exclusively during preimplantation development (for 3.5 days post mating; Emb-LPD). LPD and Emb-LPD female offspring were significantly lighter and heavier than NPD females respectively for up to 52 weeks. Egg-LPD, LPD and Emb-LPD offspring displayed significantly elevated systolic blood pressure at 52 weeks compared to respective controls (Egg-NPD, NPD). LPD females had significantly reduced inguinal and retroperitoneal fat pad: body weight ratios compared to NPD females. Expression of the insulin receptor (Insr) and insulin-like growth factor I receptor (Igf1r) in retroperitoneal fat was significantly elevated in Emb-LPD females (P&lt;0.05), whilst Emb-LPD males displayed significantly decreased expression of the mitochondrial uncoupling protein 1 (Ucp1) gene compared to NPD offspring. LPD females displayed significantly increased expression of Ucp1 in interscapular brown adipose tissue when compared to NPD offspring. Our results demonstrate that aging offspring body weight, cardiovascular and adiposity homeostasis can be programmed by maternal periconceptional nutrition. These adverse outcomes further exemplify the criticality of dietary behaviour around the time of conception on long-term offspring health","author":[{"dropping-particle":"","family":"Watkins","given":"Adam J.","non-dropping-particle":"","parse-names":false,"suffix":""},{"dropping-particle":"","family":"Lucas","given":"Emma S.","non-dropping-particle":"","parse-names":false,"suffix":""},{"dropping-particle":"","family":"Wilkins","given":"Adrian","non-dropping-particle":"","parse-names":false,"suffix":""},{"dropping-particle":"","family":"Cagampang","given":"Felino R a","non-dropping-particle":"","parse-names":false,"suffix":""},{"dropping-particle":"","family":"Fleming","given":"Tom P.","non-dropping-particle":"","parse-names":false,"suffix":""}],"container-title":"PLoS ONE","editor":[{"dropping-particle":"","family":"Milstone","given":"David S.","non-dropping-particle":"","parse-names":false,"suffix":""}],"id":"ITEM-5","issue":"12","issued":{"date-parts":[["2011","12","15"]]},"page":"e28745","title":"Maternal Periconceptional and Gestational Low Protein Diet Affects Mouse Offspring Growth, Cardiovascular and Adipose Phenotype at 1 Year of Age","type":"article-journal","volume":"6"},"uris":["http://www.mendeley.com/documents/?uuid=061b0b56-9221-4d37-9521-920fbbae422f"]},{"id":"ITEM-6","itemData":{"DOI":"10.1016/j.bbadis.2017.11.020","ISSN":"1879260X","PMID":"29196239","abstract":"Mouse maternal low protein diet exclusively during preimplantation development (Emb-LPD) is sufficient to programme altered growth and cardiovascular dysfunction in offspring. Here, we use an in vitro model comprising preimplantation culture in medium depleted in insulin and branched-chain amino acids (BCAA), two proposed embryo programming inductive factors from Emb-LPD studies, to examine the consequences for blastocyst organisation and, after embryo transfer (ET), postnatal disease origin. Two-cell embryos were cultured to blastocyst stage in defined KSOM medium supplemented with four combinations of insulin and BCAA concentrations. Control medium contained serum insulin and uterine luminal fluid amino acid concentrations (including BCAA) found in control mothers from the maternal diet model (N-insulin + N-bcaa). Experimental medium (three groups) contained 50% reduction in insulin and/or BCAA (L-insulin + N-bcaa, N-insulin + L-bcaa, and L-insulin + N-bcaa). Lineage-specific cell numbers of resultant blastocysts were not affected by treatment. Following ET, a combined depletion of insulin and BCAA during embryo culture induced a non sex-specific increase in birth weight and weight gain during early postnatal life. Furthermore, male offspring displayed relative hypertension and female offspring reduced heart/body weight, both characteristics of Emb-LPD offspring. Combined depletion of metabolites also resulted in a strong positive correlation between body weight and glucose metabolism that was absent in the control group. Our results support the notion that composition of preimplantation culture medium can programme development and associate with disease origin affecting postnatal growth and cardiovascular phenotypes and implicate two important nutritional mediators in the inductive mechanism. Our data also have implications for human assisted reproductive treatment (ART) practice.","author":[{"dropping-particle":"","family":"Velazquez","given":"Miguel A.","non-dropping-particle":"","parse-names":false,"suffix":""},{"dropping-particle":"","family":"Sheth","given":"Bhavwanti","non-dropping-particle":"","parse-names":false,"suffix":""},{"dropping-particle":"","family":"Smith","given":"Stephanie J.","non-dropping-particle":"","parse-names":false,"suffix":""},{"dropping-particle":"","family":"Eckert","given":"Judith J.","non-dropping-particle":"","parse-names":false,"suffix":""},{"dropping-particle":"","family":"Osmond","given":"Clive","non-dropping-particle":"","parse-names":false,"suffix":""},{"dropping-particle":"","family":"Fleming","given":"Tom P.","non-dropping-particle":"","parse-names":false,"suffix":""}],"container-title":"Biochimica et Biophysica Acta - Molecular Basis of Disease","id":"ITEM-6","issue":"2","issued":{"date-parts":[["2018"]]},"page":"590-600","publisher":"Elsevier","title":"Insulin and branched-chain amino acid depletion during mouse preimplantation embryo culture programmes body weight gain and raised blood pressure during early postnatal life","type":"article-journal","volume":"1864"},"uris":["http://www.mendeley.com/documents/?uuid=fcbb7881-dd8e-4947-91dc-5662f20f23de"]},{"id":"ITEM-7","itemData":{"DOI":"10.1186/1741-7007-9-49","ISBN":"1741-7007","ISSN":"1741-7007","PMID":"21933452","abstract":"The combination of molecular sequence data and bioinformatics has revolutionized phylogenetic inference over the past decade, vastly increasing the scope of the evolutionary trees that we are able to infer. A recent paper in BMC Biology describing a new phylogenomic pipeline to help automate the inference of evolutionary trees from public sequence databases provides another important tool in our efforts to derive the Tree of Life.","author":[{"dropping-particle":"","family":"Williams","given":"Charlotte L","non-dropping-particle":"","parse-names":false,"suffix":""},{"dropping-particle":"","family":"Teeling","given":"Jessica L","non-dropping-particle":"","parse-names":false,"suffix":""},{"dropping-particle":"","family":"Perry","given":"V Hugh","non-dropping-particle":"","parse-names":false,"suffix":""},{"dropping-particle":"","family":"Fleming","given":"Tom P","non-dropping-particle":"","parse-names":false,"suffix":""}],"container-title":"BMC Biology","id":"ITEM-7","issue":"1","issued":{"date-parts":[["2011"]]},"page":"49","publisher":"BioMed Central Ltd","title":"Mouse maternal systemic inflammation at the zygote stage causes blunted cytokine responsiveness in lipopolysaccharide-challenged adult offspring","type":"article-journal","volume":"9"},"uris":["http://www.mendeley.com/documents/?uuid=bb35d927-a320-4773-a0c4-1d153d3baaba"]},{"id":"ITEM-8","itemData":{"DOI":"10.1016/S1472-6483(10)61105-4","ISSN":"14726483","abstract":"In response to a recent published in Reproductive BioMedicine Online by Walters and Edwards (2003), this study reports the application of a random effects regression analysis for evaluation of integrated data involving maternal and embryo/offspring components. Using this method, it is possible to confirm the conclussions of an earlier study that rat maternal undernutrition during the preimplantation period results in bastocyst cell number redution and post-natal outcomes, including altered growth rates and elevated blood pressure.","author":[{"dropping-particle":"","family":"Kwong","given":"W Y","non-dropping-particle":"","parse-names":false,"suffix":""},{"dropping-particle":"","family":"Osmond","given":"C","non-dropping-particle":"","parse-names":false,"suffix":""},{"dropping-particle":"","family":"Fleming","given":"T P","non-dropping-particle":"","parse-names":false,"suffix":""}],"container-title":"Reproductive BioMedicine Online","id":"ITEM-8","issue":"5","issued":{"date-parts":[["2004"]]},"page":"574-576","publisher":"Reproductive Healthcare Ltd, Duck End Farm, Dry Drayton, Cambridge CB23 8DB, UK","title":"Support for Barker hypothesis upheld in rat model of maternal undernutrition during the preimplantation period: Application of integrated 'random effects' statistical model","type":"article-journal","volume":"8"},"uris":["http://www.mendeley.com/documents/?uuid=b4de8422-e8c7-4d6d-a93f-e6fb82eb7ff7"]}],"mendeley":{"formattedCitation":"(Kwong, Osmond, &amp; Fleming, 2004; Miguel A. Velazquez et al., 2018; Watkins et al., 2010; Watkins, Lucas, Wilkins, Cagampang, &amp; Fleming, 2011; Watkins et al., 2007; Watkins, Ursell, et al., 2008; Watkins, Wilkins, et al., 2008; C. L. Williams, Teeling, Perry, &amp; Fleming, 2011)","plainTextFormattedCitation":"(Kwong, Osmond, &amp; Fleming, 2004; Miguel A. Velazquez et al., 2018; Watkins et al., 2010; Watkins, Lucas, Wilkins, Cagampang, &amp; Fleming, 2011; Watkins et al., 2007; Watkins, Ursell, et al., 2008; Watkins, Wilkins, et al., 2008; C. L. Williams, Teeling, Perry, &amp; Fleming, 2011)","previouslyFormattedCitation":"(Kwong, Osmond, &amp; Fleming, 2004; Miguel A. Velazquez et al., 2018; Watkins et al., 2010; Watkins, Lucas, Wilkins, Cagampang, &amp; Fleming, 2011; Watkins et al., 2007; Watkins, Ursell, et al., 2008; Watkins, Wilkins, et al., 2008; C. L. Williams et al., 2011)"},"properties":{"noteIndex":0},"schema":"https://github.com/citation-style-language/schema/raw/master/csl-citation.json"}</w:instrText>
      </w:r>
      <w:r w:rsidR="00C70EAA" w:rsidRPr="00130EEF">
        <w:rPr>
          <w:rFonts w:cstheme="minorHAnsi"/>
          <w:color w:val="000000" w:themeColor="text1"/>
          <w:shd w:val="clear" w:color="auto" w:fill="FFFFFF"/>
        </w:rPr>
        <w:fldChar w:fldCharType="separate"/>
      </w:r>
      <w:r w:rsidR="00C05664" w:rsidRPr="00130EEF">
        <w:rPr>
          <w:rFonts w:cstheme="minorHAnsi"/>
          <w:noProof/>
          <w:color w:val="000000" w:themeColor="text1"/>
          <w:shd w:val="clear" w:color="auto" w:fill="FFFFFF"/>
        </w:rPr>
        <w:t>(Kwong, Osmond, &amp; Fleming, 2004; Miguel A. Velazquez et al., 2018; Watkins et al., 2010; Watkins, Lucas, Wilkins, Cagampang, &amp; Fleming, 2011; Watkins et al., 2007; Watkins, Ursell, et al., 2008; Watkins, Wilkins, et al., 2008; C. L. Williams, Teeling, Perry, &amp; Fleming, 2011)</w:t>
      </w:r>
      <w:r w:rsidR="00C70EAA" w:rsidRPr="00130EEF">
        <w:rPr>
          <w:rFonts w:cstheme="minorHAnsi"/>
          <w:color w:val="000000" w:themeColor="text1"/>
          <w:shd w:val="clear" w:color="auto" w:fill="FFFFFF"/>
        </w:rPr>
        <w:fldChar w:fldCharType="end"/>
      </w:r>
      <w:r w:rsidR="00C70EAA" w:rsidRPr="00130EEF">
        <w:rPr>
          <w:rFonts w:cstheme="minorHAnsi"/>
          <w:color w:val="000000" w:themeColor="text1"/>
          <w:shd w:val="clear" w:color="auto" w:fill="FFFFFF"/>
        </w:rPr>
        <w:t>.</w:t>
      </w:r>
      <w:r w:rsidR="00EE4905" w:rsidRPr="00130EEF">
        <w:rPr>
          <w:rFonts w:cstheme="minorHAnsi"/>
          <w:color w:val="000000" w:themeColor="text1"/>
          <w:shd w:val="clear" w:color="auto" w:fill="FFFFFF"/>
        </w:rPr>
        <w:t xml:space="preserve"> Both ANOVA (reported in tables and figures in main manuscript) and </w:t>
      </w:r>
      <w:r w:rsidR="00C13FD2" w:rsidRPr="00130EEF">
        <w:rPr>
          <w:rFonts w:cstheme="minorHAnsi"/>
          <w:color w:val="000000" w:themeColor="text1"/>
          <w:shd w:val="clear" w:color="auto" w:fill="FFFFFF"/>
        </w:rPr>
        <w:t xml:space="preserve">the </w:t>
      </w:r>
      <w:r w:rsidR="00EE4905" w:rsidRPr="00130EEF">
        <w:rPr>
          <w:rFonts w:cstheme="minorHAnsi"/>
          <w:color w:val="000000" w:themeColor="text1"/>
          <w:shd w:val="clear" w:color="auto" w:fill="FFFFFF"/>
        </w:rPr>
        <w:t xml:space="preserve">multi-level regression model (Supplementary Table 2) </w:t>
      </w:r>
      <w:proofErr w:type="gramStart"/>
      <w:r w:rsidR="00EE4905" w:rsidRPr="00130EEF">
        <w:rPr>
          <w:rFonts w:cstheme="minorHAnsi"/>
          <w:color w:val="000000" w:themeColor="text1"/>
          <w:shd w:val="clear" w:color="auto" w:fill="FFFFFF"/>
        </w:rPr>
        <w:t xml:space="preserve">gave </w:t>
      </w:r>
      <w:r w:rsidR="00C13FD2" w:rsidRPr="00130EEF">
        <w:rPr>
          <w:rFonts w:cstheme="minorHAnsi"/>
          <w:color w:val="000000" w:themeColor="text1"/>
          <w:shd w:val="clear" w:color="auto" w:fill="FFFFFF"/>
        </w:rPr>
        <w:t xml:space="preserve"> </w:t>
      </w:r>
      <w:r w:rsidR="00EE4905" w:rsidRPr="00130EEF">
        <w:rPr>
          <w:rFonts w:cstheme="minorHAnsi"/>
          <w:color w:val="000000" w:themeColor="text1"/>
          <w:shd w:val="clear" w:color="auto" w:fill="FFFFFF"/>
        </w:rPr>
        <w:t>similar</w:t>
      </w:r>
      <w:proofErr w:type="gramEnd"/>
      <w:r w:rsidR="00EE4905" w:rsidRPr="00130EEF">
        <w:rPr>
          <w:rFonts w:cstheme="minorHAnsi"/>
          <w:color w:val="000000" w:themeColor="text1"/>
          <w:shd w:val="clear" w:color="auto" w:fill="FFFFFF"/>
        </w:rPr>
        <w:t xml:space="preserve"> results.</w:t>
      </w:r>
    </w:p>
    <w:p w14:paraId="22BAFCF7" w14:textId="6EB5931A" w:rsidR="001B4FF3" w:rsidRPr="00130EEF" w:rsidRDefault="00AD4CEE" w:rsidP="008832E1">
      <w:pPr>
        <w:pStyle w:val="Heading1"/>
        <w:rPr>
          <w:color w:val="000000" w:themeColor="text1"/>
        </w:rPr>
      </w:pPr>
      <w:r w:rsidRPr="00130EEF">
        <w:rPr>
          <w:color w:val="000000" w:themeColor="text1"/>
        </w:rPr>
        <w:lastRenderedPageBreak/>
        <w:t>Results</w:t>
      </w:r>
    </w:p>
    <w:p w14:paraId="3BD67CFD" w14:textId="0052B204" w:rsidR="00AA16E6" w:rsidRPr="00130EEF" w:rsidRDefault="00C70588" w:rsidP="00AA16E6">
      <w:pPr>
        <w:pStyle w:val="Heading2"/>
        <w:rPr>
          <w:color w:val="000000" w:themeColor="text1"/>
        </w:rPr>
      </w:pPr>
      <w:r w:rsidRPr="00130EEF">
        <w:rPr>
          <w:color w:val="000000" w:themeColor="text1"/>
        </w:rPr>
        <w:t xml:space="preserve">Analysis of </w:t>
      </w:r>
      <w:r w:rsidR="00C81BA8" w:rsidRPr="00130EEF">
        <w:rPr>
          <w:color w:val="000000" w:themeColor="text1"/>
        </w:rPr>
        <w:t>plasma folate and folic acid concentrations</w:t>
      </w:r>
    </w:p>
    <w:p w14:paraId="12A9E99E" w14:textId="4957920D" w:rsidR="0041080D" w:rsidRPr="00130EEF" w:rsidRDefault="00C81BA8" w:rsidP="00F24712">
      <w:pPr>
        <w:spacing w:line="480" w:lineRule="auto"/>
        <w:rPr>
          <w:color w:val="000000" w:themeColor="text1"/>
        </w:rPr>
      </w:pPr>
      <w:r w:rsidRPr="00130EEF">
        <w:rPr>
          <w:color w:val="000000" w:themeColor="text1"/>
        </w:rPr>
        <w:t xml:space="preserve">Plasma folate and FA concentrations were measured at the end of the </w:t>
      </w:r>
      <w:proofErr w:type="gramStart"/>
      <w:r w:rsidR="00572AAA" w:rsidRPr="00130EEF">
        <w:rPr>
          <w:color w:val="000000" w:themeColor="text1"/>
        </w:rPr>
        <w:t>4</w:t>
      </w:r>
      <w:r w:rsidRPr="00130EEF">
        <w:rPr>
          <w:color w:val="000000" w:themeColor="text1"/>
        </w:rPr>
        <w:t xml:space="preserve"> week</w:t>
      </w:r>
      <w:proofErr w:type="gramEnd"/>
      <w:r w:rsidRPr="00130EEF">
        <w:rPr>
          <w:color w:val="000000" w:themeColor="text1"/>
        </w:rPr>
        <w:t xml:space="preserve"> </w:t>
      </w:r>
      <w:r w:rsidR="00D32FD3" w:rsidRPr="00130EEF">
        <w:rPr>
          <w:color w:val="000000" w:themeColor="text1"/>
        </w:rPr>
        <w:t xml:space="preserve">experimental period </w:t>
      </w:r>
      <w:r w:rsidRPr="00130EEF">
        <w:rPr>
          <w:color w:val="000000" w:themeColor="text1"/>
        </w:rPr>
        <w:t>prior to conception. FA (</w:t>
      </w:r>
      <w:r w:rsidR="001B5844" w:rsidRPr="00130EEF">
        <w:rPr>
          <w:i/>
          <w:iCs/>
          <w:color w:val="000000" w:themeColor="text1"/>
        </w:rPr>
        <w:t>p</w:t>
      </w:r>
      <w:r w:rsidRPr="00130EEF">
        <w:rPr>
          <w:color w:val="000000" w:themeColor="text1"/>
        </w:rPr>
        <w:t xml:space="preserve"> = 0.01)</w:t>
      </w:r>
      <w:r w:rsidR="00BB08AC" w:rsidRPr="00130EEF">
        <w:rPr>
          <w:color w:val="000000" w:themeColor="text1"/>
        </w:rPr>
        <w:t>,</w:t>
      </w:r>
      <w:r w:rsidRPr="00130EEF">
        <w:rPr>
          <w:color w:val="000000" w:themeColor="text1"/>
        </w:rPr>
        <w:t xml:space="preserve"> </w:t>
      </w:r>
      <w:proofErr w:type="spellStart"/>
      <w:r w:rsidRPr="00130EEF">
        <w:rPr>
          <w:color w:val="000000" w:themeColor="text1"/>
        </w:rPr>
        <w:t>mTHF</w:t>
      </w:r>
      <w:proofErr w:type="spellEnd"/>
      <w:r w:rsidRPr="00130EEF">
        <w:rPr>
          <w:color w:val="000000" w:themeColor="text1"/>
        </w:rPr>
        <w:t xml:space="preserve"> (</w:t>
      </w:r>
      <w:r w:rsidR="001B5844" w:rsidRPr="00130EEF">
        <w:rPr>
          <w:i/>
          <w:iCs/>
          <w:color w:val="000000" w:themeColor="text1"/>
        </w:rPr>
        <w:t>p</w:t>
      </w:r>
      <w:r w:rsidRPr="00130EEF">
        <w:rPr>
          <w:color w:val="000000" w:themeColor="text1"/>
        </w:rPr>
        <w:t xml:space="preserve"> &lt; 0.0001</w:t>
      </w:r>
      <w:r w:rsidR="00285705" w:rsidRPr="00130EEF">
        <w:rPr>
          <w:color w:val="000000" w:themeColor="text1"/>
        </w:rPr>
        <w:t>)</w:t>
      </w:r>
      <w:r w:rsidR="00BB08AC" w:rsidRPr="00130EEF">
        <w:rPr>
          <w:color w:val="000000" w:themeColor="text1"/>
        </w:rPr>
        <w:t xml:space="preserve"> and </w:t>
      </w:r>
      <w:proofErr w:type="spellStart"/>
      <w:r w:rsidR="00BB08AC" w:rsidRPr="00130EEF">
        <w:rPr>
          <w:color w:val="000000" w:themeColor="text1"/>
        </w:rPr>
        <w:t>pABG</w:t>
      </w:r>
      <w:proofErr w:type="spellEnd"/>
      <w:r w:rsidR="00BB08AC" w:rsidRPr="00130EEF">
        <w:rPr>
          <w:color w:val="000000" w:themeColor="text1"/>
        </w:rPr>
        <w:t xml:space="preserve"> (</w:t>
      </w:r>
      <w:r w:rsidR="00BB08AC" w:rsidRPr="00130EEF">
        <w:rPr>
          <w:i/>
          <w:iCs/>
          <w:color w:val="000000" w:themeColor="text1"/>
        </w:rPr>
        <w:t>p</w:t>
      </w:r>
      <w:r w:rsidR="00BB08AC" w:rsidRPr="00130EEF">
        <w:rPr>
          <w:color w:val="000000" w:themeColor="text1"/>
        </w:rPr>
        <w:t xml:space="preserve"> = 0.04) </w:t>
      </w:r>
      <w:r w:rsidR="00285705" w:rsidRPr="00130EEF">
        <w:rPr>
          <w:color w:val="000000" w:themeColor="text1"/>
        </w:rPr>
        <w:t>concentrations</w:t>
      </w:r>
      <w:r w:rsidRPr="00130EEF">
        <w:rPr>
          <w:color w:val="000000" w:themeColor="text1"/>
        </w:rPr>
        <w:t xml:space="preserve"> were</w:t>
      </w:r>
      <w:r w:rsidR="00BB08AC" w:rsidRPr="00130EEF">
        <w:rPr>
          <w:color w:val="000000" w:themeColor="text1"/>
        </w:rPr>
        <w:t xml:space="preserve"> all</w:t>
      </w:r>
      <w:r w:rsidRPr="00130EEF">
        <w:rPr>
          <w:color w:val="000000" w:themeColor="text1"/>
        </w:rPr>
        <w:t xml:space="preserve"> </w:t>
      </w:r>
      <w:r w:rsidR="00117C0D" w:rsidRPr="00130EEF">
        <w:rPr>
          <w:color w:val="000000" w:themeColor="text1"/>
        </w:rPr>
        <w:t xml:space="preserve">higher </w:t>
      </w:r>
      <w:r w:rsidRPr="00130EEF">
        <w:rPr>
          <w:color w:val="000000" w:themeColor="text1"/>
        </w:rPr>
        <w:t>in</w:t>
      </w:r>
      <w:r w:rsidR="001B4FF3" w:rsidRPr="00130EEF">
        <w:rPr>
          <w:color w:val="000000" w:themeColor="text1"/>
        </w:rPr>
        <w:t xml:space="preserve"> </w:t>
      </w:r>
      <w:r w:rsidRPr="00130EEF">
        <w:rPr>
          <w:color w:val="000000" w:themeColor="text1"/>
        </w:rPr>
        <w:t xml:space="preserve">plasma </w:t>
      </w:r>
      <w:r w:rsidR="001B4FF3" w:rsidRPr="00130EEF">
        <w:rPr>
          <w:color w:val="000000" w:themeColor="text1"/>
        </w:rPr>
        <w:t>from</w:t>
      </w:r>
      <w:r w:rsidR="00D32FD3" w:rsidRPr="00130EEF">
        <w:rPr>
          <w:color w:val="000000" w:themeColor="text1"/>
        </w:rPr>
        <w:t xml:space="preserve"> </w:t>
      </w:r>
      <w:r w:rsidRPr="00130EEF">
        <w:rPr>
          <w:color w:val="000000" w:themeColor="text1"/>
        </w:rPr>
        <w:t xml:space="preserve">animals </w:t>
      </w:r>
      <w:r w:rsidR="00D32FD3" w:rsidRPr="00130EEF">
        <w:rPr>
          <w:color w:val="000000" w:themeColor="text1"/>
        </w:rPr>
        <w:t xml:space="preserve">fed the </w:t>
      </w:r>
      <w:r w:rsidR="001B4FF3" w:rsidRPr="00130EEF">
        <w:rPr>
          <w:color w:val="000000" w:themeColor="text1"/>
        </w:rPr>
        <w:t>H</w:t>
      </w:r>
      <w:r w:rsidR="00D32FD3" w:rsidRPr="00130EEF">
        <w:rPr>
          <w:color w:val="000000" w:themeColor="text1"/>
        </w:rPr>
        <w:t xml:space="preserve">FA diet </w:t>
      </w:r>
      <w:r w:rsidRPr="00130EEF">
        <w:rPr>
          <w:color w:val="000000" w:themeColor="text1"/>
        </w:rPr>
        <w:t xml:space="preserve">compared to the </w:t>
      </w:r>
      <w:r w:rsidR="002E22C4" w:rsidRPr="00130EEF">
        <w:rPr>
          <w:color w:val="000000" w:themeColor="text1"/>
        </w:rPr>
        <w:t>Con</w:t>
      </w:r>
      <w:r w:rsidR="00221B7E" w:rsidRPr="00130EEF">
        <w:rPr>
          <w:color w:val="000000" w:themeColor="text1"/>
        </w:rPr>
        <w:t>trol</w:t>
      </w:r>
      <w:r w:rsidR="002E22C4" w:rsidRPr="00130EEF">
        <w:rPr>
          <w:color w:val="000000" w:themeColor="text1"/>
        </w:rPr>
        <w:t xml:space="preserve"> </w:t>
      </w:r>
      <w:r w:rsidRPr="00130EEF">
        <w:rPr>
          <w:color w:val="000000" w:themeColor="text1"/>
        </w:rPr>
        <w:t xml:space="preserve">group (Figure </w:t>
      </w:r>
      <w:r w:rsidR="0084218F" w:rsidRPr="00130EEF">
        <w:rPr>
          <w:color w:val="000000" w:themeColor="text1"/>
        </w:rPr>
        <w:t>2</w:t>
      </w:r>
      <w:proofErr w:type="gramStart"/>
      <w:r w:rsidRPr="00130EEF">
        <w:rPr>
          <w:color w:val="000000" w:themeColor="text1"/>
        </w:rPr>
        <w:t>A</w:t>
      </w:r>
      <w:r w:rsidR="00BB08AC" w:rsidRPr="00130EEF">
        <w:rPr>
          <w:color w:val="000000" w:themeColor="text1"/>
        </w:rPr>
        <w:t>,</w:t>
      </w:r>
      <w:r w:rsidRPr="00130EEF">
        <w:rPr>
          <w:color w:val="000000" w:themeColor="text1"/>
        </w:rPr>
        <w:t>C</w:t>
      </w:r>
      <w:proofErr w:type="gramEnd"/>
      <w:r w:rsidR="00BB08AC" w:rsidRPr="00130EEF">
        <w:rPr>
          <w:color w:val="000000" w:themeColor="text1"/>
        </w:rPr>
        <w:t>,E</w:t>
      </w:r>
      <w:r w:rsidRPr="00130EEF">
        <w:rPr>
          <w:color w:val="000000" w:themeColor="text1"/>
        </w:rPr>
        <w:t>).</w:t>
      </w:r>
      <w:r w:rsidR="00222243" w:rsidRPr="00130EEF">
        <w:rPr>
          <w:color w:val="000000" w:themeColor="text1"/>
        </w:rPr>
        <w:t xml:space="preserve"> </w:t>
      </w:r>
      <w:r w:rsidR="001B4FF3" w:rsidRPr="00130EEF">
        <w:rPr>
          <w:color w:val="000000" w:themeColor="text1"/>
        </w:rPr>
        <w:t xml:space="preserve">However, no significant change in the concentrations of </w:t>
      </w:r>
      <w:proofErr w:type="spellStart"/>
      <w:r w:rsidR="006023D2" w:rsidRPr="00130EEF">
        <w:rPr>
          <w:color w:val="000000" w:themeColor="text1"/>
        </w:rPr>
        <w:t>fTHF</w:t>
      </w:r>
      <w:proofErr w:type="spellEnd"/>
      <w:r w:rsidR="006F0F5C" w:rsidRPr="00130EEF">
        <w:rPr>
          <w:color w:val="000000" w:themeColor="text1"/>
        </w:rPr>
        <w:t xml:space="preserve"> (p = 0.59)</w:t>
      </w:r>
      <w:r w:rsidR="006023D2" w:rsidRPr="00130EEF">
        <w:rPr>
          <w:color w:val="000000" w:themeColor="text1"/>
        </w:rPr>
        <w:t xml:space="preserve">, </w:t>
      </w:r>
      <w:proofErr w:type="spellStart"/>
      <w:r w:rsidR="006023D2" w:rsidRPr="00130EEF">
        <w:rPr>
          <w:color w:val="000000" w:themeColor="text1"/>
        </w:rPr>
        <w:t>hm</w:t>
      </w:r>
      <w:r w:rsidR="00D20D65" w:rsidRPr="00130EEF">
        <w:rPr>
          <w:color w:val="000000" w:themeColor="text1"/>
        </w:rPr>
        <w:t>T</w:t>
      </w:r>
      <w:r w:rsidR="006023D2" w:rsidRPr="00130EEF">
        <w:rPr>
          <w:color w:val="000000" w:themeColor="text1"/>
        </w:rPr>
        <w:t>HF</w:t>
      </w:r>
      <w:proofErr w:type="spellEnd"/>
      <w:r w:rsidR="006F0F5C" w:rsidRPr="00130EEF">
        <w:rPr>
          <w:color w:val="000000" w:themeColor="text1"/>
        </w:rPr>
        <w:t xml:space="preserve"> (p = 0.85)</w:t>
      </w:r>
      <w:r w:rsidR="006023D2" w:rsidRPr="00130EEF">
        <w:rPr>
          <w:color w:val="000000" w:themeColor="text1"/>
        </w:rPr>
        <w:t xml:space="preserve"> and </w:t>
      </w:r>
      <w:proofErr w:type="spellStart"/>
      <w:r w:rsidR="006023D2" w:rsidRPr="00130EEF">
        <w:rPr>
          <w:color w:val="000000" w:themeColor="text1"/>
        </w:rPr>
        <w:t>apABG</w:t>
      </w:r>
      <w:proofErr w:type="spellEnd"/>
      <w:r w:rsidR="00D20D65" w:rsidRPr="00130EEF">
        <w:rPr>
          <w:color w:val="000000" w:themeColor="text1"/>
        </w:rPr>
        <w:t xml:space="preserve"> (p = 0.07)</w:t>
      </w:r>
      <w:r w:rsidR="00BB08AC" w:rsidRPr="00130EEF">
        <w:rPr>
          <w:color w:val="000000" w:themeColor="text1"/>
        </w:rPr>
        <w:t xml:space="preserve"> were found between groups</w:t>
      </w:r>
      <w:r w:rsidR="00F410C8" w:rsidRPr="00130EEF">
        <w:rPr>
          <w:color w:val="000000" w:themeColor="text1"/>
        </w:rPr>
        <w:t xml:space="preserve"> (Figure 2</w:t>
      </w:r>
      <w:proofErr w:type="gramStart"/>
      <w:r w:rsidR="00F410C8" w:rsidRPr="00130EEF">
        <w:rPr>
          <w:color w:val="000000" w:themeColor="text1"/>
        </w:rPr>
        <w:t>B,D</w:t>
      </w:r>
      <w:proofErr w:type="gramEnd"/>
      <w:r w:rsidR="00D45F91" w:rsidRPr="00130EEF">
        <w:rPr>
          <w:color w:val="000000" w:themeColor="text1"/>
        </w:rPr>
        <w:t>,</w:t>
      </w:r>
      <w:r w:rsidR="00F410C8" w:rsidRPr="00130EEF">
        <w:rPr>
          <w:color w:val="000000" w:themeColor="text1"/>
        </w:rPr>
        <w:t>F)</w:t>
      </w:r>
      <w:r w:rsidR="006023D2" w:rsidRPr="00130EEF">
        <w:rPr>
          <w:color w:val="000000" w:themeColor="text1"/>
        </w:rPr>
        <w:t>.</w:t>
      </w:r>
      <w:r w:rsidR="006F0F5C" w:rsidRPr="00130EEF">
        <w:rPr>
          <w:color w:val="000000" w:themeColor="text1"/>
        </w:rPr>
        <w:t xml:space="preserve"> </w:t>
      </w:r>
    </w:p>
    <w:p w14:paraId="48621234" w14:textId="791F4F99" w:rsidR="0041080D" w:rsidRPr="00130EEF" w:rsidRDefault="0041080D" w:rsidP="00C13FD2">
      <w:pPr>
        <w:spacing w:line="480" w:lineRule="auto"/>
        <w:rPr>
          <w:rFonts w:eastAsia="Times New Roman"/>
          <w:b/>
          <w:color w:val="000000" w:themeColor="text1"/>
        </w:rPr>
      </w:pPr>
      <w:r w:rsidRPr="00130EEF">
        <w:rPr>
          <w:noProof/>
          <w:color w:val="000000" w:themeColor="text1"/>
        </w:rPr>
        <w:drawing>
          <wp:anchor distT="0" distB="0" distL="114300" distR="114300" simplePos="0" relativeHeight="251695104" behindDoc="0" locked="0" layoutInCell="1" allowOverlap="1" wp14:anchorId="286EB3C4" wp14:editId="75C87DDB">
            <wp:simplePos x="0" y="0"/>
            <wp:positionH relativeFrom="column">
              <wp:posOffset>346710</wp:posOffset>
            </wp:positionH>
            <wp:positionV relativeFrom="paragraph">
              <wp:posOffset>149225</wp:posOffset>
            </wp:positionV>
            <wp:extent cx="4652645" cy="4282440"/>
            <wp:effectExtent l="0" t="0" r="0" b="0"/>
            <wp:wrapTopAndBottom/>
            <wp:docPr id="25" name="Imagen 2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ll metabolites FA.jpg"/>
                    <pic:cNvPicPr/>
                  </pic:nvPicPr>
                  <pic:blipFill>
                    <a:blip r:embed="rId12"/>
                    <a:stretch>
                      <a:fillRect/>
                    </a:stretch>
                  </pic:blipFill>
                  <pic:spPr>
                    <a:xfrm>
                      <a:off x="0" y="0"/>
                      <a:ext cx="4652645" cy="4282440"/>
                    </a:xfrm>
                    <a:prstGeom prst="rect">
                      <a:avLst/>
                    </a:prstGeom>
                  </pic:spPr>
                </pic:pic>
              </a:graphicData>
            </a:graphic>
            <wp14:sizeRelH relativeFrom="page">
              <wp14:pctWidth>0</wp14:pctWidth>
            </wp14:sizeRelH>
            <wp14:sizeRelV relativeFrom="page">
              <wp14:pctHeight>0</wp14:pctHeight>
            </wp14:sizeRelV>
          </wp:anchor>
        </w:drawing>
      </w:r>
    </w:p>
    <w:p w14:paraId="5DA00D08" w14:textId="43181694" w:rsidR="00D30603" w:rsidRPr="00130EEF" w:rsidRDefault="00D30603" w:rsidP="00D41534">
      <w:pPr>
        <w:rPr>
          <w:rFonts w:eastAsia="Times New Roman"/>
          <w:color w:val="000000" w:themeColor="text1"/>
        </w:rPr>
      </w:pPr>
      <w:r w:rsidRPr="00130EEF">
        <w:rPr>
          <w:rFonts w:eastAsia="Times New Roman"/>
          <w:b/>
          <w:color w:val="000000" w:themeColor="text1"/>
        </w:rPr>
        <w:t>Figure 2</w:t>
      </w:r>
      <w:r w:rsidRPr="00130EEF">
        <w:rPr>
          <w:rFonts w:eastAsia="Times New Roman"/>
          <w:color w:val="000000" w:themeColor="text1"/>
        </w:rPr>
        <w:t xml:space="preserve"> </w:t>
      </w:r>
      <w:r w:rsidR="00BB08AC" w:rsidRPr="00130EEF">
        <w:rPr>
          <w:rFonts w:eastAsia="Times New Roman"/>
          <w:color w:val="000000" w:themeColor="text1"/>
        </w:rPr>
        <w:t xml:space="preserve">Concentrations of </w:t>
      </w:r>
      <w:r w:rsidRPr="00130EEF">
        <w:rPr>
          <w:rFonts w:eastAsia="Times New Roman"/>
          <w:color w:val="000000" w:themeColor="text1"/>
        </w:rPr>
        <w:t xml:space="preserve">FA and metabolites of folate cycle in plasma after </w:t>
      </w:r>
      <w:r w:rsidR="00572AAA" w:rsidRPr="00130EEF">
        <w:rPr>
          <w:rFonts w:eastAsia="Times New Roman"/>
          <w:color w:val="000000" w:themeColor="text1"/>
        </w:rPr>
        <w:t>4</w:t>
      </w:r>
      <w:r w:rsidRPr="00130EEF">
        <w:rPr>
          <w:rFonts w:eastAsia="Times New Roman"/>
          <w:color w:val="000000" w:themeColor="text1"/>
        </w:rPr>
        <w:t xml:space="preserve"> weeks feeding in non-pregnant mice. (</w:t>
      </w:r>
      <w:r w:rsidRPr="00130EEF">
        <w:rPr>
          <w:rFonts w:eastAsia="Times New Roman"/>
          <w:b/>
          <w:bCs/>
          <w:color w:val="000000" w:themeColor="text1"/>
        </w:rPr>
        <w:t>A</w:t>
      </w:r>
      <w:r w:rsidRPr="00130EEF">
        <w:rPr>
          <w:rFonts w:eastAsia="Times New Roman"/>
          <w:color w:val="000000" w:themeColor="text1"/>
        </w:rPr>
        <w:t>) FA</w:t>
      </w:r>
      <w:r w:rsidRPr="00130EEF">
        <w:rPr>
          <w:color w:val="000000" w:themeColor="text1"/>
        </w:rPr>
        <w:t xml:space="preserve"> (Folic acid); (</w:t>
      </w:r>
      <w:r w:rsidRPr="00130EEF">
        <w:rPr>
          <w:b/>
          <w:bCs/>
          <w:color w:val="000000" w:themeColor="text1"/>
        </w:rPr>
        <w:t>B</w:t>
      </w:r>
      <w:r w:rsidRPr="00130EEF">
        <w:rPr>
          <w:color w:val="000000" w:themeColor="text1"/>
        </w:rPr>
        <w:t xml:space="preserve">) </w:t>
      </w:r>
      <w:proofErr w:type="spellStart"/>
      <w:r w:rsidRPr="00130EEF">
        <w:rPr>
          <w:color w:val="000000" w:themeColor="text1"/>
        </w:rPr>
        <w:t>hm</w:t>
      </w:r>
      <w:r w:rsidR="00A57B1C" w:rsidRPr="00130EEF">
        <w:rPr>
          <w:color w:val="000000" w:themeColor="text1"/>
        </w:rPr>
        <w:t>T</w:t>
      </w:r>
      <w:r w:rsidRPr="00130EEF">
        <w:rPr>
          <w:color w:val="000000" w:themeColor="text1"/>
        </w:rPr>
        <w:t>HF</w:t>
      </w:r>
      <w:proofErr w:type="spellEnd"/>
      <w:r w:rsidRPr="00130EEF">
        <w:rPr>
          <w:color w:val="000000" w:themeColor="text1"/>
        </w:rPr>
        <w:t xml:space="preserve"> (4-alpha-hydroxy-5-methyl-tetrahydrofolate); (</w:t>
      </w:r>
      <w:r w:rsidRPr="00130EEF">
        <w:rPr>
          <w:b/>
          <w:bCs/>
          <w:color w:val="000000" w:themeColor="text1"/>
        </w:rPr>
        <w:t>C</w:t>
      </w:r>
      <w:r w:rsidRPr="00130EEF">
        <w:rPr>
          <w:color w:val="000000" w:themeColor="text1"/>
        </w:rPr>
        <w:t xml:space="preserve">) </w:t>
      </w:r>
      <w:proofErr w:type="spellStart"/>
      <w:r w:rsidRPr="00130EEF">
        <w:rPr>
          <w:color w:val="000000" w:themeColor="text1"/>
        </w:rPr>
        <w:t>mTHF</w:t>
      </w:r>
      <w:proofErr w:type="spellEnd"/>
      <w:r w:rsidRPr="00130EEF">
        <w:rPr>
          <w:color w:val="000000" w:themeColor="text1"/>
        </w:rPr>
        <w:t xml:space="preserve"> (5-methyl-tetrahydrofolate); (</w:t>
      </w:r>
      <w:r w:rsidRPr="00130EEF">
        <w:rPr>
          <w:b/>
          <w:bCs/>
          <w:color w:val="000000" w:themeColor="text1"/>
        </w:rPr>
        <w:t>D</w:t>
      </w:r>
      <w:r w:rsidRPr="00130EEF">
        <w:rPr>
          <w:color w:val="000000" w:themeColor="text1"/>
        </w:rPr>
        <w:t xml:space="preserve">) </w:t>
      </w:r>
      <w:proofErr w:type="spellStart"/>
      <w:r w:rsidRPr="00130EEF">
        <w:rPr>
          <w:color w:val="000000" w:themeColor="text1"/>
        </w:rPr>
        <w:t>fTHF</w:t>
      </w:r>
      <w:proofErr w:type="spellEnd"/>
      <w:r w:rsidRPr="00130EEF">
        <w:rPr>
          <w:color w:val="000000" w:themeColor="text1"/>
        </w:rPr>
        <w:t xml:space="preserve"> (5-formyl-</w:t>
      </w:r>
      <w:r w:rsidRPr="00130EEF">
        <w:rPr>
          <w:color w:val="000000" w:themeColor="text1"/>
        </w:rPr>
        <w:lastRenderedPageBreak/>
        <w:t>tetrahydrofolate); (</w:t>
      </w:r>
      <w:r w:rsidRPr="00130EEF">
        <w:rPr>
          <w:b/>
          <w:bCs/>
          <w:color w:val="000000" w:themeColor="text1"/>
        </w:rPr>
        <w:t>E</w:t>
      </w:r>
      <w:r w:rsidRPr="00130EEF">
        <w:rPr>
          <w:color w:val="000000" w:themeColor="text1"/>
        </w:rPr>
        <w:t xml:space="preserve">) </w:t>
      </w:r>
      <w:proofErr w:type="spellStart"/>
      <w:r w:rsidRPr="00130EEF">
        <w:rPr>
          <w:color w:val="000000" w:themeColor="text1"/>
        </w:rPr>
        <w:t>pABG</w:t>
      </w:r>
      <w:proofErr w:type="spellEnd"/>
      <w:r w:rsidRPr="00130EEF">
        <w:rPr>
          <w:color w:val="000000" w:themeColor="text1"/>
        </w:rPr>
        <w:t xml:space="preserve"> (para-</w:t>
      </w:r>
      <w:proofErr w:type="spellStart"/>
      <w:r w:rsidRPr="00130EEF">
        <w:rPr>
          <w:color w:val="000000" w:themeColor="text1"/>
        </w:rPr>
        <w:t>aminobenzoylglutamic</w:t>
      </w:r>
      <w:proofErr w:type="spellEnd"/>
      <w:r w:rsidRPr="00130EEF">
        <w:rPr>
          <w:color w:val="000000" w:themeColor="text1"/>
        </w:rPr>
        <w:t xml:space="preserve"> acid) and (</w:t>
      </w:r>
      <w:r w:rsidRPr="00130EEF">
        <w:rPr>
          <w:b/>
          <w:bCs/>
          <w:color w:val="000000" w:themeColor="text1"/>
        </w:rPr>
        <w:t>F</w:t>
      </w:r>
      <w:r w:rsidRPr="00130EEF">
        <w:rPr>
          <w:color w:val="000000" w:themeColor="text1"/>
        </w:rPr>
        <w:t xml:space="preserve">) </w:t>
      </w:r>
      <w:proofErr w:type="spellStart"/>
      <w:r w:rsidRPr="00130EEF">
        <w:rPr>
          <w:color w:val="000000" w:themeColor="text1"/>
        </w:rPr>
        <w:t>apABG</w:t>
      </w:r>
      <w:proofErr w:type="spellEnd"/>
      <w:r w:rsidRPr="00130EEF">
        <w:rPr>
          <w:color w:val="000000" w:themeColor="text1"/>
        </w:rPr>
        <w:t xml:space="preserve"> (acetyl-para- </w:t>
      </w:r>
      <w:proofErr w:type="spellStart"/>
      <w:r w:rsidRPr="00130EEF">
        <w:rPr>
          <w:color w:val="000000" w:themeColor="text1"/>
        </w:rPr>
        <w:t>aminobenzoylglutamic</w:t>
      </w:r>
      <w:proofErr w:type="spellEnd"/>
      <w:r w:rsidRPr="00130EEF">
        <w:rPr>
          <w:color w:val="000000" w:themeColor="text1"/>
        </w:rPr>
        <w:t xml:space="preserve"> acid)</w:t>
      </w:r>
      <w:r w:rsidRPr="00130EEF">
        <w:rPr>
          <w:rFonts w:eastAsia="Times New Roman"/>
          <w:color w:val="000000" w:themeColor="text1"/>
        </w:rPr>
        <w:t xml:space="preserve">. Data expressed as mean ± SEM. </w:t>
      </w:r>
      <w:r w:rsidRPr="00130EEF">
        <w:rPr>
          <w:rFonts w:eastAsia="Times New Roman"/>
          <w:i/>
          <w:iCs/>
          <w:color w:val="000000" w:themeColor="text1"/>
        </w:rPr>
        <w:t>n</w:t>
      </w:r>
      <w:r w:rsidRPr="00130EEF">
        <w:rPr>
          <w:rFonts w:eastAsia="Times New Roman"/>
          <w:color w:val="000000" w:themeColor="text1"/>
        </w:rPr>
        <w:t xml:space="preserve"> = 8 females per diet group. Statistical analysis was by Student’s unpaired T-test. </w:t>
      </w:r>
    </w:p>
    <w:p w14:paraId="7634A469" w14:textId="77777777" w:rsidR="00D41534" w:rsidRPr="00130EEF" w:rsidRDefault="00D41534" w:rsidP="00D41534">
      <w:pPr>
        <w:rPr>
          <w:rFonts w:eastAsia="Times New Roman"/>
          <w:color w:val="000000" w:themeColor="text1"/>
        </w:rPr>
      </w:pPr>
    </w:p>
    <w:p w14:paraId="5DD6320D" w14:textId="5E84DA5F" w:rsidR="00AA16E6" w:rsidRPr="00130EEF" w:rsidRDefault="00C70588" w:rsidP="00AA16E6">
      <w:pPr>
        <w:pStyle w:val="Heading2"/>
        <w:rPr>
          <w:color w:val="000000" w:themeColor="text1"/>
        </w:rPr>
      </w:pPr>
      <w:r w:rsidRPr="00130EEF">
        <w:rPr>
          <w:color w:val="000000" w:themeColor="text1"/>
        </w:rPr>
        <w:t>Effect of i</w:t>
      </w:r>
      <w:r w:rsidR="008B4F56" w:rsidRPr="00130EEF">
        <w:rPr>
          <w:color w:val="000000" w:themeColor="text1"/>
        </w:rPr>
        <w:t xml:space="preserve">ncreased </w:t>
      </w:r>
      <w:r w:rsidR="00F24712" w:rsidRPr="00130EEF">
        <w:rPr>
          <w:color w:val="000000" w:themeColor="text1"/>
        </w:rPr>
        <w:t xml:space="preserve">FA </w:t>
      </w:r>
      <w:r w:rsidR="008B4F56" w:rsidRPr="00130EEF">
        <w:rPr>
          <w:color w:val="000000" w:themeColor="text1"/>
        </w:rPr>
        <w:t xml:space="preserve">intake </w:t>
      </w:r>
      <w:r w:rsidRPr="00130EEF">
        <w:rPr>
          <w:color w:val="000000" w:themeColor="text1"/>
        </w:rPr>
        <w:t>on body weight and energy intake</w:t>
      </w:r>
    </w:p>
    <w:p w14:paraId="3B6E3DC6" w14:textId="1F3CA4E1" w:rsidR="00D41534" w:rsidRPr="00130EEF" w:rsidRDefault="00251CAD" w:rsidP="00317B70">
      <w:pPr>
        <w:spacing w:line="480" w:lineRule="auto"/>
        <w:rPr>
          <w:color w:val="000000" w:themeColor="text1"/>
        </w:rPr>
      </w:pPr>
      <w:r w:rsidRPr="00130EEF">
        <w:rPr>
          <w:color w:val="000000" w:themeColor="text1"/>
        </w:rPr>
        <w:t xml:space="preserve">Body weight and energy intake </w:t>
      </w:r>
      <w:r w:rsidR="00DF7F96" w:rsidRPr="00130EEF">
        <w:rPr>
          <w:color w:val="000000" w:themeColor="text1"/>
        </w:rPr>
        <w:t>were</w:t>
      </w:r>
      <w:r w:rsidRPr="00130EEF">
        <w:rPr>
          <w:color w:val="000000" w:themeColor="text1"/>
        </w:rPr>
        <w:t xml:space="preserve"> assessed weekly over the </w:t>
      </w:r>
      <w:proofErr w:type="gramStart"/>
      <w:r w:rsidR="00572AAA" w:rsidRPr="00130EEF">
        <w:rPr>
          <w:color w:val="000000" w:themeColor="text1"/>
        </w:rPr>
        <w:t>4</w:t>
      </w:r>
      <w:r w:rsidRPr="00130EEF">
        <w:rPr>
          <w:color w:val="000000" w:themeColor="text1"/>
        </w:rPr>
        <w:t xml:space="preserve"> week</w:t>
      </w:r>
      <w:proofErr w:type="gramEnd"/>
      <w:r w:rsidRPr="00130EEF">
        <w:rPr>
          <w:color w:val="000000" w:themeColor="text1"/>
        </w:rPr>
        <w:t xml:space="preserve"> </w:t>
      </w:r>
      <w:r w:rsidR="00B34184" w:rsidRPr="00130EEF">
        <w:rPr>
          <w:color w:val="000000" w:themeColor="text1"/>
        </w:rPr>
        <w:t>pre</w:t>
      </w:r>
      <w:r w:rsidR="00FD6378" w:rsidRPr="00130EEF">
        <w:rPr>
          <w:color w:val="000000" w:themeColor="text1"/>
        </w:rPr>
        <w:t>conception period</w:t>
      </w:r>
      <w:r w:rsidRPr="00130EEF">
        <w:rPr>
          <w:color w:val="000000" w:themeColor="text1"/>
        </w:rPr>
        <w:t xml:space="preserve">. </w:t>
      </w:r>
      <w:r w:rsidR="00F94988" w:rsidRPr="00130EEF">
        <w:rPr>
          <w:color w:val="000000" w:themeColor="text1"/>
        </w:rPr>
        <w:t xml:space="preserve">There </w:t>
      </w:r>
      <w:r w:rsidR="00AA4B43" w:rsidRPr="00130EEF">
        <w:rPr>
          <w:color w:val="000000" w:themeColor="text1"/>
        </w:rPr>
        <w:t>w</w:t>
      </w:r>
      <w:r w:rsidR="00FF5622" w:rsidRPr="00130EEF">
        <w:rPr>
          <w:color w:val="000000" w:themeColor="text1"/>
        </w:rPr>
        <w:t>as</w:t>
      </w:r>
      <w:r w:rsidR="00AA4B43" w:rsidRPr="00130EEF">
        <w:rPr>
          <w:color w:val="000000" w:themeColor="text1"/>
        </w:rPr>
        <w:t xml:space="preserve"> no </w:t>
      </w:r>
      <w:r w:rsidR="002E22C4" w:rsidRPr="00130EEF">
        <w:rPr>
          <w:color w:val="000000" w:themeColor="text1"/>
        </w:rPr>
        <w:t xml:space="preserve">difference </w:t>
      </w:r>
      <w:r w:rsidR="00AA4B43" w:rsidRPr="00130EEF">
        <w:rPr>
          <w:color w:val="000000" w:themeColor="text1"/>
        </w:rPr>
        <w:t xml:space="preserve">in body weight or energy intake </w:t>
      </w:r>
      <w:r w:rsidR="001D1458" w:rsidRPr="00130EEF">
        <w:rPr>
          <w:color w:val="000000" w:themeColor="text1"/>
        </w:rPr>
        <w:t xml:space="preserve">between </w:t>
      </w:r>
      <w:r w:rsidR="00AA4B43" w:rsidRPr="00130EEF">
        <w:rPr>
          <w:color w:val="000000" w:themeColor="text1"/>
        </w:rPr>
        <w:t>the</w:t>
      </w:r>
      <w:r w:rsidR="00D703FF" w:rsidRPr="00130EEF">
        <w:rPr>
          <w:color w:val="000000" w:themeColor="text1"/>
        </w:rPr>
        <w:t xml:space="preserve"> mice fed</w:t>
      </w:r>
      <w:r w:rsidR="00AA4B43" w:rsidRPr="00130EEF">
        <w:rPr>
          <w:color w:val="000000" w:themeColor="text1"/>
        </w:rPr>
        <w:t xml:space="preserve"> </w:t>
      </w:r>
      <w:r w:rsidR="00B34184" w:rsidRPr="00130EEF">
        <w:rPr>
          <w:color w:val="000000" w:themeColor="text1"/>
        </w:rPr>
        <w:t xml:space="preserve">the </w:t>
      </w:r>
      <w:r w:rsidR="002E22C4" w:rsidRPr="00130EEF">
        <w:rPr>
          <w:color w:val="000000" w:themeColor="text1"/>
        </w:rPr>
        <w:t>H</w:t>
      </w:r>
      <w:r w:rsidR="002350EA" w:rsidRPr="00130EEF">
        <w:rPr>
          <w:color w:val="000000" w:themeColor="text1"/>
        </w:rPr>
        <w:t>FA</w:t>
      </w:r>
      <w:r w:rsidR="002E22C4" w:rsidRPr="00130EEF">
        <w:rPr>
          <w:color w:val="000000" w:themeColor="text1"/>
        </w:rPr>
        <w:t xml:space="preserve"> </w:t>
      </w:r>
      <w:r w:rsidR="00B34184" w:rsidRPr="00130EEF">
        <w:rPr>
          <w:color w:val="000000" w:themeColor="text1"/>
        </w:rPr>
        <w:t xml:space="preserve">or </w:t>
      </w:r>
      <w:r w:rsidR="002E22C4" w:rsidRPr="00130EEF">
        <w:rPr>
          <w:color w:val="000000" w:themeColor="text1"/>
        </w:rPr>
        <w:t>Con</w:t>
      </w:r>
      <w:r w:rsidR="009D1E47" w:rsidRPr="00130EEF">
        <w:rPr>
          <w:color w:val="000000" w:themeColor="text1"/>
        </w:rPr>
        <w:t>trol</w:t>
      </w:r>
      <w:r w:rsidR="00F94988" w:rsidRPr="00130EEF">
        <w:rPr>
          <w:color w:val="000000" w:themeColor="text1"/>
        </w:rPr>
        <w:t xml:space="preserve"> </w:t>
      </w:r>
      <w:r w:rsidR="00D703FF" w:rsidRPr="00130EEF">
        <w:rPr>
          <w:color w:val="000000" w:themeColor="text1"/>
        </w:rPr>
        <w:t>diet</w:t>
      </w:r>
      <w:r w:rsidR="00431E97" w:rsidRPr="00130EEF">
        <w:rPr>
          <w:color w:val="000000" w:themeColor="text1"/>
        </w:rPr>
        <w:t xml:space="preserve"> </w:t>
      </w:r>
      <w:r w:rsidR="00AA4B43" w:rsidRPr="00130EEF">
        <w:rPr>
          <w:color w:val="000000" w:themeColor="text1"/>
        </w:rPr>
        <w:t xml:space="preserve">(Figure </w:t>
      </w:r>
      <w:r w:rsidR="003621DB" w:rsidRPr="00130EEF">
        <w:rPr>
          <w:color w:val="000000" w:themeColor="text1"/>
        </w:rPr>
        <w:t>S1</w:t>
      </w:r>
      <w:r w:rsidR="00AA4B43" w:rsidRPr="00130EEF">
        <w:rPr>
          <w:color w:val="000000" w:themeColor="text1"/>
        </w:rPr>
        <w:t>)</w:t>
      </w:r>
      <w:r w:rsidRPr="00130EEF">
        <w:rPr>
          <w:color w:val="000000" w:themeColor="text1"/>
        </w:rPr>
        <w:t xml:space="preserve">. </w:t>
      </w:r>
      <w:r w:rsidR="00914DB2" w:rsidRPr="00130EEF">
        <w:rPr>
          <w:color w:val="000000" w:themeColor="text1"/>
        </w:rPr>
        <w:t xml:space="preserve">Based on </w:t>
      </w:r>
      <w:r w:rsidR="002E22C4" w:rsidRPr="00130EEF">
        <w:rPr>
          <w:color w:val="000000" w:themeColor="text1"/>
        </w:rPr>
        <w:t xml:space="preserve">whole cage </w:t>
      </w:r>
      <w:r w:rsidR="005D066C" w:rsidRPr="00130EEF">
        <w:rPr>
          <w:color w:val="000000" w:themeColor="text1"/>
        </w:rPr>
        <w:t>intake</w:t>
      </w:r>
      <w:r w:rsidR="00914DB2" w:rsidRPr="00130EEF">
        <w:rPr>
          <w:color w:val="000000" w:themeColor="text1"/>
        </w:rPr>
        <w:t xml:space="preserve">, the </w:t>
      </w:r>
      <w:r w:rsidR="002E22C4" w:rsidRPr="00130EEF">
        <w:rPr>
          <w:color w:val="000000" w:themeColor="text1"/>
        </w:rPr>
        <w:t xml:space="preserve">estimated </w:t>
      </w:r>
      <w:r w:rsidR="00914DB2" w:rsidRPr="00130EEF">
        <w:rPr>
          <w:color w:val="000000" w:themeColor="text1"/>
        </w:rPr>
        <w:t xml:space="preserve">intake of FA </w:t>
      </w:r>
      <w:r w:rsidR="002E22C4" w:rsidRPr="00130EEF">
        <w:rPr>
          <w:color w:val="000000" w:themeColor="text1"/>
        </w:rPr>
        <w:t>was 3.</w:t>
      </w:r>
      <w:r w:rsidR="00216F38" w:rsidRPr="00130EEF">
        <w:rPr>
          <w:color w:val="000000" w:themeColor="text1"/>
        </w:rPr>
        <w:t xml:space="preserve">4 ± 0.03 </w:t>
      </w:r>
      <w:r w:rsidR="002E22C4" w:rsidRPr="00130EEF">
        <w:rPr>
          <w:color w:val="000000" w:themeColor="text1"/>
        </w:rPr>
        <w:t xml:space="preserve">µg/day </w:t>
      </w:r>
      <w:r w:rsidR="00914DB2" w:rsidRPr="00130EEF">
        <w:rPr>
          <w:color w:val="000000" w:themeColor="text1"/>
        </w:rPr>
        <w:t xml:space="preserve">for mice </w:t>
      </w:r>
      <w:r w:rsidR="00D703FF" w:rsidRPr="00130EEF">
        <w:rPr>
          <w:color w:val="000000" w:themeColor="text1"/>
        </w:rPr>
        <w:t xml:space="preserve">fed </w:t>
      </w:r>
      <w:r w:rsidR="00B34184" w:rsidRPr="00130EEF">
        <w:rPr>
          <w:color w:val="000000" w:themeColor="text1"/>
        </w:rPr>
        <w:t xml:space="preserve">the </w:t>
      </w:r>
      <w:r w:rsidR="002E22C4" w:rsidRPr="00130EEF">
        <w:rPr>
          <w:color w:val="000000" w:themeColor="text1"/>
        </w:rPr>
        <w:t>Con</w:t>
      </w:r>
      <w:r w:rsidR="00221B7E" w:rsidRPr="00130EEF">
        <w:rPr>
          <w:color w:val="000000" w:themeColor="text1"/>
        </w:rPr>
        <w:t>trol</w:t>
      </w:r>
      <w:r w:rsidR="002E22C4" w:rsidRPr="00130EEF">
        <w:rPr>
          <w:color w:val="000000" w:themeColor="text1"/>
        </w:rPr>
        <w:t xml:space="preserve"> </w:t>
      </w:r>
      <w:r w:rsidR="00D703FF" w:rsidRPr="00130EEF">
        <w:rPr>
          <w:color w:val="000000" w:themeColor="text1"/>
        </w:rPr>
        <w:t>diet</w:t>
      </w:r>
      <w:r w:rsidR="002E22C4" w:rsidRPr="00130EEF">
        <w:rPr>
          <w:color w:val="000000" w:themeColor="text1"/>
        </w:rPr>
        <w:t xml:space="preserve"> </w:t>
      </w:r>
      <w:r w:rsidR="00914DB2" w:rsidRPr="00130EEF">
        <w:rPr>
          <w:color w:val="000000" w:themeColor="text1"/>
        </w:rPr>
        <w:t xml:space="preserve">and </w:t>
      </w:r>
      <w:r w:rsidR="002E22C4" w:rsidRPr="00130EEF">
        <w:rPr>
          <w:color w:val="000000" w:themeColor="text1"/>
        </w:rPr>
        <w:t>1</w:t>
      </w:r>
      <w:r w:rsidR="00216F38" w:rsidRPr="00130EEF">
        <w:rPr>
          <w:color w:val="000000" w:themeColor="text1"/>
        </w:rPr>
        <w:t>6.2 ± 0.21</w:t>
      </w:r>
      <w:r w:rsidR="002E22C4" w:rsidRPr="00130EEF">
        <w:rPr>
          <w:color w:val="000000" w:themeColor="text1"/>
        </w:rPr>
        <w:t xml:space="preserve"> µg/day for mice </w:t>
      </w:r>
      <w:r w:rsidR="00D703FF" w:rsidRPr="00130EEF">
        <w:rPr>
          <w:color w:val="000000" w:themeColor="text1"/>
        </w:rPr>
        <w:t>fed</w:t>
      </w:r>
      <w:r w:rsidR="002E22C4" w:rsidRPr="00130EEF">
        <w:rPr>
          <w:color w:val="000000" w:themeColor="text1"/>
        </w:rPr>
        <w:t xml:space="preserve"> </w:t>
      </w:r>
      <w:r w:rsidR="00B34184" w:rsidRPr="00130EEF">
        <w:rPr>
          <w:color w:val="000000" w:themeColor="text1"/>
        </w:rPr>
        <w:t xml:space="preserve">the </w:t>
      </w:r>
      <w:r w:rsidR="002E22C4" w:rsidRPr="00130EEF">
        <w:rPr>
          <w:color w:val="000000" w:themeColor="text1"/>
        </w:rPr>
        <w:t xml:space="preserve">HFA </w:t>
      </w:r>
      <w:r w:rsidR="00D703FF" w:rsidRPr="00130EEF">
        <w:rPr>
          <w:color w:val="000000" w:themeColor="text1"/>
        </w:rPr>
        <w:t>diet</w:t>
      </w:r>
      <w:r w:rsidR="00914DB2" w:rsidRPr="00130EEF">
        <w:rPr>
          <w:color w:val="000000" w:themeColor="text1"/>
        </w:rPr>
        <w:t xml:space="preserve">. </w:t>
      </w:r>
      <w:proofErr w:type="spellStart"/>
      <w:r w:rsidRPr="00130EEF">
        <w:rPr>
          <w:color w:val="000000" w:themeColor="text1"/>
        </w:rPr>
        <w:t>P</w:t>
      </w:r>
      <w:r w:rsidR="00AA1D82" w:rsidRPr="00130EEF">
        <w:rPr>
          <w:color w:val="000000" w:themeColor="text1"/>
        </w:rPr>
        <w:t>reconceptional</w:t>
      </w:r>
      <w:proofErr w:type="spellEnd"/>
      <w:r w:rsidR="00AA1D82" w:rsidRPr="00130EEF">
        <w:rPr>
          <w:color w:val="000000" w:themeColor="text1"/>
        </w:rPr>
        <w:t xml:space="preserve"> </w:t>
      </w:r>
      <w:r w:rsidR="00D703FF" w:rsidRPr="00130EEF">
        <w:rPr>
          <w:color w:val="000000" w:themeColor="text1"/>
        </w:rPr>
        <w:t>HFA intake</w:t>
      </w:r>
      <w:r w:rsidR="00AA1D82" w:rsidRPr="00130EEF">
        <w:rPr>
          <w:color w:val="000000" w:themeColor="text1"/>
        </w:rPr>
        <w:t xml:space="preserve"> was associated with an increase in mating time</w:t>
      </w:r>
      <w:r w:rsidRPr="00130EEF">
        <w:rPr>
          <w:color w:val="000000" w:themeColor="text1"/>
        </w:rPr>
        <w:t>,</w:t>
      </w:r>
      <w:r w:rsidR="00AA1D82" w:rsidRPr="00130EEF">
        <w:rPr>
          <w:color w:val="000000" w:themeColor="text1"/>
        </w:rPr>
        <w:t xml:space="preserve"> which was delayed by one day compared to the </w:t>
      </w:r>
      <w:r w:rsidR="009509AE" w:rsidRPr="00130EEF">
        <w:rPr>
          <w:color w:val="000000" w:themeColor="text1"/>
        </w:rPr>
        <w:t>c</w:t>
      </w:r>
      <w:r w:rsidR="00AA1D82" w:rsidRPr="00130EEF">
        <w:rPr>
          <w:color w:val="000000" w:themeColor="text1"/>
        </w:rPr>
        <w:t>ontrol group (</w:t>
      </w:r>
      <w:r w:rsidR="001B5844" w:rsidRPr="00130EEF">
        <w:rPr>
          <w:i/>
          <w:iCs/>
          <w:color w:val="000000" w:themeColor="text1"/>
        </w:rPr>
        <w:t>p</w:t>
      </w:r>
      <w:r w:rsidR="00AA1D82" w:rsidRPr="00130EEF">
        <w:rPr>
          <w:color w:val="000000" w:themeColor="text1"/>
        </w:rPr>
        <w:t xml:space="preserve"> = 0.002, Table </w:t>
      </w:r>
      <w:r w:rsidR="003621DB" w:rsidRPr="00130EEF">
        <w:rPr>
          <w:color w:val="000000" w:themeColor="text1"/>
        </w:rPr>
        <w:t>2</w:t>
      </w:r>
      <w:r w:rsidR="00AA1D82" w:rsidRPr="00130EEF">
        <w:rPr>
          <w:color w:val="000000" w:themeColor="text1"/>
        </w:rPr>
        <w:t>).</w:t>
      </w:r>
      <w:r w:rsidR="000028ED" w:rsidRPr="00130EEF">
        <w:rPr>
          <w:color w:val="000000" w:themeColor="text1"/>
        </w:rPr>
        <w:t xml:space="preserve"> </w:t>
      </w:r>
    </w:p>
    <w:p w14:paraId="589162D4" w14:textId="77777777" w:rsidR="004656FE" w:rsidRPr="00130EEF" w:rsidRDefault="004656FE" w:rsidP="00317B70">
      <w:pPr>
        <w:spacing w:line="480" w:lineRule="auto"/>
        <w:rPr>
          <w:color w:val="000000" w:themeColor="text1"/>
        </w:rPr>
      </w:pPr>
    </w:p>
    <w:tbl>
      <w:tblPr>
        <w:tblW w:w="9040" w:type="dxa"/>
        <w:tblCellMar>
          <w:left w:w="70" w:type="dxa"/>
          <w:right w:w="70" w:type="dxa"/>
        </w:tblCellMar>
        <w:tblLook w:val="04A0" w:firstRow="1" w:lastRow="0" w:firstColumn="1" w:lastColumn="0" w:noHBand="0" w:noVBand="1"/>
      </w:tblPr>
      <w:tblGrid>
        <w:gridCol w:w="3393"/>
        <w:gridCol w:w="1351"/>
        <w:gridCol w:w="1564"/>
        <w:gridCol w:w="1730"/>
        <w:gridCol w:w="1002"/>
      </w:tblGrid>
      <w:tr w:rsidR="00D41534" w:rsidRPr="00130EEF" w14:paraId="085F904E" w14:textId="77777777" w:rsidTr="009D4177">
        <w:trPr>
          <w:trHeight w:val="340"/>
        </w:trPr>
        <w:tc>
          <w:tcPr>
            <w:tcW w:w="9040" w:type="dxa"/>
            <w:gridSpan w:val="5"/>
            <w:tcBorders>
              <w:top w:val="nil"/>
              <w:left w:val="nil"/>
              <w:bottom w:val="single" w:sz="8" w:space="0" w:color="auto"/>
              <w:right w:val="nil"/>
            </w:tcBorders>
            <w:shd w:val="clear" w:color="auto" w:fill="auto"/>
            <w:noWrap/>
            <w:vAlign w:val="bottom"/>
            <w:hideMark/>
          </w:tcPr>
          <w:p w14:paraId="17ED5EEE" w14:textId="77777777" w:rsidR="00D41534" w:rsidRPr="00130EEF" w:rsidRDefault="00D41534" w:rsidP="009D4177">
            <w:pPr>
              <w:rPr>
                <w:rFonts w:eastAsia="Times New Roman"/>
                <w:color w:val="000000" w:themeColor="text1"/>
                <w:lang w:val="en-US" w:eastAsia="es-ES_tradnl"/>
              </w:rPr>
            </w:pPr>
            <w:r w:rsidRPr="00130EEF">
              <w:rPr>
                <w:rFonts w:eastAsia="Times New Roman"/>
                <w:b/>
                <w:bCs/>
                <w:color w:val="000000" w:themeColor="text1"/>
                <w:lang w:val="en-US" w:eastAsia="es-ES_tradnl"/>
              </w:rPr>
              <w:t xml:space="preserve">Table 2 </w:t>
            </w:r>
            <w:r w:rsidRPr="00130EEF">
              <w:rPr>
                <w:rFonts w:eastAsia="Times New Roman"/>
                <w:color w:val="000000" w:themeColor="text1"/>
                <w:lang w:val="en-US" w:eastAsia="es-ES_tradnl"/>
              </w:rPr>
              <w:t>| Influence of maternal dietary FA intake on early embryo development</w:t>
            </w:r>
          </w:p>
        </w:tc>
      </w:tr>
      <w:tr w:rsidR="00D41534" w:rsidRPr="00130EEF" w14:paraId="3869C42B" w14:textId="77777777" w:rsidTr="009D4177">
        <w:trPr>
          <w:trHeight w:val="340"/>
        </w:trPr>
        <w:tc>
          <w:tcPr>
            <w:tcW w:w="3393" w:type="dxa"/>
            <w:tcBorders>
              <w:top w:val="nil"/>
              <w:left w:val="nil"/>
              <w:bottom w:val="single" w:sz="8" w:space="0" w:color="auto"/>
              <w:right w:val="nil"/>
            </w:tcBorders>
            <w:shd w:val="clear" w:color="auto" w:fill="auto"/>
            <w:noWrap/>
            <w:vAlign w:val="bottom"/>
            <w:hideMark/>
          </w:tcPr>
          <w:p w14:paraId="552FAA85" w14:textId="77777777" w:rsidR="00D41534" w:rsidRPr="00130EEF" w:rsidRDefault="00D41534" w:rsidP="009D4177">
            <w:pPr>
              <w:jc w:val="center"/>
              <w:rPr>
                <w:rFonts w:eastAsia="Times New Roman"/>
                <w:color w:val="000000" w:themeColor="text1"/>
                <w:lang w:val="en-US" w:eastAsia="es-ES_tradnl"/>
              </w:rPr>
            </w:pPr>
            <w:r w:rsidRPr="00130EEF">
              <w:rPr>
                <w:rFonts w:eastAsia="Times New Roman"/>
                <w:color w:val="000000" w:themeColor="text1"/>
                <w:lang w:val="en-US" w:eastAsia="es-ES_tradnl"/>
              </w:rPr>
              <w:t> </w:t>
            </w:r>
          </w:p>
        </w:tc>
        <w:tc>
          <w:tcPr>
            <w:tcW w:w="1351" w:type="dxa"/>
            <w:tcBorders>
              <w:top w:val="nil"/>
              <w:left w:val="nil"/>
              <w:bottom w:val="single" w:sz="8" w:space="0" w:color="auto"/>
              <w:right w:val="nil"/>
            </w:tcBorders>
            <w:shd w:val="clear" w:color="auto" w:fill="auto"/>
            <w:noWrap/>
            <w:vAlign w:val="bottom"/>
            <w:hideMark/>
          </w:tcPr>
          <w:p w14:paraId="20AD9446" w14:textId="77777777" w:rsidR="00D41534" w:rsidRPr="00130EEF" w:rsidRDefault="00D41534" w:rsidP="009D4177">
            <w:pPr>
              <w:jc w:val="center"/>
              <w:rPr>
                <w:rFonts w:eastAsia="Times New Roman"/>
                <w:b/>
                <w:bCs/>
                <w:color w:val="000000" w:themeColor="text1"/>
                <w:lang w:val="en-US" w:eastAsia="es-ES_tradnl"/>
              </w:rPr>
            </w:pPr>
            <w:r w:rsidRPr="00130EEF">
              <w:rPr>
                <w:rFonts w:eastAsia="Times New Roman"/>
                <w:b/>
                <w:bCs/>
                <w:color w:val="000000" w:themeColor="text1"/>
                <w:lang w:val="en-US" w:eastAsia="es-ES_tradnl"/>
              </w:rPr>
              <w:t> </w:t>
            </w:r>
          </w:p>
        </w:tc>
        <w:tc>
          <w:tcPr>
            <w:tcW w:w="1564" w:type="dxa"/>
            <w:tcBorders>
              <w:top w:val="nil"/>
              <w:left w:val="nil"/>
              <w:bottom w:val="single" w:sz="8" w:space="0" w:color="auto"/>
              <w:right w:val="nil"/>
            </w:tcBorders>
            <w:shd w:val="clear" w:color="auto" w:fill="auto"/>
            <w:vAlign w:val="bottom"/>
            <w:hideMark/>
          </w:tcPr>
          <w:p w14:paraId="3E1E00BF" w14:textId="77777777" w:rsidR="00D41534" w:rsidRPr="00130EEF" w:rsidRDefault="00D41534" w:rsidP="009D4177">
            <w:pPr>
              <w:jc w:val="center"/>
              <w:rPr>
                <w:rFonts w:eastAsia="Times New Roman"/>
                <w:b/>
                <w:bCs/>
                <w:color w:val="000000" w:themeColor="text1"/>
                <w:lang w:val="en-US" w:eastAsia="es-ES_tradnl"/>
              </w:rPr>
            </w:pPr>
            <w:r w:rsidRPr="00130EEF">
              <w:rPr>
                <w:rFonts w:eastAsia="Times New Roman"/>
                <w:b/>
                <w:bCs/>
                <w:color w:val="000000" w:themeColor="text1"/>
                <w:lang w:val="en-US" w:eastAsia="es-ES_tradnl"/>
              </w:rPr>
              <w:t> </w:t>
            </w:r>
          </w:p>
        </w:tc>
        <w:tc>
          <w:tcPr>
            <w:tcW w:w="1730" w:type="dxa"/>
            <w:tcBorders>
              <w:top w:val="nil"/>
              <w:left w:val="nil"/>
              <w:bottom w:val="single" w:sz="8" w:space="0" w:color="auto"/>
              <w:right w:val="nil"/>
            </w:tcBorders>
            <w:shd w:val="clear" w:color="auto" w:fill="auto"/>
            <w:noWrap/>
            <w:vAlign w:val="bottom"/>
            <w:hideMark/>
          </w:tcPr>
          <w:p w14:paraId="200F6586" w14:textId="77777777" w:rsidR="00D41534" w:rsidRPr="00130EEF" w:rsidRDefault="00D41534" w:rsidP="009D4177">
            <w:pPr>
              <w:rPr>
                <w:rFonts w:eastAsia="Times New Roman"/>
                <w:color w:val="000000" w:themeColor="text1"/>
                <w:lang w:val="en-US" w:eastAsia="es-ES_tradnl"/>
              </w:rPr>
            </w:pPr>
            <w:r w:rsidRPr="00130EEF">
              <w:rPr>
                <w:rFonts w:eastAsia="Times New Roman"/>
                <w:color w:val="000000" w:themeColor="text1"/>
                <w:lang w:val="en-US" w:eastAsia="es-ES_tradnl"/>
              </w:rPr>
              <w:t> </w:t>
            </w:r>
          </w:p>
        </w:tc>
        <w:tc>
          <w:tcPr>
            <w:tcW w:w="1002" w:type="dxa"/>
            <w:tcBorders>
              <w:top w:val="nil"/>
              <w:left w:val="nil"/>
              <w:bottom w:val="nil"/>
              <w:right w:val="nil"/>
            </w:tcBorders>
            <w:shd w:val="clear" w:color="auto" w:fill="auto"/>
            <w:noWrap/>
            <w:vAlign w:val="bottom"/>
            <w:hideMark/>
          </w:tcPr>
          <w:p w14:paraId="09B679C2" w14:textId="77777777" w:rsidR="00D41534" w:rsidRPr="00130EEF" w:rsidRDefault="00D41534" w:rsidP="009D4177">
            <w:pPr>
              <w:rPr>
                <w:rFonts w:eastAsia="Times New Roman"/>
                <w:color w:val="000000" w:themeColor="text1"/>
                <w:lang w:val="en-US" w:eastAsia="es-ES_tradnl"/>
              </w:rPr>
            </w:pPr>
          </w:p>
        </w:tc>
      </w:tr>
      <w:tr w:rsidR="00D41534" w:rsidRPr="00130EEF" w14:paraId="380F46F7" w14:textId="77777777" w:rsidTr="009D4177">
        <w:trPr>
          <w:trHeight w:val="360"/>
        </w:trPr>
        <w:tc>
          <w:tcPr>
            <w:tcW w:w="3393" w:type="dxa"/>
            <w:tcBorders>
              <w:top w:val="nil"/>
              <w:left w:val="nil"/>
              <w:bottom w:val="single" w:sz="8" w:space="0" w:color="auto"/>
              <w:right w:val="nil"/>
            </w:tcBorders>
            <w:shd w:val="clear" w:color="auto" w:fill="auto"/>
            <w:noWrap/>
            <w:vAlign w:val="bottom"/>
            <w:hideMark/>
          </w:tcPr>
          <w:p w14:paraId="4C978468" w14:textId="77777777" w:rsidR="00D41534" w:rsidRPr="00130EEF" w:rsidRDefault="00D41534" w:rsidP="009D4177">
            <w:pPr>
              <w:jc w:val="center"/>
              <w:rPr>
                <w:rFonts w:eastAsia="Times New Roman"/>
                <w:color w:val="000000" w:themeColor="text1"/>
                <w:lang w:val="en-US" w:eastAsia="es-ES_tradnl"/>
              </w:rPr>
            </w:pPr>
            <w:r w:rsidRPr="00130EEF">
              <w:rPr>
                <w:rFonts w:eastAsia="Times New Roman"/>
                <w:color w:val="000000" w:themeColor="text1"/>
                <w:lang w:val="en-US" w:eastAsia="es-ES_tradnl"/>
              </w:rPr>
              <w:t> </w:t>
            </w:r>
          </w:p>
        </w:tc>
        <w:tc>
          <w:tcPr>
            <w:tcW w:w="1351" w:type="dxa"/>
            <w:tcBorders>
              <w:top w:val="nil"/>
              <w:left w:val="nil"/>
              <w:bottom w:val="single" w:sz="8" w:space="0" w:color="auto"/>
              <w:right w:val="nil"/>
            </w:tcBorders>
            <w:shd w:val="clear" w:color="auto" w:fill="auto"/>
            <w:noWrap/>
            <w:vAlign w:val="bottom"/>
            <w:hideMark/>
          </w:tcPr>
          <w:p w14:paraId="6BBF5B00" w14:textId="77777777" w:rsidR="00D41534" w:rsidRPr="00130EEF" w:rsidRDefault="00D41534" w:rsidP="009D4177">
            <w:pPr>
              <w:jc w:val="center"/>
              <w:rPr>
                <w:rFonts w:eastAsia="Times New Roman"/>
                <w:b/>
                <w:bCs/>
                <w:color w:val="000000" w:themeColor="text1"/>
                <w:lang w:val="es-CL" w:eastAsia="es-ES_tradnl"/>
              </w:rPr>
            </w:pPr>
            <w:r w:rsidRPr="00130EEF">
              <w:rPr>
                <w:rFonts w:eastAsia="Times New Roman"/>
                <w:b/>
                <w:bCs/>
                <w:color w:val="000000" w:themeColor="text1"/>
                <w:lang w:val="es-CL" w:eastAsia="es-ES_tradnl"/>
              </w:rPr>
              <w:t>Con-Con</w:t>
            </w:r>
          </w:p>
        </w:tc>
        <w:tc>
          <w:tcPr>
            <w:tcW w:w="1564" w:type="dxa"/>
            <w:tcBorders>
              <w:top w:val="nil"/>
              <w:left w:val="nil"/>
              <w:bottom w:val="single" w:sz="8" w:space="0" w:color="auto"/>
              <w:right w:val="nil"/>
            </w:tcBorders>
            <w:shd w:val="clear" w:color="auto" w:fill="auto"/>
            <w:noWrap/>
            <w:vAlign w:val="bottom"/>
            <w:hideMark/>
          </w:tcPr>
          <w:p w14:paraId="27130B4F" w14:textId="77777777" w:rsidR="00D41534" w:rsidRPr="00130EEF" w:rsidRDefault="00D41534" w:rsidP="009D4177">
            <w:pPr>
              <w:jc w:val="center"/>
              <w:rPr>
                <w:rFonts w:eastAsia="Times New Roman"/>
                <w:b/>
                <w:bCs/>
                <w:color w:val="000000" w:themeColor="text1"/>
                <w:lang w:val="es-CL" w:eastAsia="es-ES_tradnl"/>
              </w:rPr>
            </w:pPr>
            <w:r w:rsidRPr="00130EEF">
              <w:rPr>
                <w:rFonts w:eastAsia="Times New Roman"/>
                <w:b/>
                <w:bCs/>
                <w:color w:val="000000" w:themeColor="text1"/>
                <w:lang w:val="es-CL" w:eastAsia="es-ES_tradnl"/>
              </w:rPr>
              <w:t>Con-HFA</w:t>
            </w:r>
          </w:p>
        </w:tc>
        <w:tc>
          <w:tcPr>
            <w:tcW w:w="1730" w:type="dxa"/>
            <w:tcBorders>
              <w:top w:val="nil"/>
              <w:left w:val="nil"/>
              <w:bottom w:val="single" w:sz="8" w:space="0" w:color="auto"/>
              <w:right w:val="nil"/>
            </w:tcBorders>
            <w:shd w:val="clear" w:color="auto" w:fill="auto"/>
            <w:vAlign w:val="bottom"/>
            <w:hideMark/>
          </w:tcPr>
          <w:p w14:paraId="20A5965D" w14:textId="77777777" w:rsidR="00D41534" w:rsidRPr="00130EEF" w:rsidRDefault="00D41534" w:rsidP="009D4177">
            <w:pPr>
              <w:jc w:val="center"/>
              <w:rPr>
                <w:rFonts w:eastAsia="Times New Roman"/>
                <w:b/>
                <w:bCs/>
                <w:color w:val="000000" w:themeColor="text1"/>
                <w:lang w:val="es-CL" w:eastAsia="es-ES_tradnl"/>
              </w:rPr>
            </w:pPr>
            <w:r w:rsidRPr="00130EEF">
              <w:rPr>
                <w:rFonts w:eastAsia="Times New Roman"/>
                <w:b/>
                <w:bCs/>
                <w:color w:val="000000" w:themeColor="text1"/>
                <w:lang w:val="es-CL" w:eastAsia="es-ES_tradnl"/>
              </w:rPr>
              <w:t>HFA-HFA</w:t>
            </w:r>
          </w:p>
        </w:tc>
        <w:tc>
          <w:tcPr>
            <w:tcW w:w="1002" w:type="dxa"/>
            <w:tcBorders>
              <w:top w:val="single" w:sz="8" w:space="0" w:color="auto"/>
              <w:left w:val="nil"/>
              <w:bottom w:val="single" w:sz="8" w:space="0" w:color="auto"/>
              <w:right w:val="nil"/>
            </w:tcBorders>
            <w:shd w:val="clear" w:color="auto" w:fill="auto"/>
            <w:noWrap/>
            <w:vAlign w:val="bottom"/>
            <w:hideMark/>
          </w:tcPr>
          <w:p w14:paraId="0B863E43" w14:textId="77777777" w:rsidR="00D41534" w:rsidRPr="00130EEF" w:rsidRDefault="00D41534" w:rsidP="009D4177">
            <w:pPr>
              <w:jc w:val="center"/>
              <w:rPr>
                <w:rFonts w:eastAsia="Times New Roman"/>
                <w:color w:val="000000" w:themeColor="text1"/>
                <w:lang w:val="es-CL" w:eastAsia="es-ES_tradnl"/>
              </w:rPr>
            </w:pPr>
            <w:r w:rsidRPr="00130EEF">
              <w:rPr>
                <w:rFonts w:eastAsia="Times New Roman"/>
                <w:i/>
                <w:iCs/>
                <w:color w:val="000000" w:themeColor="text1"/>
                <w:lang w:val="es-CL" w:eastAsia="es-ES_tradnl"/>
              </w:rPr>
              <w:t>p</w:t>
            </w:r>
            <w:r w:rsidRPr="00130EEF">
              <w:rPr>
                <w:rFonts w:eastAsia="Times New Roman"/>
                <w:color w:val="000000" w:themeColor="text1"/>
                <w:lang w:val="es-CL" w:eastAsia="es-ES_tradnl"/>
              </w:rPr>
              <w:t xml:space="preserve"> value</w:t>
            </w:r>
          </w:p>
        </w:tc>
      </w:tr>
      <w:tr w:rsidR="00D41534" w:rsidRPr="00130EEF" w14:paraId="0566FE26" w14:textId="77777777" w:rsidTr="009D4177">
        <w:trPr>
          <w:trHeight w:val="320"/>
        </w:trPr>
        <w:tc>
          <w:tcPr>
            <w:tcW w:w="3393" w:type="dxa"/>
            <w:tcBorders>
              <w:top w:val="nil"/>
              <w:left w:val="nil"/>
              <w:bottom w:val="nil"/>
              <w:right w:val="nil"/>
            </w:tcBorders>
            <w:shd w:val="clear" w:color="auto" w:fill="auto"/>
            <w:noWrap/>
            <w:vAlign w:val="bottom"/>
            <w:hideMark/>
          </w:tcPr>
          <w:p w14:paraId="3D22352B" w14:textId="77777777" w:rsidR="00D41534" w:rsidRPr="00130EEF" w:rsidRDefault="00D41534" w:rsidP="009D4177">
            <w:pPr>
              <w:jc w:val="center"/>
              <w:rPr>
                <w:rFonts w:eastAsia="Times New Roman"/>
                <w:color w:val="000000" w:themeColor="text1"/>
                <w:lang w:val="es-CL" w:eastAsia="es-ES_tradnl"/>
              </w:rPr>
            </w:pPr>
          </w:p>
        </w:tc>
        <w:tc>
          <w:tcPr>
            <w:tcW w:w="1351" w:type="dxa"/>
            <w:tcBorders>
              <w:top w:val="nil"/>
              <w:left w:val="nil"/>
              <w:bottom w:val="nil"/>
              <w:right w:val="nil"/>
            </w:tcBorders>
            <w:shd w:val="clear" w:color="auto" w:fill="auto"/>
            <w:noWrap/>
            <w:vAlign w:val="bottom"/>
            <w:hideMark/>
          </w:tcPr>
          <w:p w14:paraId="645E7861" w14:textId="77777777" w:rsidR="00D41534" w:rsidRPr="00130EEF" w:rsidRDefault="00D41534" w:rsidP="009D4177">
            <w:pPr>
              <w:jc w:val="center"/>
              <w:rPr>
                <w:rFonts w:eastAsia="Times New Roman"/>
                <w:color w:val="000000" w:themeColor="text1"/>
                <w:lang w:val="es-CL" w:eastAsia="es-ES_tradnl"/>
              </w:rPr>
            </w:pPr>
          </w:p>
        </w:tc>
        <w:tc>
          <w:tcPr>
            <w:tcW w:w="1564" w:type="dxa"/>
            <w:tcBorders>
              <w:top w:val="nil"/>
              <w:left w:val="nil"/>
              <w:bottom w:val="nil"/>
              <w:right w:val="nil"/>
            </w:tcBorders>
            <w:shd w:val="clear" w:color="auto" w:fill="auto"/>
            <w:noWrap/>
            <w:vAlign w:val="bottom"/>
            <w:hideMark/>
          </w:tcPr>
          <w:p w14:paraId="173CFF34" w14:textId="77777777" w:rsidR="00D41534" w:rsidRPr="00130EEF" w:rsidRDefault="00D41534" w:rsidP="009D4177">
            <w:pPr>
              <w:jc w:val="center"/>
              <w:rPr>
                <w:rFonts w:eastAsia="Times New Roman"/>
                <w:color w:val="000000" w:themeColor="text1"/>
                <w:lang w:val="es-CL" w:eastAsia="es-ES_tradnl"/>
              </w:rPr>
            </w:pPr>
          </w:p>
        </w:tc>
        <w:tc>
          <w:tcPr>
            <w:tcW w:w="1730" w:type="dxa"/>
            <w:tcBorders>
              <w:top w:val="nil"/>
              <w:left w:val="nil"/>
              <w:bottom w:val="nil"/>
              <w:right w:val="nil"/>
            </w:tcBorders>
            <w:shd w:val="clear" w:color="auto" w:fill="auto"/>
            <w:noWrap/>
            <w:vAlign w:val="bottom"/>
            <w:hideMark/>
          </w:tcPr>
          <w:p w14:paraId="1A1718D4" w14:textId="77777777" w:rsidR="00D41534" w:rsidRPr="00130EEF" w:rsidRDefault="00D41534" w:rsidP="009D4177">
            <w:pPr>
              <w:jc w:val="center"/>
              <w:rPr>
                <w:rFonts w:eastAsia="Times New Roman"/>
                <w:color w:val="000000" w:themeColor="text1"/>
                <w:lang w:val="es-CL" w:eastAsia="es-ES_tradnl"/>
              </w:rPr>
            </w:pPr>
          </w:p>
        </w:tc>
        <w:tc>
          <w:tcPr>
            <w:tcW w:w="1002" w:type="dxa"/>
            <w:tcBorders>
              <w:top w:val="nil"/>
              <w:left w:val="nil"/>
              <w:bottom w:val="nil"/>
              <w:right w:val="nil"/>
            </w:tcBorders>
            <w:shd w:val="clear" w:color="auto" w:fill="auto"/>
            <w:noWrap/>
            <w:vAlign w:val="bottom"/>
            <w:hideMark/>
          </w:tcPr>
          <w:p w14:paraId="03203391" w14:textId="77777777" w:rsidR="00D41534" w:rsidRPr="00130EEF" w:rsidRDefault="00D41534" w:rsidP="009D4177">
            <w:pPr>
              <w:jc w:val="center"/>
              <w:rPr>
                <w:rFonts w:eastAsia="Times New Roman"/>
                <w:color w:val="000000" w:themeColor="text1"/>
                <w:lang w:val="es-CL" w:eastAsia="es-ES_tradnl"/>
              </w:rPr>
            </w:pPr>
          </w:p>
        </w:tc>
      </w:tr>
      <w:tr w:rsidR="00D41534" w:rsidRPr="00130EEF" w14:paraId="0C25B2C5" w14:textId="77777777" w:rsidTr="009D4177">
        <w:trPr>
          <w:trHeight w:val="320"/>
        </w:trPr>
        <w:tc>
          <w:tcPr>
            <w:tcW w:w="3393" w:type="dxa"/>
            <w:tcBorders>
              <w:top w:val="nil"/>
              <w:left w:val="nil"/>
              <w:bottom w:val="nil"/>
              <w:right w:val="nil"/>
            </w:tcBorders>
            <w:shd w:val="clear" w:color="auto" w:fill="auto"/>
            <w:noWrap/>
            <w:vAlign w:val="bottom"/>
            <w:hideMark/>
          </w:tcPr>
          <w:p w14:paraId="5B309B52" w14:textId="77777777" w:rsidR="00D41534" w:rsidRPr="00130EEF" w:rsidRDefault="00D41534"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Days mating</w:t>
            </w:r>
          </w:p>
        </w:tc>
        <w:tc>
          <w:tcPr>
            <w:tcW w:w="1351" w:type="dxa"/>
            <w:tcBorders>
              <w:top w:val="nil"/>
              <w:left w:val="nil"/>
              <w:bottom w:val="nil"/>
              <w:right w:val="nil"/>
            </w:tcBorders>
            <w:shd w:val="clear" w:color="auto" w:fill="auto"/>
            <w:noWrap/>
            <w:vAlign w:val="bottom"/>
            <w:hideMark/>
          </w:tcPr>
          <w:p w14:paraId="72C38D5E" w14:textId="77777777" w:rsidR="00D41534" w:rsidRPr="00130EEF" w:rsidRDefault="00D41534"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2.0 ± 0.2</w:t>
            </w:r>
          </w:p>
        </w:tc>
        <w:tc>
          <w:tcPr>
            <w:tcW w:w="1564" w:type="dxa"/>
            <w:tcBorders>
              <w:top w:val="nil"/>
              <w:left w:val="nil"/>
              <w:bottom w:val="nil"/>
              <w:right w:val="nil"/>
            </w:tcBorders>
            <w:shd w:val="clear" w:color="auto" w:fill="auto"/>
            <w:noWrap/>
            <w:vAlign w:val="bottom"/>
            <w:hideMark/>
          </w:tcPr>
          <w:p w14:paraId="531331FA" w14:textId="77777777" w:rsidR="00D41534" w:rsidRPr="00130EEF" w:rsidRDefault="00D41534"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2.4 ± 0.3</w:t>
            </w:r>
          </w:p>
        </w:tc>
        <w:tc>
          <w:tcPr>
            <w:tcW w:w="1730" w:type="dxa"/>
            <w:tcBorders>
              <w:top w:val="nil"/>
              <w:left w:val="nil"/>
              <w:bottom w:val="nil"/>
              <w:right w:val="nil"/>
            </w:tcBorders>
            <w:shd w:val="clear" w:color="auto" w:fill="auto"/>
            <w:noWrap/>
            <w:vAlign w:val="bottom"/>
            <w:hideMark/>
          </w:tcPr>
          <w:p w14:paraId="22713424" w14:textId="77777777" w:rsidR="00D41534" w:rsidRPr="00130EEF" w:rsidRDefault="00D41534"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2.9 ± 0.2</w:t>
            </w:r>
            <w:r w:rsidRPr="00130EEF">
              <w:rPr>
                <w:color w:val="000000" w:themeColor="text1"/>
                <w:vertAlign w:val="superscript"/>
              </w:rPr>
              <w:t>†</w:t>
            </w:r>
            <w:r w:rsidRPr="00130EEF">
              <w:rPr>
                <w:rFonts w:eastAsia="Times New Roman"/>
                <w:b/>
                <w:bCs/>
                <w:color w:val="000000" w:themeColor="text1"/>
                <w:vertAlign w:val="superscript"/>
                <w:lang w:val="es-CL" w:eastAsia="es-ES_tradnl"/>
              </w:rPr>
              <w:t>,</w:t>
            </w:r>
            <w:r w:rsidRPr="00130EEF">
              <w:rPr>
                <w:color w:val="000000" w:themeColor="text1"/>
                <w:vertAlign w:val="superscript"/>
              </w:rPr>
              <w:t>‡</w:t>
            </w:r>
          </w:p>
        </w:tc>
        <w:tc>
          <w:tcPr>
            <w:tcW w:w="1002" w:type="dxa"/>
            <w:tcBorders>
              <w:top w:val="nil"/>
              <w:left w:val="nil"/>
              <w:bottom w:val="nil"/>
              <w:right w:val="nil"/>
            </w:tcBorders>
            <w:shd w:val="clear" w:color="auto" w:fill="auto"/>
            <w:noWrap/>
            <w:vAlign w:val="bottom"/>
            <w:hideMark/>
          </w:tcPr>
          <w:p w14:paraId="6BEA0744" w14:textId="20FBC95A" w:rsidR="00D41534" w:rsidRPr="00130EEF" w:rsidRDefault="00D41534"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0.002</w:t>
            </w:r>
          </w:p>
        </w:tc>
      </w:tr>
      <w:tr w:rsidR="00D41534" w:rsidRPr="00130EEF" w14:paraId="243991F7" w14:textId="77777777" w:rsidTr="009D4177">
        <w:trPr>
          <w:trHeight w:val="320"/>
        </w:trPr>
        <w:tc>
          <w:tcPr>
            <w:tcW w:w="3393" w:type="dxa"/>
            <w:tcBorders>
              <w:top w:val="nil"/>
              <w:left w:val="nil"/>
              <w:bottom w:val="nil"/>
              <w:right w:val="nil"/>
            </w:tcBorders>
            <w:shd w:val="clear" w:color="auto" w:fill="auto"/>
            <w:noWrap/>
            <w:vAlign w:val="bottom"/>
            <w:hideMark/>
          </w:tcPr>
          <w:p w14:paraId="1D47D4CF" w14:textId="77777777" w:rsidR="00D41534" w:rsidRPr="00130EEF" w:rsidRDefault="00D41534"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Embryos per mouse</w:t>
            </w:r>
          </w:p>
        </w:tc>
        <w:tc>
          <w:tcPr>
            <w:tcW w:w="1351" w:type="dxa"/>
            <w:tcBorders>
              <w:top w:val="nil"/>
              <w:left w:val="nil"/>
              <w:bottom w:val="nil"/>
              <w:right w:val="nil"/>
            </w:tcBorders>
            <w:shd w:val="clear" w:color="auto" w:fill="auto"/>
            <w:noWrap/>
            <w:vAlign w:val="bottom"/>
            <w:hideMark/>
          </w:tcPr>
          <w:p w14:paraId="67BBC73D" w14:textId="77777777" w:rsidR="00D41534" w:rsidRPr="00130EEF" w:rsidRDefault="00D41534"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 xml:space="preserve">7.9 </w:t>
            </w:r>
            <w:r w:rsidRPr="00130EEF">
              <w:rPr>
                <w:rFonts w:ascii="Calibri" w:eastAsia="Times New Roman" w:hAnsi="Calibri" w:cs="Calibri"/>
                <w:color w:val="000000" w:themeColor="text1"/>
                <w:lang w:val="es-CL" w:eastAsia="es-ES_tradnl"/>
              </w:rPr>
              <w:t>﻿</w:t>
            </w:r>
            <w:r w:rsidRPr="00130EEF">
              <w:rPr>
                <w:rFonts w:eastAsia="Times New Roman"/>
                <w:color w:val="000000" w:themeColor="text1"/>
                <w:lang w:val="es-CL" w:eastAsia="es-ES_tradnl"/>
              </w:rPr>
              <w:t>± 0.4</w:t>
            </w:r>
          </w:p>
        </w:tc>
        <w:tc>
          <w:tcPr>
            <w:tcW w:w="1564" w:type="dxa"/>
            <w:tcBorders>
              <w:top w:val="nil"/>
              <w:left w:val="nil"/>
              <w:bottom w:val="nil"/>
              <w:right w:val="nil"/>
            </w:tcBorders>
            <w:shd w:val="clear" w:color="auto" w:fill="auto"/>
            <w:noWrap/>
            <w:vAlign w:val="bottom"/>
            <w:hideMark/>
          </w:tcPr>
          <w:p w14:paraId="29D75849" w14:textId="77777777" w:rsidR="00D41534" w:rsidRPr="00130EEF" w:rsidRDefault="00D41534"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 xml:space="preserve">7.3 </w:t>
            </w:r>
            <w:r w:rsidRPr="00130EEF">
              <w:rPr>
                <w:rFonts w:ascii="Calibri" w:eastAsia="Times New Roman" w:hAnsi="Calibri" w:cs="Calibri"/>
                <w:color w:val="000000" w:themeColor="text1"/>
                <w:lang w:val="es-CL" w:eastAsia="es-ES_tradnl"/>
              </w:rPr>
              <w:t>﻿</w:t>
            </w:r>
            <w:r w:rsidRPr="00130EEF">
              <w:rPr>
                <w:rFonts w:eastAsia="Times New Roman"/>
                <w:color w:val="000000" w:themeColor="text1"/>
                <w:lang w:val="es-CL" w:eastAsia="es-ES_tradnl"/>
              </w:rPr>
              <w:t>± 0.5</w:t>
            </w:r>
          </w:p>
        </w:tc>
        <w:tc>
          <w:tcPr>
            <w:tcW w:w="1730" w:type="dxa"/>
            <w:tcBorders>
              <w:top w:val="nil"/>
              <w:left w:val="nil"/>
              <w:bottom w:val="nil"/>
              <w:right w:val="nil"/>
            </w:tcBorders>
            <w:shd w:val="clear" w:color="auto" w:fill="auto"/>
            <w:noWrap/>
            <w:vAlign w:val="bottom"/>
            <w:hideMark/>
          </w:tcPr>
          <w:p w14:paraId="4562BC4A" w14:textId="77777777" w:rsidR="00D41534" w:rsidRPr="00130EEF" w:rsidRDefault="00D41534"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 xml:space="preserve">8.7 </w:t>
            </w:r>
            <w:r w:rsidRPr="00130EEF">
              <w:rPr>
                <w:rFonts w:ascii="Calibri" w:eastAsia="Times New Roman" w:hAnsi="Calibri" w:cs="Calibri"/>
                <w:color w:val="000000" w:themeColor="text1"/>
                <w:lang w:val="es-CL" w:eastAsia="es-ES_tradnl"/>
              </w:rPr>
              <w:t>﻿</w:t>
            </w:r>
            <w:r w:rsidRPr="00130EEF">
              <w:rPr>
                <w:rFonts w:eastAsia="Times New Roman"/>
                <w:color w:val="000000" w:themeColor="text1"/>
                <w:lang w:val="es-CL" w:eastAsia="es-ES_tradnl"/>
              </w:rPr>
              <w:t>± 0.2</w:t>
            </w:r>
            <w:r w:rsidRPr="00130EEF">
              <w:rPr>
                <w:color w:val="000000" w:themeColor="text1"/>
                <w:vertAlign w:val="superscript"/>
              </w:rPr>
              <w:t>‡</w:t>
            </w:r>
          </w:p>
        </w:tc>
        <w:tc>
          <w:tcPr>
            <w:tcW w:w="1002" w:type="dxa"/>
            <w:tcBorders>
              <w:top w:val="nil"/>
              <w:left w:val="nil"/>
              <w:bottom w:val="nil"/>
              <w:right w:val="nil"/>
            </w:tcBorders>
            <w:shd w:val="clear" w:color="auto" w:fill="auto"/>
            <w:noWrap/>
            <w:vAlign w:val="bottom"/>
            <w:hideMark/>
          </w:tcPr>
          <w:p w14:paraId="77DE3F91" w14:textId="496A7D7A" w:rsidR="00D41534" w:rsidRPr="00130EEF" w:rsidRDefault="00D41534"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0.02</w:t>
            </w:r>
          </w:p>
        </w:tc>
      </w:tr>
      <w:tr w:rsidR="00D41534" w:rsidRPr="00130EEF" w14:paraId="692E62F4" w14:textId="77777777" w:rsidTr="009D4177">
        <w:trPr>
          <w:trHeight w:val="320"/>
        </w:trPr>
        <w:tc>
          <w:tcPr>
            <w:tcW w:w="3393" w:type="dxa"/>
            <w:tcBorders>
              <w:top w:val="nil"/>
              <w:left w:val="nil"/>
              <w:bottom w:val="nil"/>
              <w:right w:val="nil"/>
            </w:tcBorders>
            <w:shd w:val="clear" w:color="auto" w:fill="auto"/>
            <w:noWrap/>
            <w:vAlign w:val="bottom"/>
            <w:hideMark/>
          </w:tcPr>
          <w:p w14:paraId="4FA186F9" w14:textId="283EC8DC" w:rsidR="00D41534" w:rsidRPr="00130EEF" w:rsidRDefault="00D41534"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Blastocyst</w:t>
            </w:r>
            <w:r w:rsidR="007D2AFF" w:rsidRPr="00130EEF">
              <w:rPr>
                <w:rFonts w:eastAsia="Times New Roman"/>
                <w:color w:val="000000" w:themeColor="text1"/>
                <w:lang w:val="es-CL" w:eastAsia="es-ES_tradnl"/>
              </w:rPr>
              <w:t>s</w:t>
            </w:r>
            <w:r w:rsidRPr="00130EEF">
              <w:rPr>
                <w:rFonts w:eastAsia="Times New Roman"/>
                <w:color w:val="000000" w:themeColor="text1"/>
                <w:lang w:val="es-CL" w:eastAsia="es-ES_tradnl"/>
              </w:rPr>
              <w:t xml:space="preserve"> per mouse</w:t>
            </w:r>
          </w:p>
        </w:tc>
        <w:tc>
          <w:tcPr>
            <w:tcW w:w="1351" w:type="dxa"/>
            <w:tcBorders>
              <w:top w:val="nil"/>
              <w:left w:val="nil"/>
              <w:bottom w:val="nil"/>
              <w:right w:val="nil"/>
            </w:tcBorders>
            <w:shd w:val="clear" w:color="auto" w:fill="auto"/>
            <w:noWrap/>
            <w:vAlign w:val="bottom"/>
            <w:hideMark/>
          </w:tcPr>
          <w:p w14:paraId="02C3DAEC" w14:textId="77777777" w:rsidR="00D41534" w:rsidRPr="00130EEF" w:rsidRDefault="00D41534"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 xml:space="preserve">7.2 </w:t>
            </w:r>
            <w:r w:rsidRPr="00130EEF">
              <w:rPr>
                <w:rFonts w:ascii="Calibri" w:eastAsia="Times New Roman" w:hAnsi="Calibri" w:cs="Calibri"/>
                <w:color w:val="000000" w:themeColor="text1"/>
                <w:lang w:val="es-CL" w:eastAsia="es-ES_tradnl"/>
              </w:rPr>
              <w:t>﻿</w:t>
            </w:r>
            <w:r w:rsidRPr="00130EEF">
              <w:rPr>
                <w:rFonts w:eastAsia="Times New Roman"/>
                <w:color w:val="000000" w:themeColor="text1"/>
                <w:lang w:val="es-CL" w:eastAsia="es-ES_tradnl"/>
              </w:rPr>
              <w:t>± 0.4</w:t>
            </w:r>
          </w:p>
        </w:tc>
        <w:tc>
          <w:tcPr>
            <w:tcW w:w="1564" w:type="dxa"/>
            <w:tcBorders>
              <w:top w:val="nil"/>
              <w:left w:val="nil"/>
              <w:bottom w:val="nil"/>
              <w:right w:val="nil"/>
            </w:tcBorders>
            <w:shd w:val="clear" w:color="auto" w:fill="auto"/>
            <w:noWrap/>
            <w:vAlign w:val="bottom"/>
            <w:hideMark/>
          </w:tcPr>
          <w:p w14:paraId="2EB248C2" w14:textId="77777777" w:rsidR="00D41534" w:rsidRPr="00130EEF" w:rsidRDefault="00D41534"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 xml:space="preserve">6.3 </w:t>
            </w:r>
            <w:r w:rsidRPr="00130EEF">
              <w:rPr>
                <w:rFonts w:ascii="Calibri" w:eastAsia="Times New Roman" w:hAnsi="Calibri" w:cs="Calibri"/>
                <w:color w:val="000000" w:themeColor="text1"/>
                <w:lang w:val="es-CL" w:eastAsia="es-ES_tradnl"/>
              </w:rPr>
              <w:t>﻿</w:t>
            </w:r>
            <w:r w:rsidRPr="00130EEF">
              <w:rPr>
                <w:rFonts w:eastAsia="Times New Roman"/>
                <w:color w:val="000000" w:themeColor="text1"/>
                <w:lang w:val="es-CL" w:eastAsia="es-ES_tradnl"/>
              </w:rPr>
              <w:t>± 0.6</w:t>
            </w:r>
          </w:p>
        </w:tc>
        <w:tc>
          <w:tcPr>
            <w:tcW w:w="1730" w:type="dxa"/>
            <w:tcBorders>
              <w:top w:val="nil"/>
              <w:left w:val="nil"/>
              <w:bottom w:val="nil"/>
              <w:right w:val="nil"/>
            </w:tcBorders>
            <w:shd w:val="clear" w:color="auto" w:fill="auto"/>
            <w:noWrap/>
            <w:vAlign w:val="bottom"/>
            <w:hideMark/>
          </w:tcPr>
          <w:p w14:paraId="089DF6BA" w14:textId="77777777" w:rsidR="00D41534" w:rsidRPr="00130EEF" w:rsidRDefault="00D41534"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 xml:space="preserve">7.9 </w:t>
            </w:r>
            <w:r w:rsidRPr="00130EEF">
              <w:rPr>
                <w:rFonts w:ascii="Calibri" w:eastAsia="Times New Roman" w:hAnsi="Calibri" w:cs="Calibri"/>
                <w:color w:val="000000" w:themeColor="text1"/>
                <w:lang w:val="es-CL" w:eastAsia="es-ES_tradnl"/>
              </w:rPr>
              <w:t>﻿</w:t>
            </w:r>
            <w:r w:rsidRPr="00130EEF">
              <w:rPr>
                <w:rFonts w:eastAsia="Times New Roman"/>
                <w:color w:val="000000" w:themeColor="text1"/>
                <w:lang w:val="es-CL" w:eastAsia="es-ES_tradnl"/>
              </w:rPr>
              <w:t>± 0.3</w:t>
            </w:r>
            <w:r w:rsidRPr="00130EEF">
              <w:rPr>
                <w:color w:val="000000" w:themeColor="text1"/>
                <w:vertAlign w:val="superscript"/>
              </w:rPr>
              <w:t>‡</w:t>
            </w:r>
          </w:p>
        </w:tc>
        <w:tc>
          <w:tcPr>
            <w:tcW w:w="1002" w:type="dxa"/>
            <w:tcBorders>
              <w:top w:val="nil"/>
              <w:left w:val="nil"/>
              <w:bottom w:val="nil"/>
              <w:right w:val="nil"/>
            </w:tcBorders>
            <w:shd w:val="clear" w:color="auto" w:fill="auto"/>
            <w:noWrap/>
            <w:vAlign w:val="bottom"/>
            <w:hideMark/>
          </w:tcPr>
          <w:p w14:paraId="2F0EE330" w14:textId="5C174270" w:rsidR="00D41534" w:rsidRPr="00130EEF" w:rsidRDefault="00D41534"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0.03</w:t>
            </w:r>
          </w:p>
        </w:tc>
      </w:tr>
      <w:tr w:rsidR="00D41534" w:rsidRPr="00130EEF" w14:paraId="0638B09F" w14:textId="77777777" w:rsidTr="009D4177">
        <w:trPr>
          <w:trHeight w:val="340"/>
        </w:trPr>
        <w:tc>
          <w:tcPr>
            <w:tcW w:w="3393" w:type="dxa"/>
            <w:tcBorders>
              <w:top w:val="nil"/>
              <w:left w:val="nil"/>
              <w:bottom w:val="nil"/>
              <w:right w:val="nil"/>
            </w:tcBorders>
            <w:shd w:val="clear" w:color="auto" w:fill="auto"/>
            <w:noWrap/>
            <w:vAlign w:val="bottom"/>
            <w:hideMark/>
          </w:tcPr>
          <w:p w14:paraId="33972586" w14:textId="77777777" w:rsidR="00D41534" w:rsidRPr="00130EEF" w:rsidRDefault="00D41534"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Late blastocyst (%)</w:t>
            </w:r>
          </w:p>
        </w:tc>
        <w:tc>
          <w:tcPr>
            <w:tcW w:w="1351" w:type="dxa"/>
            <w:tcBorders>
              <w:top w:val="nil"/>
              <w:left w:val="nil"/>
              <w:bottom w:val="nil"/>
              <w:right w:val="nil"/>
            </w:tcBorders>
            <w:shd w:val="clear" w:color="auto" w:fill="auto"/>
            <w:noWrap/>
            <w:vAlign w:val="bottom"/>
            <w:hideMark/>
          </w:tcPr>
          <w:p w14:paraId="48875B53" w14:textId="77777777" w:rsidR="00D41534" w:rsidRPr="00130EEF" w:rsidRDefault="00D41534"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12.7 ± 3.5</w:t>
            </w:r>
          </w:p>
        </w:tc>
        <w:tc>
          <w:tcPr>
            <w:tcW w:w="1564" w:type="dxa"/>
            <w:tcBorders>
              <w:top w:val="nil"/>
              <w:left w:val="nil"/>
              <w:bottom w:val="nil"/>
              <w:right w:val="nil"/>
            </w:tcBorders>
            <w:shd w:val="clear" w:color="auto" w:fill="auto"/>
            <w:vAlign w:val="bottom"/>
            <w:hideMark/>
          </w:tcPr>
          <w:p w14:paraId="0BC74A3C" w14:textId="77777777" w:rsidR="00D41534" w:rsidRPr="00130EEF" w:rsidRDefault="00D41534"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11.6 ± 3.2</w:t>
            </w:r>
          </w:p>
        </w:tc>
        <w:tc>
          <w:tcPr>
            <w:tcW w:w="1730" w:type="dxa"/>
            <w:tcBorders>
              <w:top w:val="nil"/>
              <w:left w:val="nil"/>
              <w:bottom w:val="nil"/>
              <w:right w:val="nil"/>
            </w:tcBorders>
            <w:shd w:val="clear" w:color="auto" w:fill="auto"/>
            <w:noWrap/>
            <w:vAlign w:val="bottom"/>
            <w:hideMark/>
          </w:tcPr>
          <w:p w14:paraId="7777936B" w14:textId="77777777" w:rsidR="00D41534" w:rsidRPr="00130EEF" w:rsidRDefault="00D41534"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14.0 ± 3.4</w:t>
            </w:r>
          </w:p>
        </w:tc>
        <w:tc>
          <w:tcPr>
            <w:tcW w:w="1002" w:type="dxa"/>
            <w:tcBorders>
              <w:top w:val="nil"/>
              <w:left w:val="nil"/>
              <w:bottom w:val="nil"/>
              <w:right w:val="nil"/>
            </w:tcBorders>
            <w:shd w:val="clear" w:color="auto" w:fill="auto"/>
            <w:noWrap/>
            <w:vAlign w:val="bottom"/>
            <w:hideMark/>
          </w:tcPr>
          <w:p w14:paraId="415F75D8" w14:textId="1E696980" w:rsidR="00D41534" w:rsidRPr="00130EEF" w:rsidRDefault="009C620D"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0.88</w:t>
            </w:r>
          </w:p>
        </w:tc>
      </w:tr>
      <w:tr w:rsidR="00D41534" w:rsidRPr="00130EEF" w14:paraId="52913F0B" w14:textId="77777777" w:rsidTr="009D4177">
        <w:trPr>
          <w:trHeight w:val="320"/>
        </w:trPr>
        <w:tc>
          <w:tcPr>
            <w:tcW w:w="3393" w:type="dxa"/>
            <w:tcBorders>
              <w:top w:val="nil"/>
              <w:left w:val="nil"/>
              <w:bottom w:val="nil"/>
              <w:right w:val="nil"/>
            </w:tcBorders>
            <w:shd w:val="clear" w:color="auto" w:fill="auto"/>
            <w:noWrap/>
            <w:vAlign w:val="bottom"/>
            <w:hideMark/>
          </w:tcPr>
          <w:p w14:paraId="47DC6C5F" w14:textId="77777777" w:rsidR="00D41534" w:rsidRPr="00130EEF" w:rsidRDefault="00D41534"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Mid blastocyst (%)</w:t>
            </w:r>
          </w:p>
        </w:tc>
        <w:tc>
          <w:tcPr>
            <w:tcW w:w="1351" w:type="dxa"/>
            <w:tcBorders>
              <w:top w:val="nil"/>
              <w:left w:val="nil"/>
              <w:bottom w:val="nil"/>
              <w:right w:val="nil"/>
            </w:tcBorders>
            <w:shd w:val="clear" w:color="auto" w:fill="auto"/>
            <w:noWrap/>
            <w:vAlign w:val="bottom"/>
            <w:hideMark/>
          </w:tcPr>
          <w:p w14:paraId="6E366395" w14:textId="77777777" w:rsidR="00D41534" w:rsidRPr="00130EEF" w:rsidRDefault="00D41534"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53.2 ± 4.1</w:t>
            </w:r>
          </w:p>
        </w:tc>
        <w:tc>
          <w:tcPr>
            <w:tcW w:w="1564" w:type="dxa"/>
            <w:tcBorders>
              <w:top w:val="nil"/>
              <w:left w:val="nil"/>
              <w:bottom w:val="nil"/>
              <w:right w:val="nil"/>
            </w:tcBorders>
            <w:shd w:val="clear" w:color="auto" w:fill="auto"/>
            <w:noWrap/>
            <w:vAlign w:val="bottom"/>
            <w:hideMark/>
          </w:tcPr>
          <w:p w14:paraId="37973A9F" w14:textId="77777777" w:rsidR="00D41534" w:rsidRPr="00130EEF" w:rsidRDefault="00D41534"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52.7 ± 5.0</w:t>
            </w:r>
          </w:p>
        </w:tc>
        <w:tc>
          <w:tcPr>
            <w:tcW w:w="1730" w:type="dxa"/>
            <w:tcBorders>
              <w:top w:val="nil"/>
              <w:left w:val="nil"/>
              <w:bottom w:val="nil"/>
              <w:right w:val="nil"/>
            </w:tcBorders>
            <w:shd w:val="clear" w:color="auto" w:fill="auto"/>
            <w:noWrap/>
            <w:vAlign w:val="bottom"/>
            <w:hideMark/>
          </w:tcPr>
          <w:p w14:paraId="3FB0CA64" w14:textId="77777777" w:rsidR="00D41534" w:rsidRPr="00130EEF" w:rsidRDefault="00D41534"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50.7 ± 4.5</w:t>
            </w:r>
          </w:p>
        </w:tc>
        <w:tc>
          <w:tcPr>
            <w:tcW w:w="1002" w:type="dxa"/>
            <w:tcBorders>
              <w:top w:val="nil"/>
              <w:left w:val="nil"/>
              <w:bottom w:val="nil"/>
              <w:right w:val="nil"/>
            </w:tcBorders>
            <w:shd w:val="clear" w:color="auto" w:fill="auto"/>
            <w:noWrap/>
            <w:vAlign w:val="bottom"/>
            <w:hideMark/>
          </w:tcPr>
          <w:p w14:paraId="7C5135FE" w14:textId="7182B469" w:rsidR="00D41534" w:rsidRPr="00130EEF" w:rsidRDefault="009C620D"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0.91</w:t>
            </w:r>
          </w:p>
        </w:tc>
      </w:tr>
      <w:tr w:rsidR="00D41534" w:rsidRPr="00130EEF" w14:paraId="5D0EBA12" w14:textId="77777777" w:rsidTr="009D4177">
        <w:trPr>
          <w:trHeight w:val="320"/>
        </w:trPr>
        <w:tc>
          <w:tcPr>
            <w:tcW w:w="3393" w:type="dxa"/>
            <w:tcBorders>
              <w:top w:val="nil"/>
              <w:left w:val="nil"/>
              <w:bottom w:val="nil"/>
              <w:right w:val="nil"/>
            </w:tcBorders>
            <w:shd w:val="clear" w:color="auto" w:fill="auto"/>
            <w:noWrap/>
            <w:vAlign w:val="bottom"/>
            <w:hideMark/>
          </w:tcPr>
          <w:p w14:paraId="292C66E2" w14:textId="77777777" w:rsidR="00D41534" w:rsidRPr="00130EEF" w:rsidRDefault="00D41534"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Early blastocyst (%)</w:t>
            </w:r>
          </w:p>
        </w:tc>
        <w:tc>
          <w:tcPr>
            <w:tcW w:w="1351" w:type="dxa"/>
            <w:tcBorders>
              <w:top w:val="nil"/>
              <w:left w:val="nil"/>
              <w:bottom w:val="nil"/>
              <w:right w:val="nil"/>
            </w:tcBorders>
            <w:shd w:val="clear" w:color="auto" w:fill="auto"/>
            <w:noWrap/>
            <w:vAlign w:val="bottom"/>
            <w:hideMark/>
          </w:tcPr>
          <w:p w14:paraId="2773B66F" w14:textId="77777777" w:rsidR="00D41534" w:rsidRPr="00130EEF" w:rsidRDefault="00D41534"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21.9 ± 3.9</w:t>
            </w:r>
          </w:p>
        </w:tc>
        <w:tc>
          <w:tcPr>
            <w:tcW w:w="1564" w:type="dxa"/>
            <w:tcBorders>
              <w:top w:val="nil"/>
              <w:left w:val="nil"/>
              <w:bottom w:val="nil"/>
              <w:right w:val="nil"/>
            </w:tcBorders>
            <w:shd w:val="clear" w:color="auto" w:fill="auto"/>
            <w:noWrap/>
            <w:vAlign w:val="bottom"/>
            <w:hideMark/>
          </w:tcPr>
          <w:p w14:paraId="1D2A7AFF" w14:textId="77777777" w:rsidR="00D41534" w:rsidRPr="00130EEF" w:rsidRDefault="00D41534"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16.4 ± 3.2</w:t>
            </w:r>
          </w:p>
        </w:tc>
        <w:tc>
          <w:tcPr>
            <w:tcW w:w="1730" w:type="dxa"/>
            <w:tcBorders>
              <w:top w:val="nil"/>
              <w:left w:val="nil"/>
              <w:bottom w:val="nil"/>
              <w:right w:val="nil"/>
            </w:tcBorders>
            <w:shd w:val="clear" w:color="auto" w:fill="auto"/>
            <w:noWrap/>
            <w:vAlign w:val="bottom"/>
            <w:hideMark/>
          </w:tcPr>
          <w:p w14:paraId="01BD44BC" w14:textId="77777777" w:rsidR="00D41534" w:rsidRPr="00130EEF" w:rsidRDefault="00D41534"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22.0 ± 3.4</w:t>
            </w:r>
          </w:p>
        </w:tc>
        <w:tc>
          <w:tcPr>
            <w:tcW w:w="1002" w:type="dxa"/>
            <w:tcBorders>
              <w:top w:val="nil"/>
              <w:left w:val="nil"/>
              <w:bottom w:val="nil"/>
              <w:right w:val="nil"/>
            </w:tcBorders>
            <w:shd w:val="clear" w:color="auto" w:fill="auto"/>
            <w:noWrap/>
            <w:vAlign w:val="bottom"/>
            <w:hideMark/>
          </w:tcPr>
          <w:p w14:paraId="55028755" w14:textId="1FAFC6B8" w:rsidR="00D41534" w:rsidRPr="00130EEF" w:rsidRDefault="009C620D"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0.44</w:t>
            </w:r>
          </w:p>
        </w:tc>
      </w:tr>
      <w:tr w:rsidR="00D41534" w:rsidRPr="00130EEF" w14:paraId="5E3B618F" w14:textId="77777777" w:rsidTr="009D4177">
        <w:trPr>
          <w:trHeight w:val="320"/>
        </w:trPr>
        <w:tc>
          <w:tcPr>
            <w:tcW w:w="3393" w:type="dxa"/>
            <w:tcBorders>
              <w:top w:val="nil"/>
              <w:left w:val="nil"/>
              <w:bottom w:val="nil"/>
              <w:right w:val="nil"/>
            </w:tcBorders>
            <w:shd w:val="clear" w:color="auto" w:fill="auto"/>
            <w:noWrap/>
            <w:vAlign w:val="bottom"/>
            <w:hideMark/>
          </w:tcPr>
          <w:p w14:paraId="19052E7E" w14:textId="77777777" w:rsidR="00D41534" w:rsidRPr="00130EEF" w:rsidRDefault="00D41534"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Morula (%)</w:t>
            </w:r>
          </w:p>
        </w:tc>
        <w:tc>
          <w:tcPr>
            <w:tcW w:w="1351" w:type="dxa"/>
            <w:tcBorders>
              <w:top w:val="nil"/>
              <w:left w:val="nil"/>
              <w:bottom w:val="nil"/>
              <w:right w:val="nil"/>
            </w:tcBorders>
            <w:shd w:val="clear" w:color="auto" w:fill="auto"/>
            <w:noWrap/>
            <w:vAlign w:val="bottom"/>
            <w:hideMark/>
          </w:tcPr>
          <w:p w14:paraId="76D5451A" w14:textId="77777777" w:rsidR="00D41534" w:rsidRPr="00130EEF" w:rsidRDefault="00D41534"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2.7 ± 1.6</w:t>
            </w:r>
          </w:p>
        </w:tc>
        <w:tc>
          <w:tcPr>
            <w:tcW w:w="1564" w:type="dxa"/>
            <w:tcBorders>
              <w:top w:val="nil"/>
              <w:left w:val="nil"/>
              <w:bottom w:val="nil"/>
              <w:right w:val="nil"/>
            </w:tcBorders>
            <w:shd w:val="clear" w:color="auto" w:fill="auto"/>
            <w:noWrap/>
            <w:vAlign w:val="bottom"/>
            <w:hideMark/>
          </w:tcPr>
          <w:p w14:paraId="6EC8F286" w14:textId="77777777" w:rsidR="00D41534" w:rsidRPr="00130EEF" w:rsidRDefault="00D41534"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2.5 ± 2.1</w:t>
            </w:r>
          </w:p>
        </w:tc>
        <w:tc>
          <w:tcPr>
            <w:tcW w:w="1730" w:type="dxa"/>
            <w:tcBorders>
              <w:top w:val="nil"/>
              <w:left w:val="nil"/>
              <w:bottom w:val="nil"/>
              <w:right w:val="nil"/>
            </w:tcBorders>
            <w:shd w:val="clear" w:color="auto" w:fill="auto"/>
            <w:noWrap/>
            <w:vAlign w:val="bottom"/>
            <w:hideMark/>
          </w:tcPr>
          <w:p w14:paraId="2E0CF717" w14:textId="77777777" w:rsidR="00D41534" w:rsidRPr="00130EEF" w:rsidRDefault="00D41534"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1.2 ± 0.7</w:t>
            </w:r>
          </w:p>
        </w:tc>
        <w:tc>
          <w:tcPr>
            <w:tcW w:w="1002" w:type="dxa"/>
            <w:tcBorders>
              <w:top w:val="nil"/>
              <w:left w:val="nil"/>
              <w:bottom w:val="nil"/>
              <w:right w:val="nil"/>
            </w:tcBorders>
            <w:shd w:val="clear" w:color="auto" w:fill="auto"/>
            <w:noWrap/>
            <w:vAlign w:val="bottom"/>
            <w:hideMark/>
          </w:tcPr>
          <w:p w14:paraId="4270034C" w14:textId="2E8579CC" w:rsidR="00D41534" w:rsidRPr="00130EEF" w:rsidRDefault="009C620D"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0.74</w:t>
            </w:r>
          </w:p>
        </w:tc>
      </w:tr>
      <w:tr w:rsidR="00D41534" w:rsidRPr="00130EEF" w14:paraId="3B2A1282" w14:textId="77777777" w:rsidTr="009D4177">
        <w:trPr>
          <w:trHeight w:val="320"/>
        </w:trPr>
        <w:tc>
          <w:tcPr>
            <w:tcW w:w="3393" w:type="dxa"/>
            <w:tcBorders>
              <w:top w:val="nil"/>
              <w:left w:val="nil"/>
              <w:bottom w:val="nil"/>
              <w:right w:val="nil"/>
            </w:tcBorders>
            <w:shd w:val="clear" w:color="auto" w:fill="auto"/>
            <w:noWrap/>
            <w:vAlign w:val="bottom"/>
            <w:hideMark/>
          </w:tcPr>
          <w:p w14:paraId="271A9AD2" w14:textId="77777777" w:rsidR="00D41534" w:rsidRPr="00130EEF" w:rsidRDefault="00D41534"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Degenerated embryo (%)</w:t>
            </w:r>
          </w:p>
        </w:tc>
        <w:tc>
          <w:tcPr>
            <w:tcW w:w="1351" w:type="dxa"/>
            <w:tcBorders>
              <w:top w:val="nil"/>
              <w:left w:val="nil"/>
              <w:bottom w:val="nil"/>
              <w:right w:val="nil"/>
            </w:tcBorders>
            <w:shd w:val="clear" w:color="auto" w:fill="auto"/>
            <w:noWrap/>
            <w:vAlign w:val="bottom"/>
            <w:hideMark/>
          </w:tcPr>
          <w:p w14:paraId="42B22508" w14:textId="77777777" w:rsidR="00D41534" w:rsidRPr="00130EEF" w:rsidRDefault="00D41534"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9.5 ± 2.2</w:t>
            </w:r>
          </w:p>
        </w:tc>
        <w:tc>
          <w:tcPr>
            <w:tcW w:w="1564" w:type="dxa"/>
            <w:tcBorders>
              <w:top w:val="nil"/>
              <w:left w:val="nil"/>
              <w:bottom w:val="nil"/>
              <w:right w:val="nil"/>
            </w:tcBorders>
            <w:shd w:val="clear" w:color="auto" w:fill="auto"/>
            <w:noWrap/>
            <w:vAlign w:val="bottom"/>
            <w:hideMark/>
          </w:tcPr>
          <w:p w14:paraId="47438D55" w14:textId="77777777" w:rsidR="00D41534" w:rsidRPr="00130EEF" w:rsidRDefault="00D41534"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16.6 ± 4.8</w:t>
            </w:r>
          </w:p>
        </w:tc>
        <w:tc>
          <w:tcPr>
            <w:tcW w:w="1730" w:type="dxa"/>
            <w:tcBorders>
              <w:top w:val="nil"/>
              <w:left w:val="nil"/>
              <w:bottom w:val="nil"/>
              <w:right w:val="nil"/>
            </w:tcBorders>
            <w:shd w:val="clear" w:color="auto" w:fill="auto"/>
            <w:noWrap/>
            <w:vAlign w:val="bottom"/>
            <w:hideMark/>
          </w:tcPr>
          <w:p w14:paraId="0591BF2A" w14:textId="77777777" w:rsidR="00D41534" w:rsidRPr="00130EEF" w:rsidRDefault="00D41534"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12.1 ± 3.1</w:t>
            </w:r>
          </w:p>
        </w:tc>
        <w:tc>
          <w:tcPr>
            <w:tcW w:w="1002" w:type="dxa"/>
            <w:tcBorders>
              <w:top w:val="nil"/>
              <w:left w:val="nil"/>
              <w:bottom w:val="nil"/>
              <w:right w:val="nil"/>
            </w:tcBorders>
            <w:shd w:val="clear" w:color="auto" w:fill="auto"/>
            <w:noWrap/>
            <w:vAlign w:val="bottom"/>
            <w:hideMark/>
          </w:tcPr>
          <w:p w14:paraId="435F5419" w14:textId="65AF5902" w:rsidR="00D41534" w:rsidRPr="00130EEF" w:rsidRDefault="009C620D" w:rsidP="009D4177">
            <w:pPr>
              <w:jc w:val="center"/>
              <w:rPr>
                <w:rFonts w:eastAsia="Times New Roman"/>
                <w:color w:val="000000" w:themeColor="text1"/>
                <w:lang w:val="es-CL" w:eastAsia="es-ES_tradnl"/>
              </w:rPr>
            </w:pPr>
            <w:r w:rsidRPr="00130EEF">
              <w:rPr>
                <w:rFonts w:eastAsia="Times New Roman"/>
                <w:color w:val="000000" w:themeColor="text1"/>
                <w:lang w:val="es-CL" w:eastAsia="es-ES_tradnl"/>
              </w:rPr>
              <w:t>0.35</w:t>
            </w:r>
          </w:p>
        </w:tc>
      </w:tr>
      <w:tr w:rsidR="00D41534" w:rsidRPr="00130EEF" w14:paraId="6CC7516F" w14:textId="77777777" w:rsidTr="009D4177">
        <w:trPr>
          <w:trHeight w:val="320"/>
        </w:trPr>
        <w:tc>
          <w:tcPr>
            <w:tcW w:w="3393" w:type="dxa"/>
            <w:tcBorders>
              <w:top w:val="nil"/>
              <w:left w:val="nil"/>
              <w:bottom w:val="nil"/>
              <w:right w:val="nil"/>
            </w:tcBorders>
            <w:shd w:val="clear" w:color="auto" w:fill="auto"/>
            <w:noWrap/>
            <w:vAlign w:val="bottom"/>
            <w:hideMark/>
          </w:tcPr>
          <w:p w14:paraId="5814CD62" w14:textId="77777777" w:rsidR="00D41534" w:rsidRPr="00130EEF" w:rsidRDefault="00D41534" w:rsidP="009D4177">
            <w:pPr>
              <w:jc w:val="center"/>
              <w:rPr>
                <w:rFonts w:eastAsia="Times New Roman"/>
                <w:color w:val="000000" w:themeColor="text1"/>
                <w:lang w:val="es-CL" w:eastAsia="es-ES_tradnl"/>
              </w:rPr>
            </w:pPr>
          </w:p>
        </w:tc>
        <w:tc>
          <w:tcPr>
            <w:tcW w:w="1351" w:type="dxa"/>
            <w:tcBorders>
              <w:top w:val="nil"/>
              <w:left w:val="nil"/>
              <w:bottom w:val="nil"/>
              <w:right w:val="nil"/>
            </w:tcBorders>
            <w:shd w:val="clear" w:color="auto" w:fill="auto"/>
            <w:noWrap/>
            <w:vAlign w:val="bottom"/>
            <w:hideMark/>
          </w:tcPr>
          <w:p w14:paraId="3117FF5F" w14:textId="77777777" w:rsidR="00D41534" w:rsidRPr="00130EEF" w:rsidRDefault="00D41534" w:rsidP="009D4177">
            <w:pPr>
              <w:jc w:val="center"/>
              <w:rPr>
                <w:rFonts w:eastAsia="Times New Roman"/>
                <w:color w:val="000000" w:themeColor="text1"/>
                <w:lang w:val="es-CL" w:eastAsia="es-ES_tradnl"/>
              </w:rPr>
            </w:pPr>
          </w:p>
        </w:tc>
        <w:tc>
          <w:tcPr>
            <w:tcW w:w="1564" w:type="dxa"/>
            <w:tcBorders>
              <w:top w:val="nil"/>
              <w:left w:val="nil"/>
              <w:bottom w:val="nil"/>
              <w:right w:val="nil"/>
            </w:tcBorders>
            <w:shd w:val="clear" w:color="auto" w:fill="auto"/>
            <w:noWrap/>
            <w:vAlign w:val="bottom"/>
            <w:hideMark/>
          </w:tcPr>
          <w:p w14:paraId="00ACA007" w14:textId="77777777" w:rsidR="00D41534" w:rsidRPr="00130EEF" w:rsidRDefault="00D41534" w:rsidP="009D4177">
            <w:pPr>
              <w:jc w:val="center"/>
              <w:rPr>
                <w:rFonts w:eastAsia="Times New Roman"/>
                <w:color w:val="000000" w:themeColor="text1"/>
                <w:lang w:val="es-CL" w:eastAsia="es-ES_tradnl"/>
              </w:rPr>
            </w:pPr>
          </w:p>
        </w:tc>
        <w:tc>
          <w:tcPr>
            <w:tcW w:w="1730" w:type="dxa"/>
            <w:tcBorders>
              <w:top w:val="nil"/>
              <w:left w:val="nil"/>
              <w:bottom w:val="nil"/>
              <w:right w:val="nil"/>
            </w:tcBorders>
            <w:shd w:val="clear" w:color="auto" w:fill="auto"/>
            <w:noWrap/>
            <w:vAlign w:val="bottom"/>
            <w:hideMark/>
          </w:tcPr>
          <w:p w14:paraId="7983EF13" w14:textId="77777777" w:rsidR="00D41534" w:rsidRPr="00130EEF" w:rsidRDefault="00D41534" w:rsidP="009D4177">
            <w:pPr>
              <w:jc w:val="center"/>
              <w:rPr>
                <w:rFonts w:eastAsia="Times New Roman"/>
                <w:color w:val="000000" w:themeColor="text1"/>
                <w:lang w:val="es-CL" w:eastAsia="es-ES_tradnl"/>
              </w:rPr>
            </w:pPr>
          </w:p>
        </w:tc>
        <w:tc>
          <w:tcPr>
            <w:tcW w:w="1002" w:type="dxa"/>
            <w:tcBorders>
              <w:top w:val="nil"/>
              <w:left w:val="nil"/>
              <w:bottom w:val="nil"/>
              <w:right w:val="nil"/>
            </w:tcBorders>
            <w:shd w:val="clear" w:color="auto" w:fill="auto"/>
            <w:noWrap/>
            <w:vAlign w:val="bottom"/>
            <w:hideMark/>
          </w:tcPr>
          <w:p w14:paraId="5577B77E" w14:textId="77777777" w:rsidR="00D41534" w:rsidRPr="00130EEF" w:rsidRDefault="00D41534" w:rsidP="009D4177">
            <w:pPr>
              <w:jc w:val="center"/>
              <w:rPr>
                <w:rFonts w:eastAsia="Times New Roman"/>
                <w:color w:val="000000" w:themeColor="text1"/>
                <w:lang w:val="es-CL" w:eastAsia="es-ES_tradnl"/>
              </w:rPr>
            </w:pPr>
          </w:p>
        </w:tc>
      </w:tr>
      <w:tr w:rsidR="00D41534" w:rsidRPr="00130EEF" w14:paraId="14DB1D43" w14:textId="77777777" w:rsidTr="009D4177">
        <w:trPr>
          <w:trHeight w:val="414"/>
        </w:trPr>
        <w:tc>
          <w:tcPr>
            <w:tcW w:w="9040" w:type="dxa"/>
            <w:gridSpan w:val="5"/>
            <w:vMerge w:val="restart"/>
            <w:tcBorders>
              <w:top w:val="nil"/>
              <w:left w:val="nil"/>
              <w:bottom w:val="nil"/>
              <w:right w:val="nil"/>
            </w:tcBorders>
            <w:shd w:val="clear" w:color="auto" w:fill="auto"/>
            <w:hideMark/>
          </w:tcPr>
          <w:p w14:paraId="358C0869" w14:textId="2BCCB749" w:rsidR="00D41534" w:rsidRPr="00130EEF" w:rsidRDefault="00D41534" w:rsidP="009D4177">
            <w:pPr>
              <w:rPr>
                <w:rFonts w:eastAsia="Times New Roman"/>
                <w:color w:val="000000" w:themeColor="text1"/>
                <w:lang w:val="en-US" w:eastAsia="es-ES_tradnl"/>
              </w:rPr>
            </w:pPr>
            <w:r w:rsidRPr="00130EEF">
              <w:rPr>
                <w:color w:val="000000" w:themeColor="text1"/>
              </w:rPr>
              <w:t>†</w:t>
            </w:r>
            <w:r w:rsidRPr="00130EEF">
              <w:rPr>
                <w:rFonts w:eastAsia="Times New Roman"/>
                <w:b/>
                <w:bCs/>
                <w:color w:val="000000" w:themeColor="text1"/>
                <w:lang w:val="en-US" w:eastAsia="es-ES_tradnl"/>
              </w:rPr>
              <w:t xml:space="preserve"> </w:t>
            </w:r>
            <w:r w:rsidRPr="00130EEF">
              <w:rPr>
                <w:rFonts w:eastAsia="Times New Roman"/>
                <w:color w:val="000000" w:themeColor="text1"/>
                <w:lang w:val="en-US" w:eastAsia="es-ES_tradnl"/>
              </w:rPr>
              <w:t xml:space="preserve">different to the Con-Con group, </w:t>
            </w:r>
            <w:r w:rsidRPr="00130EEF">
              <w:rPr>
                <w:color w:val="000000" w:themeColor="text1"/>
              </w:rPr>
              <w:t>‡</w:t>
            </w:r>
            <w:r w:rsidRPr="00130EEF">
              <w:rPr>
                <w:rFonts w:eastAsia="Times New Roman"/>
                <w:b/>
                <w:bCs/>
                <w:color w:val="000000" w:themeColor="text1"/>
                <w:lang w:val="en-US" w:eastAsia="es-ES_tradnl"/>
              </w:rPr>
              <w:t xml:space="preserve"> </w:t>
            </w:r>
            <w:r w:rsidRPr="00130EEF">
              <w:rPr>
                <w:rFonts w:eastAsia="Times New Roman"/>
                <w:color w:val="000000" w:themeColor="text1"/>
                <w:lang w:val="en-US" w:eastAsia="es-ES_tradnl"/>
              </w:rPr>
              <w:t xml:space="preserve">different to the Con-HFA group. One-way ANOVA, Bonferroni </w:t>
            </w:r>
            <w:proofErr w:type="spellStart"/>
            <w:r w:rsidRPr="00130EEF">
              <w:rPr>
                <w:rFonts w:eastAsia="Times New Roman"/>
                <w:color w:val="000000" w:themeColor="text1"/>
                <w:lang w:val="en-US" w:eastAsia="es-ES_tradnl"/>
              </w:rPr>
              <w:t>posthoc</w:t>
            </w:r>
            <w:proofErr w:type="spellEnd"/>
            <w:r w:rsidRPr="00130EEF">
              <w:rPr>
                <w:rFonts w:eastAsia="Times New Roman"/>
                <w:color w:val="000000" w:themeColor="text1"/>
                <w:lang w:val="en-US" w:eastAsia="es-ES_tradnl"/>
              </w:rPr>
              <w:t xml:space="preserve">. Data expressed as mean ± SEM. Embryos were collected at E3.5 </w:t>
            </w:r>
            <w:r w:rsidRPr="00130EEF">
              <w:rPr>
                <w:rFonts w:eastAsia="Times New Roman"/>
                <w:i/>
                <w:iCs/>
                <w:color w:val="000000" w:themeColor="text1"/>
                <w:lang w:val="en-US" w:eastAsia="es-ES_tradnl"/>
              </w:rPr>
              <w:t xml:space="preserve">n </w:t>
            </w:r>
            <w:r w:rsidRPr="00130EEF">
              <w:rPr>
                <w:rFonts w:eastAsia="Times New Roman"/>
                <w:color w:val="000000" w:themeColor="text1"/>
                <w:lang w:val="en-US" w:eastAsia="es-ES_tradnl"/>
              </w:rPr>
              <w:t xml:space="preserve">=24-26 pregnant mice per group. </w:t>
            </w:r>
          </w:p>
          <w:p w14:paraId="582B6C00" w14:textId="77777777" w:rsidR="00D41534" w:rsidRPr="00130EEF" w:rsidRDefault="00D41534" w:rsidP="009D4177">
            <w:pPr>
              <w:rPr>
                <w:rFonts w:eastAsia="Times New Roman"/>
                <w:i/>
                <w:iCs/>
                <w:color w:val="000000" w:themeColor="text1"/>
                <w:lang w:val="en-US" w:eastAsia="es-ES_tradnl"/>
              </w:rPr>
            </w:pPr>
          </w:p>
        </w:tc>
      </w:tr>
      <w:tr w:rsidR="00D41534" w:rsidRPr="00130EEF" w14:paraId="189C60DC" w14:textId="77777777" w:rsidTr="009D4177">
        <w:trPr>
          <w:trHeight w:val="600"/>
        </w:trPr>
        <w:tc>
          <w:tcPr>
            <w:tcW w:w="9040" w:type="dxa"/>
            <w:gridSpan w:val="5"/>
            <w:vMerge/>
            <w:tcBorders>
              <w:top w:val="nil"/>
              <w:left w:val="nil"/>
              <w:bottom w:val="nil"/>
              <w:right w:val="nil"/>
            </w:tcBorders>
            <w:vAlign w:val="center"/>
            <w:hideMark/>
          </w:tcPr>
          <w:p w14:paraId="34FE3DFA" w14:textId="77777777" w:rsidR="00D41534" w:rsidRPr="00130EEF" w:rsidRDefault="00D41534" w:rsidP="009D4177">
            <w:pPr>
              <w:rPr>
                <w:rFonts w:eastAsia="Times New Roman"/>
                <w:i/>
                <w:iCs/>
                <w:color w:val="000000" w:themeColor="text1"/>
                <w:lang w:val="en-US" w:eastAsia="es-ES_tradnl"/>
              </w:rPr>
            </w:pPr>
          </w:p>
        </w:tc>
      </w:tr>
      <w:tr w:rsidR="00D41534" w:rsidRPr="00130EEF" w14:paraId="2B8DEDC2" w14:textId="77777777" w:rsidTr="009D4177">
        <w:trPr>
          <w:trHeight w:val="414"/>
        </w:trPr>
        <w:tc>
          <w:tcPr>
            <w:tcW w:w="9040" w:type="dxa"/>
            <w:gridSpan w:val="5"/>
            <w:vMerge/>
            <w:tcBorders>
              <w:top w:val="nil"/>
              <w:left w:val="nil"/>
              <w:bottom w:val="nil"/>
              <w:right w:val="nil"/>
            </w:tcBorders>
            <w:vAlign w:val="center"/>
            <w:hideMark/>
          </w:tcPr>
          <w:p w14:paraId="423CA4E0" w14:textId="77777777" w:rsidR="00D41534" w:rsidRPr="00130EEF" w:rsidRDefault="00D41534" w:rsidP="009D4177">
            <w:pPr>
              <w:rPr>
                <w:rFonts w:eastAsia="Times New Roman"/>
                <w:i/>
                <w:iCs/>
                <w:color w:val="000000" w:themeColor="text1"/>
                <w:lang w:val="en-US" w:eastAsia="es-ES_tradnl"/>
              </w:rPr>
            </w:pPr>
          </w:p>
        </w:tc>
      </w:tr>
      <w:tr w:rsidR="00D41534" w:rsidRPr="00130EEF" w14:paraId="7CB02988" w14:textId="77777777" w:rsidTr="009D4177">
        <w:trPr>
          <w:trHeight w:val="414"/>
        </w:trPr>
        <w:tc>
          <w:tcPr>
            <w:tcW w:w="9040" w:type="dxa"/>
            <w:gridSpan w:val="5"/>
            <w:vMerge/>
            <w:tcBorders>
              <w:top w:val="nil"/>
              <w:left w:val="nil"/>
              <w:bottom w:val="nil"/>
              <w:right w:val="nil"/>
            </w:tcBorders>
            <w:vAlign w:val="center"/>
            <w:hideMark/>
          </w:tcPr>
          <w:p w14:paraId="7EE6F0C8" w14:textId="77777777" w:rsidR="00D41534" w:rsidRPr="00130EEF" w:rsidRDefault="00D41534" w:rsidP="009D4177">
            <w:pPr>
              <w:rPr>
                <w:rFonts w:eastAsia="Times New Roman"/>
                <w:i/>
                <w:iCs/>
                <w:color w:val="000000" w:themeColor="text1"/>
                <w:lang w:val="en-US" w:eastAsia="es-ES_tradnl"/>
              </w:rPr>
            </w:pPr>
          </w:p>
        </w:tc>
      </w:tr>
      <w:tr w:rsidR="00D41534" w:rsidRPr="00130EEF" w14:paraId="72ECC6B2" w14:textId="77777777" w:rsidTr="009D4177">
        <w:trPr>
          <w:trHeight w:val="740"/>
        </w:trPr>
        <w:tc>
          <w:tcPr>
            <w:tcW w:w="9040" w:type="dxa"/>
            <w:gridSpan w:val="5"/>
            <w:vMerge/>
            <w:tcBorders>
              <w:top w:val="nil"/>
              <w:left w:val="nil"/>
              <w:bottom w:val="nil"/>
              <w:right w:val="nil"/>
            </w:tcBorders>
            <w:vAlign w:val="center"/>
            <w:hideMark/>
          </w:tcPr>
          <w:p w14:paraId="0D36306F" w14:textId="77777777" w:rsidR="00D41534" w:rsidRPr="00130EEF" w:rsidRDefault="00D41534" w:rsidP="009D4177">
            <w:pPr>
              <w:rPr>
                <w:rFonts w:eastAsia="Times New Roman"/>
                <w:i/>
                <w:iCs/>
                <w:color w:val="000000" w:themeColor="text1"/>
                <w:lang w:val="en-US" w:eastAsia="es-ES_tradnl"/>
              </w:rPr>
            </w:pPr>
          </w:p>
        </w:tc>
      </w:tr>
    </w:tbl>
    <w:p w14:paraId="5191A35D" w14:textId="7E04FD04" w:rsidR="00AD4CEE" w:rsidRPr="00130EEF" w:rsidRDefault="00C70588" w:rsidP="008832E1">
      <w:pPr>
        <w:pStyle w:val="Heading2"/>
        <w:rPr>
          <w:b w:val="0"/>
          <w:color w:val="000000" w:themeColor="text1"/>
        </w:rPr>
      </w:pPr>
      <w:r w:rsidRPr="00130EEF">
        <w:rPr>
          <w:color w:val="000000" w:themeColor="text1"/>
        </w:rPr>
        <w:t xml:space="preserve">Effect of high FA intake on </w:t>
      </w:r>
      <w:r w:rsidR="001D13BF" w:rsidRPr="00130EEF">
        <w:rPr>
          <w:color w:val="000000" w:themeColor="text1"/>
        </w:rPr>
        <w:t xml:space="preserve">the </w:t>
      </w:r>
      <w:r w:rsidR="00C50B8F" w:rsidRPr="00130EEF">
        <w:rPr>
          <w:color w:val="000000" w:themeColor="text1"/>
        </w:rPr>
        <w:t xml:space="preserve">number of embryos </w:t>
      </w:r>
      <w:r w:rsidRPr="00130EEF">
        <w:rPr>
          <w:color w:val="000000" w:themeColor="text1"/>
        </w:rPr>
        <w:t xml:space="preserve">and stage of embryo development </w:t>
      </w:r>
      <w:r w:rsidR="008026FC" w:rsidRPr="00130EEF">
        <w:rPr>
          <w:color w:val="000000" w:themeColor="text1"/>
        </w:rPr>
        <w:t xml:space="preserve">per pregnancy. </w:t>
      </w:r>
      <w:r w:rsidR="001D13BF" w:rsidRPr="00130EEF">
        <w:rPr>
          <w:color w:val="000000" w:themeColor="text1"/>
        </w:rPr>
        <w:t xml:space="preserve"> </w:t>
      </w:r>
      <w:r w:rsidR="00C741CD" w:rsidRPr="00130EEF">
        <w:rPr>
          <w:color w:val="000000" w:themeColor="text1"/>
        </w:rPr>
        <w:t xml:space="preserve"> </w:t>
      </w:r>
      <w:r w:rsidR="002319AD" w:rsidRPr="00130EEF">
        <w:rPr>
          <w:color w:val="000000" w:themeColor="text1"/>
        </w:rPr>
        <w:t xml:space="preserve"> </w:t>
      </w:r>
    </w:p>
    <w:p w14:paraId="0A4E6305" w14:textId="6A03B195" w:rsidR="00D41534" w:rsidRPr="00130EEF" w:rsidRDefault="00C741CD" w:rsidP="00317B70">
      <w:pPr>
        <w:spacing w:line="480" w:lineRule="auto"/>
        <w:rPr>
          <w:color w:val="000000" w:themeColor="text1"/>
        </w:rPr>
      </w:pPr>
      <w:r w:rsidRPr="00130EEF">
        <w:rPr>
          <w:color w:val="000000" w:themeColor="text1"/>
        </w:rPr>
        <w:t xml:space="preserve">To determine whether </w:t>
      </w:r>
      <w:r w:rsidR="001D13BF" w:rsidRPr="00130EEF">
        <w:rPr>
          <w:color w:val="000000" w:themeColor="text1"/>
        </w:rPr>
        <w:t xml:space="preserve">a higher FA intake </w:t>
      </w:r>
      <w:r w:rsidRPr="00130EEF">
        <w:rPr>
          <w:color w:val="000000" w:themeColor="text1"/>
        </w:rPr>
        <w:t xml:space="preserve">affected the </w:t>
      </w:r>
      <w:r w:rsidR="00FE3216" w:rsidRPr="00130EEF">
        <w:rPr>
          <w:color w:val="000000" w:themeColor="text1"/>
        </w:rPr>
        <w:t xml:space="preserve">stage of </w:t>
      </w:r>
      <w:r w:rsidR="00F94988" w:rsidRPr="00130EEF">
        <w:rPr>
          <w:color w:val="000000" w:themeColor="text1"/>
        </w:rPr>
        <w:t xml:space="preserve">blastocyst </w:t>
      </w:r>
      <w:r w:rsidR="00FE3216" w:rsidRPr="00130EEF">
        <w:rPr>
          <w:color w:val="000000" w:themeColor="text1"/>
        </w:rPr>
        <w:t>development</w:t>
      </w:r>
      <w:r w:rsidR="004C762A" w:rsidRPr="00130EEF">
        <w:rPr>
          <w:color w:val="000000" w:themeColor="text1"/>
        </w:rPr>
        <w:t xml:space="preserve"> or </w:t>
      </w:r>
      <w:r w:rsidR="00DF7F96" w:rsidRPr="00130EEF">
        <w:rPr>
          <w:color w:val="000000" w:themeColor="text1"/>
        </w:rPr>
        <w:t xml:space="preserve">the </w:t>
      </w:r>
      <w:r w:rsidR="004C762A" w:rsidRPr="00130EEF">
        <w:rPr>
          <w:color w:val="000000" w:themeColor="text1"/>
        </w:rPr>
        <w:t xml:space="preserve">number of </w:t>
      </w:r>
      <w:r w:rsidR="00D703FF" w:rsidRPr="00130EEF">
        <w:rPr>
          <w:color w:val="000000" w:themeColor="text1"/>
        </w:rPr>
        <w:t>embryos</w:t>
      </w:r>
      <w:r w:rsidR="004C762A" w:rsidRPr="00130EEF">
        <w:rPr>
          <w:color w:val="000000" w:themeColor="text1"/>
        </w:rPr>
        <w:t xml:space="preserve"> per pregnancy</w:t>
      </w:r>
      <w:r w:rsidR="00E0076D" w:rsidRPr="00130EEF">
        <w:rPr>
          <w:color w:val="000000" w:themeColor="text1"/>
        </w:rPr>
        <w:t>,</w:t>
      </w:r>
      <w:r w:rsidR="00FE3216" w:rsidRPr="00130EEF">
        <w:rPr>
          <w:color w:val="000000" w:themeColor="text1"/>
        </w:rPr>
        <w:t xml:space="preserve"> embryos were collected at</w:t>
      </w:r>
      <w:r w:rsidR="00CD622B" w:rsidRPr="00130EEF">
        <w:rPr>
          <w:color w:val="000000" w:themeColor="text1"/>
        </w:rPr>
        <w:t xml:space="preserve"> </w:t>
      </w:r>
      <w:r w:rsidR="00F26961" w:rsidRPr="00130EEF">
        <w:rPr>
          <w:color w:val="000000" w:themeColor="text1"/>
        </w:rPr>
        <w:t>E</w:t>
      </w:r>
      <w:r w:rsidR="00FE3216" w:rsidRPr="00130EEF">
        <w:rPr>
          <w:color w:val="000000" w:themeColor="text1"/>
        </w:rPr>
        <w:t xml:space="preserve">3.5 and </w:t>
      </w:r>
      <w:r w:rsidR="00480DF8" w:rsidRPr="00130EEF">
        <w:rPr>
          <w:color w:val="000000" w:themeColor="text1"/>
        </w:rPr>
        <w:t xml:space="preserve">divided into </w:t>
      </w:r>
      <w:r w:rsidR="00FE3216" w:rsidRPr="00130EEF">
        <w:rPr>
          <w:color w:val="000000" w:themeColor="text1"/>
        </w:rPr>
        <w:t>late, mid</w:t>
      </w:r>
      <w:r w:rsidR="007D2AFF" w:rsidRPr="00130EEF">
        <w:rPr>
          <w:color w:val="000000" w:themeColor="text1"/>
        </w:rPr>
        <w:t xml:space="preserve"> or</w:t>
      </w:r>
      <w:r w:rsidR="00FE3216" w:rsidRPr="00130EEF">
        <w:rPr>
          <w:color w:val="000000" w:themeColor="text1"/>
        </w:rPr>
        <w:t xml:space="preserve"> early blastocyst morula</w:t>
      </w:r>
      <w:r w:rsidR="00DF7F96" w:rsidRPr="00130EEF">
        <w:rPr>
          <w:color w:val="000000" w:themeColor="text1"/>
        </w:rPr>
        <w:t>,</w:t>
      </w:r>
      <w:r w:rsidR="00FE3216" w:rsidRPr="00130EEF">
        <w:rPr>
          <w:color w:val="000000" w:themeColor="text1"/>
        </w:rPr>
        <w:t xml:space="preserve"> </w:t>
      </w:r>
      <w:r w:rsidR="00FF5622" w:rsidRPr="00130EEF">
        <w:rPr>
          <w:color w:val="000000" w:themeColor="text1"/>
        </w:rPr>
        <w:t xml:space="preserve">or </w:t>
      </w:r>
      <w:r w:rsidR="00FE3216" w:rsidRPr="00130EEF">
        <w:rPr>
          <w:color w:val="000000" w:themeColor="text1"/>
        </w:rPr>
        <w:t>degenerated oocyte</w:t>
      </w:r>
      <w:r w:rsidR="007D2AFF" w:rsidRPr="00130EEF">
        <w:rPr>
          <w:color w:val="000000" w:themeColor="text1"/>
        </w:rPr>
        <w:t>s</w:t>
      </w:r>
      <w:r w:rsidR="00FE3216" w:rsidRPr="00130EEF">
        <w:rPr>
          <w:color w:val="000000" w:themeColor="text1"/>
        </w:rPr>
        <w:t>/embry</w:t>
      </w:r>
      <w:r w:rsidR="001D13BF" w:rsidRPr="00130EEF">
        <w:rPr>
          <w:color w:val="000000" w:themeColor="text1"/>
        </w:rPr>
        <w:t>o</w:t>
      </w:r>
      <w:r w:rsidR="007D2AFF" w:rsidRPr="00130EEF">
        <w:rPr>
          <w:color w:val="000000" w:themeColor="text1"/>
        </w:rPr>
        <w:t>s</w:t>
      </w:r>
      <w:r w:rsidR="001D13BF" w:rsidRPr="00130EEF">
        <w:rPr>
          <w:color w:val="000000" w:themeColor="text1"/>
        </w:rPr>
        <w:t xml:space="preserve"> from dams from the three dietary groups</w:t>
      </w:r>
      <w:r w:rsidR="00FF5622" w:rsidRPr="00130EEF">
        <w:rPr>
          <w:color w:val="000000" w:themeColor="text1"/>
        </w:rPr>
        <w:t>.</w:t>
      </w:r>
      <w:r w:rsidR="00FE3216" w:rsidRPr="00130EEF">
        <w:rPr>
          <w:color w:val="000000" w:themeColor="text1"/>
        </w:rPr>
        <w:t xml:space="preserve"> There was no difference in </w:t>
      </w:r>
      <w:r w:rsidR="00E60C2B" w:rsidRPr="00130EEF">
        <w:rPr>
          <w:color w:val="000000" w:themeColor="text1"/>
        </w:rPr>
        <w:t xml:space="preserve">the </w:t>
      </w:r>
      <w:r w:rsidR="007D2AFF" w:rsidRPr="00130EEF">
        <w:rPr>
          <w:color w:val="000000" w:themeColor="text1"/>
        </w:rPr>
        <w:t xml:space="preserve">total </w:t>
      </w:r>
      <w:r w:rsidR="00E60C2B" w:rsidRPr="00130EEF">
        <w:rPr>
          <w:color w:val="000000" w:themeColor="text1"/>
        </w:rPr>
        <w:t>number</w:t>
      </w:r>
      <w:r w:rsidR="00FE3216" w:rsidRPr="00130EEF">
        <w:rPr>
          <w:color w:val="000000" w:themeColor="text1"/>
        </w:rPr>
        <w:t xml:space="preserve"> of embryos, blastocysts or stage of development between </w:t>
      </w:r>
      <w:r w:rsidR="00B34184" w:rsidRPr="00130EEF">
        <w:rPr>
          <w:color w:val="000000" w:themeColor="text1"/>
        </w:rPr>
        <w:t xml:space="preserve">the </w:t>
      </w:r>
      <w:r w:rsidR="00D703FF" w:rsidRPr="00130EEF">
        <w:rPr>
          <w:color w:val="000000" w:themeColor="text1"/>
        </w:rPr>
        <w:t>HFA</w:t>
      </w:r>
      <w:r w:rsidR="00B34184" w:rsidRPr="00130EEF">
        <w:rPr>
          <w:color w:val="000000" w:themeColor="text1"/>
        </w:rPr>
        <w:t xml:space="preserve">-HFA or Con-HFA </w:t>
      </w:r>
      <w:r w:rsidR="00D703FF" w:rsidRPr="00130EEF">
        <w:rPr>
          <w:color w:val="000000" w:themeColor="text1"/>
        </w:rPr>
        <w:t>groups compared to Con-Con</w:t>
      </w:r>
      <w:r w:rsidR="00F21860" w:rsidRPr="00130EEF">
        <w:rPr>
          <w:color w:val="000000" w:themeColor="text1"/>
        </w:rPr>
        <w:t xml:space="preserve"> </w:t>
      </w:r>
      <w:r w:rsidR="008026FC" w:rsidRPr="00130EEF">
        <w:rPr>
          <w:color w:val="000000" w:themeColor="text1"/>
        </w:rPr>
        <w:t>group</w:t>
      </w:r>
      <w:r w:rsidR="00D80B16" w:rsidRPr="00130EEF">
        <w:rPr>
          <w:color w:val="000000" w:themeColor="text1"/>
        </w:rPr>
        <w:t xml:space="preserve"> </w:t>
      </w:r>
      <w:r w:rsidR="00F21860" w:rsidRPr="00130EEF">
        <w:rPr>
          <w:color w:val="000000" w:themeColor="text1"/>
        </w:rPr>
        <w:t>(Table</w:t>
      </w:r>
      <w:r w:rsidR="00CF50F8" w:rsidRPr="00130EEF">
        <w:rPr>
          <w:color w:val="000000" w:themeColor="text1"/>
        </w:rPr>
        <w:t xml:space="preserve"> </w:t>
      </w:r>
      <w:r w:rsidR="003621DB" w:rsidRPr="00130EEF">
        <w:rPr>
          <w:color w:val="000000" w:themeColor="text1"/>
        </w:rPr>
        <w:t>2</w:t>
      </w:r>
      <w:r w:rsidR="00F21860" w:rsidRPr="00130EEF">
        <w:rPr>
          <w:color w:val="000000" w:themeColor="text1"/>
        </w:rPr>
        <w:t>)</w:t>
      </w:r>
      <w:r w:rsidR="00F94988" w:rsidRPr="00130EEF">
        <w:rPr>
          <w:color w:val="000000" w:themeColor="text1"/>
        </w:rPr>
        <w:t>,</w:t>
      </w:r>
      <w:r w:rsidR="00FE3216" w:rsidRPr="00130EEF">
        <w:rPr>
          <w:color w:val="000000" w:themeColor="text1"/>
        </w:rPr>
        <w:t xml:space="preserve"> </w:t>
      </w:r>
      <w:r w:rsidR="00EA56F2" w:rsidRPr="00130EEF">
        <w:rPr>
          <w:color w:val="000000" w:themeColor="text1"/>
        </w:rPr>
        <w:t>but a reduction</w:t>
      </w:r>
      <w:r w:rsidR="006E3230" w:rsidRPr="00130EEF">
        <w:rPr>
          <w:color w:val="000000" w:themeColor="text1"/>
        </w:rPr>
        <w:t xml:space="preserve"> </w:t>
      </w:r>
      <w:r w:rsidR="00EA56F2" w:rsidRPr="00130EEF">
        <w:rPr>
          <w:color w:val="000000" w:themeColor="text1"/>
        </w:rPr>
        <w:t>in the total number of embryos and</w:t>
      </w:r>
      <w:r w:rsidR="00CD622B" w:rsidRPr="00130EEF">
        <w:rPr>
          <w:color w:val="000000" w:themeColor="text1"/>
        </w:rPr>
        <w:t xml:space="preserve"> </w:t>
      </w:r>
      <w:r w:rsidR="00E60C2B" w:rsidRPr="00130EEF">
        <w:rPr>
          <w:color w:val="000000" w:themeColor="text1"/>
        </w:rPr>
        <w:t xml:space="preserve">blastocysts </w:t>
      </w:r>
      <w:r w:rsidR="00CD4710" w:rsidRPr="00130EEF">
        <w:rPr>
          <w:color w:val="000000" w:themeColor="text1"/>
        </w:rPr>
        <w:t xml:space="preserve">occurred </w:t>
      </w:r>
      <w:r w:rsidR="00E60C2B" w:rsidRPr="00130EEF">
        <w:rPr>
          <w:color w:val="000000" w:themeColor="text1"/>
        </w:rPr>
        <w:t>in</w:t>
      </w:r>
      <w:r w:rsidR="00FE3216" w:rsidRPr="00130EEF">
        <w:rPr>
          <w:color w:val="000000" w:themeColor="text1"/>
        </w:rPr>
        <w:t xml:space="preserve"> the </w:t>
      </w:r>
      <w:r w:rsidR="00F21860" w:rsidRPr="00130EEF">
        <w:rPr>
          <w:color w:val="000000" w:themeColor="text1"/>
        </w:rPr>
        <w:t>Con-HFA</w:t>
      </w:r>
      <w:r w:rsidR="00E22E8B" w:rsidRPr="00130EEF">
        <w:rPr>
          <w:color w:val="000000" w:themeColor="text1"/>
        </w:rPr>
        <w:t xml:space="preserve"> group</w:t>
      </w:r>
      <w:r w:rsidR="006E3230" w:rsidRPr="00130EEF">
        <w:rPr>
          <w:color w:val="000000" w:themeColor="text1"/>
        </w:rPr>
        <w:t xml:space="preserve"> </w:t>
      </w:r>
      <w:r w:rsidR="00E22E8B" w:rsidRPr="00130EEF">
        <w:rPr>
          <w:color w:val="000000" w:themeColor="text1"/>
        </w:rPr>
        <w:t>compared to</w:t>
      </w:r>
      <w:r w:rsidR="003E04A9" w:rsidRPr="00130EEF">
        <w:rPr>
          <w:color w:val="000000" w:themeColor="text1"/>
        </w:rPr>
        <w:t xml:space="preserve"> the</w:t>
      </w:r>
      <w:r w:rsidR="00E22E8B" w:rsidRPr="00130EEF">
        <w:rPr>
          <w:color w:val="000000" w:themeColor="text1"/>
        </w:rPr>
        <w:t xml:space="preserve"> </w:t>
      </w:r>
      <w:r w:rsidR="00F21860" w:rsidRPr="00130EEF">
        <w:rPr>
          <w:color w:val="000000" w:themeColor="text1"/>
        </w:rPr>
        <w:t>HFA-</w:t>
      </w:r>
      <w:r w:rsidR="00221B7E" w:rsidRPr="00130EEF">
        <w:rPr>
          <w:color w:val="000000" w:themeColor="text1"/>
        </w:rPr>
        <w:t>HFA</w:t>
      </w:r>
      <w:r w:rsidR="00E22E8B" w:rsidRPr="00130EEF">
        <w:rPr>
          <w:color w:val="000000" w:themeColor="text1"/>
        </w:rPr>
        <w:t xml:space="preserve"> group</w:t>
      </w:r>
      <w:r w:rsidR="00216F38" w:rsidRPr="00130EEF">
        <w:rPr>
          <w:color w:val="000000" w:themeColor="text1"/>
        </w:rPr>
        <w:t xml:space="preserve"> </w:t>
      </w:r>
      <w:r w:rsidR="0058676D" w:rsidRPr="00130EEF">
        <w:rPr>
          <w:color w:val="000000" w:themeColor="text1"/>
        </w:rPr>
        <w:t xml:space="preserve">(Table </w:t>
      </w:r>
      <w:r w:rsidR="003621DB" w:rsidRPr="00130EEF">
        <w:rPr>
          <w:color w:val="000000" w:themeColor="text1"/>
        </w:rPr>
        <w:t>2</w:t>
      </w:r>
      <w:r w:rsidR="0058676D" w:rsidRPr="00130EEF">
        <w:rPr>
          <w:color w:val="000000" w:themeColor="text1"/>
        </w:rPr>
        <w:t>)</w:t>
      </w:r>
      <w:r w:rsidR="00E22E8B" w:rsidRPr="00130EEF">
        <w:rPr>
          <w:color w:val="000000" w:themeColor="text1"/>
        </w:rPr>
        <w:t>.</w:t>
      </w:r>
      <w:r w:rsidR="00FF5622" w:rsidRPr="00130EEF">
        <w:rPr>
          <w:color w:val="000000" w:themeColor="text1"/>
        </w:rPr>
        <w:t xml:space="preserve"> </w:t>
      </w:r>
    </w:p>
    <w:p w14:paraId="2EB75E85" w14:textId="206B7578" w:rsidR="00F115F5" w:rsidRPr="00130EEF" w:rsidRDefault="00C70588" w:rsidP="008832E1">
      <w:pPr>
        <w:pStyle w:val="Heading2"/>
        <w:rPr>
          <w:b w:val="0"/>
          <w:color w:val="000000" w:themeColor="text1"/>
        </w:rPr>
      </w:pPr>
      <w:r w:rsidRPr="00130EEF">
        <w:rPr>
          <w:color w:val="000000" w:themeColor="text1"/>
        </w:rPr>
        <w:t>Number of TE and ICM cells</w:t>
      </w:r>
      <w:r w:rsidR="001D13BF" w:rsidRPr="00130EEF">
        <w:rPr>
          <w:color w:val="000000" w:themeColor="text1"/>
        </w:rPr>
        <w:t xml:space="preserve"> in the blastocyst</w:t>
      </w:r>
    </w:p>
    <w:p w14:paraId="27137E4C" w14:textId="1F151DAE" w:rsidR="00143921" w:rsidRPr="00130EEF" w:rsidRDefault="00F115F5" w:rsidP="00317B70">
      <w:pPr>
        <w:spacing w:line="480" w:lineRule="auto"/>
        <w:rPr>
          <w:color w:val="000000" w:themeColor="text1"/>
        </w:rPr>
      </w:pPr>
      <w:r w:rsidRPr="00130EEF">
        <w:rPr>
          <w:color w:val="000000" w:themeColor="text1"/>
        </w:rPr>
        <w:t xml:space="preserve">To </w:t>
      </w:r>
      <w:r w:rsidR="00FE3216" w:rsidRPr="00130EEF">
        <w:rPr>
          <w:color w:val="000000" w:themeColor="text1"/>
        </w:rPr>
        <w:t>determine</w:t>
      </w:r>
      <w:r w:rsidRPr="00130EEF">
        <w:rPr>
          <w:color w:val="000000" w:themeColor="text1"/>
        </w:rPr>
        <w:t xml:space="preserve"> whether </w:t>
      </w:r>
      <w:r w:rsidR="008B4F56" w:rsidRPr="00130EEF">
        <w:rPr>
          <w:color w:val="000000" w:themeColor="text1"/>
        </w:rPr>
        <w:t xml:space="preserve">increased maternal </w:t>
      </w:r>
      <w:r w:rsidRPr="00130EEF">
        <w:rPr>
          <w:color w:val="000000" w:themeColor="text1"/>
        </w:rPr>
        <w:t>FA</w:t>
      </w:r>
      <w:r w:rsidR="00D32FD3" w:rsidRPr="00130EEF">
        <w:rPr>
          <w:color w:val="000000" w:themeColor="text1"/>
        </w:rPr>
        <w:t xml:space="preserve"> </w:t>
      </w:r>
      <w:r w:rsidR="008B4F56" w:rsidRPr="00130EEF">
        <w:rPr>
          <w:color w:val="000000" w:themeColor="text1"/>
        </w:rPr>
        <w:t xml:space="preserve">intake </w:t>
      </w:r>
      <w:r w:rsidRPr="00130EEF">
        <w:rPr>
          <w:color w:val="000000" w:themeColor="text1"/>
        </w:rPr>
        <w:t xml:space="preserve">affected the number of cells in the </w:t>
      </w:r>
      <w:r w:rsidR="00022336" w:rsidRPr="00130EEF">
        <w:rPr>
          <w:color w:val="000000" w:themeColor="text1"/>
        </w:rPr>
        <w:t>blastocyst, differential</w:t>
      </w:r>
      <w:r w:rsidR="00FE3216" w:rsidRPr="00130EEF">
        <w:rPr>
          <w:color w:val="000000" w:themeColor="text1"/>
        </w:rPr>
        <w:t xml:space="preserve"> cell staining was </w:t>
      </w:r>
      <w:r w:rsidR="00FF5622" w:rsidRPr="00130EEF">
        <w:rPr>
          <w:color w:val="000000" w:themeColor="text1"/>
        </w:rPr>
        <w:t>used</w:t>
      </w:r>
      <w:r w:rsidR="00FE3216" w:rsidRPr="00130EEF">
        <w:rPr>
          <w:color w:val="000000" w:themeColor="text1"/>
        </w:rPr>
        <w:t xml:space="preserve"> to identify </w:t>
      </w:r>
      <w:r w:rsidR="00682D7D" w:rsidRPr="00130EEF">
        <w:rPr>
          <w:color w:val="000000" w:themeColor="text1"/>
        </w:rPr>
        <w:t>the total</w:t>
      </w:r>
      <w:r w:rsidR="00292C4B" w:rsidRPr="00130EEF">
        <w:rPr>
          <w:color w:val="000000" w:themeColor="text1"/>
        </w:rPr>
        <w:t xml:space="preserve"> number of cells together with the number of </w:t>
      </w:r>
      <w:r w:rsidR="00FE3216" w:rsidRPr="00130EEF">
        <w:rPr>
          <w:color w:val="000000" w:themeColor="text1"/>
        </w:rPr>
        <w:t>TE and ICM cells</w:t>
      </w:r>
      <w:r w:rsidR="00CD622B" w:rsidRPr="00130EEF">
        <w:rPr>
          <w:color w:val="000000" w:themeColor="text1"/>
        </w:rPr>
        <w:t xml:space="preserve"> </w:t>
      </w:r>
      <w:r w:rsidR="00292C4B" w:rsidRPr="00130EEF">
        <w:rPr>
          <w:color w:val="000000" w:themeColor="text1"/>
        </w:rPr>
        <w:t>per blastocyst</w:t>
      </w:r>
      <w:r w:rsidR="00FE3216" w:rsidRPr="00130EEF">
        <w:rPr>
          <w:color w:val="000000" w:themeColor="text1"/>
        </w:rPr>
        <w:t xml:space="preserve">. </w:t>
      </w:r>
      <w:r w:rsidR="00292C4B" w:rsidRPr="00130EEF">
        <w:rPr>
          <w:color w:val="000000" w:themeColor="text1"/>
        </w:rPr>
        <w:t xml:space="preserve">There was no significant difference in the total number of cells per blastocyst in either the </w:t>
      </w:r>
      <w:r w:rsidR="00143921" w:rsidRPr="00130EEF">
        <w:rPr>
          <w:color w:val="000000" w:themeColor="text1"/>
        </w:rPr>
        <w:t xml:space="preserve">HFA-HFA </w:t>
      </w:r>
      <w:r w:rsidR="00292C4B" w:rsidRPr="00130EEF">
        <w:rPr>
          <w:color w:val="000000" w:themeColor="text1"/>
        </w:rPr>
        <w:t xml:space="preserve">or </w:t>
      </w:r>
      <w:r w:rsidR="00143921" w:rsidRPr="00130EEF">
        <w:rPr>
          <w:color w:val="000000" w:themeColor="text1"/>
        </w:rPr>
        <w:t>Con-HFA group</w:t>
      </w:r>
      <w:r w:rsidR="00A2391F" w:rsidRPr="00130EEF">
        <w:rPr>
          <w:color w:val="000000" w:themeColor="text1"/>
        </w:rPr>
        <w:t>s</w:t>
      </w:r>
      <w:r w:rsidR="00143921" w:rsidRPr="00130EEF">
        <w:rPr>
          <w:color w:val="000000" w:themeColor="text1"/>
        </w:rPr>
        <w:t xml:space="preserve"> </w:t>
      </w:r>
      <w:r w:rsidR="00292C4B" w:rsidRPr="00130EEF">
        <w:rPr>
          <w:color w:val="000000" w:themeColor="text1"/>
        </w:rPr>
        <w:t xml:space="preserve">compared to the </w:t>
      </w:r>
      <w:r w:rsidR="00C53197" w:rsidRPr="00130EEF">
        <w:rPr>
          <w:color w:val="000000" w:themeColor="text1"/>
        </w:rPr>
        <w:t xml:space="preserve"> </w:t>
      </w:r>
      <w:r w:rsidR="00292C4B" w:rsidRPr="00130EEF">
        <w:rPr>
          <w:color w:val="000000" w:themeColor="text1"/>
        </w:rPr>
        <w:t xml:space="preserve">control </w:t>
      </w:r>
      <w:r w:rsidR="00C53197" w:rsidRPr="00130EEF">
        <w:rPr>
          <w:color w:val="000000" w:themeColor="text1"/>
        </w:rPr>
        <w:t xml:space="preserve"> group</w:t>
      </w:r>
      <w:r w:rsidR="00180C33" w:rsidRPr="00130EEF">
        <w:rPr>
          <w:color w:val="000000" w:themeColor="text1"/>
        </w:rPr>
        <w:t xml:space="preserve">, </w:t>
      </w:r>
      <w:r w:rsidR="009C2B5E" w:rsidRPr="00130EEF">
        <w:rPr>
          <w:color w:val="000000" w:themeColor="text1"/>
        </w:rPr>
        <w:t>although there was a significant decrease in the total number of cells per blastocyst between the HFA-HFA group and C</w:t>
      </w:r>
      <w:r w:rsidR="000E3248" w:rsidRPr="00130EEF">
        <w:rPr>
          <w:color w:val="000000" w:themeColor="text1"/>
        </w:rPr>
        <w:t>on</w:t>
      </w:r>
      <w:r w:rsidR="009C2B5E" w:rsidRPr="00130EEF">
        <w:rPr>
          <w:color w:val="000000" w:themeColor="text1"/>
        </w:rPr>
        <w:t>-HFA group</w:t>
      </w:r>
      <w:r w:rsidR="006971ED" w:rsidRPr="00130EEF">
        <w:rPr>
          <w:color w:val="000000" w:themeColor="text1"/>
        </w:rPr>
        <w:t xml:space="preserve"> (</w:t>
      </w:r>
      <w:r w:rsidR="006971ED" w:rsidRPr="00130EEF">
        <w:rPr>
          <w:i/>
          <w:iCs/>
          <w:color w:val="000000" w:themeColor="text1"/>
        </w:rPr>
        <w:t>p</w:t>
      </w:r>
      <w:r w:rsidR="006971ED" w:rsidRPr="00130EEF">
        <w:rPr>
          <w:color w:val="000000" w:themeColor="text1"/>
        </w:rPr>
        <w:t xml:space="preserve"> = </w:t>
      </w:r>
      <w:r w:rsidR="003E6813" w:rsidRPr="00130EEF">
        <w:rPr>
          <w:color w:val="000000" w:themeColor="text1"/>
        </w:rPr>
        <w:t>0.009)</w:t>
      </w:r>
      <w:r w:rsidR="00CB27AD" w:rsidRPr="00130EEF">
        <w:rPr>
          <w:color w:val="000000" w:themeColor="text1"/>
        </w:rPr>
        <w:t xml:space="preserve"> (Figure 3A)</w:t>
      </w:r>
      <w:r w:rsidR="005D066C" w:rsidRPr="00130EEF">
        <w:rPr>
          <w:color w:val="000000" w:themeColor="text1"/>
        </w:rPr>
        <w:t>.</w:t>
      </w:r>
      <w:r w:rsidR="00815782" w:rsidRPr="00130EEF">
        <w:rPr>
          <w:color w:val="000000" w:themeColor="text1"/>
        </w:rPr>
        <w:t xml:space="preserve"> </w:t>
      </w:r>
      <w:r w:rsidR="00CD622B" w:rsidRPr="00130EEF">
        <w:rPr>
          <w:color w:val="000000" w:themeColor="text1"/>
        </w:rPr>
        <w:t xml:space="preserve">The number of TE cells was </w:t>
      </w:r>
      <w:r w:rsidR="00ED4AF6" w:rsidRPr="00130EEF">
        <w:rPr>
          <w:color w:val="000000" w:themeColor="text1"/>
        </w:rPr>
        <w:t>1.1-fold</w:t>
      </w:r>
      <w:r w:rsidR="00CD622B" w:rsidRPr="00130EEF">
        <w:rPr>
          <w:color w:val="000000" w:themeColor="text1"/>
        </w:rPr>
        <w:t xml:space="preserve"> lower in the HFA-HFA group compared to the Con-Con (</w:t>
      </w:r>
      <w:r w:rsidR="00CD622B" w:rsidRPr="00130EEF">
        <w:rPr>
          <w:i/>
          <w:iCs/>
          <w:color w:val="000000" w:themeColor="text1"/>
        </w:rPr>
        <w:t>p</w:t>
      </w:r>
      <w:r w:rsidR="00CD622B" w:rsidRPr="00130EEF">
        <w:rPr>
          <w:color w:val="000000" w:themeColor="text1"/>
        </w:rPr>
        <w:t xml:space="preserve"> = 0.0</w:t>
      </w:r>
      <w:r w:rsidR="00AD71ED" w:rsidRPr="00130EEF">
        <w:rPr>
          <w:color w:val="000000" w:themeColor="text1"/>
        </w:rPr>
        <w:t>4</w:t>
      </w:r>
      <w:r w:rsidR="00CD622B" w:rsidRPr="00130EEF">
        <w:rPr>
          <w:color w:val="000000" w:themeColor="text1"/>
        </w:rPr>
        <w:t>) group</w:t>
      </w:r>
      <w:r w:rsidR="00292C4B" w:rsidRPr="00130EEF">
        <w:rPr>
          <w:color w:val="000000" w:themeColor="text1"/>
        </w:rPr>
        <w:t xml:space="preserve"> and the </w:t>
      </w:r>
      <w:r w:rsidR="00C81BA8" w:rsidRPr="00130EEF">
        <w:rPr>
          <w:color w:val="000000" w:themeColor="text1"/>
        </w:rPr>
        <w:t>ICM/TE ratio</w:t>
      </w:r>
      <w:r w:rsidR="002B3C79" w:rsidRPr="00130EEF">
        <w:rPr>
          <w:color w:val="000000" w:themeColor="text1"/>
        </w:rPr>
        <w:t xml:space="preserve"> </w:t>
      </w:r>
      <w:r w:rsidR="00292C4B" w:rsidRPr="00130EEF">
        <w:rPr>
          <w:color w:val="000000" w:themeColor="text1"/>
        </w:rPr>
        <w:t>1.4 fold higher</w:t>
      </w:r>
      <w:r w:rsidR="005C75F8" w:rsidRPr="00130EEF">
        <w:rPr>
          <w:color w:val="000000" w:themeColor="text1"/>
        </w:rPr>
        <w:t xml:space="preserve"> (</w:t>
      </w:r>
      <w:r w:rsidR="005C75F8" w:rsidRPr="00130EEF">
        <w:rPr>
          <w:i/>
          <w:iCs/>
          <w:color w:val="000000" w:themeColor="text1"/>
        </w:rPr>
        <w:t>p</w:t>
      </w:r>
      <w:r w:rsidR="005C75F8" w:rsidRPr="00130EEF">
        <w:rPr>
          <w:color w:val="000000" w:themeColor="text1"/>
        </w:rPr>
        <w:t xml:space="preserve"> = 0.002)</w:t>
      </w:r>
      <w:r w:rsidR="00292C4B" w:rsidRPr="00130EEF">
        <w:rPr>
          <w:color w:val="000000" w:themeColor="text1"/>
        </w:rPr>
        <w:t xml:space="preserve"> </w:t>
      </w:r>
      <w:r w:rsidR="002B3C79" w:rsidRPr="00130EEF">
        <w:rPr>
          <w:color w:val="000000" w:themeColor="text1"/>
        </w:rPr>
        <w:t>in the HFA-HFA group</w:t>
      </w:r>
      <w:r w:rsidR="00EA56F2" w:rsidRPr="00130EEF">
        <w:rPr>
          <w:color w:val="000000" w:themeColor="text1"/>
        </w:rPr>
        <w:t xml:space="preserve"> </w:t>
      </w:r>
      <w:r w:rsidR="00292C4B" w:rsidRPr="00130EEF">
        <w:rPr>
          <w:color w:val="000000" w:themeColor="text1"/>
        </w:rPr>
        <w:t xml:space="preserve">compared to </w:t>
      </w:r>
      <w:r w:rsidR="00143921" w:rsidRPr="00130EEF">
        <w:rPr>
          <w:color w:val="000000" w:themeColor="text1"/>
        </w:rPr>
        <w:t xml:space="preserve">the Con-Con </w:t>
      </w:r>
      <w:r w:rsidR="0084218F" w:rsidRPr="00130EEF">
        <w:rPr>
          <w:color w:val="000000" w:themeColor="text1"/>
        </w:rPr>
        <w:t xml:space="preserve">(Figure </w:t>
      </w:r>
      <w:r w:rsidR="003621DB" w:rsidRPr="00130EEF">
        <w:rPr>
          <w:color w:val="000000" w:themeColor="text1"/>
        </w:rPr>
        <w:t>3</w:t>
      </w:r>
      <w:r w:rsidR="00CB27AD" w:rsidRPr="00130EEF">
        <w:rPr>
          <w:color w:val="000000" w:themeColor="text1"/>
        </w:rPr>
        <w:t>B</w:t>
      </w:r>
      <w:r w:rsidR="0084218F" w:rsidRPr="00130EEF">
        <w:rPr>
          <w:color w:val="000000" w:themeColor="text1"/>
        </w:rPr>
        <w:t>)</w:t>
      </w:r>
      <w:r w:rsidR="00D80B16" w:rsidRPr="00130EEF">
        <w:rPr>
          <w:color w:val="000000" w:themeColor="text1"/>
        </w:rPr>
        <w:t xml:space="preserve">. </w:t>
      </w:r>
      <w:r w:rsidR="00292C4B" w:rsidRPr="00130EEF">
        <w:rPr>
          <w:color w:val="000000" w:themeColor="text1"/>
        </w:rPr>
        <w:t xml:space="preserve">There was no significant difference in the number of TE cells or the ICM/TE ratio in the Con-HFA group compared to the Con-Con group. </w:t>
      </w:r>
      <w:r w:rsidR="000E3248" w:rsidRPr="00130EEF">
        <w:rPr>
          <w:color w:val="000000" w:themeColor="text1"/>
        </w:rPr>
        <w:t xml:space="preserve">However, </w:t>
      </w:r>
      <w:r w:rsidR="009C2B5E" w:rsidRPr="00130EEF">
        <w:rPr>
          <w:color w:val="000000" w:themeColor="text1"/>
        </w:rPr>
        <w:t>Con-HFA blastocyst</w:t>
      </w:r>
      <w:r w:rsidR="000E3248" w:rsidRPr="00130EEF">
        <w:rPr>
          <w:color w:val="000000" w:themeColor="text1"/>
        </w:rPr>
        <w:t>s</w:t>
      </w:r>
      <w:r w:rsidR="009C2B5E" w:rsidRPr="00130EEF">
        <w:rPr>
          <w:color w:val="000000" w:themeColor="text1"/>
        </w:rPr>
        <w:t xml:space="preserve"> showed a higher number of ICM cells compared to </w:t>
      </w:r>
      <w:r w:rsidR="000E3248" w:rsidRPr="00130EEF">
        <w:rPr>
          <w:color w:val="000000" w:themeColor="text1"/>
        </w:rPr>
        <w:t xml:space="preserve">the </w:t>
      </w:r>
      <w:r w:rsidR="009C2B5E" w:rsidRPr="00130EEF">
        <w:rPr>
          <w:color w:val="000000" w:themeColor="text1"/>
        </w:rPr>
        <w:t>Con-Con group (</w:t>
      </w:r>
      <w:r w:rsidR="009C2B5E" w:rsidRPr="00130EEF">
        <w:rPr>
          <w:i/>
          <w:iCs/>
          <w:color w:val="000000" w:themeColor="text1"/>
        </w:rPr>
        <w:t>p</w:t>
      </w:r>
      <w:r w:rsidR="009C2B5E" w:rsidRPr="00130EEF">
        <w:rPr>
          <w:color w:val="000000" w:themeColor="text1"/>
        </w:rPr>
        <w:t xml:space="preserve"> = 0.02). </w:t>
      </w:r>
      <w:r w:rsidR="000E3248" w:rsidRPr="00130EEF">
        <w:rPr>
          <w:color w:val="000000" w:themeColor="text1"/>
        </w:rPr>
        <w:t xml:space="preserve">A multilevel random effect regression model </w:t>
      </w:r>
      <w:r w:rsidR="000E3248" w:rsidRPr="00130EEF">
        <w:rPr>
          <w:rFonts w:eastAsia="Times New Roman"/>
          <w:color w:val="000000" w:themeColor="text1"/>
        </w:rPr>
        <w:t>taking in consideration the potential maternal-</w:t>
      </w:r>
      <w:r w:rsidR="000E3248" w:rsidRPr="00130EEF">
        <w:rPr>
          <w:rFonts w:eastAsia="Times New Roman"/>
          <w:color w:val="000000" w:themeColor="text1"/>
        </w:rPr>
        <w:lastRenderedPageBreak/>
        <w:t>embryo hierarchical association</w:t>
      </w:r>
      <w:r w:rsidR="000E3248" w:rsidRPr="00130EEF">
        <w:rPr>
          <w:color w:val="000000" w:themeColor="text1"/>
        </w:rPr>
        <w:t xml:space="preserve"> was also run parallel to the ANOVA and gave </w:t>
      </w:r>
      <w:proofErr w:type="gramStart"/>
      <w:r w:rsidR="000E3248" w:rsidRPr="00130EEF">
        <w:rPr>
          <w:color w:val="000000" w:themeColor="text1"/>
        </w:rPr>
        <w:t>similar  results</w:t>
      </w:r>
      <w:proofErr w:type="gramEnd"/>
      <w:r w:rsidR="000E3248" w:rsidRPr="00130EEF">
        <w:rPr>
          <w:color w:val="000000" w:themeColor="text1"/>
        </w:rPr>
        <w:t xml:space="preserve"> (Supplementary table 2).</w:t>
      </w:r>
    </w:p>
    <w:p w14:paraId="41761381" w14:textId="084195C3" w:rsidR="00D41534" w:rsidRPr="00130EEF" w:rsidRDefault="00C908C1" w:rsidP="00317B70">
      <w:pPr>
        <w:spacing w:line="480" w:lineRule="auto"/>
        <w:rPr>
          <w:color w:val="000000" w:themeColor="text1"/>
        </w:rPr>
      </w:pPr>
      <w:r w:rsidRPr="00130EEF">
        <w:rPr>
          <w:noProof/>
          <w:color w:val="000000" w:themeColor="text1"/>
        </w:rPr>
        <w:drawing>
          <wp:anchor distT="0" distB="0" distL="114300" distR="114300" simplePos="0" relativeHeight="251691008" behindDoc="0" locked="0" layoutInCell="1" allowOverlap="1" wp14:anchorId="571B090B" wp14:editId="457F06AB">
            <wp:simplePos x="0" y="0"/>
            <wp:positionH relativeFrom="column">
              <wp:posOffset>0</wp:posOffset>
            </wp:positionH>
            <wp:positionV relativeFrom="paragraph">
              <wp:posOffset>5080</wp:posOffset>
            </wp:positionV>
            <wp:extent cx="5727700" cy="3018790"/>
            <wp:effectExtent l="0" t="0" r="0" b="3810"/>
            <wp:wrapSquare wrapText="bothSides"/>
            <wp:docPr id="12" name="Imagen 1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py of Diff labelling w photo.jpg"/>
                    <pic:cNvPicPr/>
                  </pic:nvPicPr>
                  <pic:blipFill>
                    <a:blip r:embed="rId13"/>
                    <a:stretch>
                      <a:fillRect/>
                    </a:stretch>
                  </pic:blipFill>
                  <pic:spPr>
                    <a:xfrm>
                      <a:off x="0" y="0"/>
                      <a:ext cx="5727700" cy="3018790"/>
                    </a:xfrm>
                    <a:prstGeom prst="rect">
                      <a:avLst/>
                    </a:prstGeom>
                  </pic:spPr>
                </pic:pic>
              </a:graphicData>
            </a:graphic>
            <wp14:sizeRelH relativeFrom="page">
              <wp14:pctWidth>0</wp14:pctWidth>
            </wp14:sizeRelH>
            <wp14:sizeRelV relativeFrom="page">
              <wp14:pctHeight>0</wp14:pctHeight>
            </wp14:sizeRelV>
          </wp:anchor>
        </w:drawing>
      </w:r>
    </w:p>
    <w:p w14:paraId="7C3762BF" w14:textId="34303AF5" w:rsidR="00D41534" w:rsidRPr="00130EEF" w:rsidRDefault="00D41534" w:rsidP="00D41534">
      <w:pPr>
        <w:rPr>
          <w:rFonts w:eastAsia="Times New Roman"/>
          <w:color w:val="000000" w:themeColor="text1"/>
        </w:rPr>
      </w:pPr>
      <w:r w:rsidRPr="00130EEF">
        <w:rPr>
          <w:rFonts w:eastAsia="Times New Roman"/>
          <w:b/>
          <w:color w:val="000000" w:themeColor="text1"/>
        </w:rPr>
        <w:t>Figure 3</w:t>
      </w:r>
      <w:r w:rsidRPr="00130EEF">
        <w:rPr>
          <w:rFonts w:eastAsia="Times New Roman"/>
          <w:color w:val="000000" w:themeColor="text1"/>
        </w:rPr>
        <w:t xml:space="preserve"> | Differential labelling of inner cell mass (ICM) and trophectoderm (TE) cells (</w:t>
      </w:r>
      <w:r w:rsidRPr="00130EEF">
        <w:rPr>
          <w:rFonts w:eastAsia="Times New Roman"/>
          <w:b/>
          <w:bCs/>
          <w:color w:val="000000" w:themeColor="text1"/>
        </w:rPr>
        <w:t>A</w:t>
      </w:r>
      <w:r w:rsidRPr="00130EEF">
        <w:rPr>
          <w:rFonts w:eastAsia="Times New Roman"/>
          <w:color w:val="000000" w:themeColor="text1"/>
        </w:rPr>
        <w:t>) in blastocysts. (</w:t>
      </w:r>
      <w:r w:rsidRPr="00130EEF">
        <w:rPr>
          <w:rFonts w:eastAsia="Times New Roman"/>
          <w:b/>
          <w:bCs/>
          <w:color w:val="000000" w:themeColor="text1"/>
        </w:rPr>
        <w:t>B</w:t>
      </w:r>
      <w:r w:rsidRPr="00130EEF">
        <w:rPr>
          <w:rFonts w:eastAsia="Times New Roman"/>
          <w:color w:val="000000" w:themeColor="text1"/>
        </w:rPr>
        <w:t>) ICM/TE ratio. (</w:t>
      </w:r>
      <w:r w:rsidRPr="00130EEF">
        <w:rPr>
          <w:rFonts w:eastAsia="Times New Roman"/>
          <w:b/>
          <w:bCs/>
          <w:color w:val="000000" w:themeColor="text1"/>
        </w:rPr>
        <w:t>C</w:t>
      </w:r>
      <w:r w:rsidRPr="00130EEF">
        <w:rPr>
          <w:rFonts w:eastAsia="Times New Roman"/>
          <w:color w:val="000000" w:themeColor="text1"/>
        </w:rPr>
        <w:t xml:space="preserve">) Representative image of blastocyst stained with Hoechst and propidium iodide. </w:t>
      </w:r>
      <w:r w:rsidR="000E3248" w:rsidRPr="00130EEF">
        <w:rPr>
          <w:rFonts w:eastAsia="Times New Roman"/>
          <w:color w:val="000000" w:themeColor="text1"/>
        </w:rPr>
        <w:t xml:space="preserve">Data was analysed </w:t>
      </w:r>
      <w:r w:rsidRPr="00130EEF">
        <w:rPr>
          <w:rFonts w:eastAsia="Times New Roman"/>
          <w:color w:val="000000" w:themeColor="text1"/>
        </w:rPr>
        <w:t>by</w:t>
      </w:r>
      <w:r w:rsidR="00AD0BC8" w:rsidRPr="00130EEF">
        <w:rPr>
          <w:rFonts w:eastAsia="Times New Roman"/>
          <w:color w:val="000000" w:themeColor="text1"/>
        </w:rPr>
        <w:t xml:space="preserve"> ANOVA</w:t>
      </w:r>
      <w:r w:rsidR="00257AF6" w:rsidRPr="00130EEF">
        <w:rPr>
          <w:rFonts w:eastAsia="Times New Roman"/>
          <w:color w:val="000000" w:themeColor="text1"/>
        </w:rPr>
        <w:t xml:space="preserve"> with Bonferroni correction for multiple comparisons</w:t>
      </w:r>
      <w:r w:rsidR="009173C9" w:rsidRPr="00130EEF">
        <w:rPr>
          <w:rFonts w:eastAsia="Times New Roman"/>
          <w:color w:val="000000" w:themeColor="text1"/>
        </w:rPr>
        <w:t>, adjusted p values are showed in the graph</w:t>
      </w:r>
      <w:r w:rsidRPr="00130EEF">
        <w:rPr>
          <w:rFonts w:eastAsia="Times New Roman"/>
          <w:color w:val="000000" w:themeColor="text1"/>
        </w:rPr>
        <w:t xml:space="preserve">. Data expressed as </w:t>
      </w:r>
      <w:r w:rsidRPr="00130EEF">
        <w:rPr>
          <w:rFonts w:eastAsia="Times New Roman"/>
          <w:color w:val="000000" w:themeColor="text1"/>
          <w:lang w:val="en-US" w:eastAsia="es-ES_tradnl"/>
        </w:rPr>
        <w:t xml:space="preserve">mean ± SEM. </w:t>
      </w:r>
      <w:r w:rsidRPr="00130EEF">
        <w:rPr>
          <w:rFonts w:eastAsia="Times New Roman"/>
          <w:i/>
          <w:iCs/>
          <w:color w:val="000000" w:themeColor="text1"/>
          <w:lang w:val="en-US" w:eastAsia="es-ES_tradnl"/>
        </w:rPr>
        <w:t>n</w:t>
      </w:r>
      <w:r w:rsidRPr="00130EEF">
        <w:rPr>
          <w:rFonts w:eastAsia="Times New Roman"/>
          <w:color w:val="000000" w:themeColor="text1"/>
          <w:lang w:val="en-US" w:eastAsia="es-ES_tradnl"/>
        </w:rPr>
        <w:t xml:space="preserve"> = 7-8 pregnant mice per group</w:t>
      </w:r>
      <w:r w:rsidR="003C1DEE" w:rsidRPr="00130EEF">
        <w:rPr>
          <w:rFonts w:eastAsia="Times New Roman"/>
          <w:color w:val="000000" w:themeColor="text1"/>
          <w:lang w:val="en-US" w:eastAsia="es-ES_tradnl"/>
        </w:rPr>
        <w:t xml:space="preserve"> (38-44 blastocyst per group)</w:t>
      </w:r>
      <w:r w:rsidRPr="00130EEF">
        <w:rPr>
          <w:rFonts w:eastAsia="Times New Roman"/>
          <w:color w:val="000000" w:themeColor="text1"/>
        </w:rPr>
        <w:t>. Scale bar = 20 µm</w:t>
      </w:r>
    </w:p>
    <w:p w14:paraId="7D07A7EE" w14:textId="77777777" w:rsidR="0096692B" w:rsidRPr="00130EEF" w:rsidRDefault="0096692B" w:rsidP="00317B70">
      <w:pPr>
        <w:spacing w:line="480" w:lineRule="auto"/>
        <w:rPr>
          <w:color w:val="000000" w:themeColor="text1"/>
        </w:rPr>
      </w:pPr>
    </w:p>
    <w:p w14:paraId="24B92F5D" w14:textId="56824455" w:rsidR="004F710D" w:rsidRPr="00130EEF" w:rsidRDefault="00143921" w:rsidP="0096692B">
      <w:pPr>
        <w:spacing w:line="480" w:lineRule="auto"/>
        <w:rPr>
          <w:b/>
          <w:bCs/>
          <w:color w:val="000000" w:themeColor="text1"/>
        </w:rPr>
      </w:pPr>
      <w:r w:rsidRPr="00130EEF">
        <w:rPr>
          <w:b/>
          <w:bCs/>
          <w:color w:val="000000" w:themeColor="text1"/>
        </w:rPr>
        <w:t xml:space="preserve">3.5 </w:t>
      </w:r>
      <w:r w:rsidR="00C70588" w:rsidRPr="00130EEF">
        <w:rPr>
          <w:b/>
          <w:bCs/>
          <w:color w:val="000000" w:themeColor="text1"/>
        </w:rPr>
        <w:t>E</w:t>
      </w:r>
      <w:r w:rsidR="00E0076D" w:rsidRPr="00130EEF">
        <w:rPr>
          <w:b/>
          <w:bCs/>
          <w:color w:val="000000" w:themeColor="text1"/>
        </w:rPr>
        <w:t>xpression</w:t>
      </w:r>
      <w:r w:rsidR="004F710D" w:rsidRPr="00130EEF">
        <w:rPr>
          <w:b/>
          <w:bCs/>
          <w:color w:val="000000" w:themeColor="text1"/>
        </w:rPr>
        <w:t xml:space="preserve"> of </w:t>
      </w:r>
      <w:r w:rsidR="0077369D" w:rsidRPr="00130EEF">
        <w:rPr>
          <w:b/>
          <w:bCs/>
          <w:color w:val="000000" w:themeColor="text1"/>
        </w:rPr>
        <w:t xml:space="preserve">developmental control </w:t>
      </w:r>
      <w:r w:rsidR="003F02CB" w:rsidRPr="00130EEF">
        <w:rPr>
          <w:b/>
          <w:bCs/>
          <w:color w:val="000000" w:themeColor="text1"/>
        </w:rPr>
        <w:t xml:space="preserve">genes </w:t>
      </w:r>
      <w:r w:rsidR="00E0076D" w:rsidRPr="00130EEF">
        <w:rPr>
          <w:b/>
          <w:bCs/>
          <w:color w:val="000000" w:themeColor="text1"/>
        </w:rPr>
        <w:t xml:space="preserve"> </w:t>
      </w:r>
    </w:p>
    <w:p w14:paraId="398CF3BE" w14:textId="61160AAB" w:rsidR="00A2391F" w:rsidRPr="00130EEF" w:rsidRDefault="00E0076D" w:rsidP="00317B70">
      <w:pPr>
        <w:spacing w:line="480" w:lineRule="auto"/>
        <w:rPr>
          <w:i/>
          <w:color w:val="000000" w:themeColor="text1"/>
        </w:rPr>
      </w:pPr>
      <w:r w:rsidRPr="00130EEF">
        <w:rPr>
          <w:color w:val="000000" w:themeColor="text1"/>
        </w:rPr>
        <w:t xml:space="preserve">The expression of the TE lineage marker </w:t>
      </w:r>
      <w:r w:rsidRPr="00130EEF">
        <w:rPr>
          <w:i/>
          <w:color w:val="000000" w:themeColor="text1"/>
        </w:rPr>
        <w:t>Cdx2</w:t>
      </w:r>
      <w:r w:rsidRPr="00130EEF">
        <w:rPr>
          <w:color w:val="000000" w:themeColor="text1"/>
        </w:rPr>
        <w:t xml:space="preserve"> was </w:t>
      </w:r>
      <w:r w:rsidR="00D80B16" w:rsidRPr="00130EEF">
        <w:rPr>
          <w:color w:val="000000" w:themeColor="text1"/>
        </w:rPr>
        <w:t xml:space="preserve">lower </w:t>
      </w:r>
      <w:r w:rsidRPr="00130EEF">
        <w:rPr>
          <w:color w:val="000000" w:themeColor="text1"/>
        </w:rPr>
        <w:t>in both the</w:t>
      </w:r>
      <w:r w:rsidR="001D13BF" w:rsidRPr="00130EEF">
        <w:rPr>
          <w:color w:val="000000" w:themeColor="text1"/>
        </w:rPr>
        <w:t xml:space="preserve"> </w:t>
      </w:r>
      <w:r w:rsidR="007066B2" w:rsidRPr="00130EEF">
        <w:rPr>
          <w:color w:val="000000" w:themeColor="text1"/>
        </w:rPr>
        <w:t>HFA-Con</w:t>
      </w:r>
      <w:r w:rsidRPr="00130EEF">
        <w:rPr>
          <w:color w:val="000000" w:themeColor="text1"/>
        </w:rPr>
        <w:t xml:space="preserve"> and </w:t>
      </w:r>
      <w:r w:rsidR="001D13BF" w:rsidRPr="00130EEF">
        <w:rPr>
          <w:color w:val="000000" w:themeColor="text1"/>
        </w:rPr>
        <w:t>HFA</w:t>
      </w:r>
      <w:r w:rsidR="007066B2" w:rsidRPr="00130EEF">
        <w:rPr>
          <w:color w:val="000000" w:themeColor="text1"/>
        </w:rPr>
        <w:t>-HFA</w:t>
      </w:r>
      <w:r w:rsidRPr="00130EEF">
        <w:rPr>
          <w:color w:val="000000" w:themeColor="text1"/>
        </w:rPr>
        <w:t xml:space="preserve"> groups (</w:t>
      </w:r>
      <w:r w:rsidR="001B5844" w:rsidRPr="00130EEF">
        <w:rPr>
          <w:i/>
          <w:color w:val="000000" w:themeColor="text1"/>
        </w:rPr>
        <w:t>p</w:t>
      </w:r>
      <w:r w:rsidRPr="00130EEF">
        <w:rPr>
          <w:color w:val="000000" w:themeColor="text1"/>
        </w:rPr>
        <w:t xml:space="preserve"> = 0.01</w:t>
      </w:r>
      <w:r w:rsidR="00A62157" w:rsidRPr="00130EEF">
        <w:rPr>
          <w:color w:val="000000" w:themeColor="text1"/>
        </w:rPr>
        <w:t>9</w:t>
      </w:r>
      <w:r w:rsidRPr="00130EEF">
        <w:rPr>
          <w:color w:val="000000" w:themeColor="text1"/>
        </w:rPr>
        <w:t xml:space="preserve"> and </w:t>
      </w:r>
      <w:r w:rsidR="001B5844" w:rsidRPr="00130EEF">
        <w:rPr>
          <w:i/>
          <w:color w:val="000000" w:themeColor="text1"/>
        </w:rPr>
        <w:t>p</w:t>
      </w:r>
      <w:r w:rsidRPr="00130EEF">
        <w:rPr>
          <w:color w:val="000000" w:themeColor="text1"/>
        </w:rPr>
        <w:t xml:space="preserve"> = 0.000</w:t>
      </w:r>
      <w:r w:rsidR="00A62157" w:rsidRPr="00130EEF">
        <w:rPr>
          <w:color w:val="000000" w:themeColor="text1"/>
        </w:rPr>
        <w:t>8</w:t>
      </w:r>
      <w:r w:rsidR="00DF7F96" w:rsidRPr="00130EEF">
        <w:rPr>
          <w:color w:val="000000" w:themeColor="text1"/>
        </w:rPr>
        <w:t>,</w:t>
      </w:r>
      <w:r w:rsidRPr="00130EEF">
        <w:rPr>
          <w:color w:val="000000" w:themeColor="text1"/>
        </w:rPr>
        <w:t xml:space="preserve"> respectively)</w:t>
      </w:r>
      <w:r w:rsidR="00AA1D82" w:rsidRPr="00130EEF">
        <w:rPr>
          <w:color w:val="000000" w:themeColor="text1"/>
        </w:rPr>
        <w:t xml:space="preserve"> compared to </w:t>
      </w:r>
      <w:r w:rsidR="003E04A9" w:rsidRPr="00130EEF">
        <w:rPr>
          <w:color w:val="000000" w:themeColor="text1"/>
        </w:rPr>
        <w:t xml:space="preserve">the </w:t>
      </w:r>
      <w:r w:rsidR="007066B2" w:rsidRPr="00130EEF">
        <w:rPr>
          <w:color w:val="000000" w:themeColor="text1"/>
        </w:rPr>
        <w:t xml:space="preserve">Con-Con </w:t>
      </w:r>
      <w:r w:rsidR="003E04A9" w:rsidRPr="00130EEF">
        <w:rPr>
          <w:color w:val="000000" w:themeColor="text1"/>
        </w:rPr>
        <w:t>group</w:t>
      </w:r>
      <w:r w:rsidR="007066B2" w:rsidRPr="00130EEF">
        <w:rPr>
          <w:color w:val="000000" w:themeColor="text1"/>
        </w:rPr>
        <w:t xml:space="preserve"> (Figure </w:t>
      </w:r>
      <w:r w:rsidR="003621DB" w:rsidRPr="00130EEF">
        <w:rPr>
          <w:color w:val="000000" w:themeColor="text1"/>
        </w:rPr>
        <w:t>4</w:t>
      </w:r>
      <w:r w:rsidR="007066B2" w:rsidRPr="00130EEF">
        <w:rPr>
          <w:color w:val="000000" w:themeColor="text1"/>
        </w:rPr>
        <w:t>A)</w:t>
      </w:r>
      <w:r w:rsidR="005C7273" w:rsidRPr="00130EEF">
        <w:rPr>
          <w:color w:val="000000" w:themeColor="text1"/>
        </w:rPr>
        <w:t>.</w:t>
      </w:r>
      <w:r w:rsidRPr="00130EEF">
        <w:rPr>
          <w:color w:val="000000" w:themeColor="text1"/>
        </w:rPr>
        <w:t xml:space="preserve"> </w:t>
      </w:r>
      <w:r w:rsidR="00892548" w:rsidRPr="00130EEF">
        <w:rPr>
          <w:color w:val="000000" w:themeColor="text1"/>
        </w:rPr>
        <w:t xml:space="preserve">The expression of </w:t>
      </w:r>
      <w:r w:rsidR="00C70588" w:rsidRPr="00130EEF">
        <w:rPr>
          <w:color w:val="000000" w:themeColor="text1"/>
        </w:rPr>
        <w:t xml:space="preserve">pluripotency genes, </w:t>
      </w:r>
      <w:r w:rsidRPr="00130EEF">
        <w:rPr>
          <w:i/>
          <w:color w:val="000000" w:themeColor="text1"/>
        </w:rPr>
        <w:t>Oct4</w:t>
      </w:r>
      <w:r w:rsidR="005C7273" w:rsidRPr="00130EEF">
        <w:rPr>
          <w:i/>
          <w:color w:val="000000" w:themeColor="text1"/>
        </w:rPr>
        <w:t xml:space="preserve"> </w:t>
      </w:r>
      <w:r w:rsidR="005C7273" w:rsidRPr="00130EEF">
        <w:rPr>
          <w:color w:val="000000" w:themeColor="text1"/>
        </w:rPr>
        <w:t>and</w:t>
      </w:r>
      <w:r w:rsidR="005C7273" w:rsidRPr="00130EEF">
        <w:rPr>
          <w:i/>
          <w:color w:val="000000" w:themeColor="text1"/>
        </w:rPr>
        <w:t xml:space="preserve"> </w:t>
      </w:r>
      <w:r w:rsidR="00DD05B6" w:rsidRPr="00130EEF">
        <w:rPr>
          <w:i/>
          <w:color w:val="000000" w:themeColor="text1"/>
        </w:rPr>
        <w:t>N</w:t>
      </w:r>
      <w:r w:rsidR="005C7273" w:rsidRPr="00130EEF">
        <w:rPr>
          <w:i/>
          <w:color w:val="000000" w:themeColor="text1"/>
        </w:rPr>
        <w:t>anog</w:t>
      </w:r>
      <w:r w:rsidRPr="00130EEF">
        <w:rPr>
          <w:i/>
          <w:color w:val="000000" w:themeColor="text1"/>
        </w:rPr>
        <w:t xml:space="preserve">, </w:t>
      </w:r>
      <w:r w:rsidR="005C7273" w:rsidRPr="00130EEF">
        <w:rPr>
          <w:color w:val="000000" w:themeColor="text1"/>
        </w:rPr>
        <w:t>were also down</w:t>
      </w:r>
      <w:r w:rsidR="00D80B16" w:rsidRPr="00130EEF">
        <w:rPr>
          <w:color w:val="000000" w:themeColor="text1"/>
        </w:rPr>
        <w:t>-</w:t>
      </w:r>
      <w:r w:rsidR="005C7273" w:rsidRPr="00130EEF">
        <w:rPr>
          <w:color w:val="000000" w:themeColor="text1"/>
        </w:rPr>
        <w:t xml:space="preserve">regulated in blastocysts from the </w:t>
      </w:r>
      <w:r w:rsidR="007066B2" w:rsidRPr="00130EEF">
        <w:rPr>
          <w:color w:val="000000" w:themeColor="text1"/>
        </w:rPr>
        <w:t>HFA-</w:t>
      </w:r>
      <w:r w:rsidR="001D13BF" w:rsidRPr="00130EEF">
        <w:rPr>
          <w:color w:val="000000" w:themeColor="text1"/>
        </w:rPr>
        <w:t>HFA</w:t>
      </w:r>
      <w:r w:rsidR="005C7273" w:rsidRPr="00130EEF">
        <w:rPr>
          <w:color w:val="000000" w:themeColor="text1"/>
        </w:rPr>
        <w:t xml:space="preserve"> group</w:t>
      </w:r>
      <w:r w:rsidR="00DD05B6" w:rsidRPr="00130EEF">
        <w:rPr>
          <w:color w:val="000000" w:themeColor="text1"/>
        </w:rPr>
        <w:t xml:space="preserve"> </w:t>
      </w:r>
      <w:r w:rsidR="007066B2" w:rsidRPr="00130EEF">
        <w:rPr>
          <w:color w:val="000000" w:themeColor="text1"/>
        </w:rPr>
        <w:t xml:space="preserve">compared to </w:t>
      </w:r>
      <w:r w:rsidR="00F77B02" w:rsidRPr="00130EEF">
        <w:rPr>
          <w:color w:val="000000" w:themeColor="text1"/>
        </w:rPr>
        <w:t>the Con-Con group</w:t>
      </w:r>
      <w:r w:rsidR="00E41B08" w:rsidRPr="00130EEF">
        <w:rPr>
          <w:color w:val="000000" w:themeColor="text1"/>
        </w:rPr>
        <w:t xml:space="preserve"> </w:t>
      </w:r>
      <w:r w:rsidR="00DD05B6" w:rsidRPr="00130EEF">
        <w:rPr>
          <w:color w:val="000000" w:themeColor="text1"/>
        </w:rPr>
        <w:t>(</w:t>
      </w:r>
      <w:r w:rsidR="001B5844" w:rsidRPr="00130EEF">
        <w:rPr>
          <w:i/>
          <w:color w:val="000000" w:themeColor="text1"/>
        </w:rPr>
        <w:t>p</w:t>
      </w:r>
      <w:r w:rsidR="00DD05B6" w:rsidRPr="00130EEF">
        <w:rPr>
          <w:color w:val="000000" w:themeColor="text1"/>
        </w:rPr>
        <w:t xml:space="preserve"> = 0.0</w:t>
      </w:r>
      <w:r w:rsidR="00E542CA" w:rsidRPr="00130EEF">
        <w:rPr>
          <w:color w:val="000000" w:themeColor="text1"/>
        </w:rPr>
        <w:t xml:space="preserve">4 and </w:t>
      </w:r>
      <w:r w:rsidR="00E542CA" w:rsidRPr="00130EEF">
        <w:rPr>
          <w:i/>
          <w:iCs/>
          <w:color w:val="000000" w:themeColor="text1"/>
        </w:rPr>
        <w:t>p</w:t>
      </w:r>
      <w:r w:rsidR="00E542CA" w:rsidRPr="00130EEF">
        <w:rPr>
          <w:color w:val="000000" w:themeColor="text1"/>
        </w:rPr>
        <w:t xml:space="preserve"> = 0.008</w:t>
      </w:r>
      <w:r w:rsidR="00587651" w:rsidRPr="00130EEF">
        <w:rPr>
          <w:color w:val="000000" w:themeColor="text1"/>
        </w:rPr>
        <w:t>, respectively,</w:t>
      </w:r>
      <w:r w:rsidR="0084218F" w:rsidRPr="00130EEF">
        <w:rPr>
          <w:color w:val="000000" w:themeColor="text1"/>
        </w:rPr>
        <w:t xml:space="preserve"> Figure </w:t>
      </w:r>
      <w:r w:rsidR="003621DB" w:rsidRPr="00130EEF">
        <w:rPr>
          <w:color w:val="000000" w:themeColor="text1"/>
        </w:rPr>
        <w:t>4</w:t>
      </w:r>
      <w:r w:rsidR="0084218F" w:rsidRPr="00130EEF">
        <w:rPr>
          <w:color w:val="000000" w:themeColor="text1"/>
        </w:rPr>
        <w:t xml:space="preserve">B and </w:t>
      </w:r>
      <w:r w:rsidR="003621DB" w:rsidRPr="00130EEF">
        <w:rPr>
          <w:color w:val="000000" w:themeColor="text1"/>
        </w:rPr>
        <w:t>4</w:t>
      </w:r>
      <w:r w:rsidR="0084218F" w:rsidRPr="00130EEF">
        <w:rPr>
          <w:color w:val="000000" w:themeColor="text1"/>
        </w:rPr>
        <w:t>C</w:t>
      </w:r>
      <w:r w:rsidR="00DD05B6" w:rsidRPr="00130EEF">
        <w:rPr>
          <w:color w:val="000000" w:themeColor="text1"/>
        </w:rPr>
        <w:t>)</w:t>
      </w:r>
      <w:r w:rsidR="007066B2" w:rsidRPr="00130EEF">
        <w:rPr>
          <w:color w:val="000000" w:themeColor="text1"/>
        </w:rPr>
        <w:t xml:space="preserve">. </w:t>
      </w:r>
      <w:r w:rsidR="00DD05B6" w:rsidRPr="00130EEF">
        <w:rPr>
          <w:i/>
          <w:color w:val="000000" w:themeColor="text1"/>
        </w:rPr>
        <w:t xml:space="preserve">Oct4 </w:t>
      </w:r>
      <w:r w:rsidR="005C7273" w:rsidRPr="00130EEF">
        <w:rPr>
          <w:color w:val="000000" w:themeColor="text1"/>
        </w:rPr>
        <w:t>w</w:t>
      </w:r>
      <w:r w:rsidR="00697DBB" w:rsidRPr="00130EEF">
        <w:rPr>
          <w:color w:val="000000" w:themeColor="text1"/>
        </w:rPr>
        <w:t>as</w:t>
      </w:r>
      <w:r w:rsidR="005C7273" w:rsidRPr="00130EEF">
        <w:rPr>
          <w:color w:val="000000" w:themeColor="text1"/>
        </w:rPr>
        <w:t xml:space="preserve"> downregulated in the </w:t>
      </w:r>
      <w:r w:rsidR="00007C84" w:rsidRPr="00130EEF">
        <w:rPr>
          <w:color w:val="000000" w:themeColor="text1"/>
        </w:rPr>
        <w:t xml:space="preserve">Con-HFA </w:t>
      </w:r>
      <w:r w:rsidR="005C7273" w:rsidRPr="00130EEF">
        <w:rPr>
          <w:color w:val="000000" w:themeColor="text1"/>
        </w:rPr>
        <w:t xml:space="preserve">group compared to </w:t>
      </w:r>
      <w:r w:rsidR="003E04A9" w:rsidRPr="00130EEF">
        <w:rPr>
          <w:color w:val="000000" w:themeColor="text1"/>
        </w:rPr>
        <w:t xml:space="preserve">the </w:t>
      </w:r>
      <w:r w:rsidR="00E869AE" w:rsidRPr="00130EEF">
        <w:rPr>
          <w:color w:val="000000" w:themeColor="text1"/>
        </w:rPr>
        <w:t xml:space="preserve">Con-Con </w:t>
      </w:r>
      <w:r w:rsidR="003E04A9" w:rsidRPr="00130EEF">
        <w:rPr>
          <w:color w:val="000000" w:themeColor="text1"/>
        </w:rPr>
        <w:t>group</w:t>
      </w:r>
      <w:r w:rsidR="00DD05B6" w:rsidRPr="00130EEF">
        <w:rPr>
          <w:color w:val="000000" w:themeColor="text1"/>
        </w:rPr>
        <w:t xml:space="preserve"> (</w:t>
      </w:r>
      <w:r w:rsidR="001B5844" w:rsidRPr="00130EEF">
        <w:rPr>
          <w:i/>
          <w:color w:val="000000" w:themeColor="text1"/>
        </w:rPr>
        <w:t>p</w:t>
      </w:r>
      <w:r w:rsidR="00DD05B6" w:rsidRPr="00130EEF">
        <w:rPr>
          <w:color w:val="000000" w:themeColor="text1"/>
        </w:rPr>
        <w:t xml:space="preserve"> = 0.00</w:t>
      </w:r>
      <w:r w:rsidR="00697DBB" w:rsidRPr="00130EEF">
        <w:rPr>
          <w:color w:val="000000" w:themeColor="text1"/>
        </w:rPr>
        <w:t>9</w:t>
      </w:r>
      <w:r w:rsidR="0084218F" w:rsidRPr="00130EEF">
        <w:rPr>
          <w:color w:val="000000" w:themeColor="text1"/>
        </w:rPr>
        <w:t xml:space="preserve">, Figure </w:t>
      </w:r>
      <w:r w:rsidR="003621DB" w:rsidRPr="00130EEF">
        <w:rPr>
          <w:color w:val="000000" w:themeColor="text1"/>
        </w:rPr>
        <w:t>4</w:t>
      </w:r>
      <w:r w:rsidR="0084218F" w:rsidRPr="00130EEF">
        <w:rPr>
          <w:color w:val="000000" w:themeColor="text1"/>
        </w:rPr>
        <w:t>B</w:t>
      </w:r>
      <w:r w:rsidR="00DD05B6" w:rsidRPr="00130EEF">
        <w:rPr>
          <w:color w:val="000000" w:themeColor="text1"/>
        </w:rPr>
        <w:t>)</w:t>
      </w:r>
      <w:r w:rsidR="005C7273" w:rsidRPr="00130EEF">
        <w:rPr>
          <w:color w:val="000000" w:themeColor="text1"/>
        </w:rPr>
        <w:t>.</w:t>
      </w:r>
      <w:r w:rsidR="00697DBB" w:rsidRPr="00130EEF">
        <w:rPr>
          <w:color w:val="000000" w:themeColor="text1"/>
        </w:rPr>
        <w:t xml:space="preserve"> The primitive endoderm marker </w:t>
      </w:r>
      <w:r w:rsidR="00697DBB" w:rsidRPr="00130EEF">
        <w:rPr>
          <w:i/>
          <w:color w:val="000000" w:themeColor="text1"/>
        </w:rPr>
        <w:t xml:space="preserve">Gata6 </w:t>
      </w:r>
      <w:r w:rsidR="00697DBB" w:rsidRPr="00130EEF">
        <w:rPr>
          <w:iCs/>
          <w:color w:val="000000" w:themeColor="text1"/>
        </w:rPr>
        <w:t xml:space="preserve">did not show differences at </w:t>
      </w:r>
      <w:r w:rsidR="000E3248" w:rsidRPr="00130EEF">
        <w:rPr>
          <w:iCs/>
          <w:color w:val="000000" w:themeColor="text1"/>
        </w:rPr>
        <w:t xml:space="preserve">the </w:t>
      </w:r>
      <w:r w:rsidR="00697DBB" w:rsidRPr="00130EEF">
        <w:rPr>
          <w:iCs/>
          <w:color w:val="000000" w:themeColor="text1"/>
        </w:rPr>
        <w:t>mRNA level among the groups</w:t>
      </w:r>
      <w:r w:rsidR="00767FD9" w:rsidRPr="00130EEF">
        <w:rPr>
          <w:iCs/>
          <w:color w:val="000000" w:themeColor="text1"/>
        </w:rPr>
        <w:t xml:space="preserve"> (</w:t>
      </w:r>
      <w:r w:rsidR="00767FD9" w:rsidRPr="00130EEF">
        <w:rPr>
          <w:i/>
          <w:color w:val="000000" w:themeColor="text1"/>
        </w:rPr>
        <w:t>p</w:t>
      </w:r>
      <w:r w:rsidR="00767FD9" w:rsidRPr="00130EEF">
        <w:rPr>
          <w:iCs/>
          <w:color w:val="000000" w:themeColor="text1"/>
        </w:rPr>
        <w:t xml:space="preserve"> = </w:t>
      </w:r>
      <w:r w:rsidR="0004208E" w:rsidRPr="00130EEF">
        <w:rPr>
          <w:iCs/>
          <w:color w:val="000000" w:themeColor="text1"/>
        </w:rPr>
        <w:t>0.20)</w:t>
      </w:r>
      <w:r w:rsidR="00697DBB" w:rsidRPr="00130EEF">
        <w:rPr>
          <w:iCs/>
          <w:color w:val="000000" w:themeColor="text1"/>
        </w:rPr>
        <w:t>.</w:t>
      </w:r>
    </w:p>
    <w:p w14:paraId="3EC27965" w14:textId="77777777" w:rsidR="001D13BF" w:rsidRPr="00130EEF" w:rsidRDefault="001D13BF" w:rsidP="001D13BF">
      <w:pPr>
        <w:spacing w:line="480" w:lineRule="auto"/>
        <w:rPr>
          <w:color w:val="000000" w:themeColor="text1"/>
        </w:rPr>
      </w:pPr>
    </w:p>
    <w:p w14:paraId="3BF08922" w14:textId="6E0C1CF0" w:rsidR="001D13BF" w:rsidRPr="00130EEF" w:rsidRDefault="00D80B16" w:rsidP="001D13BF">
      <w:pPr>
        <w:spacing w:line="480" w:lineRule="auto"/>
        <w:rPr>
          <w:color w:val="000000" w:themeColor="text1"/>
        </w:rPr>
      </w:pPr>
      <w:r w:rsidRPr="00130EEF">
        <w:rPr>
          <w:color w:val="000000" w:themeColor="text1"/>
        </w:rPr>
        <w:t xml:space="preserve">Immunohistochemistry was used to </w:t>
      </w:r>
      <w:r w:rsidR="008B4F56" w:rsidRPr="00130EEF">
        <w:rPr>
          <w:color w:val="000000" w:themeColor="text1"/>
        </w:rPr>
        <w:t>assess the proportion of cells per blastocyst expressing CDX2 and NANOG</w:t>
      </w:r>
      <w:r w:rsidR="00F77B02" w:rsidRPr="00130EEF">
        <w:rPr>
          <w:color w:val="000000" w:themeColor="text1"/>
        </w:rPr>
        <w:t>. T</w:t>
      </w:r>
      <w:r w:rsidRPr="00130EEF">
        <w:rPr>
          <w:color w:val="000000" w:themeColor="text1"/>
        </w:rPr>
        <w:t>h</w:t>
      </w:r>
      <w:r w:rsidR="00F77B02" w:rsidRPr="00130EEF">
        <w:rPr>
          <w:color w:val="000000" w:themeColor="text1"/>
        </w:rPr>
        <w:t xml:space="preserve">e number of cells </w:t>
      </w:r>
      <w:r w:rsidRPr="00130EEF">
        <w:rPr>
          <w:color w:val="000000" w:themeColor="text1"/>
        </w:rPr>
        <w:t xml:space="preserve">expressing CDX2 was lower </w:t>
      </w:r>
      <w:r w:rsidR="00F77B02" w:rsidRPr="00130EEF">
        <w:rPr>
          <w:color w:val="000000" w:themeColor="text1"/>
        </w:rPr>
        <w:t>in both Con-HFA (</w:t>
      </w:r>
      <w:r w:rsidR="001B5844" w:rsidRPr="00130EEF">
        <w:rPr>
          <w:i/>
          <w:color w:val="000000" w:themeColor="text1"/>
        </w:rPr>
        <w:t>p</w:t>
      </w:r>
      <w:r w:rsidR="00F77B02" w:rsidRPr="00130EEF">
        <w:rPr>
          <w:color w:val="000000" w:themeColor="text1"/>
        </w:rPr>
        <w:t xml:space="preserve"> </w:t>
      </w:r>
      <w:r w:rsidR="003C5734" w:rsidRPr="00130EEF">
        <w:rPr>
          <w:color w:val="000000" w:themeColor="text1"/>
        </w:rPr>
        <w:t>&lt;</w:t>
      </w:r>
      <w:r w:rsidR="00F77B02" w:rsidRPr="00130EEF">
        <w:rPr>
          <w:color w:val="000000" w:themeColor="text1"/>
        </w:rPr>
        <w:t xml:space="preserve"> 0.00</w:t>
      </w:r>
      <w:r w:rsidR="003C5734" w:rsidRPr="00130EEF">
        <w:rPr>
          <w:color w:val="000000" w:themeColor="text1"/>
        </w:rPr>
        <w:t>01</w:t>
      </w:r>
      <w:r w:rsidR="00F77B02" w:rsidRPr="00130EEF">
        <w:rPr>
          <w:color w:val="000000" w:themeColor="text1"/>
        </w:rPr>
        <w:t>) and HFA-</w:t>
      </w:r>
      <w:r w:rsidR="00216F38" w:rsidRPr="00130EEF">
        <w:rPr>
          <w:color w:val="000000" w:themeColor="text1"/>
        </w:rPr>
        <w:t xml:space="preserve">HFA </w:t>
      </w:r>
      <w:r w:rsidR="00F77B02" w:rsidRPr="00130EEF">
        <w:rPr>
          <w:color w:val="000000" w:themeColor="text1"/>
        </w:rPr>
        <w:t>(</w:t>
      </w:r>
      <w:r w:rsidR="001B5844" w:rsidRPr="00130EEF">
        <w:rPr>
          <w:i/>
          <w:color w:val="000000" w:themeColor="text1"/>
        </w:rPr>
        <w:t>p</w:t>
      </w:r>
      <w:r w:rsidR="00F77B02" w:rsidRPr="00130EEF">
        <w:rPr>
          <w:color w:val="000000" w:themeColor="text1"/>
        </w:rPr>
        <w:t xml:space="preserve"> = 0.0</w:t>
      </w:r>
      <w:r w:rsidR="003C5734" w:rsidRPr="00130EEF">
        <w:rPr>
          <w:color w:val="000000" w:themeColor="text1"/>
        </w:rPr>
        <w:t>03</w:t>
      </w:r>
      <w:r w:rsidR="00F77B02" w:rsidRPr="00130EEF">
        <w:rPr>
          <w:color w:val="000000" w:themeColor="text1"/>
        </w:rPr>
        <w:t xml:space="preserve">) groups compared to the Con-Con group (Figure </w:t>
      </w:r>
      <w:r w:rsidR="003621DB" w:rsidRPr="00130EEF">
        <w:rPr>
          <w:color w:val="000000" w:themeColor="text1"/>
        </w:rPr>
        <w:t>5</w:t>
      </w:r>
      <w:r w:rsidR="00F77B02" w:rsidRPr="00130EEF">
        <w:rPr>
          <w:color w:val="000000" w:themeColor="text1"/>
        </w:rPr>
        <w:t xml:space="preserve">A). In contrast, the number of </w:t>
      </w:r>
      <w:r w:rsidRPr="00130EEF">
        <w:rPr>
          <w:color w:val="000000" w:themeColor="text1"/>
        </w:rPr>
        <w:t xml:space="preserve">cells expressing </w:t>
      </w:r>
      <w:r w:rsidR="00F77B02" w:rsidRPr="00130EEF">
        <w:rPr>
          <w:color w:val="000000" w:themeColor="text1"/>
        </w:rPr>
        <w:t xml:space="preserve">NANOG </w:t>
      </w:r>
      <w:r w:rsidRPr="00130EEF">
        <w:rPr>
          <w:color w:val="000000" w:themeColor="text1"/>
        </w:rPr>
        <w:t>was</w:t>
      </w:r>
      <w:r w:rsidR="00F77B02" w:rsidRPr="00130EEF">
        <w:rPr>
          <w:color w:val="000000" w:themeColor="text1"/>
        </w:rPr>
        <w:t xml:space="preserve"> </w:t>
      </w:r>
      <w:r w:rsidRPr="00130EEF">
        <w:rPr>
          <w:color w:val="000000" w:themeColor="text1"/>
        </w:rPr>
        <w:t xml:space="preserve">higher in the </w:t>
      </w:r>
      <w:r w:rsidR="00F77B02" w:rsidRPr="00130EEF">
        <w:rPr>
          <w:color w:val="000000" w:themeColor="text1"/>
        </w:rPr>
        <w:t xml:space="preserve">Con-HFA </w:t>
      </w:r>
      <w:r w:rsidR="004B6F0B" w:rsidRPr="00130EEF">
        <w:rPr>
          <w:color w:val="000000" w:themeColor="text1"/>
        </w:rPr>
        <w:t xml:space="preserve">and HFA-HFA </w:t>
      </w:r>
      <w:r w:rsidR="00F77B02" w:rsidRPr="00130EEF">
        <w:rPr>
          <w:color w:val="000000" w:themeColor="text1"/>
        </w:rPr>
        <w:t>than in the Con-Con group</w:t>
      </w:r>
      <w:r w:rsidR="004B6F0B" w:rsidRPr="00130EEF">
        <w:rPr>
          <w:color w:val="000000" w:themeColor="text1"/>
        </w:rPr>
        <w:t xml:space="preserve"> (</w:t>
      </w:r>
      <w:r w:rsidR="004B6F0B" w:rsidRPr="00130EEF">
        <w:rPr>
          <w:i/>
          <w:color w:val="000000" w:themeColor="text1"/>
        </w:rPr>
        <w:t>p</w:t>
      </w:r>
      <w:r w:rsidR="004B6F0B" w:rsidRPr="00130EEF">
        <w:rPr>
          <w:color w:val="000000" w:themeColor="text1"/>
        </w:rPr>
        <w:t xml:space="preserve"> &lt; 0.001</w:t>
      </w:r>
      <w:r w:rsidR="00CA2CDA" w:rsidRPr="00130EEF">
        <w:rPr>
          <w:color w:val="000000" w:themeColor="text1"/>
        </w:rPr>
        <w:t xml:space="preserve"> and </w:t>
      </w:r>
      <w:r w:rsidR="00CA2CDA" w:rsidRPr="00130EEF">
        <w:rPr>
          <w:i/>
          <w:iCs/>
          <w:color w:val="000000" w:themeColor="text1"/>
        </w:rPr>
        <w:t>p</w:t>
      </w:r>
      <w:r w:rsidR="00CA2CDA" w:rsidRPr="00130EEF">
        <w:rPr>
          <w:color w:val="000000" w:themeColor="text1"/>
        </w:rPr>
        <w:t xml:space="preserve"> = 0.004, respectively, </w:t>
      </w:r>
      <w:r w:rsidR="00F77B02" w:rsidRPr="00130EEF">
        <w:rPr>
          <w:color w:val="000000" w:themeColor="text1"/>
        </w:rPr>
        <w:t xml:space="preserve">Figure </w:t>
      </w:r>
      <w:r w:rsidR="003621DB" w:rsidRPr="00130EEF">
        <w:rPr>
          <w:color w:val="000000" w:themeColor="text1"/>
        </w:rPr>
        <w:t>5</w:t>
      </w:r>
      <w:r w:rsidR="00F77B02" w:rsidRPr="00130EEF">
        <w:rPr>
          <w:color w:val="000000" w:themeColor="text1"/>
        </w:rPr>
        <w:t>B).</w:t>
      </w:r>
      <w:r w:rsidR="00E41B08" w:rsidRPr="00130EEF">
        <w:rPr>
          <w:color w:val="000000" w:themeColor="text1"/>
        </w:rPr>
        <w:t xml:space="preserve"> </w:t>
      </w:r>
    </w:p>
    <w:p w14:paraId="4A75EDA5" w14:textId="6ABFFBA2" w:rsidR="00A56947" w:rsidRPr="00130EEF" w:rsidRDefault="00A56947" w:rsidP="001D13BF">
      <w:pPr>
        <w:spacing w:line="480" w:lineRule="auto"/>
        <w:rPr>
          <w:color w:val="000000" w:themeColor="text1"/>
        </w:rPr>
      </w:pPr>
      <w:r w:rsidRPr="00130EEF">
        <w:rPr>
          <w:noProof/>
          <w:color w:val="000000" w:themeColor="text1"/>
        </w:rPr>
        <w:drawing>
          <wp:inline distT="0" distB="0" distL="0" distR="0" wp14:anchorId="62256D49" wp14:editId="77A3748F">
            <wp:extent cx="5727700" cy="4361815"/>
            <wp:effectExtent l="0" t="0" r="0" b="0"/>
            <wp:docPr id="16" name="Imagen 1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neage markers.jpg"/>
                    <pic:cNvPicPr/>
                  </pic:nvPicPr>
                  <pic:blipFill>
                    <a:blip r:embed="rId14"/>
                    <a:stretch>
                      <a:fillRect/>
                    </a:stretch>
                  </pic:blipFill>
                  <pic:spPr>
                    <a:xfrm>
                      <a:off x="0" y="0"/>
                      <a:ext cx="5727700" cy="4361815"/>
                    </a:xfrm>
                    <a:prstGeom prst="rect">
                      <a:avLst/>
                    </a:prstGeom>
                  </pic:spPr>
                </pic:pic>
              </a:graphicData>
            </a:graphic>
          </wp:inline>
        </w:drawing>
      </w:r>
    </w:p>
    <w:p w14:paraId="51A35198" w14:textId="63AA03EF" w:rsidR="00D41534" w:rsidRPr="00130EEF" w:rsidRDefault="00D41534" w:rsidP="00D41534">
      <w:pPr>
        <w:rPr>
          <w:rFonts w:eastAsia="Times New Roman"/>
          <w:b/>
          <w:color w:val="000000" w:themeColor="text1"/>
        </w:rPr>
      </w:pPr>
      <w:r w:rsidRPr="00130EEF">
        <w:rPr>
          <w:rFonts w:eastAsia="Times New Roman"/>
          <w:b/>
          <w:color w:val="000000" w:themeColor="text1"/>
        </w:rPr>
        <w:t>Figure 4</w:t>
      </w:r>
      <w:r w:rsidRPr="00130EEF">
        <w:rPr>
          <w:rFonts w:eastAsia="Times New Roman"/>
          <w:color w:val="000000" w:themeColor="text1"/>
        </w:rPr>
        <w:t xml:space="preserve"> | mRNA expression of lineage markers (</w:t>
      </w:r>
      <w:r w:rsidRPr="00130EEF">
        <w:rPr>
          <w:rFonts w:eastAsia="Times New Roman"/>
          <w:b/>
          <w:bCs/>
          <w:color w:val="000000" w:themeColor="text1"/>
        </w:rPr>
        <w:t>A</w:t>
      </w:r>
      <w:r w:rsidRPr="00130EEF">
        <w:rPr>
          <w:rFonts w:eastAsia="Times New Roman"/>
          <w:color w:val="000000" w:themeColor="text1"/>
        </w:rPr>
        <w:t xml:space="preserve">) </w:t>
      </w:r>
      <w:r w:rsidRPr="00130EEF">
        <w:rPr>
          <w:rFonts w:eastAsia="Times New Roman"/>
          <w:i/>
          <w:color w:val="000000" w:themeColor="text1"/>
        </w:rPr>
        <w:t>Cdx2</w:t>
      </w:r>
      <w:r w:rsidRPr="00130EEF">
        <w:rPr>
          <w:rFonts w:eastAsia="Times New Roman"/>
          <w:color w:val="000000" w:themeColor="text1"/>
        </w:rPr>
        <w:t>, (</w:t>
      </w:r>
      <w:r w:rsidRPr="00130EEF">
        <w:rPr>
          <w:rFonts w:eastAsia="Times New Roman"/>
          <w:b/>
          <w:bCs/>
          <w:color w:val="000000" w:themeColor="text1"/>
        </w:rPr>
        <w:t>B</w:t>
      </w:r>
      <w:r w:rsidRPr="00130EEF">
        <w:rPr>
          <w:rFonts w:eastAsia="Times New Roman"/>
          <w:color w:val="000000" w:themeColor="text1"/>
        </w:rPr>
        <w:t xml:space="preserve">) </w:t>
      </w:r>
      <w:r w:rsidRPr="00130EEF">
        <w:rPr>
          <w:rFonts w:eastAsia="Times New Roman"/>
          <w:i/>
          <w:color w:val="000000" w:themeColor="text1"/>
        </w:rPr>
        <w:t>Oct4</w:t>
      </w:r>
      <w:r w:rsidRPr="00130EEF">
        <w:rPr>
          <w:rFonts w:eastAsia="Times New Roman"/>
          <w:color w:val="000000" w:themeColor="text1"/>
        </w:rPr>
        <w:t>, (</w:t>
      </w:r>
      <w:r w:rsidRPr="00130EEF">
        <w:rPr>
          <w:rFonts w:eastAsia="Times New Roman"/>
          <w:b/>
          <w:bCs/>
          <w:color w:val="000000" w:themeColor="text1"/>
        </w:rPr>
        <w:t>C</w:t>
      </w:r>
      <w:r w:rsidRPr="00130EEF">
        <w:rPr>
          <w:rFonts w:eastAsia="Times New Roman"/>
          <w:color w:val="000000" w:themeColor="text1"/>
        </w:rPr>
        <w:t xml:space="preserve">) </w:t>
      </w:r>
      <w:r w:rsidRPr="00130EEF">
        <w:rPr>
          <w:rFonts w:eastAsia="Times New Roman"/>
          <w:i/>
          <w:color w:val="000000" w:themeColor="text1"/>
        </w:rPr>
        <w:t>Nanog</w:t>
      </w:r>
      <w:r w:rsidRPr="00130EEF">
        <w:rPr>
          <w:rFonts w:eastAsia="Times New Roman"/>
          <w:color w:val="000000" w:themeColor="text1"/>
        </w:rPr>
        <w:t xml:space="preserve"> and (</w:t>
      </w:r>
      <w:r w:rsidRPr="00130EEF">
        <w:rPr>
          <w:rFonts w:eastAsia="Times New Roman"/>
          <w:b/>
          <w:bCs/>
          <w:color w:val="000000" w:themeColor="text1"/>
        </w:rPr>
        <w:t>D</w:t>
      </w:r>
      <w:r w:rsidRPr="00130EEF">
        <w:rPr>
          <w:rFonts w:eastAsia="Times New Roman"/>
          <w:color w:val="000000" w:themeColor="text1"/>
        </w:rPr>
        <w:t xml:space="preserve">) </w:t>
      </w:r>
      <w:r w:rsidRPr="00130EEF">
        <w:rPr>
          <w:rFonts w:eastAsia="Times New Roman"/>
          <w:i/>
          <w:color w:val="000000" w:themeColor="text1"/>
        </w:rPr>
        <w:t>Gata6</w:t>
      </w:r>
      <w:r w:rsidRPr="00130EEF">
        <w:rPr>
          <w:rFonts w:eastAsia="Times New Roman"/>
          <w:color w:val="000000" w:themeColor="text1"/>
        </w:rPr>
        <w:t xml:space="preserve"> in</w:t>
      </w:r>
      <w:r w:rsidR="00E50C7B" w:rsidRPr="00130EEF">
        <w:rPr>
          <w:rFonts w:eastAsia="Times New Roman"/>
          <w:color w:val="000000" w:themeColor="text1"/>
        </w:rPr>
        <w:t xml:space="preserve"> </w:t>
      </w:r>
      <w:r w:rsidRPr="00130EEF">
        <w:rPr>
          <w:rFonts w:eastAsia="Times New Roman"/>
          <w:color w:val="000000" w:themeColor="text1"/>
        </w:rPr>
        <w:t>male mid</w:t>
      </w:r>
      <w:r w:rsidR="00372090" w:rsidRPr="00130EEF">
        <w:rPr>
          <w:rFonts w:eastAsia="Times New Roman"/>
          <w:color w:val="000000" w:themeColor="text1"/>
        </w:rPr>
        <w:t>-expanded</w:t>
      </w:r>
      <w:r w:rsidRPr="00130EEF">
        <w:rPr>
          <w:rFonts w:eastAsia="Times New Roman"/>
          <w:color w:val="000000" w:themeColor="text1"/>
        </w:rPr>
        <w:t xml:space="preserve"> blastocyst</w:t>
      </w:r>
      <w:r w:rsidR="00372090" w:rsidRPr="00130EEF">
        <w:rPr>
          <w:rFonts w:eastAsia="Times New Roman"/>
          <w:color w:val="000000" w:themeColor="text1"/>
        </w:rPr>
        <w:t>s</w:t>
      </w:r>
      <w:r w:rsidRPr="00130EEF">
        <w:rPr>
          <w:rFonts w:eastAsia="Times New Roman"/>
          <w:color w:val="000000" w:themeColor="text1"/>
        </w:rPr>
        <w:t xml:space="preserve">. </w:t>
      </w:r>
      <w:r w:rsidR="000E3248" w:rsidRPr="00130EEF">
        <w:rPr>
          <w:rFonts w:eastAsia="Times New Roman"/>
          <w:color w:val="000000" w:themeColor="text1"/>
        </w:rPr>
        <w:t xml:space="preserve">Data was </w:t>
      </w:r>
      <w:r w:rsidR="0079751C" w:rsidRPr="00130EEF">
        <w:rPr>
          <w:rFonts w:eastAsia="Times New Roman"/>
          <w:color w:val="000000" w:themeColor="text1"/>
        </w:rPr>
        <w:t>analysed by</w:t>
      </w:r>
      <w:r w:rsidR="00A56947" w:rsidRPr="00130EEF">
        <w:rPr>
          <w:rFonts w:eastAsia="Times New Roman"/>
          <w:color w:val="000000" w:themeColor="text1"/>
        </w:rPr>
        <w:t xml:space="preserve"> ANOVA with Bonferroni correction for multiple comparisons</w:t>
      </w:r>
      <w:r w:rsidR="009173C9" w:rsidRPr="00130EEF">
        <w:rPr>
          <w:rFonts w:eastAsia="Times New Roman"/>
          <w:color w:val="000000" w:themeColor="text1"/>
        </w:rPr>
        <w:t>, adjusted p values are showed in the graph</w:t>
      </w:r>
      <w:r w:rsidRPr="00130EEF">
        <w:rPr>
          <w:rFonts w:eastAsia="Times New Roman"/>
          <w:color w:val="000000" w:themeColor="text1"/>
        </w:rPr>
        <w:t xml:space="preserve">. Data expressed as mean ± SEM. </w:t>
      </w:r>
      <w:r w:rsidRPr="00130EEF">
        <w:rPr>
          <w:rFonts w:eastAsia="Times New Roman"/>
          <w:i/>
          <w:iCs/>
          <w:color w:val="000000" w:themeColor="text1"/>
        </w:rPr>
        <w:t>n</w:t>
      </w:r>
      <w:r w:rsidRPr="00130EEF">
        <w:rPr>
          <w:rFonts w:eastAsia="Times New Roman"/>
          <w:color w:val="000000" w:themeColor="text1"/>
        </w:rPr>
        <w:t xml:space="preserve"> = 10 </w:t>
      </w:r>
      <w:r w:rsidR="00D679C7" w:rsidRPr="00130EEF">
        <w:rPr>
          <w:rFonts w:eastAsia="Times New Roman"/>
          <w:color w:val="000000" w:themeColor="text1"/>
        </w:rPr>
        <w:t>blastocyst</w:t>
      </w:r>
      <w:r w:rsidRPr="00130EEF">
        <w:rPr>
          <w:rFonts w:eastAsia="Times New Roman"/>
          <w:color w:val="000000" w:themeColor="text1"/>
        </w:rPr>
        <w:t xml:space="preserve"> per group</w:t>
      </w:r>
      <w:r w:rsidR="003C1DEE" w:rsidRPr="00130EEF">
        <w:rPr>
          <w:rFonts w:eastAsia="Times New Roman"/>
          <w:color w:val="000000" w:themeColor="text1"/>
        </w:rPr>
        <w:t>, one male blastocyst per mouse</w:t>
      </w:r>
      <w:r w:rsidRPr="00130EEF">
        <w:rPr>
          <w:rFonts w:eastAsia="Times New Roman"/>
          <w:color w:val="000000" w:themeColor="text1"/>
        </w:rPr>
        <w:t xml:space="preserve">. </w:t>
      </w:r>
    </w:p>
    <w:p w14:paraId="3AC3371F" w14:textId="1AA839DA" w:rsidR="00D41534" w:rsidRPr="00130EEF" w:rsidRDefault="00D41534" w:rsidP="001D13BF">
      <w:pPr>
        <w:spacing w:line="480" w:lineRule="auto"/>
        <w:rPr>
          <w:color w:val="000000" w:themeColor="text1"/>
        </w:rPr>
      </w:pPr>
    </w:p>
    <w:p w14:paraId="600704E7" w14:textId="77777777" w:rsidR="00D41534" w:rsidRPr="00130EEF" w:rsidRDefault="00D41534" w:rsidP="00D41534">
      <w:pPr>
        <w:rPr>
          <w:rFonts w:eastAsia="Times New Roman"/>
          <w:b/>
          <w:noProof/>
          <w:color w:val="000000" w:themeColor="text1"/>
        </w:rPr>
      </w:pPr>
    </w:p>
    <w:p w14:paraId="14195A07" w14:textId="77777777" w:rsidR="00D41534" w:rsidRPr="00130EEF" w:rsidRDefault="00D41534" w:rsidP="00D41534">
      <w:pPr>
        <w:rPr>
          <w:rFonts w:eastAsia="Times New Roman"/>
          <w:color w:val="000000" w:themeColor="text1"/>
        </w:rPr>
      </w:pPr>
    </w:p>
    <w:p w14:paraId="3E58801C" w14:textId="4BB6243A" w:rsidR="00D41534" w:rsidRPr="00130EEF" w:rsidRDefault="002E43E9" w:rsidP="00D41534">
      <w:pPr>
        <w:rPr>
          <w:rFonts w:eastAsia="Times New Roman"/>
          <w:color w:val="000000" w:themeColor="text1"/>
        </w:rPr>
      </w:pPr>
      <w:r w:rsidRPr="00130EEF">
        <w:rPr>
          <w:rFonts w:eastAsia="Times New Roman"/>
          <w:noProof/>
          <w:color w:val="000000" w:themeColor="text1"/>
        </w:rPr>
        <w:lastRenderedPageBreak/>
        <w:drawing>
          <wp:anchor distT="0" distB="0" distL="114300" distR="114300" simplePos="0" relativeHeight="251693056" behindDoc="0" locked="0" layoutInCell="1" allowOverlap="1" wp14:anchorId="354D1F0B" wp14:editId="7B7F939B">
            <wp:simplePos x="0" y="0"/>
            <wp:positionH relativeFrom="column">
              <wp:posOffset>0</wp:posOffset>
            </wp:positionH>
            <wp:positionV relativeFrom="paragraph">
              <wp:posOffset>3810</wp:posOffset>
            </wp:positionV>
            <wp:extent cx="5727700" cy="6147435"/>
            <wp:effectExtent l="0" t="0" r="0" b="0"/>
            <wp:wrapSquare wrapText="bothSides"/>
            <wp:docPr id="21" name="Imagen 2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F paper.jpg"/>
                    <pic:cNvPicPr/>
                  </pic:nvPicPr>
                  <pic:blipFill>
                    <a:blip r:embed="rId15"/>
                    <a:stretch>
                      <a:fillRect/>
                    </a:stretch>
                  </pic:blipFill>
                  <pic:spPr>
                    <a:xfrm>
                      <a:off x="0" y="0"/>
                      <a:ext cx="5727700" cy="6147435"/>
                    </a:xfrm>
                    <a:prstGeom prst="rect">
                      <a:avLst/>
                    </a:prstGeom>
                  </pic:spPr>
                </pic:pic>
              </a:graphicData>
            </a:graphic>
            <wp14:sizeRelH relativeFrom="page">
              <wp14:pctWidth>0</wp14:pctWidth>
            </wp14:sizeRelH>
            <wp14:sizeRelV relativeFrom="page">
              <wp14:pctHeight>0</wp14:pctHeight>
            </wp14:sizeRelV>
          </wp:anchor>
        </w:drawing>
      </w:r>
    </w:p>
    <w:p w14:paraId="42C022E2" w14:textId="631BEBF1" w:rsidR="00D41534" w:rsidRPr="00130EEF" w:rsidRDefault="00D41534" w:rsidP="00F07148">
      <w:pPr>
        <w:rPr>
          <w:rFonts w:eastAsia="Times New Roman"/>
          <w:color w:val="000000" w:themeColor="text1"/>
        </w:rPr>
      </w:pPr>
      <w:r w:rsidRPr="00130EEF">
        <w:rPr>
          <w:rFonts w:eastAsia="Times New Roman"/>
          <w:b/>
          <w:color w:val="000000" w:themeColor="text1"/>
        </w:rPr>
        <w:t>Figure 5</w:t>
      </w:r>
      <w:r w:rsidRPr="00130EEF">
        <w:rPr>
          <w:rFonts w:eastAsia="Times New Roman"/>
          <w:color w:val="000000" w:themeColor="text1"/>
        </w:rPr>
        <w:t xml:space="preserve"> | Immunohistochemistry CDX2 and NANOG in blastocyst at E3.5. (</w:t>
      </w:r>
      <w:r w:rsidRPr="00130EEF">
        <w:rPr>
          <w:rFonts w:eastAsia="Times New Roman"/>
          <w:b/>
          <w:bCs/>
          <w:color w:val="000000" w:themeColor="text1"/>
        </w:rPr>
        <w:t>A</w:t>
      </w:r>
      <w:r w:rsidRPr="00130EEF">
        <w:rPr>
          <w:rFonts w:eastAsia="Times New Roman"/>
          <w:color w:val="000000" w:themeColor="text1"/>
        </w:rPr>
        <w:t>) CDX2 and (</w:t>
      </w:r>
      <w:r w:rsidRPr="00130EEF">
        <w:rPr>
          <w:rFonts w:eastAsia="Times New Roman"/>
          <w:b/>
          <w:bCs/>
          <w:color w:val="000000" w:themeColor="text1"/>
        </w:rPr>
        <w:t>B</w:t>
      </w:r>
      <w:r w:rsidRPr="00130EEF">
        <w:rPr>
          <w:rFonts w:eastAsia="Times New Roman"/>
          <w:color w:val="000000" w:themeColor="text1"/>
        </w:rPr>
        <w:t>) NANOG positive cells in relation to the total cells. (</w:t>
      </w:r>
      <w:r w:rsidRPr="00130EEF">
        <w:rPr>
          <w:rFonts w:eastAsia="Times New Roman"/>
          <w:b/>
          <w:bCs/>
          <w:color w:val="000000" w:themeColor="text1"/>
        </w:rPr>
        <w:t>C</w:t>
      </w:r>
      <w:r w:rsidRPr="00130EEF">
        <w:rPr>
          <w:rFonts w:eastAsia="Times New Roman"/>
          <w:color w:val="000000" w:themeColor="text1"/>
        </w:rPr>
        <w:t>) Representative image of blastocyst stained with CDX2 (green) and NANOG (red) and DAPI (gr</w:t>
      </w:r>
      <w:r w:rsidR="00344A23" w:rsidRPr="00130EEF">
        <w:rPr>
          <w:rFonts w:eastAsia="Times New Roman"/>
          <w:color w:val="000000" w:themeColor="text1"/>
        </w:rPr>
        <w:t>e</w:t>
      </w:r>
      <w:r w:rsidRPr="00130EEF">
        <w:rPr>
          <w:rFonts w:eastAsia="Times New Roman"/>
          <w:color w:val="000000" w:themeColor="text1"/>
        </w:rPr>
        <w:t xml:space="preserve">y). </w:t>
      </w:r>
      <w:r w:rsidR="000E3248" w:rsidRPr="00130EEF">
        <w:rPr>
          <w:rFonts w:eastAsia="Times New Roman"/>
          <w:color w:val="000000" w:themeColor="text1"/>
        </w:rPr>
        <w:t xml:space="preserve">Data was </w:t>
      </w:r>
      <w:r w:rsidR="0079751C" w:rsidRPr="00130EEF">
        <w:rPr>
          <w:rFonts w:eastAsia="Times New Roman"/>
          <w:color w:val="000000" w:themeColor="text1"/>
        </w:rPr>
        <w:t>analysed by</w:t>
      </w:r>
      <w:r w:rsidR="002E43E9" w:rsidRPr="00130EEF">
        <w:rPr>
          <w:rFonts w:eastAsia="Times New Roman"/>
          <w:color w:val="000000" w:themeColor="text1"/>
        </w:rPr>
        <w:t xml:space="preserve"> ANOVA </w:t>
      </w:r>
      <w:bookmarkStart w:id="1" w:name="_Hlk55573179"/>
      <w:r w:rsidR="002E43E9" w:rsidRPr="00130EEF">
        <w:rPr>
          <w:rFonts w:eastAsia="Times New Roman"/>
          <w:color w:val="000000" w:themeColor="text1"/>
        </w:rPr>
        <w:t>with Bonferroni correction for multiple comparisons</w:t>
      </w:r>
      <w:bookmarkEnd w:id="1"/>
      <w:r w:rsidR="002E43E9" w:rsidRPr="00130EEF">
        <w:rPr>
          <w:rFonts w:eastAsia="Times New Roman"/>
          <w:color w:val="000000" w:themeColor="text1"/>
        </w:rPr>
        <w:t>, adjusted p values are showed in the graph</w:t>
      </w:r>
      <w:r w:rsidRPr="00130EEF">
        <w:rPr>
          <w:rFonts w:eastAsia="Times New Roman"/>
          <w:color w:val="000000" w:themeColor="text1"/>
        </w:rPr>
        <w:t xml:space="preserve">. Data expressed as mean ± SEM. </w:t>
      </w:r>
      <w:r w:rsidRPr="00130EEF">
        <w:rPr>
          <w:rFonts w:eastAsia="Times New Roman"/>
          <w:i/>
          <w:iCs/>
          <w:color w:val="000000" w:themeColor="text1"/>
        </w:rPr>
        <w:t>n</w:t>
      </w:r>
      <w:r w:rsidRPr="00130EEF">
        <w:rPr>
          <w:rFonts w:eastAsia="Times New Roman"/>
          <w:color w:val="000000" w:themeColor="text1"/>
        </w:rPr>
        <w:t xml:space="preserve"> = 4-8 pregnant mice per group</w:t>
      </w:r>
      <w:r w:rsidR="003C1DEE" w:rsidRPr="00130EEF">
        <w:rPr>
          <w:rFonts w:eastAsia="Times New Roman"/>
          <w:color w:val="000000" w:themeColor="text1"/>
        </w:rPr>
        <w:t xml:space="preserve"> (21-38 blastocysts per group)</w:t>
      </w:r>
      <w:r w:rsidRPr="00130EEF">
        <w:rPr>
          <w:rFonts w:eastAsia="Times New Roman"/>
          <w:color w:val="000000" w:themeColor="text1"/>
        </w:rPr>
        <w:t>. Scale bar = 20 µm</w:t>
      </w:r>
    </w:p>
    <w:p w14:paraId="4185B66E" w14:textId="77777777" w:rsidR="00EE4905" w:rsidRPr="00130EEF" w:rsidRDefault="00EE4905" w:rsidP="00F07148">
      <w:pPr>
        <w:rPr>
          <w:rFonts w:eastAsia="Times New Roman"/>
          <w:color w:val="000000" w:themeColor="text1"/>
        </w:rPr>
      </w:pPr>
    </w:p>
    <w:p w14:paraId="15C9A450" w14:textId="5E8C7898" w:rsidR="001D13BF" w:rsidRPr="00130EEF" w:rsidRDefault="001A6A10" w:rsidP="00E02E17">
      <w:pPr>
        <w:pStyle w:val="Heading2"/>
        <w:numPr>
          <w:ilvl w:val="0"/>
          <w:numId w:val="0"/>
        </w:numPr>
        <w:rPr>
          <w:color w:val="000000" w:themeColor="text1"/>
        </w:rPr>
      </w:pPr>
      <w:proofErr w:type="gramStart"/>
      <w:r w:rsidRPr="00130EEF">
        <w:rPr>
          <w:color w:val="000000" w:themeColor="text1"/>
        </w:rPr>
        <w:lastRenderedPageBreak/>
        <w:t>3.6</w:t>
      </w:r>
      <w:r w:rsidR="00344A23" w:rsidRPr="00130EEF">
        <w:rPr>
          <w:color w:val="000000" w:themeColor="text1"/>
        </w:rPr>
        <w:t xml:space="preserve">  </w:t>
      </w:r>
      <w:r w:rsidR="00C70588" w:rsidRPr="00130EEF">
        <w:rPr>
          <w:color w:val="000000" w:themeColor="text1"/>
        </w:rPr>
        <w:t>Expression</w:t>
      </w:r>
      <w:proofErr w:type="gramEnd"/>
      <w:r w:rsidR="00C70588" w:rsidRPr="00130EEF">
        <w:rPr>
          <w:color w:val="000000" w:themeColor="text1"/>
        </w:rPr>
        <w:t xml:space="preserve"> of epigenetic regulator</w:t>
      </w:r>
      <w:r w:rsidR="00344A23" w:rsidRPr="00130EEF">
        <w:rPr>
          <w:color w:val="000000" w:themeColor="text1"/>
        </w:rPr>
        <w:t>y gene</w:t>
      </w:r>
      <w:r w:rsidR="00C70588" w:rsidRPr="00130EEF">
        <w:rPr>
          <w:color w:val="000000" w:themeColor="text1"/>
        </w:rPr>
        <w:t>s</w:t>
      </w:r>
      <w:r w:rsidR="001D13BF" w:rsidRPr="00130EEF">
        <w:rPr>
          <w:color w:val="000000" w:themeColor="text1"/>
        </w:rPr>
        <w:t xml:space="preserve"> </w:t>
      </w:r>
    </w:p>
    <w:p w14:paraId="05CEF183" w14:textId="359CA68E" w:rsidR="00F77B02" w:rsidRPr="00130EEF" w:rsidRDefault="001D13BF" w:rsidP="00F77B02">
      <w:pPr>
        <w:spacing w:line="480" w:lineRule="auto"/>
        <w:rPr>
          <w:color w:val="000000" w:themeColor="text1"/>
        </w:rPr>
      </w:pPr>
      <w:r w:rsidRPr="00130EEF">
        <w:rPr>
          <w:color w:val="000000" w:themeColor="text1"/>
        </w:rPr>
        <w:t>As epigenetic processes play a central role in lineage determination and are reliant on the supply of methyl groups from one-carbon metabolism, the expression of components of the Polycomb repressive complex (</w:t>
      </w:r>
      <w:r w:rsidRPr="00130EEF">
        <w:rPr>
          <w:i/>
          <w:color w:val="000000" w:themeColor="text1"/>
        </w:rPr>
        <w:t>Ezh2</w:t>
      </w:r>
      <w:r w:rsidRPr="00130EEF">
        <w:rPr>
          <w:color w:val="000000" w:themeColor="text1"/>
        </w:rPr>
        <w:t xml:space="preserve"> and </w:t>
      </w:r>
      <w:r w:rsidRPr="00130EEF">
        <w:rPr>
          <w:i/>
          <w:color w:val="000000" w:themeColor="text1"/>
        </w:rPr>
        <w:t>Eed</w:t>
      </w:r>
      <w:r w:rsidRPr="00130EEF">
        <w:rPr>
          <w:iCs/>
          <w:color w:val="000000" w:themeColor="text1"/>
        </w:rPr>
        <w:t xml:space="preserve">) </w:t>
      </w:r>
      <w:r w:rsidRPr="00130EEF">
        <w:rPr>
          <w:color w:val="000000" w:themeColor="text1"/>
        </w:rPr>
        <w:t xml:space="preserve">which maintains pluripotency by </w:t>
      </w:r>
      <w:r w:rsidRPr="00130EEF">
        <w:rPr>
          <w:color w:val="000000" w:themeColor="text1"/>
          <w:shd w:val="clear" w:color="auto" w:fill="FFFFFF"/>
        </w:rPr>
        <w:t xml:space="preserve">repressing </w:t>
      </w:r>
      <w:r w:rsidR="00DF7F96" w:rsidRPr="00130EEF">
        <w:rPr>
          <w:color w:val="000000" w:themeColor="text1"/>
          <w:shd w:val="clear" w:color="auto" w:fill="FFFFFF"/>
        </w:rPr>
        <w:t>lineage-specific</w:t>
      </w:r>
      <w:r w:rsidRPr="00130EEF">
        <w:rPr>
          <w:color w:val="000000" w:themeColor="text1"/>
          <w:shd w:val="clear" w:color="auto" w:fill="FFFFFF"/>
        </w:rPr>
        <w:t xml:space="preserve"> genes through H3K27 trimethylation,</w:t>
      </w:r>
      <w:r w:rsidRPr="00130EEF">
        <w:rPr>
          <w:color w:val="000000" w:themeColor="text1"/>
        </w:rPr>
        <w:t xml:space="preserve"> together with DNA </w:t>
      </w:r>
      <w:r w:rsidR="00DF7F96" w:rsidRPr="00130EEF">
        <w:rPr>
          <w:color w:val="000000" w:themeColor="text1"/>
        </w:rPr>
        <w:t>methyltransferase</w:t>
      </w:r>
      <w:r w:rsidRPr="00130EEF">
        <w:rPr>
          <w:color w:val="000000" w:themeColor="text1"/>
        </w:rPr>
        <w:t xml:space="preserve"> 1 (D</w:t>
      </w:r>
      <w:r w:rsidR="00E41B08" w:rsidRPr="00130EEF">
        <w:rPr>
          <w:color w:val="000000" w:themeColor="text1"/>
        </w:rPr>
        <w:t>NMT</w:t>
      </w:r>
      <w:r w:rsidRPr="00130EEF">
        <w:rPr>
          <w:color w:val="000000" w:themeColor="text1"/>
        </w:rPr>
        <w:t>1), responsible for maintaining DNA methylation patterns</w:t>
      </w:r>
      <w:r w:rsidR="000B130E" w:rsidRPr="00130EEF">
        <w:rPr>
          <w:color w:val="000000" w:themeColor="text1"/>
        </w:rPr>
        <w:t xml:space="preserve"> </w:t>
      </w:r>
      <w:r w:rsidR="00D832AE" w:rsidRPr="00130EEF">
        <w:rPr>
          <w:color w:val="000000" w:themeColor="text1"/>
        </w:rPr>
        <w:fldChar w:fldCharType="begin" w:fldLock="1"/>
      </w:r>
      <w:r w:rsidR="00D832AE" w:rsidRPr="00130EEF">
        <w:rPr>
          <w:color w:val="000000" w:themeColor="text1"/>
        </w:rPr>
        <w:instrText>ADDIN CSL_CITATION {"citationItems":[{"id":"ITEM-1","itemData":{"DOI":"10.1101/gad.947102","ISSN":"08909369","author":[{"dropping-particle":"","family":"Bird","given":"Adrian","non-dropping-particle":"","parse-names":false,"suffix":""}],"container-title":"Genes &amp; Development","id":"ITEM-1","issue":"1","issued":{"date-parts":[["2002","1","1"]]},"page":"6-21","title":"DNA methylation patterns and epigenetic memory","type":"article-journal","volume":"16"},"uris":["http://www.mendeley.com/documents/?uuid=57a0113c-0839-45bf-b159-f5b3edc4e30f"]}],"mendeley":{"formattedCitation":"(Bird, 2002)","plainTextFormattedCitation":"(Bird, 2002)","previouslyFormattedCitation":"(Bird, 2002)"},"properties":{"noteIndex":0},"schema":"https://github.com/citation-style-language/schema/raw/master/csl-citation.json"}</w:instrText>
      </w:r>
      <w:r w:rsidR="00D832AE" w:rsidRPr="00130EEF">
        <w:rPr>
          <w:color w:val="000000" w:themeColor="text1"/>
        </w:rPr>
        <w:fldChar w:fldCharType="separate"/>
      </w:r>
      <w:r w:rsidR="00D832AE" w:rsidRPr="00130EEF">
        <w:rPr>
          <w:noProof/>
          <w:color w:val="000000" w:themeColor="text1"/>
        </w:rPr>
        <w:t>(Bird, 2002)</w:t>
      </w:r>
      <w:r w:rsidR="00D832AE" w:rsidRPr="00130EEF">
        <w:rPr>
          <w:color w:val="000000" w:themeColor="text1"/>
        </w:rPr>
        <w:fldChar w:fldCharType="end"/>
      </w:r>
      <w:r w:rsidRPr="00130EEF">
        <w:rPr>
          <w:color w:val="000000" w:themeColor="text1"/>
        </w:rPr>
        <w:t xml:space="preserve">, were also </w:t>
      </w:r>
      <w:r w:rsidR="006E3230" w:rsidRPr="00130EEF">
        <w:rPr>
          <w:color w:val="000000" w:themeColor="text1"/>
        </w:rPr>
        <w:t>analysed</w:t>
      </w:r>
      <w:r w:rsidR="0027377A" w:rsidRPr="00130EEF">
        <w:rPr>
          <w:color w:val="000000" w:themeColor="text1"/>
        </w:rPr>
        <w:t xml:space="preserve"> </w:t>
      </w:r>
      <w:r w:rsidRPr="00130EEF">
        <w:rPr>
          <w:color w:val="000000" w:themeColor="text1"/>
        </w:rPr>
        <w:t>in the blastocysts from the Con</w:t>
      </w:r>
      <w:r w:rsidR="00F77B02" w:rsidRPr="00130EEF">
        <w:rPr>
          <w:color w:val="000000" w:themeColor="text1"/>
        </w:rPr>
        <w:t>-Con, HFA-HFA</w:t>
      </w:r>
      <w:r w:rsidR="00DF7F96" w:rsidRPr="00130EEF">
        <w:rPr>
          <w:color w:val="000000" w:themeColor="text1"/>
        </w:rPr>
        <w:t>,</w:t>
      </w:r>
      <w:r w:rsidR="00F77B02" w:rsidRPr="00130EEF">
        <w:rPr>
          <w:color w:val="000000" w:themeColor="text1"/>
        </w:rPr>
        <w:t xml:space="preserve"> and Con-HFA </w:t>
      </w:r>
      <w:r w:rsidRPr="00130EEF">
        <w:rPr>
          <w:color w:val="000000" w:themeColor="text1"/>
        </w:rPr>
        <w:t xml:space="preserve">groups. </w:t>
      </w:r>
      <w:r w:rsidR="00F77B02" w:rsidRPr="00130EEF">
        <w:rPr>
          <w:color w:val="000000" w:themeColor="text1"/>
        </w:rPr>
        <w:t xml:space="preserve">The expression of </w:t>
      </w:r>
      <w:r w:rsidR="00F77B02" w:rsidRPr="00130EEF">
        <w:rPr>
          <w:i/>
          <w:color w:val="000000" w:themeColor="text1"/>
        </w:rPr>
        <w:t>Ezh2</w:t>
      </w:r>
      <w:r w:rsidR="00F77B02" w:rsidRPr="00130EEF">
        <w:rPr>
          <w:color w:val="000000" w:themeColor="text1"/>
        </w:rPr>
        <w:t xml:space="preserve"> (</w:t>
      </w:r>
      <w:r w:rsidR="001B5844" w:rsidRPr="00130EEF">
        <w:rPr>
          <w:i/>
          <w:color w:val="000000" w:themeColor="text1"/>
        </w:rPr>
        <w:t>p</w:t>
      </w:r>
      <w:r w:rsidR="00F77B02" w:rsidRPr="00130EEF">
        <w:rPr>
          <w:color w:val="000000" w:themeColor="text1"/>
        </w:rPr>
        <w:t xml:space="preserve"> = 0.0</w:t>
      </w:r>
      <w:r w:rsidR="00D71C44" w:rsidRPr="00130EEF">
        <w:rPr>
          <w:color w:val="000000" w:themeColor="text1"/>
        </w:rPr>
        <w:t>4</w:t>
      </w:r>
      <w:r w:rsidR="00F77B02" w:rsidRPr="00130EEF">
        <w:rPr>
          <w:color w:val="000000" w:themeColor="text1"/>
        </w:rPr>
        <w:t xml:space="preserve">) and </w:t>
      </w:r>
      <w:r w:rsidR="00F77B02" w:rsidRPr="00130EEF">
        <w:rPr>
          <w:i/>
          <w:color w:val="000000" w:themeColor="text1"/>
        </w:rPr>
        <w:t>Eed</w:t>
      </w:r>
      <w:r w:rsidR="00F77B02" w:rsidRPr="00130EEF" w:rsidDel="00FF5622">
        <w:rPr>
          <w:color w:val="000000" w:themeColor="text1"/>
        </w:rPr>
        <w:t xml:space="preserve"> </w:t>
      </w:r>
      <w:r w:rsidR="00F77B02" w:rsidRPr="00130EEF">
        <w:rPr>
          <w:color w:val="000000" w:themeColor="text1"/>
        </w:rPr>
        <w:t>(</w:t>
      </w:r>
      <w:r w:rsidR="001B5844" w:rsidRPr="00130EEF">
        <w:rPr>
          <w:i/>
          <w:color w:val="000000" w:themeColor="text1"/>
        </w:rPr>
        <w:t>p</w:t>
      </w:r>
      <w:r w:rsidR="00F77B02" w:rsidRPr="00130EEF">
        <w:rPr>
          <w:color w:val="000000" w:themeColor="text1"/>
        </w:rPr>
        <w:t xml:space="preserve"> = 0.0</w:t>
      </w:r>
      <w:r w:rsidR="00C033CF" w:rsidRPr="00130EEF">
        <w:rPr>
          <w:color w:val="000000" w:themeColor="text1"/>
        </w:rPr>
        <w:t>1</w:t>
      </w:r>
      <w:r w:rsidR="00F77B02" w:rsidRPr="00130EEF">
        <w:rPr>
          <w:color w:val="000000" w:themeColor="text1"/>
        </w:rPr>
        <w:t xml:space="preserve">) </w:t>
      </w:r>
      <w:r w:rsidR="009541DD" w:rsidRPr="00130EEF">
        <w:rPr>
          <w:color w:val="000000" w:themeColor="text1"/>
        </w:rPr>
        <w:t>decreased by 1.4-fold</w:t>
      </w:r>
      <w:r w:rsidR="0027377A" w:rsidRPr="00130EEF">
        <w:rPr>
          <w:color w:val="000000" w:themeColor="text1"/>
        </w:rPr>
        <w:t xml:space="preserve"> </w:t>
      </w:r>
      <w:r w:rsidR="00F77B02" w:rsidRPr="00130EEF">
        <w:rPr>
          <w:color w:val="000000" w:themeColor="text1"/>
        </w:rPr>
        <w:t xml:space="preserve">in the blastocysts from the Con-HFA group compared to the Con-Con group (Figure </w:t>
      </w:r>
      <w:r w:rsidR="00222243" w:rsidRPr="00130EEF">
        <w:rPr>
          <w:color w:val="000000" w:themeColor="text1"/>
        </w:rPr>
        <w:t>6</w:t>
      </w:r>
      <w:r w:rsidR="00F77B02" w:rsidRPr="00130EEF">
        <w:rPr>
          <w:color w:val="000000" w:themeColor="text1"/>
        </w:rPr>
        <w:t xml:space="preserve">A). </w:t>
      </w:r>
      <w:r w:rsidR="00F77B02" w:rsidRPr="00130EEF">
        <w:rPr>
          <w:i/>
          <w:color w:val="000000" w:themeColor="text1"/>
        </w:rPr>
        <w:t>Eed</w:t>
      </w:r>
      <w:r w:rsidR="00F77B02" w:rsidRPr="00130EEF">
        <w:rPr>
          <w:color w:val="000000" w:themeColor="text1"/>
        </w:rPr>
        <w:t xml:space="preserve"> expression </w:t>
      </w:r>
      <w:r w:rsidR="009541DD" w:rsidRPr="00130EEF">
        <w:rPr>
          <w:color w:val="000000" w:themeColor="text1"/>
        </w:rPr>
        <w:t xml:space="preserve">decreased by 1.7-fold </w:t>
      </w:r>
      <w:r w:rsidR="00F77B02" w:rsidRPr="00130EEF">
        <w:rPr>
          <w:color w:val="000000" w:themeColor="text1"/>
        </w:rPr>
        <w:t>in the HFA-</w:t>
      </w:r>
      <w:r w:rsidR="00E70005" w:rsidRPr="00130EEF">
        <w:rPr>
          <w:color w:val="000000" w:themeColor="text1"/>
        </w:rPr>
        <w:t xml:space="preserve">HFA </w:t>
      </w:r>
      <w:r w:rsidR="00F77B02" w:rsidRPr="00130EEF">
        <w:rPr>
          <w:color w:val="000000" w:themeColor="text1"/>
        </w:rPr>
        <w:t xml:space="preserve">group </w:t>
      </w:r>
      <w:r w:rsidR="00C70588" w:rsidRPr="00130EEF">
        <w:rPr>
          <w:color w:val="000000" w:themeColor="text1"/>
        </w:rPr>
        <w:t xml:space="preserve">compared to the </w:t>
      </w:r>
      <w:r w:rsidR="00F77B02" w:rsidRPr="00130EEF">
        <w:rPr>
          <w:color w:val="000000" w:themeColor="text1"/>
        </w:rPr>
        <w:t>Con-Con group (</w:t>
      </w:r>
      <w:r w:rsidR="001B5844" w:rsidRPr="00130EEF">
        <w:rPr>
          <w:i/>
          <w:color w:val="000000" w:themeColor="text1"/>
        </w:rPr>
        <w:t>p</w:t>
      </w:r>
      <w:r w:rsidR="00F77B02" w:rsidRPr="00130EEF">
        <w:rPr>
          <w:color w:val="000000" w:themeColor="text1"/>
        </w:rPr>
        <w:t xml:space="preserve"> &lt; 0.0001, Figure </w:t>
      </w:r>
      <w:r w:rsidR="00222243" w:rsidRPr="00130EEF">
        <w:rPr>
          <w:color w:val="000000" w:themeColor="text1"/>
        </w:rPr>
        <w:t>6</w:t>
      </w:r>
      <w:r w:rsidR="00F77B02" w:rsidRPr="00130EEF">
        <w:rPr>
          <w:color w:val="000000" w:themeColor="text1"/>
        </w:rPr>
        <w:t>B</w:t>
      </w:r>
      <w:r w:rsidR="00286506" w:rsidRPr="00130EEF">
        <w:rPr>
          <w:color w:val="000000" w:themeColor="text1"/>
        </w:rPr>
        <w:t>), but</w:t>
      </w:r>
      <w:r w:rsidR="00F77B02" w:rsidRPr="00130EEF">
        <w:rPr>
          <w:color w:val="000000" w:themeColor="text1"/>
        </w:rPr>
        <w:t xml:space="preserve"> there was no significant difference </w:t>
      </w:r>
      <w:r w:rsidR="000A02B3" w:rsidRPr="00130EEF">
        <w:rPr>
          <w:color w:val="000000" w:themeColor="text1"/>
        </w:rPr>
        <w:t xml:space="preserve">in </w:t>
      </w:r>
      <w:r w:rsidR="00F77B02" w:rsidRPr="00130EEF">
        <w:rPr>
          <w:i/>
          <w:color w:val="000000" w:themeColor="text1"/>
        </w:rPr>
        <w:t xml:space="preserve">Dnmt1 </w:t>
      </w:r>
      <w:r w:rsidR="00F77B02" w:rsidRPr="00130EEF">
        <w:rPr>
          <w:color w:val="000000" w:themeColor="text1"/>
        </w:rPr>
        <w:t xml:space="preserve">expression </w:t>
      </w:r>
      <w:r w:rsidR="000A02B3" w:rsidRPr="00130EEF">
        <w:rPr>
          <w:color w:val="000000" w:themeColor="text1"/>
        </w:rPr>
        <w:t xml:space="preserve">between groups </w:t>
      </w:r>
      <w:r w:rsidR="00F77B02" w:rsidRPr="00130EEF">
        <w:rPr>
          <w:color w:val="000000" w:themeColor="text1"/>
        </w:rPr>
        <w:t>(</w:t>
      </w:r>
      <w:r w:rsidR="00C033CF" w:rsidRPr="00130EEF">
        <w:rPr>
          <w:i/>
          <w:iCs/>
          <w:color w:val="000000" w:themeColor="text1"/>
        </w:rPr>
        <w:t xml:space="preserve">p </w:t>
      </w:r>
      <w:r w:rsidR="00C033CF" w:rsidRPr="00130EEF">
        <w:rPr>
          <w:color w:val="000000" w:themeColor="text1"/>
        </w:rPr>
        <w:t xml:space="preserve">= 0.17, </w:t>
      </w:r>
      <w:r w:rsidR="00F77B02" w:rsidRPr="00130EEF">
        <w:rPr>
          <w:color w:val="000000" w:themeColor="text1"/>
        </w:rPr>
        <w:t xml:space="preserve">Figure </w:t>
      </w:r>
      <w:r w:rsidR="00222243" w:rsidRPr="00130EEF">
        <w:rPr>
          <w:color w:val="000000" w:themeColor="text1"/>
        </w:rPr>
        <w:t>6</w:t>
      </w:r>
      <w:r w:rsidR="00F77B02" w:rsidRPr="00130EEF">
        <w:rPr>
          <w:color w:val="000000" w:themeColor="text1"/>
        </w:rPr>
        <w:t>C).</w:t>
      </w:r>
    </w:p>
    <w:p w14:paraId="2611601E" w14:textId="4A9A0E93" w:rsidR="002318AE" w:rsidRPr="00130EEF" w:rsidRDefault="002318AE" w:rsidP="00D41534">
      <w:pPr>
        <w:rPr>
          <w:rFonts w:eastAsia="Times New Roman"/>
          <w:b/>
          <w:color w:val="000000" w:themeColor="text1"/>
        </w:rPr>
      </w:pPr>
    </w:p>
    <w:p w14:paraId="7B84DF5B" w14:textId="21671307" w:rsidR="002318AE" w:rsidRPr="00130EEF" w:rsidRDefault="002318AE" w:rsidP="00D41534">
      <w:pPr>
        <w:rPr>
          <w:rFonts w:eastAsia="Times New Roman"/>
          <w:b/>
          <w:color w:val="000000" w:themeColor="text1"/>
        </w:rPr>
      </w:pPr>
    </w:p>
    <w:p w14:paraId="04B57318" w14:textId="77777777" w:rsidR="002318AE" w:rsidRPr="00130EEF" w:rsidRDefault="002318AE" w:rsidP="00D41534">
      <w:pPr>
        <w:rPr>
          <w:rFonts w:eastAsia="Times New Roman"/>
          <w:b/>
          <w:color w:val="000000" w:themeColor="text1"/>
        </w:rPr>
      </w:pPr>
    </w:p>
    <w:p w14:paraId="4F58D8A8" w14:textId="1EB8E085" w:rsidR="002318AE" w:rsidRPr="00130EEF" w:rsidRDefault="002318AE" w:rsidP="00D41534">
      <w:pPr>
        <w:rPr>
          <w:rFonts w:eastAsia="Times New Roman"/>
          <w:b/>
          <w:color w:val="000000" w:themeColor="text1"/>
        </w:rPr>
      </w:pPr>
    </w:p>
    <w:p w14:paraId="608B8867" w14:textId="77777777" w:rsidR="002318AE" w:rsidRPr="00130EEF" w:rsidRDefault="002318AE" w:rsidP="00D41534">
      <w:pPr>
        <w:rPr>
          <w:rFonts w:eastAsia="Times New Roman"/>
          <w:b/>
          <w:color w:val="000000" w:themeColor="text1"/>
        </w:rPr>
      </w:pPr>
    </w:p>
    <w:p w14:paraId="2EC235AF" w14:textId="710B67BA" w:rsidR="002318AE" w:rsidRPr="00130EEF" w:rsidRDefault="002318AE" w:rsidP="00D41534">
      <w:pPr>
        <w:rPr>
          <w:rFonts w:eastAsia="Times New Roman"/>
          <w:b/>
          <w:color w:val="000000" w:themeColor="text1"/>
        </w:rPr>
      </w:pPr>
    </w:p>
    <w:p w14:paraId="7F71DB85" w14:textId="128F8DE9" w:rsidR="002318AE" w:rsidRPr="00130EEF" w:rsidRDefault="002318AE" w:rsidP="00D41534">
      <w:pPr>
        <w:rPr>
          <w:rFonts w:eastAsia="Times New Roman"/>
          <w:b/>
          <w:color w:val="000000" w:themeColor="text1"/>
        </w:rPr>
      </w:pPr>
    </w:p>
    <w:p w14:paraId="0F547399" w14:textId="2B47875C" w:rsidR="002318AE" w:rsidRPr="00130EEF" w:rsidRDefault="002318AE" w:rsidP="00D41534">
      <w:pPr>
        <w:rPr>
          <w:rFonts w:eastAsia="Times New Roman"/>
          <w:b/>
          <w:color w:val="000000" w:themeColor="text1"/>
        </w:rPr>
      </w:pPr>
    </w:p>
    <w:p w14:paraId="708D0B72" w14:textId="77777777" w:rsidR="002318AE" w:rsidRPr="00130EEF" w:rsidRDefault="002318AE" w:rsidP="00D41534">
      <w:pPr>
        <w:rPr>
          <w:rFonts w:eastAsia="Times New Roman"/>
          <w:b/>
          <w:color w:val="000000" w:themeColor="text1"/>
        </w:rPr>
      </w:pPr>
    </w:p>
    <w:p w14:paraId="6F128B45" w14:textId="77777777" w:rsidR="002318AE" w:rsidRPr="00130EEF" w:rsidRDefault="002318AE" w:rsidP="00D41534">
      <w:pPr>
        <w:rPr>
          <w:rFonts w:eastAsia="Times New Roman"/>
          <w:b/>
          <w:color w:val="000000" w:themeColor="text1"/>
        </w:rPr>
      </w:pPr>
    </w:p>
    <w:p w14:paraId="22C83315" w14:textId="77777777" w:rsidR="002318AE" w:rsidRPr="00130EEF" w:rsidRDefault="002318AE" w:rsidP="00D41534">
      <w:pPr>
        <w:rPr>
          <w:rFonts w:eastAsia="Times New Roman"/>
          <w:b/>
          <w:color w:val="000000" w:themeColor="text1"/>
        </w:rPr>
      </w:pPr>
    </w:p>
    <w:p w14:paraId="54D425BC" w14:textId="77777777" w:rsidR="002318AE" w:rsidRPr="00130EEF" w:rsidRDefault="002318AE" w:rsidP="00D41534">
      <w:pPr>
        <w:rPr>
          <w:rFonts w:eastAsia="Times New Roman"/>
          <w:b/>
          <w:color w:val="000000" w:themeColor="text1"/>
        </w:rPr>
      </w:pPr>
    </w:p>
    <w:p w14:paraId="3D2D8F67" w14:textId="77777777" w:rsidR="002318AE" w:rsidRPr="00130EEF" w:rsidRDefault="002318AE" w:rsidP="00D41534">
      <w:pPr>
        <w:rPr>
          <w:rFonts w:eastAsia="Times New Roman"/>
          <w:b/>
          <w:color w:val="000000" w:themeColor="text1"/>
        </w:rPr>
      </w:pPr>
    </w:p>
    <w:p w14:paraId="6BDFAA17" w14:textId="77777777" w:rsidR="002318AE" w:rsidRPr="00130EEF" w:rsidRDefault="002318AE" w:rsidP="00D41534">
      <w:pPr>
        <w:rPr>
          <w:rFonts w:eastAsia="Times New Roman"/>
          <w:b/>
          <w:color w:val="000000" w:themeColor="text1"/>
        </w:rPr>
      </w:pPr>
    </w:p>
    <w:p w14:paraId="2A9BC0CC" w14:textId="5C483EA8" w:rsidR="002318AE" w:rsidRPr="00130EEF" w:rsidRDefault="007711F9" w:rsidP="00D41534">
      <w:pPr>
        <w:rPr>
          <w:rFonts w:eastAsia="Times New Roman"/>
          <w:b/>
          <w:color w:val="000000" w:themeColor="text1"/>
        </w:rPr>
      </w:pPr>
      <w:r w:rsidRPr="00130EEF">
        <w:rPr>
          <w:rFonts w:eastAsia="Times New Roman"/>
          <w:b/>
          <w:noProof/>
          <w:color w:val="000000" w:themeColor="text1"/>
        </w:rPr>
        <w:lastRenderedPageBreak/>
        <w:drawing>
          <wp:anchor distT="0" distB="0" distL="114300" distR="114300" simplePos="0" relativeHeight="251692032" behindDoc="0" locked="0" layoutInCell="1" allowOverlap="1" wp14:anchorId="5A989C74" wp14:editId="35BE2EF8">
            <wp:simplePos x="0" y="0"/>
            <wp:positionH relativeFrom="column">
              <wp:posOffset>0</wp:posOffset>
            </wp:positionH>
            <wp:positionV relativeFrom="paragraph">
              <wp:posOffset>0</wp:posOffset>
            </wp:positionV>
            <wp:extent cx="5727700" cy="4251325"/>
            <wp:effectExtent l="0" t="0" r="0" b="3175"/>
            <wp:wrapSquare wrapText="bothSides"/>
            <wp:docPr id="19" name="Imagen 1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pi Emb.jpg"/>
                    <pic:cNvPicPr/>
                  </pic:nvPicPr>
                  <pic:blipFill>
                    <a:blip r:embed="rId16"/>
                    <a:stretch>
                      <a:fillRect/>
                    </a:stretch>
                  </pic:blipFill>
                  <pic:spPr>
                    <a:xfrm>
                      <a:off x="0" y="0"/>
                      <a:ext cx="5727700" cy="4251325"/>
                    </a:xfrm>
                    <a:prstGeom prst="rect">
                      <a:avLst/>
                    </a:prstGeom>
                  </pic:spPr>
                </pic:pic>
              </a:graphicData>
            </a:graphic>
            <wp14:sizeRelH relativeFrom="page">
              <wp14:pctWidth>0</wp14:pctWidth>
            </wp14:sizeRelH>
            <wp14:sizeRelV relativeFrom="page">
              <wp14:pctHeight>0</wp14:pctHeight>
            </wp14:sizeRelV>
          </wp:anchor>
        </w:drawing>
      </w:r>
    </w:p>
    <w:p w14:paraId="74BC179F" w14:textId="111EBA23" w:rsidR="004656FE" w:rsidRPr="00130EEF" w:rsidRDefault="00D41534" w:rsidP="00D41534">
      <w:pPr>
        <w:rPr>
          <w:rFonts w:eastAsia="Times New Roman"/>
          <w:color w:val="000000" w:themeColor="text1"/>
        </w:rPr>
      </w:pPr>
      <w:r w:rsidRPr="00130EEF">
        <w:rPr>
          <w:rFonts w:eastAsia="Times New Roman"/>
          <w:b/>
          <w:color w:val="000000" w:themeColor="text1"/>
        </w:rPr>
        <w:t>Figure 6</w:t>
      </w:r>
      <w:r w:rsidRPr="00130EEF">
        <w:rPr>
          <w:rFonts w:eastAsia="Times New Roman"/>
          <w:color w:val="000000" w:themeColor="text1"/>
        </w:rPr>
        <w:t xml:space="preserve"> | mRNA expression of (</w:t>
      </w:r>
      <w:r w:rsidRPr="00130EEF">
        <w:rPr>
          <w:rFonts w:eastAsia="Times New Roman"/>
          <w:b/>
          <w:bCs/>
          <w:color w:val="000000" w:themeColor="text1"/>
        </w:rPr>
        <w:t>A</w:t>
      </w:r>
      <w:r w:rsidRPr="00130EEF">
        <w:rPr>
          <w:rFonts w:eastAsia="Times New Roman"/>
          <w:color w:val="000000" w:themeColor="text1"/>
        </w:rPr>
        <w:t xml:space="preserve">) </w:t>
      </w:r>
      <w:r w:rsidRPr="00130EEF">
        <w:rPr>
          <w:rFonts w:eastAsia="Times New Roman"/>
          <w:i/>
          <w:color w:val="000000" w:themeColor="text1"/>
        </w:rPr>
        <w:t>Ezh2</w:t>
      </w:r>
      <w:r w:rsidRPr="00130EEF">
        <w:rPr>
          <w:rFonts w:eastAsia="Times New Roman"/>
          <w:color w:val="000000" w:themeColor="text1"/>
        </w:rPr>
        <w:t>, (</w:t>
      </w:r>
      <w:r w:rsidRPr="00130EEF">
        <w:rPr>
          <w:rFonts w:eastAsia="Times New Roman"/>
          <w:b/>
          <w:bCs/>
          <w:color w:val="000000" w:themeColor="text1"/>
        </w:rPr>
        <w:t>B</w:t>
      </w:r>
      <w:r w:rsidRPr="00130EEF">
        <w:rPr>
          <w:rFonts w:eastAsia="Times New Roman"/>
          <w:color w:val="000000" w:themeColor="text1"/>
        </w:rPr>
        <w:t xml:space="preserve">) </w:t>
      </w:r>
      <w:r w:rsidRPr="00130EEF">
        <w:rPr>
          <w:rFonts w:eastAsia="Times New Roman"/>
          <w:i/>
          <w:color w:val="000000" w:themeColor="text1"/>
        </w:rPr>
        <w:t>Eed</w:t>
      </w:r>
      <w:r w:rsidRPr="00130EEF">
        <w:rPr>
          <w:rFonts w:eastAsia="Times New Roman"/>
          <w:color w:val="000000" w:themeColor="text1"/>
        </w:rPr>
        <w:t>, and (</w:t>
      </w:r>
      <w:r w:rsidRPr="00130EEF">
        <w:rPr>
          <w:rFonts w:eastAsia="Times New Roman"/>
          <w:b/>
          <w:bCs/>
          <w:color w:val="000000" w:themeColor="text1"/>
        </w:rPr>
        <w:t>C</w:t>
      </w:r>
      <w:r w:rsidRPr="00130EEF">
        <w:rPr>
          <w:rFonts w:eastAsia="Times New Roman"/>
          <w:color w:val="000000" w:themeColor="text1"/>
        </w:rPr>
        <w:t xml:space="preserve">) </w:t>
      </w:r>
      <w:r w:rsidRPr="00130EEF">
        <w:rPr>
          <w:rFonts w:eastAsia="Times New Roman"/>
          <w:i/>
          <w:color w:val="000000" w:themeColor="text1"/>
        </w:rPr>
        <w:t>Dnmt1</w:t>
      </w:r>
      <w:r w:rsidRPr="00130EEF">
        <w:rPr>
          <w:rFonts w:eastAsia="Times New Roman"/>
          <w:color w:val="000000" w:themeColor="text1"/>
        </w:rPr>
        <w:t xml:space="preserve"> in male mid</w:t>
      </w:r>
      <w:r w:rsidR="00344A23" w:rsidRPr="00130EEF">
        <w:rPr>
          <w:rFonts w:eastAsia="Times New Roman"/>
          <w:color w:val="000000" w:themeColor="text1"/>
        </w:rPr>
        <w:t>-expanded</w:t>
      </w:r>
      <w:r w:rsidRPr="00130EEF">
        <w:rPr>
          <w:rFonts w:eastAsia="Times New Roman"/>
          <w:color w:val="000000" w:themeColor="text1"/>
        </w:rPr>
        <w:t xml:space="preserve"> blastocyst</w:t>
      </w:r>
      <w:r w:rsidR="00344A23" w:rsidRPr="00130EEF">
        <w:rPr>
          <w:rFonts w:eastAsia="Times New Roman"/>
          <w:color w:val="000000" w:themeColor="text1"/>
        </w:rPr>
        <w:t>s</w:t>
      </w:r>
      <w:r w:rsidRPr="00130EEF">
        <w:rPr>
          <w:rFonts w:eastAsia="Times New Roman"/>
          <w:color w:val="000000" w:themeColor="text1"/>
        </w:rPr>
        <w:t xml:space="preserve">. </w:t>
      </w:r>
      <w:r w:rsidR="0077796A" w:rsidRPr="00130EEF">
        <w:rPr>
          <w:rFonts w:eastAsia="Times New Roman"/>
          <w:color w:val="000000" w:themeColor="text1"/>
        </w:rPr>
        <w:t>Data was analysed</w:t>
      </w:r>
      <w:r w:rsidR="007711F9" w:rsidRPr="00130EEF">
        <w:rPr>
          <w:rFonts w:eastAsia="Times New Roman"/>
          <w:color w:val="000000" w:themeColor="text1"/>
        </w:rPr>
        <w:t xml:space="preserve"> by ANOVA with Bonferroni correction for multiple comparisons</w:t>
      </w:r>
      <w:r w:rsidR="009173C9" w:rsidRPr="00130EEF">
        <w:rPr>
          <w:rFonts w:eastAsia="Times New Roman"/>
          <w:color w:val="000000" w:themeColor="text1"/>
        </w:rPr>
        <w:t>, adjusted p values are showed in the graph</w:t>
      </w:r>
      <w:r w:rsidRPr="00130EEF">
        <w:rPr>
          <w:rFonts w:eastAsia="Times New Roman"/>
          <w:color w:val="000000" w:themeColor="text1"/>
        </w:rPr>
        <w:t xml:space="preserve">. Data expressed as mean ± SEM. </w:t>
      </w:r>
      <w:r w:rsidRPr="00130EEF">
        <w:rPr>
          <w:rFonts w:eastAsia="Times New Roman"/>
          <w:i/>
          <w:iCs/>
          <w:color w:val="000000" w:themeColor="text1"/>
        </w:rPr>
        <w:t>n</w:t>
      </w:r>
      <w:r w:rsidRPr="00130EEF">
        <w:rPr>
          <w:rFonts w:eastAsia="Times New Roman"/>
          <w:color w:val="000000" w:themeColor="text1"/>
        </w:rPr>
        <w:t xml:space="preserve"> =10 </w:t>
      </w:r>
      <w:r w:rsidR="00D679C7" w:rsidRPr="00130EEF">
        <w:rPr>
          <w:rFonts w:eastAsia="Times New Roman"/>
          <w:color w:val="000000" w:themeColor="text1"/>
        </w:rPr>
        <w:t xml:space="preserve">blastocyst </w:t>
      </w:r>
      <w:r w:rsidRPr="00130EEF">
        <w:rPr>
          <w:rFonts w:eastAsia="Times New Roman"/>
          <w:color w:val="000000" w:themeColor="text1"/>
        </w:rPr>
        <w:t>per group</w:t>
      </w:r>
      <w:r w:rsidR="003C1DEE" w:rsidRPr="00130EEF">
        <w:rPr>
          <w:rFonts w:eastAsia="Times New Roman"/>
          <w:color w:val="000000" w:themeColor="text1"/>
        </w:rPr>
        <w:t>, one male blastocyst per</w:t>
      </w:r>
      <w:r w:rsidR="00D679C7" w:rsidRPr="00130EEF">
        <w:rPr>
          <w:rFonts w:eastAsia="Times New Roman"/>
          <w:color w:val="000000" w:themeColor="text1"/>
        </w:rPr>
        <w:t xml:space="preserve"> dam</w:t>
      </w:r>
      <w:r w:rsidRPr="00130EEF">
        <w:rPr>
          <w:rFonts w:eastAsia="Times New Roman"/>
          <w:color w:val="000000" w:themeColor="text1"/>
        </w:rPr>
        <w:t xml:space="preserve">. </w:t>
      </w:r>
    </w:p>
    <w:p w14:paraId="2B3E1E7B" w14:textId="77777777" w:rsidR="005B7D43" w:rsidRPr="00130EEF" w:rsidRDefault="005B7D43" w:rsidP="00DF3083">
      <w:pPr>
        <w:spacing w:line="480" w:lineRule="auto"/>
        <w:rPr>
          <w:color w:val="000000" w:themeColor="text1"/>
        </w:rPr>
      </w:pPr>
    </w:p>
    <w:p w14:paraId="53EC6444" w14:textId="45FE2430" w:rsidR="00903934" w:rsidRPr="00130EEF" w:rsidRDefault="4C47AB05" w:rsidP="007364D4">
      <w:pPr>
        <w:pStyle w:val="Heading1"/>
        <w:rPr>
          <w:color w:val="000000" w:themeColor="text1"/>
        </w:rPr>
      </w:pPr>
      <w:r w:rsidRPr="00130EEF">
        <w:rPr>
          <w:color w:val="000000" w:themeColor="text1"/>
        </w:rPr>
        <w:t>Discussion</w:t>
      </w:r>
    </w:p>
    <w:p w14:paraId="1A49AB3B" w14:textId="77777777" w:rsidR="00100C40" w:rsidRPr="00130EEF" w:rsidRDefault="00100C40" w:rsidP="00100C40">
      <w:pPr>
        <w:rPr>
          <w:color w:val="000000" w:themeColor="text1"/>
        </w:rPr>
      </w:pPr>
    </w:p>
    <w:p w14:paraId="15DCBB8A" w14:textId="25987844" w:rsidR="00222243" w:rsidRPr="00130EEF" w:rsidRDefault="00FD5B74" w:rsidP="00222243">
      <w:pPr>
        <w:spacing w:line="480" w:lineRule="auto"/>
        <w:ind w:firstLine="720"/>
        <w:rPr>
          <w:color w:val="000000" w:themeColor="text1"/>
        </w:rPr>
      </w:pPr>
      <w:r w:rsidRPr="00130EEF">
        <w:rPr>
          <w:color w:val="000000" w:themeColor="text1"/>
        </w:rPr>
        <w:t>H</w:t>
      </w:r>
      <w:r w:rsidR="00336BBE" w:rsidRPr="00130EEF">
        <w:rPr>
          <w:color w:val="000000" w:themeColor="text1"/>
        </w:rPr>
        <w:t>ere</w:t>
      </w:r>
      <w:r w:rsidRPr="00130EEF">
        <w:rPr>
          <w:color w:val="000000" w:themeColor="text1"/>
        </w:rPr>
        <w:t xml:space="preserve"> we</w:t>
      </w:r>
      <w:r w:rsidR="00336BBE" w:rsidRPr="00130EEF">
        <w:rPr>
          <w:color w:val="000000" w:themeColor="text1"/>
        </w:rPr>
        <w:t xml:space="preserve"> </w:t>
      </w:r>
      <w:r w:rsidR="00A2439C" w:rsidRPr="00130EEF">
        <w:rPr>
          <w:color w:val="000000" w:themeColor="text1"/>
        </w:rPr>
        <w:t xml:space="preserve">have </w:t>
      </w:r>
      <w:r w:rsidR="00336BBE" w:rsidRPr="00130EEF">
        <w:rPr>
          <w:color w:val="000000" w:themeColor="text1"/>
        </w:rPr>
        <w:t>show</w:t>
      </w:r>
      <w:r w:rsidR="00A2439C" w:rsidRPr="00130EEF">
        <w:rPr>
          <w:color w:val="000000" w:themeColor="text1"/>
        </w:rPr>
        <w:t>n</w:t>
      </w:r>
      <w:r w:rsidR="00CC09DA" w:rsidRPr="00130EEF">
        <w:rPr>
          <w:color w:val="000000" w:themeColor="text1"/>
        </w:rPr>
        <w:t xml:space="preserve"> </w:t>
      </w:r>
      <w:r w:rsidR="00336BBE" w:rsidRPr="00130EEF">
        <w:rPr>
          <w:color w:val="000000" w:themeColor="text1"/>
        </w:rPr>
        <w:t xml:space="preserve">that </w:t>
      </w:r>
      <w:r w:rsidR="00590204" w:rsidRPr="00130EEF">
        <w:rPr>
          <w:color w:val="000000" w:themeColor="text1"/>
        </w:rPr>
        <w:t>increased</w:t>
      </w:r>
      <w:r w:rsidR="00A2439C" w:rsidRPr="00130EEF">
        <w:rPr>
          <w:color w:val="000000" w:themeColor="text1"/>
        </w:rPr>
        <w:t xml:space="preserve"> maternal</w:t>
      </w:r>
      <w:r w:rsidR="00590204" w:rsidRPr="00130EEF">
        <w:rPr>
          <w:color w:val="000000" w:themeColor="text1"/>
        </w:rPr>
        <w:t xml:space="preserve"> FA intake</w:t>
      </w:r>
      <w:r w:rsidR="00A2439C" w:rsidRPr="00130EEF">
        <w:rPr>
          <w:color w:val="000000" w:themeColor="text1"/>
        </w:rPr>
        <w:t xml:space="preserve"> during</w:t>
      </w:r>
      <w:r w:rsidR="00EB082E" w:rsidRPr="00130EEF">
        <w:rPr>
          <w:color w:val="000000" w:themeColor="text1"/>
        </w:rPr>
        <w:t xml:space="preserve"> </w:t>
      </w:r>
      <w:r w:rsidR="00A2439C" w:rsidRPr="00130EEF">
        <w:rPr>
          <w:color w:val="000000" w:themeColor="text1"/>
        </w:rPr>
        <w:t xml:space="preserve">mouse </w:t>
      </w:r>
      <w:r w:rsidR="00F84D95" w:rsidRPr="00130EEF">
        <w:rPr>
          <w:color w:val="000000" w:themeColor="text1"/>
        </w:rPr>
        <w:t>preconception</w:t>
      </w:r>
      <w:r w:rsidR="00A3461D" w:rsidRPr="00130EEF">
        <w:rPr>
          <w:color w:val="000000" w:themeColor="text1"/>
        </w:rPr>
        <w:t xml:space="preserve"> </w:t>
      </w:r>
      <w:r w:rsidR="00B70079" w:rsidRPr="00130EEF">
        <w:rPr>
          <w:color w:val="000000" w:themeColor="text1"/>
        </w:rPr>
        <w:t xml:space="preserve">and </w:t>
      </w:r>
      <w:r w:rsidR="00F84D95" w:rsidRPr="00130EEF">
        <w:rPr>
          <w:color w:val="000000" w:themeColor="text1"/>
        </w:rPr>
        <w:t>preimplantation</w:t>
      </w:r>
      <w:r w:rsidR="00EB082E" w:rsidRPr="00130EEF">
        <w:rPr>
          <w:color w:val="000000" w:themeColor="text1"/>
        </w:rPr>
        <w:t xml:space="preserve"> period</w:t>
      </w:r>
      <w:r w:rsidR="00336BBE" w:rsidRPr="00130EEF">
        <w:rPr>
          <w:color w:val="000000" w:themeColor="text1"/>
        </w:rPr>
        <w:t xml:space="preserve"> </w:t>
      </w:r>
      <w:r w:rsidR="00A2439C" w:rsidRPr="00130EEF">
        <w:rPr>
          <w:color w:val="000000" w:themeColor="text1"/>
        </w:rPr>
        <w:t xml:space="preserve">alters early embryo development by </w:t>
      </w:r>
      <w:r w:rsidR="00B70079" w:rsidRPr="00130EEF">
        <w:rPr>
          <w:color w:val="000000" w:themeColor="text1"/>
        </w:rPr>
        <w:t>reduc</w:t>
      </w:r>
      <w:r w:rsidR="00A2439C" w:rsidRPr="00130EEF">
        <w:rPr>
          <w:color w:val="000000" w:themeColor="text1"/>
        </w:rPr>
        <w:t>ing</w:t>
      </w:r>
      <w:r w:rsidR="00B70079" w:rsidRPr="00130EEF">
        <w:rPr>
          <w:color w:val="000000" w:themeColor="text1"/>
        </w:rPr>
        <w:t xml:space="preserve"> the number </w:t>
      </w:r>
      <w:r w:rsidR="00A2439C" w:rsidRPr="00130EEF">
        <w:rPr>
          <w:color w:val="000000" w:themeColor="text1"/>
        </w:rPr>
        <w:t xml:space="preserve">and proportion of </w:t>
      </w:r>
      <w:r w:rsidR="00B70079" w:rsidRPr="00130EEF">
        <w:rPr>
          <w:color w:val="000000" w:themeColor="text1"/>
        </w:rPr>
        <w:t xml:space="preserve">TE cells within the blastocyst and </w:t>
      </w:r>
      <w:r w:rsidR="00A2439C" w:rsidRPr="00130EEF">
        <w:rPr>
          <w:color w:val="000000" w:themeColor="text1"/>
        </w:rPr>
        <w:t>reducing</w:t>
      </w:r>
      <w:r w:rsidR="005B2370" w:rsidRPr="00130EEF">
        <w:rPr>
          <w:color w:val="000000" w:themeColor="text1"/>
        </w:rPr>
        <w:t xml:space="preserve"> </w:t>
      </w:r>
      <w:r w:rsidR="00B70079" w:rsidRPr="00130EEF">
        <w:rPr>
          <w:color w:val="000000" w:themeColor="text1"/>
        </w:rPr>
        <w:t xml:space="preserve">the </w:t>
      </w:r>
      <w:r w:rsidR="00590204" w:rsidRPr="00130EEF">
        <w:rPr>
          <w:color w:val="000000" w:themeColor="text1"/>
        </w:rPr>
        <w:t>expression</w:t>
      </w:r>
      <w:r w:rsidR="00A2439C" w:rsidRPr="00130EEF">
        <w:rPr>
          <w:color w:val="000000" w:themeColor="text1"/>
        </w:rPr>
        <w:t xml:space="preserve"> level</w:t>
      </w:r>
      <w:r w:rsidR="00590204" w:rsidRPr="00130EEF">
        <w:rPr>
          <w:color w:val="000000" w:themeColor="text1"/>
        </w:rPr>
        <w:t xml:space="preserve"> of</w:t>
      </w:r>
      <w:r w:rsidR="00590204" w:rsidRPr="00130EEF">
        <w:rPr>
          <w:i/>
          <w:iCs/>
          <w:color w:val="000000" w:themeColor="text1"/>
        </w:rPr>
        <w:t xml:space="preserve"> </w:t>
      </w:r>
      <w:r w:rsidR="00A2439C" w:rsidRPr="00130EEF">
        <w:rPr>
          <w:color w:val="000000" w:themeColor="text1"/>
        </w:rPr>
        <w:t xml:space="preserve">regulatory genes coordinating lineage diversification and epigenetic </w:t>
      </w:r>
      <w:r w:rsidR="006E3230" w:rsidRPr="00130EEF">
        <w:rPr>
          <w:color w:val="000000" w:themeColor="text1"/>
        </w:rPr>
        <w:t>reorganisation</w:t>
      </w:r>
      <w:r w:rsidR="00A2439C" w:rsidRPr="00130EEF">
        <w:rPr>
          <w:color w:val="000000" w:themeColor="text1"/>
        </w:rPr>
        <w:t xml:space="preserve"> of the genome.  </w:t>
      </w:r>
    </w:p>
    <w:p w14:paraId="76C710A2" w14:textId="77777777" w:rsidR="00C34EE3" w:rsidRPr="00130EEF" w:rsidRDefault="00C34EE3" w:rsidP="00222243">
      <w:pPr>
        <w:spacing w:line="480" w:lineRule="auto"/>
        <w:ind w:firstLine="720"/>
        <w:rPr>
          <w:color w:val="000000" w:themeColor="text1"/>
        </w:rPr>
      </w:pPr>
    </w:p>
    <w:p w14:paraId="3AC0DE03" w14:textId="0243E84B" w:rsidR="00FF0919" w:rsidRPr="00130EEF" w:rsidRDefault="00FF0919" w:rsidP="00F032A7">
      <w:pPr>
        <w:spacing w:line="480" w:lineRule="auto"/>
        <w:rPr>
          <w:color w:val="000000" w:themeColor="text1"/>
          <w:shd w:val="clear" w:color="auto" w:fill="FFFFFF"/>
        </w:rPr>
      </w:pPr>
      <w:r w:rsidRPr="00130EEF">
        <w:rPr>
          <w:color w:val="000000" w:themeColor="text1"/>
        </w:rPr>
        <w:lastRenderedPageBreak/>
        <w:t xml:space="preserve">Increasing FA intake for 4 weeks preconception </w:t>
      </w:r>
      <w:r w:rsidRPr="00130EEF">
        <w:rPr>
          <w:color w:val="000000" w:themeColor="text1"/>
          <w:shd w:val="clear" w:color="auto" w:fill="FFFFFF"/>
        </w:rPr>
        <w:t xml:space="preserve">increased the concentrations of </w:t>
      </w:r>
      <w:proofErr w:type="spellStart"/>
      <w:r w:rsidRPr="00130EEF">
        <w:rPr>
          <w:color w:val="000000" w:themeColor="text1"/>
          <w:shd w:val="clear" w:color="auto" w:fill="FFFFFF"/>
        </w:rPr>
        <w:t>unmetabolised</w:t>
      </w:r>
      <w:proofErr w:type="spellEnd"/>
      <w:r w:rsidRPr="00130EEF">
        <w:rPr>
          <w:color w:val="000000" w:themeColor="text1"/>
          <w:shd w:val="clear" w:color="auto" w:fill="FFFFFF"/>
        </w:rPr>
        <w:t xml:space="preserve"> FA</w:t>
      </w:r>
      <w:r w:rsidR="00860FF5" w:rsidRPr="00130EEF">
        <w:rPr>
          <w:color w:val="000000" w:themeColor="text1"/>
          <w:shd w:val="clear" w:color="auto" w:fill="FFFFFF"/>
        </w:rPr>
        <w:t>,</w:t>
      </w:r>
      <w:r w:rsidRPr="00130EEF">
        <w:rPr>
          <w:color w:val="000000" w:themeColor="text1"/>
          <w:shd w:val="clear" w:color="auto" w:fill="FFFFFF"/>
        </w:rPr>
        <w:t xml:space="preserve"> </w:t>
      </w:r>
      <w:proofErr w:type="spellStart"/>
      <w:r w:rsidRPr="00130EEF">
        <w:rPr>
          <w:color w:val="000000" w:themeColor="text1"/>
          <w:shd w:val="clear" w:color="auto" w:fill="FFFFFF"/>
        </w:rPr>
        <w:t>mTHF</w:t>
      </w:r>
      <w:proofErr w:type="spellEnd"/>
      <w:r w:rsidRPr="00130EEF">
        <w:rPr>
          <w:color w:val="000000" w:themeColor="text1"/>
          <w:shd w:val="clear" w:color="auto" w:fill="FFFFFF"/>
        </w:rPr>
        <w:t xml:space="preserve">, and the level of a major catabolite; </w:t>
      </w:r>
      <w:proofErr w:type="spellStart"/>
      <w:r w:rsidRPr="00130EEF">
        <w:rPr>
          <w:color w:val="000000" w:themeColor="text1"/>
          <w:shd w:val="clear" w:color="auto" w:fill="FFFFFF"/>
        </w:rPr>
        <w:t>pABG</w:t>
      </w:r>
      <w:proofErr w:type="spellEnd"/>
      <w:r w:rsidRPr="00130EEF">
        <w:rPr>
          <w:color w:val="000000" w:themeColor="text1"/>
          <w:shd w:val="clear" w:color="auto" w:fill="FFFFFF"/>
        </w:rPr>
        <w:t xml:space="preserve">. </w:t>
      </w:r>
      <w:r w:rsidRPr="00130EEF">
        <w:rPr>
          <w:color w:val="000000" w:themeColor="text1"/>
        </w:rPr>
        <w:t xml:space="preserve">In humans, FA supplementation has been associated with the presence of </w:t>
      </w:r>
      <w:proofErr w:type="spellStart"/>
      <w:r w:rsidRPr="00130EEF">
        <w:rPr>
          <w:color w:val="000000" w:themeColor="text1"/>
        </w:rPr>
        <w:t>unmetabolised</w:t>
      </w:r>
      <w:proofErr w:type="spellEnd"/>
      <w:r w:rsidRPr="00130EEF">
        <w:rPr>
          <w:color w:val="000000" w:themeColor="text1"/>
        </w:rPr>
        <w:t xml:space="preserve"> FA in plasma </w:t>
      </w:r>
      <w:r w:rsidRPr="00130EEF">
        <w:rPr>
          <w:color w:val="000000" w:themeColor="text1"/>
        </w:rPr>
        <w:fldChar w:fldCharType="begin" w:fldLock="1"/>
      </w:r>
      <w:r w:rsidRPr="00130EEF">
        <w:rPr>
          <w:color w:val="000000" w:themeColor="text1"/>
        </w:rPr>
        <w:instrText>ADDIN CSL_CITATION {"citationItems":[{"id":"ITEM-1","itemData":{"DOI":"10.3945/jn.114.201210","ISSN":"1541-6100","PMID":"25733468","abstract":"BACKGROUND: Serum total folate consists mainly of 5-methyltetrahydrofolate (5-methylTHF). Unmetabolized folic acid (UMFA) may occur in persons consuming folic acid-fortified foods or supplements.\\n\\nOBJECTIVES: We describe serum 5-methylTHF and UMFA concentrations in the US population ≥1 y of age by demographic variables and fasting time, stratified by folic acid-containing dietary supplement use. We also evaluate factors associated with UMFA concentrations &gt;1 nmol/L.\\n\\nMETHODS: Serum samples from the cross-sectional NHANES 2007-2008 were measured for 5-methylTHF (n = 2734) and UMFA (n = 2707) by HPLC-tandem mass spectrometry.\\n\\nRESULTS: In supplement users compared with nonusers, we found significantly higher geometric mean concentrations of 5-methylTHF (48.4 and 30.7 nmol/L, respectively) and UMFA (1.54 and 0.794 nmol/L, respectively). UMFA concentrations were detectable (&gt;0.3 nmol/L) in &gt;95% of supplement users and nonusers, regardless of demographic or fasting characteristics; concentrations differed significantly by age and fasting time, but not by sex and race-ethnicity, both in supplement users and nonusers. The prevalence of UMFA concentrations &gt;1 nmol/L was 33.2% overall and 21.0% in fasting (≥8 h) adults (≥20 y of age). Using multiple logistic regression analysis, UMFA concentrations &gt;1 nmol/L were associated with being older, non-Hispanic black, nonfasting (&lt;8 h), having smaller body surface area, higher total folic acid intake (diet and supplements), and higher red blood cell folate concentrations. In fasting adults, a decrease in the mean daily alcohol consumption was also associated with increased odds of UMFA concentrations &gt;1 nmol/L.\\n\\nCONCLUSIONS: UMFA detection was nearly ubiquitous, and concentrations &gt;1 nmol/L were largely but not entirely explained by fasting status and by total folic acid intake from diet and supplements. These new UMFA data in US persons ≥1 y of age provide much-needed information on this vitamer in a fortified population with relatively high use of dietary supplements.","author":[{"dropping-particle":"","family":"Pfeiffer","given":"Christine M","non-dropping-particle":"","parse-names":false,"suffix":""},{"dropping-particle":"","family":"Sternberg","given":"Maya R","non-dropping-particle":"","parse-names":false,"suffix":""},{"dropping-particle":"","family":"Fazili","given":"Zia","non-dropping-particle":"","parse-names":false,"suffix":""},{"dropping-particle":"","family":"Yetley","given":"Elizabeth A","non-dropping-particle":"","parse-names":false,"suffix":""},{"dropping-particle":"","family":"Lacher","given":"David A","non-dropping-particle":"","parse-names":false,"suffix":""},{"dropping-particle":"","family":"Bailey","given":"Regan L","non-dropping-particle":"","parse-names":false,"suffix":""},{"dropping-particle":"","family":"Johnson","given":"Clifford L","non-dropping-particle":"","parse-names":false,"suffix":""}],"container-title":"The Journal of nutrition","id":"ITEM-1","issue":"3","issued":{"date-parts":[["2015"]]},"page":"520-31","title":"Unmetabolized folic acid is detected in nearly all serum samples from US children, adolescents, and adults.","type":"article-journal","volume":"145"},"uris":["http://www.mendeley.com/documents/?uuid=0d113762-dbd5-46c5-b5dd-6960bc8c0b0a"]},{"id":"ITEM-2","itemData":{"DOI":"10.1155/2012/485179","ISSN":"1687-9589","PMID":"22529856","abstract":"There are increasing concerns that exposure to unmetabolized folic acid, which results from folic acid intakes that overwhelm the liver's metabolic capacity, may be associated with adverse effects. In this paper, we examined the folic acid status of women of reproductive age in relation to dietary intake and the effect of folic acid supplementation (1.1 mg or 5 mg). Plasma unmetabolized folic acid was not significantly correlated with folate intake estimated by food frequency questionnaire or biomarkers. The proportion of women with detectable levels of unmetabolized folic acid increased from 65% to 100% after twelve weeks of supplementation ( P &lt; 0.05 ); however, the increase in concentrations did not reach statistical significance and the effect was not sustained. Moreover, there were no significant differences between the two doses. This suggests that there are mechanisms by which the body adapts to high folic acid intakes to limit exposure to unmetabolized folic acid.","author":[{"dropping-particle":"","family":"Tam","given":"Carolyn","non-dropping-particle":"","parse-names":false,"suffix":""},{"dropping-particle":"","family":"O'Connor","given":"Deborah","non-dropping-particle":"","parse-names":false,"suffix":""},{"dropping-particle":"","family":"Koren","given":"Gideon","non-dropping-particle":"","parse-names":false,"suffix":""}],"container-title":"Obstetrics and Gynecology International","id":"ITEM-2","issued":{"date-parts":[["2012","1"]]},"page":"1-17","title":"Circulating Unmetabolized Folic Acid: Relationship to Folate Status and Effect of Supplementation","type":"article-journal","volume":"2012"},"uris":["http://www.mendeley.com/documents/?uuid=89ba6623-2e33-4976-8088-1330a3533f1a"]}],"mendeley":{"formattedCitation":"(Pfeiffer et al., 2015; Tam, O’Connor, &amp; Koren, 2012)","plainTextFormattedCitation":"(Pfeiffer et al., 2015; Tam, O’Connor, &amp; Koren, 2012)","previouslyFormattedCitation":"(Pfeiffer et al., 2015; Tam, O’Connor, &amp; Koren, 2012)"},"properties":{"noteIndex":0},"schema":"https://github.com/citation-style-language/schema/raw/master/csl-citation.json"}</w:instrText>
      </w:r>
      <w:r w:rsidRPr="00130EEF">
        <w:rPr>
          <w:color w:val="000000" w:themeColor="text1"/>
        </w:rPr>
        <w:fldChar w:fldCharType="separate"/>
      </w:r>
      <w:r w:rsidRPr="00130EEF">
        <w:rPr>
          <w:noProof/>
          <w:color w:val="000000" w:themeColor="text1"/>
        </w:rPr>
        <w:t>(Pfeiffer et al., 2015; Tam, O’Connor, &amp; Koren, 2012)</w:t>
      </w:r>
      <w:r w:rsidRPr="00130EEF">
        <w:rPr>
          <w:color w:val="000000" w:themeColor="text1"/>
        </w:rPr>
        <w:fldChar w:fldCharType="end"/>
      </w:r>
      <w:r w:rsidRPr="00130EEF">
        <w:rPr>
          <w:color w:val="000000" w:themeColor="text1"/>
        </w:rPr>
        <w:t xml:space="preserve">, which has been suggested to occur as a result of saturating the </w:t>
      </w:r>
      <w:r w:rsidRPr="00130EEF">
        <w:rPr>
          <w:rFonts w:eastAsia="Times New Roman"/>
          <w:color w:val="000000" w:themeColor="text1"/>
          <w:shd w:val="clear" w:color="auto" w:fill="FFFFFF"/>
        </w:rPr>
        <w:t xml:space="preserve">capacity for reduction of FA to </w:t>
      </w:r>
      <w:proofErr w:type="spellStart"/>
      <w:r w:rsidRPr="00130EEF">
        <w:rPr>
          <w:rFonts w:eastAsia="Times New Roman"/>
          <w:color w:val="000000" w:themeColor="text1"/>
          <w:shd w:val="clear" w:color="auto" w:fill="FFFFFF"/>
        </w:rPr>
        <w:t>mTHF</w:t>
      </w:r>
      <w:proofErr w:type="spellEnd"/>
      <w:r w:rsidRPr="00130EEF">
        <w:rPr>
          <w:rFonts w:eastAsia="Times New Roman"/>
          <w:color w:val="000000" w:themeColor="text1"/>
          <w:shd w:val="clear" w:color="auto" w:fill="FFFFFF"/>
        </w:rPr>
        <w:t xml:space="preserve"> in the gut </w:t>
      </w:r>
      <w:r w:rsidRPr="00130EEF">
        <w:rPr>
          <w:rFonts w:eastAsia="Times New Roman"/>
          <w:color w:val="000000" w:themeColor="text1"/>
          <w:shd w:val="clear" w:color="auto" w:fill="FFFFFF"/>
        </w:rPr>
        <w:fldChar w:fldCharType="begin" w:fldLock="1"/>
      </w:r>
      <w:r w:rsidRPr="00130EEF">
        <w:rPr>
          <w:rFonts w:eastAsia="Times New Roman"/>
          <w:color w:val="000000" w:themeColor="text1"/>
          <w:shd w:val="clear" w:color="auto" w:fill="FFFFFF"/>
        </w:rPr>
        <w:instrText>ADDIN CSL_CITATION {"citationItems":[{"id":"ITEM-1","itemData":{"DOI":"10.3945/ajcn.113.080507","ISSN":"0002-9165","PMID":"24944062","author":[{"dropping-particle":"","family":"Patanwala","given":"Imran","non-dropping-particle":"","parse-names":false,"suffix":""},{"dropping-particle":"","family":"King","given":"Maria J","non-dropping-particle":"","parse-names":false,"suffix":""},{"dropping-particle":"","family":"Barrett","given":"David a","non-dropping-particle":"","parse-names":false,"suffix":""},{"dropping-particle":"","family":"Rose","given":"John","non-dropping-particle":"","parse-names":false,"suffix":""},{"dropping-particle":"","family":"Jackson","given":"Ralph","non-dropping-particle":"","parse-names":false,"suffix":""},{"dropping-particle":"","family":"Hudson","given":"Mark","non-dropping-particle":"","parse-names":false,"suffix":""},{"dropping-particle":"","family":"Philo","given":"Mark","non-dropping-particle":"","parse-names":false,"suffix":""},{"dropping-particle":"","family":"Dainty","given":"Jack R","non-dropping-particle":"","parse-names":false,"suffix":""},{"dropping-particle":"","family":"Wright","given":"Anthony JA","non-dropping-particle":"","parse-names":false,"suffix":""},{"dropping-particle":"","family":"Finglas","given":"Paul M","non-dropping-particle":"","parse-names":false,"suffix":""},{"dropping-particle":"","family":"Jones","given":"David E","non-dropping-particle":"","parse-names":false,"suffix":""}],"container-title":"The American Journal of Clinical Nutrition","id":"ITEM-1","issue":"2","issued":{"date-parts":[["2014","8","1"]]},"page":"593-599","title":"Folic acid handling by the human gut: implications for food fortification and supplementation","type":"article-journal","volume":"100"},"uris":["http://www.mendeley.com/documents/?uuid=f7a9a7a3-470d-4b4b-a74b-648e14a09ac6"]}],"mendeley":{"formattedCitation":"(Patanwala et al., 2014)","plainTextFormattedCitation":"(Patanwala et al., 2014)","previouslyFormattedCitation":"(Patanwala et al., 2014)"},"properties":{"noteIndex":0},"schema":"https://github.com/citation-style-language/schema/raw/master/csl-citation.json"}</w:instrText>
      </w:r>
      <w:r w:rsidRPr="00130EEF">
        <w:rPr>
          <w:rFonts w:eastAsia="Times New Roman"/>
          <w:color w:val="000000" w:themeColor="text1"/>
          <w:shd w:val="clear" w:color="auto" w:fill="FFFFFF"/>
        </w:rPr>
        <w:fldChar w:fldCharType="separate"/>
      </w:r>
      <w:r w:rsidRPr="00130EEF">
        <w:rPr>
          <w:rFonts w:eastAsia="Times New Roman"/>
          <w:noProof/>
          <w:color w:val="000000" w:themeColor="text1"/>
          <w:shd w:val="clear" w:color="auto" w:fill="FFFFFF"/>
        </w:rPr>
        <w:t>(Patanwala et al., 2014)</w:t>
      </w:r>
      <w:r w:rsidRPr="00130EEF">
        <w:rPr>
          <w:rFonts w:eastAsia="Times New Roman"/>
          <w:color w:val="000000" w:themeColor="text1"/>
          <w:shd w:val="clear" w:color="auto" w:fill="FFFFFF"/>
        </w:rPr>
        <w:fldChar w:fldCharType="end"/>
      </w:r>
      <w:r w:rsidRPr="00130EEF">
        <w:rPr>
          <w:rFonts w:eastAsia="Times New Roman"/>
          <w:color w:val="000000" w:themeColor="text1"/>
          <w:shd w:val="clear" w:color="auto" w:fill="FFFFFF"/>
        </w:rPr>
        <w:t xml:space="preserve"> and liver </w:t>
      </w:r>
      <w:r w:rsidRPr="00130EEF">
        <w:rPr>
          <w:rFonts w:eastAsia="Times New Roman"/>
          <w:color w:val="000000" w:themeColor="text1"/>
          <w:shd w:val="clear" w:color="auto" w:fill="FFFFFF"/>
        </w:rPr>
        <w:fldChar w:fldCharType="begin" w:fldLock="1"/>
      </w:r>
      <w:r w:rsidRPr="00130EEF">
        <w:rPr>
          <w:rFonts w:eastAsia="Times New Roman"/>
          <w:color w:val="000000" w:themeColor="text1"/>
          <w:shd w:val="clear" w:color="auto" w:fill="FFFFFF"/>
        </w:rPr>
        <w:instrText>ADDIN CSL_CITATION {"citationItems":[{"id":"ITEM-1","itemData":{"DOI":"10.1073/pnas.0902072106","ISBN":"9780874216561","ISSN":"1091-6490","PMID":"19706381","abstract":"Numerous clinical trials using folic acid for prevention of cardiovascular disease, stroke, cognitive decline, and neural tube defects have been completed or are underway. Yet, all functions of folate are performed by tetrahydrofolate and its one-carbon derivatives. Folic acid is a synthetic oxidized form not significantly found in fresh natural foods; to be used it must be converted to tetrahydrofolate by dihydrofolate reductase (DHFR). Increasing evidence suggests that this process may be slow in humans. Here we show, using a sensitive assay we developed, that the reduction of folic acid by DHFR per gram of human liver (n = 6) obtained from organ donors or directly from surgery is, on average, less than 2% of that in rat liver at physiological pH. Moreover, in contrast to rats, there was almost a 5-fold variation of DHFR activity among the human samples. This limited ability to activate the synthetic vitamer raises issues about clinical trials using high levels of folic acid. The extremely low rate of conversion of folic acid suggests that the benefit of its use in high doses will be limited by saturation of DHFR, especially in individuals possessing lower than average activity. These results are also consistent with the reports of unmetabolized folic acid in plasma and urine.","author":[{"dropping-particle":"","family":"Bailey","given":"Steven W","non-dropping-particle":"","parse-names":false,"suffix":""},{"dropping-particle":"","family":"Ayling","given":"June E","non-dropping-particle":"","parse-names":false,"suffix":""}],"container-title":"Proceedings of the National Academy of Sciences of the United States of America","id":"ITEM-1","issue":"36","issued":{"date-parts":[["2009"]]},"page":"15424-9","title":"The extremely slow and variable activity of dihydrofolate reductase in human liver and its implications for high folic acid intake.","type":"article-journal","volume":"106"},"uris":["http://www.mendeley.com/documents/?uuid=8ff15a7f-4190-49ba-9268-1546147fab0e"]}],"mendeley":{"formattedCitation":"(S. W. Bailey &amp; Ayling, 2009)","plainTextFormattedCitation":"(S. W. Bailey &amp; Ayling, 2009)","previouslyFormattedCitation":"(S. W. Bailey &amp; Ayling, 2009)"},"properties":{"noteIndex":0},"schema":"https://github.com/citation-style-language/schema/raw/master/csl-citation.json"}</w:instrText>
      </w:r>
      <w:r w:rsidRPr="00130EEF">
        <w:rPr>
          <w:rFonts w:eastAsia="Times New Roman"/>
          <w:color w:val="000000" w:themeColor="text1"/>
          <w:shd w:val="clear" w:color="auto" w:fill="FFFFFF"/>
        </w:rPr>
        <w:fldChar w:fldCharType="separate"/>
      </w:r>
      <w:r w:rsidRPr="00130EEF">
        <w:rPr>
          <w:rFonts w:eastAsia="Times New Roman"/>
          <w:noProof/>
          <w:color w:val="000000" w:themeColor="text1"/>
          <w:shd w:val="clear" w:color="auto" w:fill="FFFFFF"/>
        </w:rPr>
        <w:t>(S. W. Bailey &amp; Ayling, 2009)</w:t>
      </w:r>
      <w:r w:rsidRPr="00130EEF">
        <w:rPr>
          <w:rFonts w:eastAsia="Times New Roman"/>
          <w:color w:val="000000" w:themeColor="text1"/>
          <w:shd w:val="clear" w:color="auto" w:fill="FFFFFF"/>
        </w:rPr>
        <w:fldChar w:fldCharType="end"/>
      </w:r>
      <w:r w:rsidRPr="00130EEF">
        <w:rPr>
          <w:rFonts w:eastAsia="Times New Roman"/>
          <w:color w:val="000000" w:themeColor="text1"/>
          <w:shd w:val="clear" w:color="auto" w:fill="FFFFFF"/>
        </w:rPr>
        <w:t xml:space="preserve">. The presence of </w:t>
      </w:r>
      <w:proofErr w:type="spellStart"/>
      <w:r w:rsidRPr="00130EEF">
        <w:rPr>
          <w:rFonts w:eastAsia="Times New Roman"/>
          <w:color w:val="000000" w:themeColor="text1"/>
          <w:shd w:val="clear" w:color="auto" w:fill="FFFFFF"/>
        </w:rPr>
        <w:t>unmetabolised</w:t>
      </w:r>
      <w:proofErr w:type="spellEnd"/>
      <w:r w:rsidRPr="00130EEF">
        <w:rPr>
          <w:rFonts w:eastAsia="Times New Roman"/>
          <w:color w:val="000000" w:themeColor="text1"/>
          <w:shd w:val="clear" w:color="auto" w:fill="FFFFFF"/>
        </w:rPr>
        <w:t xml:space="preserve"> FA in this study</w:t>
      </w:r>
      <w:r w:rsidRPr="00130EEF">
        <w:rPr>
          <w:rFonts w:eastAsia="Times New Roman"/>
          <w:color w:val="000000" w:themeColor="text1"/>
          <w:sz w:val="28"/>
          <w:szCs w:val="28"/>
          <w:shd w:val="clear" w:color="auto" w:fill="FFFFFF"/>
        </w:rPr>
        <w:t xml:space="preserve"> </w:t>
      </w:r>
      <w:r w:rsidRPr="00130EEF">
        <w:rPr>
          <w:rFonts w:eastAsia="Times New Roman"/>
          <w:color w:val="000000" w:themeColor="text1"/>
          <w:shd w:val="clear" w:color="auto" w:fill="FFFFFF"/>
        </w:rPr>
        <w:t xml:space="preserve">suggests that the intake of 5 mg FA/kg diet may be sufficient to saturate capacity for the reduction of FA to THF in mice. </w:t>
      </w:r>
      <w:r w:rsidR="00823FAF" w:rsidRPr="00130EEF">
        <w:rPr>
          <w:rFonts w:eastAsia="Times New Roman"/>
          <w:color w:val="000000" w:themeColor="text1"/>
          <w:shd w:val="clear" w:color="auto" w:fill="FFFFFF"/>
        </w:rPr>
        <w:t xml:space="preserve">There was also </w:t>
      </w:r>
      <w:r w:rsidRPr="00130EEF">
        <w:rPr>
          <w:rFonts w:eastAsia="Times New Roman"/>
          <w:color w:val="000000" w:themeColor="text1"/>
          <w:shd w:val="clear" w:color="auto" w:fill="FFFFFF"/>
        </w:rPr>
        <w:t xml:space="preserve"> </w:t>
      </w:r>
      <w:r w:rsidR="00823FAF" w:rsidRPr="00130EEF">
        <w:rPr>
          <w:rFonts w:eastAsia="Times New Roman"/>
          <w:color w:val="000000" w:themeColor="text1"/>
          <w:shd w:val="clear" w:color="auto" w:fill="FFFFFF"/>
        </w:rPr>
        <w:t xml:space="preserve">an increase in </w:t>
      </w:r>
      <w:proofErr w:type="spellStart"/>
      <w:r w:rsidR="00823FAF" w:rsidRPr="00130EEF">
        <w:rPr>
          <w:rFonts w:eastAsia="Times New Roman"/>
          <w:color w:val="000000" w:themeColor="text1"/>
          <w:shd w:val="clear" w:color="auto" w:fill="FFFFFF"/>
        </w:rPr>
        <w:t>pABG</w:t>
      </w:r>
      <w:proofErr w:type="spellEnd"/>
      <w:r w:rsidR="00823FAF" w:rsidRPr="00130EEF">
        <w:rPr>
          <w:rFonts w:eastAsia="Times New Roman"/>
          <w:color w:val="000000" w:themeColor="text1"/>
          <w:shd w:val="clear" w:color="auto" w:fill="FFFFFF"/>
        </w:rPr>
        <w:t xml:space="preserve"> in mice fed the high FA diet; </w:t>
      </w:r>
      <w:r w:rsidRPr="00130EEF">
        <w:rPr>
          <w:rFonts w:eastAsia="Times New Roman"/>
          <w:color w:val="000000" w:themeColor="text1"/>
          <w:shd w:val="clear" w:color="auto" w:fill="FFFFFF"/>
        </w:rPr>
        <w:t xml:space="preserve">an </w:t>
      </w:r>
      <w:r w:rsidRPr="00130EEF">
        <w:rPr>
          <w:color w:val="000000" w:themeColor="text1"/>
          <w:shd w:val="clear" w:color="auto" w:fill="FFFFFF"/>
        </w:rPr>
        <w:t xml:space="preserve">increase in </w:t>
      </w:r>
      <w:proofErr w:type="spellStart"/>
      <w:r w:rsidRPr="00130EEF">
        <w:rPr>
          <w:color w:val="000000" w:themeColor="text1"/>
          <w:shd w:val="clear" w:color="auto" w:fill="FFFFFF"/>
        </w:rPr>
        <w:t>pABG</w:t>
      </w:r>
      <w:proofErr w:type="spellEnd"/>
      <w:r w:rsidRPr="00130EEF">
        <w:rPr>
          <w:color w:val="000000" w:themeColor="text1"/>
          <w:shd w:val="clear" w:color="auto" w:fill="FFFFFF"/>
        </w:rPr>
        <w:t xml:space="preserve"> levels has been suggested to be a mechanism to limit the increase in intracellular folate </w:t>
      </w:r>
      <w:r w:rsidR="00A305CA" w:rsidRPr="00130EEF">
        <w:rPr>
          <w:color w:val="000000" w:themeColor="text1"/>
          <w:shd w:val="clear" w:color="auto" w:fill="FFFFFF"/>
        </w:rPr>
        <w:fldChar w:fldCharType="begin" w:fldLock="1"/>
      </w:r>
      <w:r w:rsidR="00C05664" w:rsidRPr="00130EEF">
        <w:rPr>
          <w:color w:val="000000" w:themeColor="text1"/>
          <w:shd w:val="clear" w:color="auto" w:fill="FFFFFF"/>
        </w:rPr>
        <w:instrText>ADDIN CSL_CITATION {"citationItems":[{"id":"ITEM-1","itemData":{"DOI":"10.1146/annurev.nutr.21.1.255","ISSN":"0199-9885","author":[{"dropping-particle":"","family":"Suh","given":"Jae Rin","non-dropping-particle":"","parse-names":false,"suffix":""},{"dropping-particle":"","family":"Herbig","given":"A Katherine","non-dropping-particle":"","parse-names":false,"suffix":""},{"dropping-particle":"","family":"Stover","given":"Patrick J","non-dropping-particle":"","parse-names":false,"suffix":""}],"container-title":"Annual Review of Nutrition","id":"ITEM-1","issue":"1","issued":{"date-parts":[["2001","7"]]},"page":"255-282","title":"New Perspectives on Folate Catabolism","type":"article-journal","volume":"21"},"uris":["http://www.mendeley.com/documents/?uuid=8b5efbd2-e428-4ac3-aa59-2d2a18894976","http://www.mendeley.com/documents/?uuid=19d626ce-8108-4a98-bfdf-c877e2e86901"]}],"mendeley":{"formattedCitation":"(Suh, Herbig, &amp; Stover, 2001)","plainTextFormattedCitation":"(Suh, Herbig, &amp; Stover, 2001)","previouslyFormattedCitation":"(Suh, Herbig, &amp; Stover, 2001)"},"properties":{"noteIndex":0},"schema":"https://github.com/citation-style-language/schema/raw/master/csl-citation.json"}</w:instrText>
      </w:r>
      <w:r w:rsidR="00A305CA" w:rsidRPr="00130EEF">
        <w:rPr>
          <w:color w:val="000000" w:themeColor="text1"/>
          <w:shd w:val="clear" w:color="auto" w:fill="FFFFFF"/>
        </w:rPr>
        <w:fldChar w:fldCharType="separate"/>
      </w:r>
      <w:r w:rsidR="00A305CA" w:rsidRPr="00130EEF">
        <w:rPr>
          <w:noProof/>
          <w:color w:val="000000" w:themeColor="text1"/>
          <w:shd w:val="clear" w:color="auto" w:fill="FFFFFF"/>
        </w:rPr>
        <w:t>(Suh, Herbig, &amp; Stover, 2001)</w:t>
      </w:r>
      <w:r w:rsidR="00A305CA" w:rsidRPr="00130EEF">
        <w:rPr>
          <w:color w:val="000000" w:themeColor="text1"/>
          <w:shd w:val="clear" w:color="auto" w:fill="FFFFFF"/>
        </w:rPr>
        <w:fldChar w:fldCharType="end"/>
      </w:r>
      <w:r w:rsidRPr="00130EEF">
        <w:rPr>
          <w:rFonts w:eastAsia="Times New Roman"/>
          <w:color w:val="000000" w:themeColor="text1"/>
        </w:rPr>
        <w:t>.</w:t>
      </w:r>
      <w:r w:rsidRPr="00130EEF">
        <w:rPr>
          <w:color w:val="000000" w:themeColor="text1"/>
          <w:shd w:val="clear" w:color="auto" w:fill="FFFFFF"/>
          <w:lang w:eastAsia="en-US"/>
        </w:rPr>
        <w:t xml:space="preserve">  </w:t>
      </w:r>
      <w:r w:rsidR="0077796A" w:rsidRPr="00130EEF">
        <w:rPr>
          <w:color w:val="000000" w:themeColor="text1"/>
          <w:shd w:val="clear" w:color="auto" w:fill="FFFFFF"/>
          <w:lang w:eastAsia="en-US"/>
        </w:rPr>
        <w:t>A</w:t>
      </w:r>
      <w:r w:rsidR="0077796A" w:rsidRPr="00130EEF">
        <w:rPr>
          <w:color w:val="000000" w:themeColor="text1"/>
          <w:shd w:val="clear" w:color="auto" w:fill="FFFFFF"/>
        </w:rPr>
        <w:t xml:space="preserve">lthough there was also an increase in </w:t>
      </w:r>
      <w:proofErr w:type="spellStart"/>
      <w:r w:rsidR="0077796A" w:rsidRPr="00130EEF">
        <w:rPr>
          <w:color w:val="000000" w:themeColor="text1"/>
          <w:shd w:val="clear" w:color="auto" w:fill="FFFFFF"/>
        </w:rPr>
        <w:t>apABG</w:t>
      </w:r>
      <w:proofErr w:type="spellEnd"/>
      <w:r w:rsidR="0077796A" w:rsidRPr="00130EEF">
        <w:rPr>
          <w:color w:val="000000" w:themeColor="text1"/>
          <w:shd w:val="clear" w:color="auto" w:fill="FFFFFF"/>
        </w:rPr>
        <w:t xml:space="preserve"> levels in mice fed the high FA diet, a metabolite of </w:t>
      </w:r>
      <w:proofErr w:type="spellStart"/>
      <w:r w:rsidR="0077796A" w:rsidRPr="00130EEF">
        <w:rPr>
          <w:color w:val="000000" w:themeColor="text1"/>
          <w:shd w:val="clear" w:color="auto" w:fill="FFFFFF"/>
        </w:rPr>
        <w:t>pAGB</w:t>
      </w:r>
      <w:proofErr w:type="spellEnd"/>
      <w:r w:rsidR="0077796A" w:rsidRPr="00130EEF">
        <w:rPr>
          <w:color w:val="000000" w:themeColor="text1"/>
          <w:shd w:val="clear" w:color="auto" w:fill="FFFFFF"/>
        </w:rPr>
        <w:t xml:space="preserve">, and the major excreted  form in urine </w:t>
      </w:r>
      <w:r w:rsidR="0077796A" w:rsidRPr="00130EEF">
        <w:rPr>
          <w:color w:val="000000" w:themeColor="text1"/>
          <w:shd w:val="clear" w:color="auto" w:fill="FFFFFF"/>
        </w:rPr>
        <w:fldChar w:fldCharType="begin" w:fldLock="1"/>
      </w:r>
      <w:r w:rsidR="00C05664" w:rsidRPr="00130EEF">
        <w:rPr>
          <w:color w:val="000000" w:themeColor="text1"/>
          <w:shd w:val="clear" w:color="auto" w:fill="FFFFFF"/>
        </w:rPr>
        <w:instrText>ADDIN CSL_CITATION {"citationItems":[{"id":"ITEM-1","itemData":{"DOI":"10.1093/jn/125.10.2563","ISSN":"0022-3166","PMID":"7562091","abstract":"The amount of biologically active folate excreted in the urine corresponds to a small fraction of the recommended dietary allowance, suggesting that a large amount of folate is excreted as its catabolites. A strategy of assessing folate requirement by measuring the daily urinary levels of products of folate catabolism depends on the demonstration of an exclusive mechanism of breakdown as well as a suitable marker of the catabolic process. Rats were given [3H] and [14C]folic acid by gastric intubation daily for 10 d to simulate normal dietary intake of the vitamin. Total urine was collected throughout this period as well as for the following 10 d. Reverse-phase HPLC of the radiolabeled urinary products revealed the presence of a variety of intact folates as well as products of C9-N10 scission of the folate molecule, pteridines, para-aminobenzoylglutamate and para-acetamidobenzoylglutamate. We detected no other N10-containing catabolites, nor did we find the oxidized folate derivative '4 alpha-hydroxy-5-methyltetrahydrofolate'. Of all the urinary folate metabolites, only para-acetamidobenzoylglutmate persisted at high levels up to 10 d after radiolabel treatment was withdrawn. We conclude that folate catabolism occurs exclusively through C9-N10 cleavage and that measurement of urinary para-acetamidobenzoylglutmate provides a suitable indicator of daily folate turnover.","author":[{"dropping-particle":"","family":"Geoghegan","given":"Francis L.","non-dropping-particle":"","parse-names":false,"suffix":""},{"dropping-particle":"","family":"McPartlin","given":"Joseph M.","non-dropping-particle":"","parse-names":false,"suffix":""},{"dropping-particle":"","family":"Weir","given":"Donald G.","non-dropping-particle":"","parse-names":false,"suffix":""},{"dropping-particle":"","family":"Scott","given":"John M.","non-dropping-particle":"","parse-names":false,"suffix":""}],"container-title":"The Journal of nutrition","id":"ITEM-1","issue":"10","issued":{"date-parts":[["1995","10"]]},"page":"2563-70","title":"para-acetamidobenzoylglutamate is a suitable indicator of folate catabolism in rats.","type":"article-journal","volume":"125"},"uris":["http://www.mendeley.com/documents/?uuid=b93873dc-7db2-4319-a5f9-72b0a0b39701","http://www.mendeley.com/documents/?uuid=c6b63bf7-4c8b-48c1-a021-a7e220d17cab"]}],"mendeley":{"formattedCitation":"(Geoghegan, McPartlin, Weir, &amp; Scott, 1995)","plainTextFormattedCitation":"(Geoghegan, McPartlin, Weir, &amp; Scott, 1995)","previouslyFormattedCitation":"(Geoghegan, McPartlin, Weir, &amp; Scott, 1995)"},"properties":{"noteIndex":0},"schema":"https://github.com/citation-style-language/schema/raw/master/csl-citation.json"}</w:instrText>
      </w:r>
      <w:r w:rsidR="0077796A" w:rsidRPr="00130EEF">
        <w:rPr>
          <w:color w:val="000000" w:themeColor="text1"/>
          <w:shd w:val="clear" w:color="auto" w:fill="FFFFFF"/>
        </w:rPr>
        <w:fldChar w:fldCharType="separate"/>
      </w:r>
      <w:r w:rsidR="0077796A" w:rsidRPr="00130EEF">
        <w:rPr>
          <w:noProof/>
          <w:color w:val="000000" w:themeColor="text1"/>
          <w:shd w:val="clear" w:color="auto" w:fill="FFFFFF"/>
        </w:rPr>
        <w:t>(Geoghegan, McPartlin, Weir, &amp; Scott, 1995)</w:t>
      </w:r>
      <w:r w:rsidR="0077796A" w:rsidRPr="00130EEF">
        <w:rPr>
          <w:color w:val="000000" w:themeColor="text1"/>
          <w:shd w:val="clear" w:color="auto" w:fill="FFFFFF"/>
        </w:rPr>
        <w:fldChar w:fldCharType="end"/>
      </w:r>
      <w:r w:rsidR="0077796A" w:rsidRPr="00130EEF">
        <w:rPr>
          <w:color w:val="000000" w:themeColor="text1"/>
          <w:shd w:val="clear" w:color="auto" w:fill="FFFFFF"/>
        </w:rPr>
        <w:t>, this did not reach significance.</w:t>
      </w:r>
      <w:r w:rsidRPr="00130EEF">
        <w:rPr>
          <w:color w:val="000000" w:themeColor="text1"/>
          <w:shd w:val="clear" w:color="auto" w:fill="FFFFFF"/>
        </w:rPr>
        <w:t xml:space="preserve"> The mechanism underlying differential effect of higher FA on </w:t>
      </w:r>
      <w:proofErr w:type="spellStart"/>
      <w:r w:rsidRPr="00130EEF">
        <w:rPr>
          <w:color w:val="000000" w:themeColor="text1"/>
          <w:shd w:val="clear" w:color="auto" w:fill="FFFFFF"/>
        </w:rPr>
        <w:t>apABG</w:t>
      </w:r>
      <w:proofErr w:type="spellEnd"/>
      <w:r w:rsidRPr="00130EEF">
        <w:rPr>
          <w:color w:val="000000" w:themeColor="text1"/>
          <w:shd w:val="clear" w:color="auto" w:fill="FFFFFF"/>
        </w:rPr>
        <w:t xml:space="preserve"> and </w:t>
      </w:r>
      <w:proofErr w:type="spellStart"/>
      <w:r w:rsidRPr="00130EEF">
        <w:rPr>
          <w:color w:val="000000" w:themeColor="text1"/>
          <w:shd w:val="clear" w:color="auto" w:fill="FFFFFF"/>
        </w:rPr>
        <w:t>pABG</w:t>
      </w:r>
      <w:proofErr w:type="spellEnd"/>
      <w:r w:rsidRPr="00130EEF">
        <w:rPr>
          <w:color w:val="000000" w:themeColor="text1"/>
          <w:shd w:val="clear" w:color="auto" w:fill="FFFFFF"/>
        </w:rPr>
        <w:t xml:space="preserve"> is not known. One possible explanation is that at high FA intakes, capacity for acetylation of </w:t>
      </w:r>
      <w:proofErr w:type="spellStart"/>
      <w:r w:rsidRPr="00130EEF">
        <w:rPr>
          <w:color w:val="000000" w:themeColor="text1"/>
          <w:shd w:val="clear" w:color="auto" w:fill="FFFFFF"/>
        </w:rPr>
        <w:t>pABG</w:t>
      </w:r>
      <w:proofErr w:type="spellEnd"/>
      <w:r w:rsidRPr="00130EEF">
        <w:rPr>
          <w:color w:val="000000" w:themeColor="text1"/>
          <w:shd w:val="clear" w:color="auto" w:fill="FFFFFF"/>
        </w:rPr>
        <w:t xml:space="preserve"> by </w:t>
      </w:r>
      <w:proofErr w:type="spellStart"/>
      <w:r w:rsidRPr="00130EEF">
        <w:rPr>
          <w:rFonts w:eastAsia="Times New Roman"/>
          <w:color w:val="000000" w:themeColor="text1"/>
        </w:rPr>
        <w:t>arylamine</w:t>
      </w:r>
      <w:proofErr w:type="spellEnd"/>
      <w:r w:rsidRPr="00130EEF">
        <w:rPr>
          <w:rFonts w:eastAsia="Times New Roman"/>
          <w:color w:val="000000" w:themeColor="text1"/>
        </w:rPr>
        <w:t xml:space="preserve"> N-acetyltransferase activity</w:t>
      </w:r>
      <w:r w:rsidR="00A305CA" w:rsidRPr="00130EEF">
        <w:rPr>
          <w:rFonts w:eastAsia="Times New Roman"/>
          <w:color w:val="000000" w:themeColor="text1"/>
        </w:rPr>
        <w:t xml:space="preserve"> </w:t>
      </w:r>
      <w:r w:rsidR="00A305CA" w:rsidRPr="00130EEF">
        <w:rPr>
          <w:rFonts w:eastAsia="Times New Roman"/>
          <w:color w:val="000000" w:themeColor="text1"/>
        </w:rPr>
        <w:fldChar w:fldCharType="begin" w:fldLock="1"/>
      </w:r>
      <w:r w:rsidR="00C05664" w:rsidRPr="00130EEF">
        <w:rPr>
          <w:rFonts w:eastAsia="Times New Roman"/>
          <w:color w:val="000000" w:themeColor="text1"/>
        </w:rPr>
        <w:instrText>ADDIN CSL_CITATION {"citationItems":[{"id":"ITEM-1","itemData":{"DOI":"10.1002/(SICI)1096-9926(199811)58:5&lt;174::AID-TERA3&gt;3.0.CO;2-Q","ISSN":"00403709","PMID":"9839355","abstract":"Arylamine N-acetyltransferases (NATs) are important in susceptibility to xenobiotic-induced disorders (e.g., drug-induced autoimmune disease, bladder cancer), but their role in endogenous metabolism is yet to be elucidated. The discovery that human NAT1 acts upon p-aminobenzoylgluatamate (p-ABG) to generate p-acetamidobenzoylglutamate (p-AABG), a major urinary metabolite of folic acid, suggests that human NAT1 may play a role in folic acid metabolism and hence in the normal development of the neural tube. In this study we examined the distribution of NAT in neuronal tissue from adult mice and embryos. Immunohistochemical staining of the adult mouse cerebellum revealed NAT2 (the mouse homologue of human NAT1) expression in the cell bodies and dendrites of Purkinje cells and in the neuroglia of the molecular layer. In embryos, NAT2 was detected in developing neuronal tissue on days 9.5, 11.5, and 13.5. It was expressed intensely in the neural tube around the time of closure. The level of expression subsequently declined in the neuroepithelium but increased in glial cells. In addition, NAT2 was detected in the developing heart and gut. These findings demonstrate that the embryo itself expresses an enzyme which is involved in the metabolism of folic acid, so that the role played by both mother and embryo must be considered when examining the role of folic acid in embryonic development. These findings imply that polymorphisms in NAT genes could play a role in determining susceptibility to neural tube defects (NTD) and orofacial clefting, developmental disorders which can be prevented by dietary administration of folic acid.","author":[{"dropping-particle":"","family":"Stanley","given":"L. A.","non-dropping-particle":"","parse-names":false,"suffix":""},{"dropping-particle":"","family":"Copp","given":"A. J.","non-dropping-particle":"","parse-names":false,"suffix":""},{"dropping-particle":"","family":"Pope","given":"J.","non-dropping-particle":"","parse-names":false,"suffix":""},{"dropping-particle":"","family":"Rolls","given":"S.","non-dropping-particle":"","parse-names":false,"suffix":""},{"dropping-particle":"","family":"Smelt","given":"V.","non-dropping-particle":"","parse-names":false,"suffix":""},{"dropping-particle":"","family":"Perry","given":"V. H.","non-dropping-particle":"","parse-names":false,"suffix":""},{"dropping-particle":"","family":"Sim","given":"E.","non-dropping-particle":"","parse-names":false,"suffix":""}],"container-title":"Teratology","id":"ITEM-1","issue":"5","issued":{"date-parts":[["1998"]]},"page":"174-182","title":"Immunochemical detection of arylamine N-acetyltransferase during mouse embryonic development and in adult mouse brain","type":"article-journal","volume":"58"},"uris":["http://www.mendeley.com/documents/?uuid=d7b5e4ee-fea3-4f8a-9198-e95ddc317991","http://www.mendeley.com/documents/?uuid=c1bb51dc-06b4-4e6c-be08-d6addd1f581c"]}],"mendeley":{"formattedCitation":"(Stanley et al., 1998)","plainTextFormattedCitation":"(Stanley et al., 1998)","previouslyFormattedCitation":"(Stanley et al., 1998)"},"properties":{"noteIndex":0},"schema":"https://github.com/citation-style-language/schema/raw/master/csl-citation.json"}</w:instrText>
      </w:r>
      <w:r w:rsidR="00A305CA" w:rsidRPr="00130EEF">
        <w:rPr>
          <w:rFonts w:eastAsia="Times New Roman"/>
          <w:color w:val="000000" w:themeColor="text1"/>
        </w:rPr>
        <w:fldChar w:fldCharType="separate"/>
      </w:r>
      <w:r w:rsidR="00A305CA" w:rsidRPr="00130EEF">
        <w:rPr>
          <w:rFonts w:eastAsia="Times New Roman"/>
          <w:noProof/>
          <w:color w:val="000000" w:themeColor="text1"/>
        </w:rPr>
        <w:t>(Stanley et al., 1998)</w:t>
      </w:r>
      <w:r w:rsidR="00A305CA" w:rsidRPr="00130EEF">
        <w:rPr>
          <w:rFonts w:eastAsia="Times New Roman"/>
          <w:color w:val="000000" w:themeColor="text1"/>
        </w:rPr>
        <w:fldChar w:fldCharType="end"/>
      </w:r>
      <w:r w:rsidRPr="00130EEF">
        <w:rPr>
          <w:rFonts w:eastAsia="Times New Roman"/>
          <w:color w:val="000000" w:themeColor="text1"/>
        </w:rPr>
        <w:t xml:space="preserve"> is limited compared to synthesis of the </w:t>
      </w:r>
      <w:proofErr w:type="spellStart"/>
      <w:r w:rsidRPr="00130EEF">
        <w:rPr>
          <w:rFonts w:eastAsia="Times New Roman"/>
          <w:color w:val="000000" w:themeColor="text1"/>
        </w:rPr>
        <w:t>pABG</w:t>
      </w:r>
      <w:proofErr w:type="spellEnd"/>
      <w:r w:rsidRPr="00130EEF">
        <w:rPr>
          <w:rFonts w:eastAsia="Times New Roman"/>
          <w:color w:val="000000" w:themeColor="text1"/>
        </w:rPr>
        <w:t xml:space="preserve"> substrate.</w:t>
      </w:r>
      <w:r w:rsidR="00A305CA" w:rsidRPr="00130EEF">
        <w:rPr>
          <w:rFonts w:eastAsia="Times New Roman"/>
          <w:color w:val="000000" w:themeColor="text1"/>
        </w:rPr>
        <w:t xml:space="preserve"> </w:t>
      </w:r>
      <w:r w:rsidR="00860FF5" w:rsidRPr="00130EEF">
        <w:rPr>
          <w:rFonts w:eastAsia="Times New Roman"/>
          <w:color w:val="000000" w:themeColor="text1"/>
        </w:rPr>
        <w:t>Increased FA intake did not affect</w:t>
      </w:r>
      <w:r w:rsidRPr="00130EEF">
        <w:rPr>
          <w:rFonts w:eastAsia="Times New Roman"/>
          <w:color w:val="000000" w:themeColor="text1"/>
        </w:rPr>
        <w:t xml:space="preserve"> levels of </w:t>
      </w:r>
      <w:proofErr w:type="spellStart"/>
      <w:r w:rsidRPr="00130EEF">
        <w:rPr>
          <w:rFonts w:eastAsia="Times New Roman"/>
          <w:color w:val="000000" w:themeColor="text1"/>
        </w:rPr>
        <w:t>fTHF</w:t>
      </w:r>
      <w:proofErr w:type="spellEnd"/>
      <w:r w:rsidR="00860FF5" w:rsidRPr="00130EEF">
        <w:rPr>
          <w:rFonts w:eastAsia="Times New Roman"/>
          <w:color w:val="000000" w:themeColor="text1"/>
        </w:rPr>
        <w:t xml:space="preserve"> or </w:t>
      </w:r>
      <w:proofErr w:type="spellStart"/>
      <w:r w:rsidR="00860FF5" w:rsidRPr="00130EEF">
        <w:rPr>
          <w:rFonts w:eastAsia="Times New Roman"/>
          <w:color w:val="000000" w:themeColor="text1"/>
        </w:rPr>
        <w:t>hmTHF</w:t>
      </w:r>
      <w:proofErr w:type="spellEnd"/>
      <w:r w:rsidR="00860FF5" w:rsidRPr="00130EEF">
        <w:rPr>
          <w:rFonts w:eastAsia="Times New Roman"/>
          <w:color w:val="000000" w:themeColor="text1"/>
        </w:rPr>
        <w:t>. However</w:t>
      </w:r>
      <w:r w:rsidR="00032201" w:rsidRPr="00130EEF">
        <w:rPr>
          <w:rFonts w:eastAsia="Times New Roman"/>
          <w:color w:val="000000" w:themeColor="text1"/>
        </w:rPr>
        <w:t xml:space="preserve"> </w:t>
      </w:r>
      <w:proofErr w:type="spellStart"/>
      <w:r w:rsidR="00860FF5" w:rsidRPr="00130EEF">
        <w:rPr>
          <w:rFonts w:eastAsia="Times New Roman"/>
          <w:color w:val="000000" w:themeColor="text1"/>
        </w:rPr>
        <w:t>fTHF</w:t>
      </w:r>
      <w:proofErr w:type="spellEnd"/>
      <w:r w:rsidR="00860FF5" w:rsidRPr="00130EEF">
        <w:rPr>
          <w:rFonts w:eastAsia="Times New Roman"/>
          <w:color w:val="000000" w:themeColor="text1"/>
        </w:rPr>
        <w:t xml:space="preserve"> is regulated and contributes to multiple</w:t>
      </w:r>
      <w:r w:rsidR="00F2048B" w:rsidRPr="00130EEF">
        <w:rPr>
          <w:rFonts w:eastAsia="Times New Roman"/>
          <w:color w:val="000000" w:themeColor="text1"/>
        </w:rPr>
        <w:t xml:space="preserve"> </w:t>
      </w:r>
      <w:r w:rsidR="00823FAF" w:rsidRPr="00130EEF">
        <w:rPr>
          <w:rFonts w:eastAsia="Times New Roman"/>
          <w:color w:val="000000" w:themeColor="text1"/>
        </w:rPr>
        <w:t xml:space="preserve">metabolic pathways </w:t>
      </w:r>
      <w:r w:rsidR="00860FF5" w:rsidRPr="00130EEF">
        <w:rPr>
          <w:rFonts w:eastAsia="Times New Roman"/>
          <w:color w:val="000000" w:themeColor="text1"/>
        </w:rPr>
        <w:t xml:space="preserve">which will also influence </w:t>
      </w:r>
      <w:proofErr w:type="spellStart"/>
      <w:r w:rsidR="00860FF5" w:rsidRPr="00130EEF">
        <w:rPr>
          <w:rFonts w:eastAsia="Times New Roman"/>
          <w:color w:val="000000" w:themeColor="text1"/>
        </w:rPr>
        <w:t>fTHF</w:t>
      </w:r>
      <w:proofErr w:type="spellEnd"/>
      <w:r w:rsidR="00860FF5" w:rsidRPr="00130EEF">
        <w:rPr>
          <w:rFonts w:eastAsia="Times New Roman"/>
          <w:color w:val="000000" w:themeColor="text1"/>
        </w:rPr>
        <w:t xml:space="preserve"> levels</w:t>
      </w:r>
      <w:r w:rsidR="00C05664" w:rsidRPr="00130EEF">
        <w:rPr>
          <w:rFonts w:eastAsia="Times New Roman"/>
          <w:color w:val="000000" w:themeColor="text1"/>
        </w:rPr>
        <w:t xml:space="preserve"> </w:t>
      </w:r>
      <w:r w:rsidR="00C05664" w:rsidRPr="00130EEF">
        <w:rPr>
          <w:rFonts w:eastAsia="Times New Roman"/>
          <w:color w:val="000000" w:themeColor="text1"/>
        </w:rPr>
        <w:fldChar w:fldCharType="begin" w:fldLock="1"/>
      </w:r>
      <w:r w:rsidR="00C05664" w:rsidRPr="00130EEF">
        <w:rPr>
          <w:rFonts w:eastAsia="Times New Roman"/>
          <w:color w:val="000000" w:themeColor="text1"/>
        </w:rPr>
        <w:instrText>ADDIN CSL_CITATION {"citationItems":[{"id":"ITEM-1","itemData":{"DOI":"10.1016/j.cmet.2016.08.009","ISBN":"0000000000000","ISSN":"15504131","PMID":"28299348","author":[{"dropping-particle":"","family":"Ducker","given":"Gregory S.","non-dropping-particle":"","parse-names":false,"suffix":""},{"dropping-particle":"","family":"Rabinowitz","given":"Joshua D.","non-dropping-particle":"","parse-names":false,"suffix":""}],"container-title":"Cell Metabolism","id":"ITEM-1","issue":"1","issued":{"date-parts":[["2017","1","1"]]},"page":"27-42","title":"One-Carbon Metabolism in Health and Disease","type":"article-journal","volume":"25"},"uris":["http://www.mendeley.com/documents/?uuid=3244439c-c690-4c3a-a78a-9f6af27f4b93"]}],"mendeley":{"formattedCitation":"(Ducker &amp; Rabinowitz, 2017)","plainTextFormattedCitation":"(Ducker &amp; Rabinowitz, 2017)"},"properties":{"noteIndex":0},"schema":"https://github.com/citation-style-language/schema/raw/master/csl-citation.json"}</w:instrText>
      </w:r>
      <w:r w:rsidR="00C05664" w:rsidRPr="00130EEF">
        <w:rPr>
          <w:rFonts w:eastAsia="Times New Roman"/>
          <w:color w:val="000000" w:themeColor="text1"/>
        </w:rPr>
        <w:fldChar w:fldCharType="separate"/>
      </w:r>
      <w:r w:rsidR="00C05664" w:rsidRPr="00130EEF">
        <w:rPr>
          <w:rFonts w:eastAsia="Times New Roman"/>
          <w:noProof/>
          <w:color w:val="000000" w:themeColor="text1"/>
        </w:rPr>
        <w:t>(Ducker &amp; Rabinowitz, 2017)</w:t>
      </w:r>
      <w:r w:rsidR="00C05664" w:rsidRPr="00130EEF">
        <w:rPr>
          <w:rFonts w:eastAsia="Times New Roman"/>
          <w:color w:val="000000" w:themeColor="text1"/>
        </w:rPr>
        <w:fldChar w:fldCharType="end"/>
      </w:r>
      <w:r w:rsidR="00860FF5" w:rsidRPr="00130EEF">
        <w:rPr>
          <w:rFonts w:eastAsia="Times New Roman"/>
          <w:color w:val="000000" w:themeColor="text1"/>
        </w:rPr>
        <w:t xml:space="preserve">, while </w:t>
      </w:r>
      <w:proofErr w:type="spellStart"/>
      <w:r w:rsidR="00860FF5" w:rsidRPr="00130EEF">
        <w:rPr>
          <w:rFonts w:eastAsia="Times New Roman"/>
          <w:color w:val="000000" w:themeColor="text1"/>
        </w:rPr>
        <w:t>h</w:t>
      </w:r>
      <w:r w:rsidR="00F2048B" w:rsidRPr="00130EEF">
        <w:rPr>
          <w:rFonts w:eastAsia="Times New Roman"/>
          <w:color w:val="000000" w:themeColor="text1"/>
        </w:rPr>
        <w:t>mTHF</w:t>
      </w:r>
      <w:proofErr w:type="spellEnd"/>
      <w:r w:rsidR="00F2048B" w:rsidRPr="00130EEF">
        <w:rPr>
          <w:rFonts w:eastAsia="Times New Roman"/>
          <w:color w:val="000000" w:themeColor="text1"/>
        </w:rPr>
        <w:t xml:space="preserve"> </w:t>
      </w:r>
      <w:r w:rsidRPr="00130EEF">
        <w:rPr>
          <w:rFonts w:eastAsia="Times New Roman"/>
          <w:color w:val="000000" w:themeColor="text1"/>
        </w:rPr>
        <w:t xml:space="preserve"> is generally observed after long term storage of samples</w:t>
      </w:r>
      <w:r w:rsidR="00860FF5" w:rsidRPr="00130EEF">
        <w:rPr>
          <w:rFonts w:eastAsia="Times New Roman"/>
          <w:color w:val="000000" w:themeColor="text1"/>
        </w:rPr>
        <w:t xml:space="preserve"> and h</w:t>
      </w:r>
      <w:r w:rsidRPr="00130EEF">
        <w:rPr>
          <w:rFonts w:eastAsia="Times New Roman"/>
          <w:color w:val="000000" w:themeColor="text1"/>
        </w:rPr>
        <w:t xml:space="preserve">ere levels of </w:t>
      </w:r>
      <w:proofErr w:type="spellStart"/>
      <w:r w:rsidRPr="00130EEF">
        <w:rPr>
          <w:rFonts w:eastAsia="Times New Roman"/>
          <w:color w:val="000000" w:themeColor="text1"/>
        </w:rPr>
        <w:t>hmTHF</w:t>
      </w:r>
      <w:proofErr w:type="spellEnd"/>
      <w:r w:rsidRPr="00130EEF">
        <w:rPr>
          <w:rFonts w:eastAsia="Times New Roman"/>
          <w:color w:val="000000" w:themeColor="text1"/>
        </w:rPr>
        <w:t xml:space="preserve"> were low </w:t>
      </w:r>
      <w:r w:rsidRPr="00130EEF">
        <w:rPr>
          <w:color w:val="000000" w:themeColor="text1"/>
          <w:shd w:val="clear" w:color="auto" w:fill="FFFFFF"/>
        </w:rPr>
        <w:t xml:space="preserve"> consistent with little or no oxidation of the samples. </w:t>
      </w:r>
    </w:p>
    <w:p w14:paraId="40D763B0" w14:textId="77777777" w:rsidR="005D066C" w:rsidRPr="00130EEF" w:rsidRDefault="005D066C" w:rsidP="00A305CA">
      <w:pPr>
        <w:spacing w:line="480" w:lineRule="auto"/>
        <w:rPr>
          <w:color w:val="000000" w:themeColor="text1"/>
          <w:shd w:val="clear" w:color="auto" w:fill="FFFFFF"/>
        </w:rPr>
      </w:pPr>
    </w:p>
    <w:p w14:paraId="103553B8" w14:textId="363F721D" w:rsidR="00A55281" w:rsidRPr="00130EEF" w:rsidRDefault="00A55281" w:rsidP="00A55281">
      <w:pPr>
        <w:spacing w:line="480" w:lineRule="auto"/>
        <w:ind w:firstLine="720"/>
        <w:rPr>
          <w:color w:val="000000" w:themeColor="text1"/>
        </w:rPr>
      </w:pPr>
      <w:r w:rsidRPr="00130EEF">
        <w:rPr>
          <w:color w:val="000000" w:themeColor="text1"/>
        </w:rPr>
        <w:t xml:space="preserve"> </w:t>
      </w:r>
      <w:r w:rsidR="00F74DCF" w:rsidRPr="00130EEF">
        <w:rPr>
          <w:color w:val="000000" w:themeColor="text1"/>
        </w:rPr>
        <w:t>M</w:t>
      </w:r>
      <w:r w:rsidRPr="00130EEF">
        <w:rPr>
          <w:color w:val="000000" w:themeColor="text1"/>
        </w:rPr>
        <w:t xml:space="preserve">ice fed the high FA diet for 4 weeks showed a delay in mating time. </w:t>
      </w:r>
      <w:r w:rsidR="000A02B3" w:rsidRPr="00130EEF">
        <w:rPr>
          <w:color w:val="000000" w:themeColor="text1"/>
        </w:rPr>
        <w:t>In humans, higher intake of FA has been associated with changes in</w:t>
      </w:r>
      <w:r w:rsidR="00ED3512" w:rsidRPr="00130EEF">
        <w:rPr>
          <w:color w:val="000000" w:themeColor="text1"/>
        </w:rPr>
        <w:t xml:space="preserve"> </w:t>
      </w:r>
      <w:r w:rsidR="00215251" w:rsidRPr="00130EEF">
        <w:rPr>
          <w:color w:val="000000" w:themeColor="text1"/>
        </w:rPr>
        <w:t xml:space="preserve">the </w:t>
      </w:r>
      <w:r w:rsidR="00ED3512" w:rsidRPr="00130EEF">
        <w:rPr>
          <w:color w:val="000000" w:themeColor="text1"/>
        </w:rPr>
        <w:t>hormonal control of the menstrual cycle</w:t>
      </w:r>
      <w:r w:rsidR="00723FE7" w:rsidRPr="00130EEF">
        <w:rPr>
          <w:color w:val="000000" w:themeColor="text1"/>
        </w:rPr>
        <w:t>;</w:t>
      </w:r>
      <w:r w:rsidR="000A02B3" w:rsidRPr="00130EEF">
        <w:rPr>
          <w:color w:val="000000" w:themeColor="text1"/>
        </w:rPr>
        <w:t xml:space="preserve"> </w:t>
      </w:r>
      <w:r w:rsidR="00215251" w:rsidRPr="00130EEF">
        <w:rPr>
          <w:color w:val="000000" w:themeColor="text1"/>
        </w:rPr>
        <w:t xml:space="preserve">with </w:t>
      </w:r>
      <w:r w:rsidR="00D9006B" w:rsidRPr="00130EEF">
        <w:rPr>
          <w:color w:val="000000" w:themeColor="text1"/>
        </w:rPr>
        <w:t>h</w:t>
      </w:r>
      <w:r w:rsidR="00710331" w:rsidRPr="00130EEF">
        <w:rPr>
          <w:color w:val="000000" w:themeColor="text1"/>
        </w:rPr>
        <w:t xml:space="preserve">igher intake of synthetic folate significantly associated with higher luteal progesterone levels </w:t>
      </w:r>
      <w:r w:rsidR="00794A24" w:rsidRPr="00130EEF">
        <w:rPr>
          <w:color w:val="000000" w:themeColor="text1"/>
        </w:rPr>
        <w:fldChar w:fldCharType="begin" w:fldLock="1"/>
      </w:r>
      <w:r w:rsidR="00794A24" w:rsidRPr="00130EEF">
        <w:rPr>
          <w:color w:val="000000" w:themeColor="text1"/>
        </w:rPr>
        <w:instrText>ADDIN CSL_CITATION {"citationItems":[{"id":"ITEM-1","itemData":{"DOI":"10.1371/journal.pone.0046276","ISSN":"1932-6203","PMID":"23050004","abstract":"BACKGROUND Folic acid is recommended to reproductive-aged women to prevent birth defects, though little is known about the effects of dietary intake on other reproductive outcomes. Improved pregnancy rates have been documented after folic acid supplement use, suggesting a possible link with ovulation, however research is limited. Our objective was to evaluate the association between dietary folate intake, hormone levels, and sporadic anovulation in healthy, regularly menstruating women. METHODOLOGY/PRINCIPAL FINDINGS The BioCycle study (2005-2007) prospectively followed 259 healthy women aged 18-44 years from the western New York region for up to 2 menstrual cycles. Total folate and specific sources of folate were assessed up to 4 times per cycle by 24-hour recall. Estradiol, progesterone, luteinizing hormone, and follicle-stimulating hormone were measured in serum up to 8 times per cycle, timed using fertility monitors. Anovulation was defined as a cycle with peak progesterone concentration ≤ 5 ng/mL and no LH peak in the mid/late luteal phase. Higher intake of dietary folate (in dietary equivalents) across tertiles had a marginally significant association with greater luteal progesterone levels (P trend 0.08). Higher intake of synthetic folate was significantly associated with higher luteal progesterone levels (P trend 0.05). Specifically, women in the 3(rd) tertile of synthetic folate intake had, on average, 16.0% (95% CI, 0.5-33.8%) higher luteal progesterone levels compared to women in the 1(st) tertile. Moreover, consumption of synthetic folate was significantly and inversely associated with anovulation such that women in the 3(rd) tertile had a 64% (95% CI, 8-86%) decreased odds of anovulation compared to the women in the 1(st) tertile (P trend 0.03). CONCLUSIONS/SIGNIFICANCE These findings suggest that a diet high in synthetic folate may be associated with increased progesterone levels and lower risk of sporadic anovulation. Further study of the effect of dietary folate and folic acid supplement use on reproductive health is warranted.","author":[{"dropping-particle":"","family":"Gaskins","given":"Audrey J.","non-dropping-particle":"","parse-names":false,"suffix":""},{"dropping-particle":"","family":"Mumford","given":"Sunni L.","non-dropping-particle":"","parse-names":false,"suffix":""},{"dropping-particle":"","family":"Chavarro","given":"Jorge E.","non-dropping-particle":"","parse-names":false,"suffix":""},{"dropping-particle":"","family":"Zhang","given":"Cuilin","non-dropping-particle":"","parse-names":false,"suffix":""},{"dropping-particle":"","family":"Pollack","given":"Anna Z.","non-dropping-particle":"","parse-names":false,"suffix":""},{"dropping-particle":"","family":"Wactawski-Wende","given":"Jean","non-dropping-particle":"","parse-names":false,"suffix":""},{"dropping-particle":"","family":"Perkins","given":"Neil J.","non-dropping-particle":"","parse-names":false,"suffix":""},{"dropping-particle":"","family":"Schisterman","given":"Enrique F.","non-dropping-particle":"","parse-names":false,"suffix":""}],"container-title":"PLoS ONE","editor":[{"dropping-particle":"","family":"O’Connor","given":"Kathleen A.","non-dropping-particle":"","parse-names":false,"suffix":""}],"id":"ITEM-1","issue":"9","issued":{"date-parts":[["2012","9","26"]]},"page":"e46276","title":"The Impact of Dietary Folate Intake on Reproductive Function in Premenopausal Women: A Prospective Cohort Study","type":"article-journal","volume":"7"},"uris":["http://www.mendeley.com/documents/?uuid=5cf4db81-9363-495c-8170-af033599948d"]}],"mendeley":{"formattedCitation":"(Gaskins et al., 2012)","plainTextFormattedCitation":"(Gaskins et al., 2012)","previouslyFormattedCitation":"(Gaskins et al., 2012)"},"properties":{"noteIndex":0},"schema":"https://github.com/citation-style-language/schema/raw/master/csl-citation.json"}</w:instrText>
      </w:r>
      <w:r w:rsidR="00794A24" w:rsidRPr="00130EEF">
        <w:rPr>
          <w:color w:val="000000" w:themeColor="text1"/>
        </w:rPr>
        <w:fldChar w:fldCharType="separate"/>
      </w:r>
      <w:r w:rsidR="00794A24" w:rsidRPr="00130EEF">
        <w:rPr>
          <w:noProof/>
          <w:color w:val="000000" w:themeColor="text1"/>
        </w:rPr>
        <w:t>(Gaskins et al., 2012)</w:t>
      </w:r>
      <w:r w:rsidR="00794A24" w:rsidRPr="00130EEF">
        <w:rPr>
          <w:color w:val="000000" w:themeColor="text1"/>
        </w:rPr>
        <w:fldChar w:fldCharType="end"/>
      </w:r>
      <w:r w:rsidR="00723FE7" w:rsidRPr="00130EEF">
        <w:rPr>
          <w:color w:val="000000" w:themeColor="text1"/>
        </w:rPr>
        <w:t>, while w</w:t>
      </w:r>
      <w:r w:rsidR="0066697B" w:rsidRPr="00130EEF">
        <w:rPr>
          <w:color w:val="000000" w:themeColor="text1"/>
        </w:rPr>
        <w:t>omen taking FA supplementation</w:t>
      </w:r>
      <w:r w:rsidR="00723FE7" w:rsidRPr="00130EEF">
        <w:rPr>
          <w:color w:val="000000" w:themeColor="text1"/>
        </w:rPr>
        <w:t xml:space="preserve"> ha</w:t>
      </w:r>
      <w:r w:rsidR="0071070D" w:rsidRPr="00130EEF">
        <w:rPr>
          <w:color w:val="000000" w:themeColor="text1"/>
        </w:rPr>
        <w:t>ve</w:t>
      </w:r>
      <w:r w:rsidR="00723FE7" w:rsidRPr="00130EEF">
        <w:rPr>
          <w:color w:val="000000" w:themeColor="text1"/>
        </w:rPr>
        <w:t xml:space="preserve"> a</w:t>
      </w:r>
      <w:r w:rsidR="0066697B" w:rsidRPr="00130EEF">
        <w:rPr>
          <w:color w:val="000000" w:themeColor="text1"/>
        </w:rPr>
        <w:t xml:space="preserve"> </w:t>
      </w:r>
      <w:r w:rsidR="00710331" w:rsidRPr="00130EEF">
        <w:rPr>
          <w:color w:val="000000" w:themeColor="text1"/>
          <w:shd w:val="clear" w:color="auto" w:fill="FFFFFF"/>
        </w:rPr>
        <w:t>shorter menstrual cycle length</w:t>
      </w:r>
      <w:r w:rsidR="00710331" w:rsidRPr="00130EEF">
        <w:rPr>
          <w:color w:val="000000" w:themeColor="text1"/>
        </w:rPr>
        <w:t xml:space="preserve"> </w:t>
      </w:r>
      <w:r w:rsidR="00794A24" w:rsidRPr="00130EEF">
        <w:rPr>
          <w:color w:val="000000" w:themeColor="text1"/>
        </w:rPr>
        <w:fldChar w:fldCharType="begin" w:fldLock="1"/>
      </w:r>
      <w:r w:rsidR="00794A24" w:rsidRPr="00130EEF">
        <w:rPr>
          <w:color w:val="000000" w:themeColor="text1"/>
        </w:rPr>
        <w:instrText>ADDIN CSL_CITATION {"citationItems":[{"id":"ITEM-1","itemData":{"DOI":"10.1016/j.annepidem.2015.05.008","ISSN":"10472797","author":[{"dropping-particle":"","family":"Cueto","given":"Heidi T","non-dropping-particle":"","parse-names":false,"suffix":""},{"dropping-particle":"","family":"Riis","given":"Anders H","non-dropping-particle":"","parse-names":false,"suffix":""},{"dropping-particle":"","family":"Hatch","given":"Elizabeth E","non-dropping-particle":"","parse-names":false,"suffix":""},{"dropping-particle":"","family":"Wise","given":"Lauren A","non-dropping-particle":"","parse-names":false,"suffix":""},{"dropping-particle":"","family":"Rothman","given":"Kenneth J.","non-dropping-particle":"","parse-names":false,"suffix":""},{"dropping-particle":"","family":"Sørensen","given":"Henrik T.","non-dropping-particle":"","parse-names":false,"suffix":""},{"dropping-particle":"","family":"Mikkelsen","given":"Ellen M","non-dropping-particle":"","parse-names":false,"suffix":""}],"container-title":"Annals of Epidemiology","id":"ITEM-1","issue":"10","issued":{"date-parts":[["2015","10"]]},"page":"723-729.e1","title":"Folic acid supplement use and menstrual cycle characteristics: a cross-sectional study of Danish pregnancy planners","type":"article-journal","volume":"25"},"uris":["http://www.mendeley.com/documents/?uuid=0395406a-81bd-44d6-ac75-b7c1da45cbd0"]}],"mendeley":{"formattedCitation":"(Cueto et al., 2015)","plainTextFormattedCitation":"(Cueto et al., 2015)","previouslyFormattedCitation":"(Cueto et al., 2015)"},"properties":{"noteIndex":0},"schema":"https://github.com/citation-style-language/schema/raw/master/csl-citation.json"}</w:instrText>
      </w:r>
      <w:r w:rsidR="00794A24" w:rsidRPr="00130EEF">
        <w:rPr>
          <w:color w:val="000000" w:themeColor="text1"/>
        </w:rPr>
        <w:fldChar w:fldCharType="separate"/>
      </w:r>
      <w:r w:rsidR="00794A24" w:rsidRPr="00130EEF">
        <w:rPr>
          <w:noProof/>
          <w:color w:val="000000" w:themeColor="text1"/>
        </w:rPr>
        <w:t>(Cueto et al., 2015)</w:t>
      </w:r>
      <w:r w:rsidR="00794A24" w:rsidRPr="00130EEF">
        <w:rPr>
          <w:color w:val="000000" w:themeColor="text1"/>
        </w:rPr>
        <w:fldChar w:fldCharType="end"/>
      </w:r>
      <w:r w:rsidR="0066697B" w:rsidRPr="00130EEF">
        <w:rPr>
          <w:color w:val="000000" w:themeColor="text1"/>
        </w:rPr>
        <w:t>.</w:t>
      </w:r>
      <w:r w:rsidR="00710331" w:rsidRPr="00130EEF">
        <w:rPr>
          <w:color w:val="000000" w:themeColor="text1"/>
          <w:shd w:val="clear" w:color="auto" w:fill="FFFFFF"/>
        </w:rPr>
        <w:t xml:space="preserve"> </w:t>
      </w:r>
      <w:r w:rsidRPr="00130EEF">
        <w:rPr>
          <w:color w:val="000000" w:themeColor="text1"/>
          <w:shd w:val="clear" w:color="auto" w:fill="FFFFFF"/>
        </w:rPr>
        <w:t xml:space="preserve">The delay in mating time observed in this </w:t>
      </w:r>
      <w:r w:rsidRPr="00130EEF">
        <w:rPr>
          <w:color w:val="000000" w:themeColor="text1"/>
          <w:shd w:val="clear" w:color="auto" w:fill="FFFFFF"/>
        </w:rPr>
        <w:lastRenderedPageBreak/>
        <w:t>study may</w:t>
      </w:r>
      <w:r w:rsidR="00F74DCF" w:rsidRPr="00130EEF">
        <w:rPr>
          <w:color w:val="000000" w:themeColor="text1"/>
          <w:shd w:val="clear" w:color="auto" w:fill="FFFFFF"/>
        </w:rPr>
        <w:t xml:space="preserve"> </w:t>
      </w:r>
      <w:r w:rsidRPr="00130EEF">
        <w:rPr>
          <w:color w:val="000000" w:themeColor="text1"/>
          <w:shd w:val="clear" w:color="auto" w:fill="FFFFFF"/>
        </w:rPr>
        <w:t xml:space="preserve">result from higher FA intake disrupting the </w:t>
      </w:r>
      <w:proofErr w:type="spellStart"/>
      <w:r w:rsidRPr="00130EEF">
        <w:rPr>
          <w:color w:val="000000" w:themeColor="text1"/>
        </w:rPr>
        <w:t>estrus</w:t>
      </w:r>
      <w:proofErr w:type="spellEnd"/>
      <w:r w:rsidRPr="00130EEF">
        <w:rPr>
          <w:color w:val="000000" w:themeColor="text1"/>
        </w:rPr>
        <w:t xml:space="preserve"> cycle, but further analysis of the effect of FA intake on the </w:t>
      </w:r>
      <w:proofErr w:type="spellStart"/>
      <w:r w:rsidRPr="00130EEF">
        <w:rPr>
          <w:color w:val="000000" w:themeColor="text1"/>
        </w:rPr>
        <w:t>estrus</w:t>
      </w:r>
      <w:proofErr w:type="spellEnd"/>
      <w:r w:rsidRPr="00130EEF">
        <w:rPr>
          <w:color w:val="000000" w:themeColor="text1"/>
        </w:rPr>
        <w:t xml:space="preserve"> cycle and hormonal regulation is required to determine </w:t>
      </w:r>
      <w:r w:rsidR="005B2370" w:rsidRPr="00130EEF">
        <w:rPr>
          <w:color w:val="000000" w:themeColor="text1"/>
        </w:rPr>
        <w:t xml:space="preserve">the mechanism by which </w:t>
      </w:r>
      <w:r w:rsidRPr="00130EEF">
        <w:rPr>
          <w:color w:val="000000" w:themeColor="text1"/>
        </w:rPr>
        <w:t xml:space="preserve">FA intake </w:t>
      </w:r>
      <w:r w:rsidR="00215251" w:rsidRPr="00130EEF">
        <w:rPr>
          <w:color w:val="000000" w:themeColor="text1"/>
        </w:rPr>
        <w:t xml:space="preserve">influence </w:t>
      </w:r>
      <w:r w:rsidRPr="00130EEF">
        <w:rPr>
          <w:color w:val="000000" w:themeColor="text1"/>
        </w:rPr>
        <w:t xml:space="preserve">time to conception. </w:t>
      </w:r>
    </w:p>
    <w:p w14:paraId="52C617F5" w14:textId="77777777" w:rsidR="005D066C" w:rsidRPr="00130EEF" w:rsidRDefault="005D066C" w:rsidP="00A55281">
      <w:pPr>
        <w:spacing w:line="480" w:lineRule="auto"/>
        <w:ind w:firstLine="720"/>
        <w:rPr>
          <w:color w:val="000000" w:themeColor="text1"/>
        </w:rPr>
      </w:pPr>
    </w:p>
    <w:p w14:paraId="1FD37B8C" w14:textId="4060C0BC" w:rsidR="008D1689" w:rsidRPr="00130EEF" w:rsidRDefault="00815038" w:rsidP="007364D4">
      <w:pPr>
        <w:spacing w:line="480" w:lineRule="auto"/>
        <w:ind w:firstLine="720"/>
        <w:rPr>
          <w:color w:val="000000" w:themeColor="text1"/>
          <w:shd w:val="clear" w:color="auto" w:fill="FFFFFF"/>
        </w:rPr>
      </w:pPr>
      <w:r w:rsidRPr="00130EEF">
        <w:rPr>
          <w:rFonts w:eastAsia="Times New Roman"/>
          <w:color w:val="000000" w:themeColor="text1"/>
          <w:shd w:val="clear" w:color="auto" w:fill="FFFFFF"/>
        </w:rPr>
        <w:t>T</w:t>
      </w:r>
      <w:r w:rsidR="00B540CE" w:rsidRPr="00130EEF">
        <w:rPr>
          <w:color w:val="000000" w:themeColor="text1"/>
        </w:rPr>
        <w:t>here</w:t>
      </w:r>
      <w:r w:rsidR="001472BE" w:rsidRPr="00130EEF">
        <w:rPr>
          <w:color w:val="000000" w:themeColor="text1"/>
        </w:rPr>
        <w:t xml:space="preserve"> </w:t>
      </w:r>
      <w:r w:rsidR="00B540CE" w:rsidRPr="00130EEF">
        <w:rPr>
          <w:color w:val="000000" w:themeColor="text1"/>
        </w:rPr>
        <w:t xml:space="preserve">was no significant difference </w:t>
      </w:r>
      <w:r w:rsidR="00714956" w:rsidRPr="00130EEF">
        <w:rPr>
          <w:color w:val="000000" w:themeColor="text1"/>
        </w:rPr>
        <w:t xml:space="preserve">in </w:t>
      </w:r>
      <w:r w:rsidR="00B540CE" w:rsidRPr="00130EEF">
        <w:rPr>
          <w:color w:val="000000" w:themeColor="text1"/>
        </w:rPr>
        <w:t>the total number of</w:t>
      </w:r>
      <w:r w:rsidR="00DF7F96" w:rsidRPr="00130EEF">
        <w:rPr>
          <w:color w:val="000000" w:themeColor="text1"/>
        </w:rPr>
        <w:t xml:space="preserve"> </w:t>
      </w:r>
      <w:r w:rsidR="00B540CE" w:rsidRPr="00130EEF">
        <w:rPr>
          <w:color w:val="000000" w:themeColor="text1"/>
        </w:rPr>
        <w:t xml:space="preserve">blastocysts or </w:t>
      </w:r>
      <w:r w:rsidR="00DF7F96" w:rsidRPr="00130EEF">
        <w:rPr>
          <w:color w:val="000000" w:themeColor="text1"/>
        </w:rPr>
        <w:t>stage</w:t>
      </w:r>
      <w:r w:rsidR="00B540CE" w:rsidRPr="00130EEF">
        <w:rPr>
          <w:color w:val="000000" w:themeColor="text1"/>
        </w:rPr>
        <w:t xml:space="preserve"> of </w:t>
      </w:r>
      <w:r w:rsidR="004F4D0F" w:rsidRPr="00130EEF">
        <w:rPr>
          <w:color w:val="000000" w:themeColor="text1"/>
        </w:rPr>
        <w:t xml:space="preserve">blastocyst </w:t>
      </w:r>
      <w:r w:rsidR="00B540CE" w:rsidRPr="00130EEF">
        <w:rPr>
          <w:color w:val="000000" w:themeColor="text1"/>
        </w:rPr>
        <w:t>development</w:t>
      </w:r>
      <w:r w:rsidR="00714956" w:rsidRPr="00130EEF">
        <w:rPr>
          <w:color w:val="000000" w:themeColor="text1"/>
        </w:rPr>
        <w:t xml:space="preserve"> between</w:t>
      </w:r>
      <w:r w:rsidRPr="00130EEF">
        <w:rPr>
          <w:color w:val="000000" w:themeColor="text1"/>
        </w:rPr>
        <w:t xml:space="preserve"> </w:t>
      </w:r>
      <w:r w:rsidR="00723FE7" w:rsidRPr="00130EEF">
        <w:rPr>
          <w:color w:val="000000" w:themeColor="text1"/>
        </w:rPr>
        <w:t>the HFA-HFA or Con-HFA</w:t>
      </w:r>
      <w:r w:rsidRPr="00130EEF">
        <w:rPr>
          <w:color w:val="000000" w:themeColor="text1"/>
        </w:rPr>
        <w:t xml:space="preserve"> groups </w:t>
      </w:r>
      <w:r w:rsidR="002E2B79" w:rsidRPr="00130EEF">
        <w:rPr>
          <w:color w:val="000000" w:themeColor="text1"/>
        </w:rPr>
        <w:t>compared to</w:t>
      </w:r>
      <w:r w:rsidR="00B453C9" w:rsidRPr="00130EEF">
        <w:rPr>
          <w:color w:val="000000" w:themeColor="text1"/>
        </w:rPr>
        <w:t xml:space="preserve"> </w:t>
      </w:r>
      <w:r w:rsidR="00DF7F96" w:rsidRPr="00130EEF">
        <w:rPr>
          <w:color w:val="000000" w:themeColor="text1"/>
        </w:rPr>
        <w:t xml:space="preserve">the </w:t>
      </w:r>
      <w:r w:rsidR="002E2B79" w:rsidRPr="00130EEF">
        <w:rPr>
          <w:color w:val="000000" w:themeColor="text1"/>
        </w:rPr>
        <w:t xml:space="preserve">Con-Con </w:t>
      </w:r>
      <w:r w:rsidR="00B453C9" w:rsidRPr="00130EEF">
        <w:rPr>
          <w:color w:val="000000" w:themeColor="text1"/>
        </w:rPr>
        <w:t>group</w:t>
      </w:r>
      <w:r w:rsidRPr="00130EEF">
        <w:rPr>
          <w:color w:val="000000" w:themeColor="text1"/>
        </w:rPr>
        <w:t>.</w:t>
      </w:r>
      <w:r w:rsidR="00FE7F17" w:rsidRPr="00130EEF">
        <w:rPr>
          <w:color w:val="000000" w:themeColor="text1"/>
        </w:rPr>
        <w:t xml:space="preserve"> </w:t>
      </w:r>
      <w:r w:rsidR="00714956" w:rsidRPr="00130EEF">
        <w:rPr>
          <w:color w:val="000000" w:themeColor="text1"/>
        </w:rPr>
        <w:t>However, f</w:t>
      </w:r>
      <w:r w:rsidR="00FE7F17" w:rsidRPr="00130EEF">
        <w:rPr>
          <w:color w:val="000000" w:themeColor="text1"/>
        </w:rPr>
        <w:t xml:space="preserve">eeding </w:t>
      </w:r>
      <w:proofErr w:type="gramStart"/>
      <w:r w:rsidR="00FE7F17" w:rsidRPr="00130EEF">
        <w:rPr>
          <w:color w:val="000000" w:themeColor="text1"/>
        </w:rPr>
        <w:t>a</w:t>
      </w:r>
      <w:proofErr w:type="gramEnd"/>
      <w:r w:rsidR="00FE7F17" w:rsidRPr="00130EEF">
        <w:rPr>
          <w:color w:val="000000" w:themeColor="text1"/>
        </w:rPr>
        <w:t xml:space="preserve"> HFA diet before mating and during the preimplantation period, did </w:t>
      </w:r>
      <w:r w:rsidR="00E50C7B" w:rsidRPr="00130EEF">
        <w:rPr>
          <w:color w:val="000000" w:themeColor="text1"/>
        </w:rPr>
        <w:t>reduce</w:t>
      </w:r>
      <w:r w:rsidR="00FE7F17" w:rsidRPr="00130EEF">
        <w:rPr>
          <w:color w:val="000000" w:themeColor="text1"/>
        </w:rPr>
        <w:t xml:space="preserve"> the number of TE cells and consequently led to an increased ICM/TE ratio. Altered proportions of TE and ICM cells have been described after maternal protein restriction during the preimplantation period</w:t>
      </w:r>
      <w:r w:rsidR="000369D5" w:rsidRPr="00130EEF">
        <w:rPr>
          <w:color w:val="000000" w:themeColor="text1"/>
        </w:rPr>
        <w:t xml:space="preserve"> </w:t>
      </w:r>
      <w:r w:rsidR="000369D5" w:rsidRPr="00130EEF">
        <w:rPr>
          <w:color w:val="000000" w:themeColor="text1"/>
        </w:rPr>
        <w:fldChar w:fldCharType="begin" w:fldLock="1"/>
      </w:r>
      <w:r w:rsidR="00C05664" w:rsidRPr="00130EEF">
        <w:rPr>
          <w:color w:val="000000" w:themeColor="text1"/>
        </w:rPr>
        <w:instrText>ADDIN CSL_CITATION {"citationItems":[{"id":"ITEM-1","itemData":{"DOI":"10.1371/journal.pone.0052791","ISSN":"1932-6203","PMID":"23300778","abstract":"Previously, we have shown that a maternal low protein diet, fed exclusively during the preimplantation period of mouse development (Emb-LPD), is sufficient to induce by the blastocyst stage a compensatory growth phenotype in late gestation and postnatally, correlating with increased risk of adult onset cardiovascular disease and behavioural dysfunction. Here, we examine mechanisms of induction of maternal Emb-LPD programming and early compensatory responses by the embryo. Emb-LPD induced changes in maternal serum metabolites at the time of blastocyst formation (E3.5), notably reduced insulin and increased glucose, together with reduced levels of free amino acids (AAs) including branched chain AAs leucine, isoleucine and valine. Emb-LPD also caused reduction in the branched chain AAs within uterine fluid at the blastocyst stage. These maternal changes coincided with an altered content of blastocyst AAs and reduced mTORC1 signalling within blastocysts evident in reduced phosphorylation of effector S6 ribosomal protein and its ratio to total S6 protein but no change in effector 4E-BP1 phosphorylated and total pools. These changes were accompanied by increased proliferation of blastocyst trophectoderm and total cells and subsequent increased spreading of trophoblast cells in blastocyst outgrowths. We propose that induction of metabolic programming following Emb-LPD is achieved through mTORC1signalling which acts as a sensor for preimplantation embryos to detect maternal nutrient levels via branched chain AAs and/or insulin availability. Moreover, this induction step associates with changes in extra-embryonic trophectoderm behaviour occurring as early compensatory responses leading to later nutrient recovery.","author":[{"dropping-particle":"","family":"Eckert","given":"Judith J.","non-dropping-particle":"","parse-names":false,"suffix":""},{"dropping-particle":"","family":"Porter","given":"Richard","non-dropping-particle":"","parse-names":false,"suffix":""},{"dropping-particle":"","family":"Watkins","given":"Adam J.","non-dropping-particle":"","parse-names":false,"suffix":""},{"dropping-particle":"","family":"Burt","given":"Elizabeth","non-dropping-particle":"","parse-names":false,"suffix":""},{"dropping-particle":"","family":"Brooks","given":"Suzanne","non-dropping-particle":"","parse-names":false,"suffix":""},{"dropping-particle":"","family":"Leese","given":"Henry J.","non-dropping-particle":"","parse-names":false,"suffix":""},{"dropping-particle":"","family":"Humpherson","given":"Peter G.","non-dropping-particle":"","parse-names":false,"suffix":""},{"dropping-particle":"","family":"Cameron","given":"Iain T.","non-dropping-particle":"","parse-names":false,"suffix":""},{"dropping-particle":"","family":"Fleming","given":"Tom P.","non-dropping-particle":"","parse-names":false,"suffix":""}],"container-title":"PLoS ONE","editor":[{"dropping-particle":"","family":"Knott","given":"Jason Glenn","non-dropping-particle":"","parse-names":false,"suffix":""}],"id":"ITEM-1","issue":"12","issued":{"date-parts":[["2012","12","27"]]},"page":"e52791","title":"Metabolic Induction and Early Responses of Mouse Blastocyst Developmental Programming following Maternal Low Protein Diet Affecting Life-Long Health","type":"article-journal","volume":"7"},"uris":["http://www.mendeley.com/documents/?uuid=34cfbfde-858e-4bbe-b8a9-07b6a1949d58"]},{"id":"ITEM-2","itemData":{"DOI":"10.1095/biolreprod.108.072595","ISSN":"0006-3363","author":[{"dropping-particle":"","family":"Mitchell","given":"Megan","non-dropping-particle":"","parse-names":false,"suffix":""},{"dropping-particle":"","family":"Schulz","given":"Samantha L.","non-dropping-particle":"","parse-names":false,"suffix":""},{"dropping-particle":"","family":"Armstrong","given":"David T.","non-dropping-particle":"","parse-names":false,"suffix":""},{"dropping-particle":"","family":"Lane","given":"Michelle","non-dropping-particle":"","parse-names":false,"suffix":""}],"container-title":"Biology of Reproduction","id":"ITEM-2","issue":"4","issued":{"date-parts":[["2009"]]},"page":"622-630","title":"Metabolic and Mitochondrial Dysfunction in Early Mouse Embryos Following Maternal Dietary Protein Intervention1","type":"article-journal","volume":"80"},"uris":["http://www.mendeley.com/documents/?uuid=0605cdf9-a42a-4f14-b16f-f0b1f16b5c52"]},{"id":"ITEM-3","itemData":{"ISBN":"0950-1991 (Print)\\r0950-1991 (Linking)","ISSN":"0950-1991","PMID":"10976051","abstract":"Epidemiological studies have indicated that susceptibility of human adults to hypertension and cardiovascular disease may result from intrauterine growth restriction and low birth weight induced by maternal undernutrition. Although the 'foetal origins of adult disease' hypothesis has significant relevance to preventative healthcare, the origin and biological mechanisms of foetal programming are largely unknown. Here, we investigate the origin, embryonic phenotype and potential maternal mechanisms of programming within an established rat model. Maternal low protein diet (LPD) fed during only the preimplantation period of development (0-4.25 days after mating), before return to control diet for the remainder of gestation, induced programming of altered birthweight, postnatal growth rate, hypertension and organ/body-weight ratios in either male or female offspring at up to 12 weeks of age. Preimplantation embryos collected from dams after 0-4.25 days of maternal LPD displayed significantly reduced cell numbers, first within the inner cell mass (ICM; early blastocyst), and later within both ICM and trophectoderm lineages (mid/late blastocyst), apparently induced by a slower rate of cellular proliferation rather than by increased apoptosis. The LPD regimen significantly reduced insulin and essential amino acid levels, and increased glucose levels within maternal serum by day 4 of development. Our data indicate that long-term programming of postnatal growth and physiology can be induced irreversibly during the preimplantation period of development by maternal protein undernutrition. Further, we propose that the mildly hyperglycaemic and amino acid-depleted maternal environment generated by undernutrition may act as an early mechanism of programming and initiate conditions of 'metabolic stress', restricting early embryonic proliferation and the generation of appropriately sized stem-cell lineages.","author":[{"dropping-particle":"","family":"Kwong","given":"W Y","non-dropping-particle":"","parse-names":false,"suffix":""},{"dropping-particle":"","family":"Wild","given":"A E","non-dropping-particle":"","parse-names":false,"suffix":""},{"dropping-particle":"","family":"Roberts","given":"P","non-dropping-particle":"","parse-names":false,"suffix":""},{"dropping-particle":"","family":"Willis","given":"A C","non-dropping-particle":"","parse-names":false,"suffix":""},{"dropping-particle":"","family":"Fleming","given":"T P","non-dropping-particle":"","parse-names":false,"suffix":""}],"container-title":"Development (Cambridge, England)","id":"ITEM-3","issue":"19","issued":{"date-parts":[["2000","10"]]},"page":"4195-202","title":"Maternal undernutrition during the preimplantation period of rat development causes blastocyst abnormalities and programming of postnatal hypertension.","type":"article-journal","volume":"127"},"uris":["http://www.mendeley.com/documents/?uuid=b8bbec59-33bb-4308-ae5d-9f2ece53f190"]}],"mendeley":{"formattedCitation":"(Eckert et al., 2012; Kwong, Wild, Roberts, Willis, &amp; Fleming, 2000; Mitchell, Schulz, Armstrong, &amp; Lane, 2009)","plainTextFormattedCitation":"(Eckert et al., 2012; Kwong, Wild, Roberts, Willis, &amp; Fleming, 2000; Mitchell, Schulz, Armstrong, &amp; Lane, 2009)","previouslyFormattedCitation":"(Eckert et al., 2012; Kwong et al., 2000; Mitchell, Schulz, Armstrong, &amp; Lane, 2009)"},"properties":{"noteIndex":0},"schema":"https://github.com/citation-style-language/schema/raw/master/csl-citation.json"}</w:instrText>
      </w:r>
      <w:r w:rsidR="000369D5" w:rsidRPr="00130EEF">
        <w:rPr>
          <w:color w:val="000000" w:themeColor="text1"/>
        </w:rPr>
        <w:fldChar w:fldCharType="separate"/>
      </w:r>
      <w:r w:rsidR="00C05664" w:rsidRPr="00130EEF">
        <w:rPr>
          <w:noProof/>
          <w:color w:val="000000" w:themeColor="text1"/>
        </w:rPr>
        <w:t>(Eckert et al., 2012; Kwong, Wild, Roberts, Willis, &amp; Fleming, 2000; Mitchell, Schulz, Armstrong, &amp; Lane, 2009)</w:t>
      </w:r>
      <w:r w:rsidR="000369D5" w:rsidRPr="00130EEF">
        <w:rPr>
          <w:color w:val="000000" w:themeColor="text1"/>
        </w:rPr>
        <w:fldChar w:fldCharType="end"/>
      </w:r>
      <w:r w:rsidR="00FE7F17" w:rsidRPr="00130EEF">
        <w:rPr>
          <w:color w:val="000000" w:themeColor="text1"/>
        </w:rPr>
        <w:t xml:space="preserve">, with the changes in the number of TE and ICM cells </w:t>
      </w:r>
      <w:r w:rsidR="005B2370" w:rsidRPr="00130EEF">
        <w:rPr>
          <w:color w:val="000000" w:themeColor="text1"/>
        </w:rPr>
        <w:t xml:space="preserve">in the blastocyst </w:t>
      </w:r>
      <w:r w:rsidR="00FE7F17" w:rsidRPr="00130EEF">
        <w:rPr>
          <w:color w:val="000000" w:themeColor="text1"/>
        </w:rPr>
        <w:t xml:space="preserve">being </w:t>
      </w:r>
      <w:r w:rsidR="008D1689" w:rsidRPr="00130EEF">
        <w:rPr>
          <w:color w:val="000000" w:themeColor="text1"/>
        </w:rPr>
        <w:t xml:space="preserve">accompanied by </w:t>
      </w:r>
      <w:r w:rsidR="005B2370" w:rsidRPr="00130EEF">
        <w:rPr>
          <w:color w:val="000000" w:themeColor="text1"/>
        </w:rPr>
        <w:t xml:space="preserve">the development of </w:t>
      </w:r>
      <w:r w:rsidR="008D1689" w:rsidRPr="00130EEF">
        <w:rPr>
          <w:color w:val="000000" w:themeColor="text1"/>
        </w:rPr>
        <w:t xml:space="preserve">hypertension in the adult offspring. As the </w:t>
      </w:r>
      <w:r w:rsidR="00E50C7B" w:rsidRPr="00130EEF">
        <w:rPr>
          <w:color w:val="000000" w:themeColor="text1"/>
        </w:rPr>
        <w:t>protein-restricted</w:t>
      </w:r>
      <w:r w:rsidR="008D1689" w:rsidRPr="00130EEF">
        <w:rPr>
          <w:color w:val="000000" w:themeColor="text1"/>
        </w:rPr>
        <w:t xml:space="preserve"> diet results in a reduced intake of essential amino acids such as glycine, which plays a key role in </w:t>
      </w:r>
      <w:r w:rsidR="00E50C7B" w:rsidRPr="00130EEF">
        <w:rPr>
          <w:color w:val="000000" w:themeColor="text1"/>
          <w:shd w:val="clear" w:color="auto" w:fill="FFFFFF"/>
        </w:rPr>
        <w:t>one-carbon</w:t>
      </w:r>
      <w:r w:rsidR="008D1689" w:rsidRPr="00130EEF">
        <w:rPr>
          <w:color w:val="000000" w:themeColor="text1"/>
          <w:shd w:val="clear" w:color="auto" w:fill="FFFFFF"/>
        </w:rPr>
        <w:t xml:space="preserve"> metabolism</w:t>
      </w:r>
      <w:r w:rsidR="003621DB" w:rsidRPr="00130EEF">
        <w:rPr>
          <w:color w:val="000000" w:themeColor="text1"/>
          <w:shd w:val="clear" w:color="auto" w:fill="FFFFFF"/>
        </w:rPr>
        <w:t xml:space="preserve"> </w:t>
      </w:r>
      <w:r w:rsidR="00167AE9" w:rsidRPr="00130EEF">
        <w:rPr>
          <w:color w:val="000000" w:themeColor="text1"/>
          <w:shd w:val="clear" w:color="auto" w:fill="FFFFFF"/>
        </w:rPr>
        <w:fldChar w:fldCharType="begin" w:fldLock="1"/>
      </w:r>
      <w:r w:rsidR="00794A24" w:rsidRPr="00130EEF">
        <w:rPr>
          <w:color w:val="000000" w:themeColor="text1"/>
          <w:shd w:val="clear" w:color="auto" w:fill="FFFFFF"/>
        </w:rPr>
        <w:instrText>ADDIN CSL_CITATION {"citationItems":[{"id":"ITEM-1","itemData":{"DOI":"10.1093/jn/125.4.933","author":[{"dropping-particle":"","family":"Bagley","given":"Pamela J","non-dropping-particle":"","parse-names":false,"suffix":""},{"dropping-particle":"","family":"Stipanuk","given":"Martha H","non-dropping-particle":"","parse-names":false,"suffix":""}],"container-title":"The Journal of Nutrition","id":"ITEM-1","issue":"4","issued":{"date-parts":[["1995"]]},"page":"933-940","title":"Rats Fed a Low Protein Diet Supplemented with Sulfur Amino Acids Have Increased Cysteine Dioxygenase Activity and Increased Taurine Production in Hepatocytes","type":"article-journal","volume":"125"},"uris":["http://www.mendeley.com/documents/?uuid=077bea3e-88cc-46e2-a326-82d151fd8920"]}],"mendeley":{"formattedCitation":"(Bagley &amp; Stipanuk, 1995)","plainTextFormattedCitation":"(Bagley &amp; Stipanuk, 1995)","previouslyFormattedCitation":"(Bagley &amp; Stipanuk, 1995)"},"properties":{"noteIndex":0},"schema":"https://github.com/citation-style-language/schema/raw/master/csl-citation.json"}</w:instrText>
      </w:r>
      <w:r w:rsidR="00167AE9" w:rsidRPr="00130EEF">
        <w:rPr>
          <w:color w:val="000000" w:themeColor="text1"/>
          <w:shd w:val="clear" w:color="auto" w:fill="FFFFFF"/>
        </w:rPr>
        <w:fldChar w:fldCharType="separate"/>
      </w:r>
      <w:r w:rsidR="00167AE9" w:rsidRPr="00130EEF">
        <w:rPr>
          <w:noProof/>
          <w:color w:val="000000" w:themeColor="text1"/>
          <w:shd w:val="clear" w:color="auto" w:fill="FFFFFF"/>
        </w:rPr>
        <w:t>(Bagley &amp; Stipanuk, 1995)</w:t>
      </w:r>
      <w:r w:rsidR="00167AE9" w:rsidRPr="00130EEF">
        <w:rPr>
          <w:color w:val="000000" w:themeColor="text1"/>
          <w:shd w:val="clear" w:color="auto" w:fill="FFFFFF"/>
        </w:rPr>
        <w:fldChar w:fldCharType="end"/>
      </w:r>
      <w:r w:rsidR="003621DB" w:rsidRPr="00130EEF">
        <w:rPr>
          <w:color w:val="000000" w:themeColor="text1"/>
          <w:shd w:val="clear" w:color="auto" w:fill="FFFFFF"/>
        </w:rPr>
        <w:t>,</w:t>
      </w:r>
      <w:r w:rsidR="008D1689" w:rsidRPr="00130EEF">
        <w:rPr>
          <w:color w:val="000000" w:themeColor="text1"/>
          <w:shd w:val="clear" w:color="auto" w:fill="FFFFFF"/>
        </w:rPr>
        <w:t xml:space="preserve"> it has been suggested that the</w:t>
      </w:r>
      <w:r w:rsidR="005B2370" w:rsidRPr="00130EEF">
        <w:rPr>
          <w:color w:val="000000" w:themeColor="text1"/>
          <w:shd w:val="clear" w:color="auto" w:fill="FFFFFF"/>
        </w:rPr>
        <w:t xml:space="preserve"> </w:t>
      </w:r>
      <w:r w:rsidR="008D1689" w:rsidRPr="00130EEF">
        <w:rPr>
          <w:color w:val="000000" w:themeColor="text1"/>
          <w:shd w:val="clear" w:color="auto" w:fill="FFFFFF"/>
        </w:rPr>
        <w:t xml:space="preserve">effects </w:t>
      </w:r>
      <w:r w:rsidR="005B2370" w:rsidRPr="00130EEF">
        <w:rPr>
          <w:color w:val="000000" w:themeColor="text1"/>
          <w:shd w:val="clear" w:color="auto" w:fill="FFFFFF"/>
        </w:rPr>
        <w:t xml:space="preserve">of maternal protein restriction </w:t>
      </w:r>
      <w:r w:rsidR="008D1689" w:rsidRPr="00130EEF">
        <w:rPr>
          <w:color w:val="000000" w:themeColor="text1"/>
          <w:shd w:val="clear" w:color="auto" w:fill="FFFFFF"/>
        </w:rPr>
        <w:t xml:space="preserve">on the embryo and offspring </w:t>
      </w:r>
      <w:r w:rsidR="00D44A44" w:rsidRPr="00130EEF">
        <w:rPr>
          <w:color w:val="000000" w:themeColor="text1"/>
          <w:shd w:val="clear" w:color="auto" w:fill="FFFFFF"/>
        </w:rPr>
        <w:t xml:space="preserve">may </w:t>
      </w:r>
      <w:r w:rsidR="005B2370" w:rsidRPr="00130EEF">
        <w:rPr>
          <w:color w:val="000000" w:themeColor="text1"/>
          <w:shd w:val="clear" w:color="auto" w:fill="FFFFFF"/>
        </w:rPr>
        <w:t>result from the impaired supply of methyl groups and changes to the epigenetic processes that govern</w:t>
      </w:r>
      <w:r w:rsidR="008D1689" w:rsidRPr="00130EEF">
        <w:rPr>
          <w:color w:val="000000" w:themeColor="text1"/>
          <w:shd w:val="clear" w:color="auto" w:fill="FFFFFF"/>
        </w:rPr>
        <w:t xml:space="preserve"> lineage determination, consistent with findings from this study.</w:t>
      </w:r>
      <w:r w:rsidR="00AE5457" w:rsidRPr="00130EEF">
        <w:rPr>
          <w:color w:val="000000" w:themeColor="text1"/>
          <w:shd w:val="clear" w:color="auto" w:fill="FFFFFF"/>
        </w:rPr>
        <w:t xml:space="preserve"> </w:t>
      </w:r>
      <w:r w:rsidR="00D10409" w:rsidRPr="00130EEF">
        <w:rPr>
          <w:color w:val="000000" w:themeColor="text1"/>
          <w:shd w:val="clear" w:color="auto" w:fill="FFFFFF"/>
        </w:rPr>
        <w:t>Indeed</w:t>
      </w:r>
      <w:r w:rsidR="00AE5457" w:rsidRPr="00130EEF">
        <w:rPr>
          <w:color w:val="000000" w:themeColor="text1"/>
          <w:shd w:val="clear" w:color="auto" w:fill="FFFFFF"/>
        </w:rPr>
        <w:t>, direct changes in epigenetic regulation during development have been identified in response to periconception maternal protein restriction</w:t>
      </w:r>
      <w:r w:rsidR="00E02E17" w:rsidRPr="00130EEF">
        <w:rPr>
          <w:color w:val="000000" w:themeColor="text1"/>
          <w:shd w:val="clear" w:color="auto" w:fill="FFFFFF"/>
        </w:rPr>
        <w:t xml:space="preserve"> </w:t>
      </w:r>
      <w:r w:rsidR="00E02E17" w:rsidRPr="00130EEF">
        <w:rPr>
          <w:color w:val="000000" w:themeColor="text1"/>
          <w:shd w:val="clear" w:color="auto" w:fill="FFFFFF"/>
        </w:rPr>
        <w:fldChar w:fldCharType="begin" w:fldLock="1"/>
      </w:r>
      <w:r w:rsidR="001C3F6E" w:rsidRPr="00130EEF">
        <w:rPr>
          <w:color w:val="000000" w:themeColor="text1"/>
          <w:shd w:val="clear" w:color="auto" w:fill="FFFFFF"/>
        </w:rPr>
        <w:instrText>ADDIN CSL_CITATION {"citationItems":[{"id":"ITEM-1","itemData":{"DOI":"10.1186/s12861-015-0053-1","ISSN":"1471-213X","author":[{"dropping-particle":"","family":"Sun","given":"Congshan","non-dropping-particle":"","parse-names":false,"suffix":""},{"dropping-particle":"","family":"Denisenko","given":"Oleg","non-dropping-particle":"","parse-names":false,"suffix":""},{"dropping-particle":"","family":"Sheth","given":"Bhavwanti","non-dropping-particle":"","parse-names":false,"suffix":""},{"dropping-particle":"","family":"Cox","given":"Andy","non-dropping-particle":"","parse-names":false,"suffix":""},{"dropping-particle":"","family":"Lucas","given":"Emma S","non-dropping-particle":"","parse-names":false,"suffix":""},{"dropping-particle":"","family":"Smyth","given":"Neil R","non-dropping-particle":"","parse-names":false,"suffix":""},{"dropping-particle":"","family":"Fleming","given":"Tom P","non-dropping-particle":"","parse-names":false,"suffix":""}],"container-title":"BMC Developmental Biology","id":"ITEM-1","issue":"1","issued":{"date-parts":[["2015"]]},"page":"3","title":"Epigenetic regulation of histone modifications and Gata6 gene expression induced by maternal diet in mouse embryoid bodies in a model of developmental programming","type":"article-journal","volume":"15"},"uris":["http://www.mendeley.com/documents/?uuid=cfc7af54-ab81-48ce-b591-a1060eba31fb"]},{"id":"ITEM-2","itemData":{"DOI":"10.1016/j.bbagrm.2016.04.001","ISSN":"18749399","author":[{"dropping-particle":"","family":"Denisenko","given":"Oleg","non-dropping-particle":"","parse-names":false,"suffix":""},{"dropping-particle":"","family":"Lucas","given":"Emma S.","non-dropping-particle":"","parse-names":false,"suffix":""},{"dropping-particle":"","family":"Sun","given":"Congshan","non-dropping-particle":"","parse-names":false,"suffix":""},{"dropping-particle":"","family":"Watkins","given":"Adam J.","non-dropping-particle":"","parse-names":false,"suffix":""},{"dropping-particle":"","family":"Mar","given":"Daniel","non-dropping-particle":"","parse-names":false,"suffix":""},{"dropping-particle":"","family":"Bomsztyk","given":"Karol","non-dropping-particle":"","parse-names":false,"suffix":""},{"dropping-particle":"","family":"Fleming","given":"Tom P.","non-dropping-particle":"","parse-names":false,"suffix":""}],"container-title":"Biochimica et Biophysica Acta (BBA) - Gene Regulatory Mechanisms","id":"ITEM-2","issue":"7","issued":{"date-parts":[["2016","7"]]},"page":"906-913","publisher":"The Authors","title":"Regulation of ribosomal RNA expression across the lifespan is fine-tuned by maternal diet before implantation","type":"article-journal","volume":"1859"},"uris":["http://www.mendeley.com/documents/?uuid=3abd14dd-78f4-4345-b542-654e4ce4e745"]}],"mendeley":{"formattedCitation":"(Denisenko et al., 2016; Sun et al., 2015)","plainTextFormattedCitation":"(Denisenko et al., 2016; Sun et al., 2015)","previouslyFormattedCitation":"(Denisenko et al., 2016; Sun et al., 2015)"},"properties":{"noteIndex":0},"schema":"https://github.com/citation-style-language/schema/raw/master/csl-citation.json"}</w:instrText>
      </w:r>
      <w:r w:rsidR="00E02E17" w:rsidRPr="00130EEF">
        <w:rPr>
          <w:color w:val="000000" w:themeColor="text1"/>
          <w:shd w:val="clear" w:color="auto" w:fill="FFFFFF"/>
        </w:rPr>
        <w:fldChar w:fldCharType="separate"/>
      </w:r>
      <w:r w:rsidR="00E02E17" w:rsidRPr="00130EEF">
        <w:rPr>
          <w:noProof/>
          <w:color w:val="000000" w:themeColor="text1"/>
          <w:shd w:val="clear" w:color="auto" w:fill="FFFFFF"/>
        </w:rPr>
        <w:t>(Denisenko et al., 2016; Sun et al., 2015)</w:t>
      </w:r>
      <w:r w:rsidR="00E02E17" w:rsidRPr="00130EEF">
        <w:rPr>
          <w:color w:val="000000" w:themeColor="text1"/>
          <w:shd w:val="clear" w:color="auto" w:fill="FFFFFF"/>
        </w:rPr>
        <w:fldChar w:fldCharType="end"/>
      </w:r>
      <w:r w:rsidR="00E02E17" w:rsidRPr="00130EEF">
        <w:rPr>
          <w:color w:val="000000" w:themeColor="text1"/>
          <w:shd w:val="clear" w:color="auto" w:fill="FFFFFF"/>
        </w:rPr>
        <w:t>.</w:t>
      </w:r>
      <w:r w:rsidR="00AE5457" w:rsidRPr="00130EEF">
        <w:rPr>
          <w:color w:val="000000" w:themeColor="text1"/>
          <w:shd w:val="clear" w:color="auto" w:fill="FFFFFF"/>
        </w:rPr>
        <w:t xml:space="preserve"> </w:t>
      </w:r>
    </w:p>
    <w:p w14:paraId="619CD73A" w14:textId="77777777" w:rsidR="00FE7F17" w:rsidRPr="00130EEF" w:rsidRDefault="00FE7F17" w:rsidP="00FE7F17">
      <w:pPr>
        <w:rPr>
          <w:color w:val="000000" w:themeColor="text1"/>
        </w:rPr>
      </w:pPr>
    </w:p>
    <w:p w14:paraId="1E1DBBFE" w14:textId="1F137637" w:rsidR="00622D39" w:rsidRPr="00130EEF" w:rsidRDefault="00FE7F17" w:rsidP="00622D39">
      <w:pPr>
        <w:spacing w:line="480" w:lineRule="auto"/>
        <w:ind w:firstLine="720"/>
        <w:rPr>
          <w:color w:val="000000" w:themeColor="text1"/>
        </w:rPr>
      </w:pPr>
      <w:r w:rsidRPr="00130EEF">
        <w:rPr>
          <w:color w:val="000000" w:themeColor="text1"/>
        </w:rPr>
        <w:t xml:space="preserve">The mRNA and protein expression of the TE lineage marker CDX2 was </w:t>
      </w:r>
      <w:r w:rsidR="00ED3512" w:rsidRPr="00130EEF">
        <w:rPr>
          <w:color w:val="000000" w:themeColor="text1"/>
        </w:rPr>
        <w:t xml:space="preserve">also </w:t>
      </w:r>
      <w:r w:rsidRPr="00130EEF">
        <w:rPr>
          <w:color w:val="000000" w:themeColor="text1"/>
        </w:rPr>
        <w:t xml:space="preserve">lower in the HFA-HFA group </w:t>
      </w:r>
      <w:r w:rsidR="00ED3512" w:rsidRPr="00130EEF">
        <w:rPr>
          <w:color w:val="000000" w:themeColor="text1"/>
        </w:rPr>
        <w:t xml:space="preserve">compared to the </w:t>
      </w:r>
      <w:r w:rsidRPr="00130EEF">
        <w:rPr>
          <w:color w:val="000000" w:themeColor="text1"/>
        </w:rPr>
        <w:t xml:space="preserve">Con-Con group, consistent with the reduction in the number of TE cells. CDX2 is a transcription factor that is required for TE cell fate specification in the early mouse embryo </w:t>
      </w:r>
      <w:r w:rsidR="00167AE9" w:rsidRPr="00130EEF">
        <w:rPr>
          <w:color w:val="000000" w:themeColor="text1"/>
        </w:rPr>
        <w:fldChar w:fldCharType="begin" w:fldLock="1"/>
      </w:r>
      <w:r w:rsidR="00167AE9" w:rsidRPr="00130EEF">
        <w:rPr>
          <w:color w:val="000000" w:themeColor="text1"/>
        </w:rPr>
        <w:instrText>ADDIN CSL_CITATION {"citationItems":[{"id":"ITEM-1","itemData":{"DOI":"10.1242/dev.01801","ISSN":"0950-1991","author":[{"dropping-particle":"","family":"Strumpf","given":"D.","non-dropping-particle":"","parse-names":false,"suffix":""},{"dropping-particle":"","family":"Mao","given":"Chai-An","non-dropping-particle":"","parse-names":false,"suffix":""},{"dropping-particle":"","family":"Yamanaka","given":"Yojiro","non-dropping-particle":"","parse-names":false,"suffix":""},{"dropping-particle":"","family":"Ralston","given":"Amy","non-dropping-particle":"","parse-names":false,"suffix":""},{"dropping-particle":"","family":"Chawengsaksophak","given":"K","non-dropping-particle":"","parse-names":false,"suffix":""},{"dropping-particle":"","family":"Beck","given":"Felix","non-dropping-particle":"","parse-names":false,"suffix":""},{"dropping-particle":"","family":"Rossant","given":"Janet","non-dropping-particle":"","parse-names":false,"suffix":""}],"container-title":"Development","id":"ITEM-1","issue":"9","issued":{"date-parts":[["2005"]]},"note":"Cdx2, \n(forward) 5′-gcagtccctaggaagccaagtga-3′ \n(reverse) 5′-ctctcggagagcccaagtgtg-3′ \n(35 cycles; product size 162 bp)","page":"2093-2102","title":"Cdx2 is required for correct cell fate specification and differentiation of trophectoderm in the mouse blastocyst","type":"article-journal","volume":"132"},"uris":["http://www.mendeley.com/documents/?uuid=97ccbbef-2074-4c38-a03b-e5ccdcbb56d4"]}],"mendeley":{"formattedCitation":"(Strumpf et al., 2005)","plainTextFormattedCitation":"(Strumpf et al., 2005)","previouslyFormattedCitation":"(Strumpf et al., 2005)"},"properties":{"noteIndex":0},"schema":"https://github.com/citation-style-language/schema/raw/master/csl-citation.json"}</w:instrText>
      </w:r>
      <w:r w:rsidR="00167AE9" w:rsidRPr="00130EEF">
        <w:rPr>
          <w:color w:val="000000" w:themeColor="text1"/>
        </w:rPr>
        <w:fldChar w:fldCharType="separate"/>
      </w:r>
      <w:r w:rsidR="00167AE9" w:rsidRPr="00130EEF">
        <w:rPr>
          <w:noProof/>
          <w:color w:val="000000" w:themeColor="text1"/>
        </w:rPr>
        <w:t>(Strumpf et al., 2005)</w:t>
      </w:r>
      <w:r w:rsidR="00167AE9" w:rsidRPr="00130EEF">
        <w:rPr>
          <w:color w:val="000000" w:themeColor="text1"/>
        </w:rPr>
        <w:fldChar w:fldCharType="end"/>
      </w:r>
      <w:r w:rsidRPr="00130EEF">
        <w:rPr>
          <w:color w:val="000000" w:themeColor="text1"/>
        </w:rPr>
        <w:t xml:space="preserve">. At the blastocyst stage, CDX2 is expressed specifically in TE cells </w:t>
      </w:r>
      <w:r w:rsidR="00167AE9" w:rsidRPr="00130EEF">
        <w:rPr>
          <w:color w:val="000000" w:themeColor="text1"/>
        </w:rPr>
        <w:fldChar w:fldCharType="begin" w:fldLock="1"/>
      </w:r>
      <w:r w:rsidR="00167AE9" w:rsidRPr="00130EEF">
        <w:rPr>
          <w:color w:val="000000" w:themeColor="text1"/>
        </w:rPr>
        <w:instrText>ADDIN CSL_CITATION {"citationItems":[{"id":"ITEM-1","itemData":{"DOI":"10.1016/j.ydbio.2007.10.054","ISBN":"1095-564X (Electronic)\\r0012-1606 (Linking)","ISSN":"00121606","PMID":"18067887","abstract":"The first lineage decision during mouse development is the establishment of trophectoderm and inner cell mass lineages, morphologically distinguishable at the blastocyst stage. The Caudal-like transcription factor Cdx2 is required for repression of inner cell mass genes Oct4 and Nanog in the trophectoderm. Expression of Cdx2 in the trophectoderm is thus one of the earliest known events in lineage determination. However, it is not clear whether the Cdx2 expression pattern is the cause or the consequence of this first lineage decision. Here, we show that Cdx2 is initially ubiquitously expressed, and becomes progressively upregulated in outside, future trophectoderm cells prior to blastocyst formation. Ubiquitous Cdx2 expression begins around the time of cell polarization, but we show that cell polarization is independent of zygotic Cdx2. Finally, we show functionally that Cdx2 is downstream of lineage allocation since Cdx2 mutant cells, which show cell-autonomous defects in expression of Oct4, Nanog, and the trophectoderm marker Eomesodermin, do not preferentially contribute to inner cell mass in chimeric blastocysts. Cdx2 therefore appears to act downstream of the first lineage decision, suggesting that processes influencing lineage allocation or morphogenesis may regulate Cdx2 expression along the inside/outside axis of the embryo. © 2007 Elsevier Inc. All rights reserved.","author":[{"dropping-particle":"","family":"Ralston","given":"Amy","non-dropping-particle":"","parse-names":false,"suffix":""},{"dropping-particle":"","family":"Rossant","given":"Janet","non-dropping-particle":"","parse-names":false,"suffix":""}],"container-title":"Developmental Biology","id":"ITEM-1","issue":"2","issued":{"date-parts":[["2008","1"]]},"page":"614-629","title":"Cdx2 acts downstream of cell polarization to cell-autonomously promote trophectoderm fate in the early mouse embryo","type":"article-journal","volume":"313"},"uris":["http://www.mendeley.com/documents/?uuid=303d3c3b-04fb-4849-a0fe-d65b99536669"]}],"mendeley":{"formattedCitation":"(Ralston &amp; Rossant, 2008)","plainTextFormattedCitation":"(Ralston &amp; Rossant, 2008)","previouslyFormattedCitation":"(Ralston &amp; Rossant, 2008)"},"properties":{"noteIndex":0},"schema":"https://github.com/citation-style-language/schema/raw/master/csl-citation.json"}</w:instrText>
      </w:r>
      <w:r w:rsidR="00167AE9" w:rsidRPr="00130EEF">
        <w:rPr>
          <w:color w:val="000000" w:themeColor="text1"/>
        </w:rPr>
        <w:fldChar w:fldCharType="separate"/>
      </w:r>
      <w:r w:rsidR="00167AE9" w:rsidRPr="00130EEF">
        <w:rPr>
          <w:noProof/>
          <w:color w:val="000000" w:themeColor="text1"/>
        </w:rPr>
        <w:t>(Ralston &amp; Rossant, 2008)</w:t>
      </w:r>
      <w:r w:rsidR="00167AE9" w:rsidRPr="00130EEF">
        <w:rPr>
          <w:color w:val="000000" w:themeColor="text1"/>
        </w:rPr>
        <w:fldChar w:fldCharType="end"/>
      </w:r>
      <w:r w:rsidRPr="00130EEF">
        <w:rPr>
          <w:color w:val="000000" w:themeColor="text1"/>
        </w:rPr>
        <w:t xml:space="preserve">. </w:t>
      </w:r>
      <w:r w:rsidR="00714956" w:rsidRPr="00130EEF">
        <w:rPr>
          <w:color w:val="000000" w:themeColor="text1"/>
        </w:rPr>
        <w:t xml:space="preserve">Activation of </w:t>
      </w:r>
      <w:r w:rsidRPr="00130EEF">
        <w:rPr>
          <w:color w:val="000000" w:themeColor="text1"/>
        </w:rPr>
        <w:t>CDX2</w:t>
      </w:r>
      <w:r w:rsidR="00CF7EC0" w:rsidRPr="00130EEF">
        <w:rPr>
          <w:color w:val="000000" w:themeColor="text1"/>
        </w:rPr>
        <w:t xml:space="preserve"> </w:t>
      </w:r>
      <w:r w:rsidRPr="00130EEF">
        <w:rPr>
          <w:color w:val="000000" w:themeColor="text1"/>
        </w:rPr>
        <w:t>in the outer cells, lead</w:t>
      </w:r>
      <w:r w:rsidR="00D44A44" w:rsidRPr="00130EEF">
        <w:rPr>
          <w:color w:val="000000" w:themeColor="text1"/>
        </w:rPr>
        <w:t xml:space="preserve">s </w:t>
      </w:r>
      <w:r w:rsidRPr="00130EEF">
        <w:rPr>
          <w:color w:val="000000" w:themeColor="text1"/>
        </w:rPr>
        <w:lastRenderedPageBreak/>
        <w:t xml:space="preserve">to the repression of OCT4/NANOG expression and the differentiation of </w:t>
      </w:r>
      <w:r w:rsidR="00714956" w:rsidRPr="00130EEF">
        <w:rPr>
          <w:color w:val="000000" w:themeColor="text1"/>
        </w:rPr>
        <w:t xml:space="preserve">the </w:t>
      </w:r>
      <w:r w:rsidRPr="00130EEF">
        <w:rPr>
          <w:color w:val="000000" w:themeColor="text1"/>
        </w:rPr>
        <w:t xml:space="preserve">totipotent cells into TE cells </w:t>
      </w:r>
      <w:r w:rsidR="00167AE9" w:rsidRPr="00130EEF">
        <w:rPr>
          <w:color w:val="000000" w:themeColor="text1"/>
        </w:rPr>
        <w:fldChar w:fldCharType="begin" w:fldLock="1"/>
      </w:r>
      <w:r w:rsidR="00167AE9" w:rsidRPr="00130EEF">
        <w:rPr>
          <w:color w:val="000000" w:themeColor="text1"/>
        </w:rPr>
        <w:instrText>ADDIN CSL_CITATION {"citationItems":[{"id":"ITEM-1","itemData":{"DOI":"10.1038/s41598-017-16009-w","ISSN":"20452322","abstract":"The first cellular differentiation event in mouse development leads to the formation of the blastocyst consisting of the inner cell mass (ICM) and trophectoderm (TE). The transcription factor CDX2 is required for proper TE specification, where it promotes expression of TE genes, and represses expression of Pou5f1 (OCT4). However its downstream network in the developing embryo is not fully characterized. Here, we performed high-throughput single embryo qPCR analysis in Cdx2 null embryos to identify CDX2-regulated targets in vivo. To identify genes likely to be regulated by CDX2 directly, we performed CDX2 ChIP-Seq on trophoblast stem (TS) cells. In addition, we examined the dynamics of gene expression changes using inducible CDX2 embryonic stem (ES) cells, so that we could predict which CDX2-bound genes are activated or repressed by CDX2 binding. By integrating these data with observations of chromatin modifications, we identify putative novel regulatory elements that repress gene expression in a lineage-specific manner. Interestingly, we found CDX2 binding sites within regulatory elements of key pluripotent genes such as Pou5f1 and Nanog, pointing to the existence of a novel mechanism by which CDX2 maintains repression of OCT4 in trophoblast. Our study proposes a general mechanism in regulating lineage segregation during mammalian development.","author":[{"dropping-particle":"","family":"Huang","given":"Daosheng","non-dropping-particle":"","parse-names":false,"suffix":""},{"dropping-particle":"","family":"Guo","given":"Guoji","non-dropping-particle":"","parse-names":false,"suffix":""},{"dropping-particle":"","family":"Yuan","given":"Ping","non-dropping-particle":"","parse-names":false,"suffix":""},{"dropping-particle":"","family":"Ralston","given":"Amy","non-dropping-particle":"","parse-names":false,"suffix":""},{"dropping-particle":"","family":"Sun","given":"Lingang","non-dropping-particle":"","parse-names":false,"suffix":""},{"dropping-particle":"","family":"Huss","given":"Mikael","non-dropping-particle":"","parse-names":false,"suffix":""},{"dropping-particle":"","family":"Mistri","given":"Tapan","non-dropping-particle":"","parse-names":false,"suffix":""},{"dropping-particle":"","family":"Pinello","given":"Luca","non-dropping-particle":"","parse-names":false,"suffix":""},{"dropping-particle":"","family":"Ng","given":"Huck Hui","non-dropping-particle":"","parse-names":false,"suffix":""},{"dropping-particle":"","family":"Yuan","given":"Guocheng","non-dropping-particle":"","parse-names":false,"suffix":""},{"dropping-particle":"","family":"Ji","given":"Junfeng","non-dropping-particle":"","parse-names":false,"suffix":""},{"dropping-particle":"","family":"Rossant","given":"Janet","non-dropping-particle":"","parse-names":false,"suffix":""},{"dropping-particle":"","family":"Robson","given":"Paul","non-dropping-particle":"","parse-names":false,"suffix":""},{"dropping-particle":"","family":"Han","given":"Xiaoping","non-dropping-particle":"","parse-names":false,"suffix":""}],"container-title":"Scientific Reports","id":"ITEM-1","issue":"1","issued":{"date-parts":[["2017"]]},"page":"1-10","publisher":"Springer US","title":"The role of Cdx2 as a lineage specific transcriptional repressor for pluripotent network during the first developmental cell lineage segregation","type":"article-journal","volume":"7"},"uris":["http://www.mendeley.com/documents/?uuid=9afd1155-93a9-4824-9d9b-a7ef2639635f"]},{"id":"ITEM-2","itemData":{"DOI":"10.1016/j.mod.2007.11.002","ISBN":"0925-4773","ISSN":"09254773","PMID":"18083014","abstract":"During pre-implantation mouse development, embryos form blastocysts with establishment of the first two cell lineages: the trophectoderm (TE) which gives rise to the placenta, and the inner cell mass (ICM) which will form the embryo proper. Differentiation of TE is regulated by the transcription factor Caudal-related homeobox 2 (Cdx2), but the mechanisms which act upstream of Cdx2 expression remain unknown. Here we show that the TEA domain family transcription factor, Tead4, is required for TE development. Tead1, Tead2 and Tead4 were expressed in pre-implantation embryos, and at least Tead1 and Tead4 were expressed widely in both TE and ICM lineages. Tead4-/- embryos died at pre-implantation stages without forming the blastocoel. The mutant embryos continued cell proliferation, and adherens junction and cell polarity were not significantly affected. In Tead4-/- embryos, Cdx2 was weakly expressed at the morula stage but was not expressed in later stages. None of the TE specific genes, including Eomes and a Cdx2 independent gene, Fgfr2, was detected in Tead4-/- embryos. Instead, the ICM specific transcription factors, Oct3/4 and Nanog, were expressed in all the blastomeres. Tead4-/- embryos also failed to differentiate trophoblast giant cells when they were cultured in vitro. ES cells with normal in vitro differentiation abilities were established from Tead4-/- embryos. These results suggest that Tead4 has a distinct role from Tead1 and Tead2 in trophectoderm specification of pre-implantation embryos, and that Tead4 is an early transcription factor required for specification and development of the trophectoderm lineage, which includes expression of Cdx2. © 2007 Elsevier Ireland Ltd. All rights reserved.","author":[{"dropping-particle":"","family":"Nishioka","given":"Noriyuki","non-dropping-particle":"","parse-names":false,"suffix":""},{"dropping-particle":"","family":"Yamamoto","given":"Shinji","non-dropping-particle":"","parse-names":false,"suffix":""},{"dropping-particle":"","family":"Kiyonari","given":"Hiroshi","non-dropping-particle":"","parse-names":false,"suffix":""},{"dropping-particle":"","family":"Sato","given":"Hiroko","non-dropping-particle":"","parse-names":false,"suffix":""},{"dropping-particle":"","family":"Sawada","given":"Atsushi","non-dropping-particle":"","parse-names":false,"suffix":""},{"dropping-particle":"","family":"Ota","given":"Mitsunori","non-dropping-particle":"","parse-names":false,"suffix":""},{"dropping-particle":"","family":"Nakao","given":"Kazuki","non-dropping-particle":"","parse-names":false,"suffix":""},{"dropping-particle":"","family":"Sasaki","given":"Hiroshi","non-dropping-particle":"","parse-names":false,"suffix":""}],"container-title":"Mechanisms of Development","id":"ITEM-2","issue":"3-4","issued":{"date-parts":[["2008","3"]]},"page":"270-283","title":"Tead4 is required for specification of trophectoderm in pre-implantation mouse embryos","type":"article-journal","volume":"125"},"uris":["http://www.mendeley.com/documents/?uuid=94abb6f5-abf3-49f1-847e-f289ebbbb693"]}],"mendeley":{"formattedCitation":"(D. Huang et al., 2017; Nishioka et al., 2008)","plainTextFormattedCitation":"(D. Huang et al., 2017; Nishioka et al., 2008)","previouslyFormattedCitation":"(D. Huang et al., 2017; Nishioka et al., 2008)"},"properties":{"noteIndex":0},"schema":"https://github.com/citation-style-language/schema/raw/master/csl-citation.json"}</w:instrText>
      </w:r>
      <w:r w:rsidR="00167AE9" w:rsidRPr="00130EEF">
        <w:rPr>
          <w:color w:val="000000" w:themeColor="text1"/>
        </w:rPr>
        <w:fldChar w:fldCharType="separate"/>
      </w:r>
      <w:r w:rsidR="00167AE9" w:rsidRPr="00130EEF">
        <w:rPr>
          <w:noProof/>
          <w:color w:val="000000" w:themeColor="text1"/>
          <w:lang w:val="en-US"/>
        </w:rPr>
        <w:t>(D. Huang et al., 2017; Nishioka et al., 2008)</w:t>
      </w:r>
      <w:r w:rsidR="00167AE9" w:rsidRPr="00130EEF">
        <w:rPr>
          <w:color w:val="000000" w:themeColor="text1"/>
        </w:rPr>
        <w:fldChar w:fldCharType="end"/>
      </w:r>
      <w:r w:rsidRPr="00130EEF">
        <w:rPr>
          <w:color w:val="000000" w:themeColor="text1"/>
          <w:lang w:val="en-US"/>
        </w:rPr>
        <w:t xml:space="preserve">. </w:t>
      </w:r>
      <w:r w:rsidR="00714956" w:rsidRPr="00130EEF">
        <w:rPr>
          <w:color w:val="000000" w:themeColor="text1"/>
        </w:rPr>
        <w:t>T</w:t>
      </w:r>
      <w:r w:rsidR="001C5850" w:rsidRPr="00130EEF">
        <w:rPr>
          <w:color w:val="000000" w:themeColor="text1"/>
        </w:rPr>
        <w:t>he decrease</w:t>
      </w:r>
      <w:r w:rsidR="00714956" w:rsidRPr="00130EEF">
        <w:rPr>
          <w:color w:val="000000" w:themeColor="text1"/>
        </w:rPr>
        <w:t xml:space="preserve"> in </w:t>
      </w:r>
      <w:r w:rsidR="001C5850" w:rsidRPr="00130EEF">
        <w:rPr>
          <w:color w:val="000000" w:themeColor="text1"/>
        </w:rPr>
        <w:t xml:space="preserve">CDX2 expression </w:t>
      </w:r>
      <w:r w:rsidR="00714956" w:rsidRPr="00130EEF">
        <w:rPr>
          <w:color w:val="000000" w:themeColor="text1"/>
        </w:rPr>
        <w:t xml:space="preserve">observed in this study </w:t>
      </w:r>
      <w:r w:rsidR="001C5850" w:rsidRPr="00130EEF">
        <w:rPr>
          <w:color w:val="000000" w:themeColor="text1"/>
        </w:rPr>
        <w:t>may reflect the lower number of TE cells</w:t>
      </w:r>
      <w:r w:rsidR="00D10409" w:rsidRPr="00130EEF">
        <w:rPr>
          <w:color w:val="000000" w:themeColor="text1"/>
        </w:rPr>
        <w:t xml:space="preserve"> but i</w:t>
      </w:r>
      <w:r w:rsidR="007B3564" w:rsidRPr="00130EEF">
        <w:rPr>
          <w:color w:val="000000" w:themeColor="text1"/>
        </w:rPr>
        <w:t>t is also possible that</w:t>
      </w:r>
      <w:r w:rsidR="001C5850" w:rsidRPr="00130EEF">
        <w:rPr>
          <w:color w:val="000000" w:themeColor="text1"/>
        </w:rPr>
        <w:t xml:space="preserve"> lower CDX2 expression may </w:t>
      </w:r>
      <w:r w:rsidR="00714956" w:rsidRPr="00130EEF">
        <w:rPr>
          <w:color w:val="000000" w:themeColor="text1"/>
        </w:rPr>
        <w:t xml:space="preserve">result </w:t>
      </w:r>
      <w:r w:rsidR="00A71D1D" w:rsidRPr="00130EEF">
        <w:rPr>
          <w:color w:val="000000" w:themeColor="text1"/>
        </w:rPr>
        <w:t>in</w:t>
      </w:r>
      <w:r w:rsidR="006E3230" w:rsidRPr="00130EEF">
        <w:rPr>
          <w:color w:val="000000" w:themeColor="text1"/>
        </w:rPr>
        <w:t xml:space="preserve"> </w:t>
      </w:r>
      <w:r w:rsidR="00714956" w:rsidRPr="00130EEF">
        <w:rPr>
          <w:color w:val="000000" w:themeColor="text1"/>
        </w:rPr>
        <w:t>a</w:t>
      </w:r>
      <w:r w:rsidR="001C5850" w:rsidRPr="00130EEF">
        <w:rPr>
          <w:color w:val="000000" w:themeColor="text1"/>
        </w:rPr>
        <w:t xml:space="preserve"> reduction in the number of TE cells. </w:t>
      </w:r>
      <w:r w:rsidR="007B07ED" w:rsidRPr="00130EEF">
        <w:rPr>
          <w:color w:val="000000" w:themeColor="text1"/>
        </w:rPr>
        <w:t>Loss of CDX2 in m</w:t>
      </w:r>
      <w:r w:rsidR="00D10409" w:rsidRPr="00130EEF">
        <w:rPr>
          <w:color w:val="000000" w:themeColor="text1"/>
        </w:rPr>
        <w:t>ouse</w:t>
      </w:r>
      <w:r w:rsidR="007B07ED" w:rsidRPr="00130EEF">
        <w:rPr>
          <w:color w:val="000000" w:themeColor="text1"/>
        </w:rPr>
        <w:t xml:space="preserve"> embryos has</w:t>
      </w:r>
      <w:r w:rsidR="000F18E1" w:rsidRPr="00130EEF">
        <w:rPr>
          <w:color w:val="000000" w:themeColor="text1"/>
        </w:rPr>
        <w:t xml:space="preserve"> </w:t>
      </w:r>
      <w:r w:rsidR="007A4BB8" w:rsidRPr="00130EEF">
        <w:rPr>
          <w:color w:val="000000" w:themeColor="text1"/>
        </w:rPr>
        <w:t xml:space="preserve">been </w:t>
      </w:r>
      <w:r w:rsidR="007B07ED" w:rsidRPr="00130EEF">
        <w:rPr>
          <w:color w:val="000000" w:themeColor="text1"/>
        </w:rPr>
        <w:t xml:space="preserve">reported to lead to a failure to repress OCT4 and NANOG expression in the TE lineage, and impaired implantation </w:t>
      </w:r>
      <w:r w:rsidR="00167AE9" w:rsidRPr="00130EEF">
        <w:rPr>
          <w:color w:val="000000" w:themeColor="text1"/>
        </w:rPr>
        <w:fldChar w:fldCharType="begin" w:fldLock="1"/>
      </w:r>
      <w:r w:rsidR="00167AE9" w:rsidRPr="00130EEF">
        <w:rPr>
          <w:color w:val="000000" w:themeColor="text1"/>
        </w:rPr>
        <w:instrText>ADDIN CSL_CITATION {"citationItems":[{"id":"ITEM-1","itemData":{"DOI":"10.1242/dev.01801","ISSN":"0950-1991","author":[{"dropping-particle":"","family":"Strumpf","given":"D.","non-dropping-particle":"","parse-names":false,"suffix":""},{"dropping-particle":"","family":"Mao","given":"Chai-An","non-dropping-particle":"","parse-names":false,"suffix":""},{"dropping-particle":"","family":"Yamanaka","given":"Yojiro","non-dropping-particle":"","parse-names":false,"suffix":""},{"dropping-particle":"","family":"Ralston","given":"Amy","non-dropping-particle":"","parse-names":false,"suffix":""},{"dropping-particle":"","family":"Chawengsaksophak","given":"K","non-dropping-particle":"","parse-names":false,"suffix":""},{"dropping-particle":"","family":"Beck","given":"Felix","non-dropping-particle":"","parse-names":false,"suffix":""},{"dropping-particle":"","family":"Rossant","given":"Janet","non-dropping-particle":"","parse-names":false,"suffix":""}],"container-title":"Development","id":"ITEM-1","issue":"9","issued":{"date-parts":[["2005"]]},"note":"Cdx2, \n(forward) 5′-gcagtccctaggaagccaagtga-3′ \n(reverse) 5′-ctctcggagagcccaagtgtg-3′ \n(35 cycles; product size 162 bp)","page":"2093-2102","title":"Cdx2 is required for correct cell fate specification and differentiation of trophectoderm in the mouse blastocyst","type":"article-journal","volume":"132"},"uris":["http://www.mendeley.com/documents/?uuid=97ccbbef-2074-4c38-a03b-e5ccdcbb56d4"]},{"id":"ITEM-2","itemData":{"DOI":"10.1242/dev.056630","ISBN":"1477-9129 (Electronic)\\r0950-1991 (Linking)","ISSN":"0950-1991","PMID":"21098565","abstract":"The separation of the first two lineages - trophectoderm (TE) and inner cell mass (ICM) - is a crucial event in the development of the early embryo. The ICM, which constitutes the pluripotent founder cell population, develops into the embryo proper, whereas the TE, which comprises the surrounding outer layer, supports the development of the ICM before and after implantation. Cdx2, the first transcription factor expressed specifically in the developing TE, is crucial for the differentiation of cells into the TE, as lack of zygotic Cdx2 expression leads to a failure of embryos to hatch and implant into the uterus. However, speculation exists as to whether maternal Cdx2 is required for initiation of TE lineage separation. Here, we show that effective elimination of both maternal and zygotic Cdx2 transcripts by an RNA interference approach resulted in failure of embryo hatching and implantation, but the developing blastocysts exhibited normal gross morphology, indicating that TE differentiation had been initiated. Expression of keratin 8, a marker for differentiated TE, further confirmed the identity of the TE lineage in Cdx2-deficient embryos. However, these embryos exhibited low mitochondrial activity and abnormal ultrastructure, indicating that Cdx2 plays a key role in the regulation of TE function. Furthermore, we found that embryonic compaction does not act as a 'switch' regulator to turn on Cdx2 expression. Our results clearly demonstrate that neither maternal nor zygotic Cdx2 transcripts direct the initiation of ICM/TE lineage separation.","author":[{"dropping-particle":"","family":"Wu","given":"G.","non-dropping-particle":"","parse-names":false,"suffix":""},{"dropping-particle":"","family":"Gentile","given":"L.","non-dropping-particle":"","parse-names":false,"suffix":""},{"dropping-particle":"","family":"Fuchikami","given":"T.","non-dropping-particle":"","parse-names":false,"suffix":""},{"dropping-particle":"","family":"Sutter","given":"J.","non-dropping-particle":"","parse-names":false,"suffix":""},{"dropping-particle":"","family":"Psathaki","given":"K.","non-dropping-particle":"","parse-names":false,"suffix":""},{"dropping-particle":"","family":"Esteves","given":"T. C.","non-dropping-particle":"","parse-names":false,"suffix":""},{"dropping-particle":"","family":"Arauzo-Bravo","given":"M. J.","non-dropping-particle":"","parse-names":false,"suffix":""},{"dropping-particle":"","family":"Ortmeier","given":"C.","non-dropping-particle":"","parse-names":false,"suffix":""},{"dropping-particle":"","family":"Verberk","given":"G.","non-dropping-particle":"","parse-names":false,"suffix":""},{"dropping-particle":"","family":"Abe","given":"K.","non-dropping-particle":"","parse-names":false,"suffix":""},{"dropping-particle":"","family":"Scholer","given":"H. R.","non-dropping-particle":"","parse-names":false,"suffix":""}],"container-title":"Development","id":"ITEM-2","issue":"24","issued":{"date-parts":[["2010","12","15"]]},"page":"4159-4169","title":"Initiation of trophectoderm lineage specification in mouse embryos is independent of Cdx2","type":"article-journal","volume":"137"},"uris":["http://www.mendeley.com/documents/?uuid=db16d564-4706-4e33-91a1-c6b68d072817"]}],"mendeley":{"formattedCitation":"(Strumpf et al., 2005; Wu et al., 2010)","plainTextFormattedCitation":"(Strumpf et al., 2005; Wu et al., 2010)","previouslyFormattedCitation":"(Strumpf et al., 2005; Wu et al., 2010)"},"properties":{"noteIndex":0},"schema":"https://github.com/citation-style-language/schema/raw/master/csl-citation.json"}</w:instrText>
      </w:r>
      <w:r w:rsidR="00167AE9" w:rsidRPr="00130EEF">
        <w:rPr>
          <w:color w:val="000000" w:themeColor="text1"/>
        </w:rPr>
        <w:fldChar w:fldCharType="separate"/>
      </w:r>
      <w:r w:rsidR="00167AE9" w:rsidRPr="00130EEF">
        <w:rPr>
          <w:noProof/>
          <w:color w:val="000000" w:themeColor="text1"/>
        </w:rPr>
        <w:t>(Strumpf et al., 2005; Wu et al., 2010)</w:t>
      </w:r>
      <w:r w:rsidR="00167AE9" w:rsidRPr="00130EEF">
        <w:rPr>
          <w:color w:val="000000" w:themeColor="text1"/>
        </w:rPr>
        <w:fldChar w:fldCharType="end"/>
      </w:r>
      <w:r w:rsidR="007B07ED" w:rsidRPr="00130EEF">
        <w:rPr>
          <w:color w:val="000000" w:themeColor="text1"/>
        </w:rPr>
        <w:t>.</w:t>
      </w:r>
      <w:r w:rsidR="000F18E1" w:rsidRPr="00130EEF">
        <w:rPr>
          <w:color w:val="000000" w:themeColor="text1"/>
        </w:rPr>
        <w:t xml:space="preserve"> </w:t>
      </w:r>
      <w:r w:rsidR="00714956" w:rsidRPr="00130EEF">
        <w:rPr>
          <w:color w:val="000000" w:themeColor="text1"/>
        </w:rPr>
        <w:t xml:space="preserve">In this study however, we found </w:t>
      </w:r>
      <w:proofErr w:type="gramStart"/>
      <w:r w:rsidR="004C6D11" w:rsidRPr="00130EEF">
        <w:rPr>
          <w:color w:val="000000" w:themeColor="text1"/>
        </w:rPr>
        <w:t xml:space="preserve">while </w:t>
      </w:r>
      <w:r w:rsidR="000F18E1" w:rsidRPr="00130EEF">
        <w:rPr>
          <w:color w:val="000000" w:themeColor="text1"/>
        </w:rPr>
        <w:t xml:space="preserve"> </w:t>
      </w:r>
      <w:r w:rsidR="00E50C7B" w:rsidRPr="00130EEF">
        <w:rPr>
          <w:color w:val="000000" w:themeColor="text1"/>
        </w:rPr>
        <w:t>the</w:t>
      </w:r>
      <w:proofErr w:type="gramEnd"/>
      <w:r w:rsidR="00E50C7B" w:rsidRPr="00130EEF">
        <w:rPr>
          <w:color w:val="000000" w:themeColor="text1"/>
        </w:rPr>
        <w:t xml:space="preserve"> </w:t>
      </w:r>
      <w:r w:rsidR="000F18E1" w:rsidRPr="00130EEF">
        <w:rPr>
          <w:color w:val="000000" w:themeColor="text1"/>
        </w:rPr>
        <w:t>expression of</w:t>
      </w:r>
      <w:r w:rsidR="007B07ED" w:rsidRPr="00130EEF">
        <w:rPr>
          <w:color w:val="000000" w:themeColor="text1"/>
        </w:rPr>
        <w:t xml:space="preserve"> both </w:t>
      </w:r>
      <w:r w:rsidR="007B07ED" w:rsidRPr="00130EEF">
        <w:rPr>
          <w:i/>
          <w:iCs/>
          <w:color w:val="000000" w:themeColor="text1"/>
        </w:rPr>
        <w:t>Oct4</w:t>
      </w:r>
      <w:r w:rsidR="007B07ED" w:rsidRPr="00130EEF">
        <w:rPr>
          <w:color w:val="000000" w:themeColor="text1"/>
        </w:rPr>
        <w:t xml:space="preserve"> and </w:t>
      </w:r>
      <w:r w:rsidR="007B07ED" w:rsidRPr="00130EEF">
        <w:rPr>
          <w:i/>
          <w:iCs/>
          <w:color w:val="000000" w:themeColor="text1"/>
        </w:rPr>
        <w:t>Nanog</w:t>
      </w:r>
      <w:r w:rsidR="007B07ED" w:rsidRPr="00130EEF">
        <w:rPr>
          <w:color w:val="000000" w:themeColor="text1"/>
        </w:rPr>
        <w:t xml:space="preserve"> mRNA </w:t>
      </w:r>
      <w:r w:rsidR="000F18E1" w:rsidRPr="00130EEF">
        <w:rPr>
          <w:color w:val="000000" w:themeColor="text1"/>
        </w:rPr>
        <w:t xml:space="preserve">was reduced </w:t>
      </w:r>
      <w:r w:rsidR="007B07ED" w:rsidRPr="00130EEF">
        <w:rPr>
          <w:color w:val="000000" w:themeColor="text1"/>
        </w:rPr>
        <w:t xml:space="preserve">in </w:t>
      </w:r>
      <w:r w:rsidR="00622D39" w:rsidRPr="00130EEF">
        <w:rPr>
          <w:color w:val="000000" w:themeColor="text1"/>
        </w:rPr>
        <w:t xml:space="preserve">whole </w:t>
      </w:r>
      <w:r w:rsidR="007B07ED" w:rsidRPr="00130EEF">
        <w:rPr>
          <w:color w:val="000000" w:themeColor="text1"/>
        </w:rPr>
        <w:t>blastocysts from the HFA-HFA group</w:t>
      </w:r>
      <w:r w:rsidR="00622D39" w:rsidRPr="00130EEF">
        <w:rPr>
          <w:color w:val="000000" w:themeColor="text1"/>
        </w:rPr>
        <w:t>, the number of cells expressing Nanog protein was increased</w:t>
      </w:r>
      <w:r w:rsidR="000F18E1" w:rsidRPr="00130EEF">
        <w:rPr>
          <w:color w:val="000000" w:themeColor="text1"/>
        </w:rPr>
        <w:t>.</w:t>
      </w:r>
      <w:r w:rsidR="00622D39" w:rsidRPr="00130EEF">
        <w:rPr>
          <w:color w:val="000000" w:themeColor="text1"/>
        </w:rPr>
        <w:t xml:space="preserve"> Further studies will be required to assess how a high FA intake affects the transcription and translation of </w:t>
      </w:r>
      <w:r w:rsidR="00622D39" w:rsidRPr="00130EEF">
        <w:rPr>
          <w:i/>
          <w:iCs/>
          <w:color w:val="000000" w:themeColor="text1"/>
        </w:rPr>
        <w:t>Oct4</w:t>
      </w:r>
      <w:r w:rsidR="00622D39" w:rsidRPr="00130EEF">
        <w:rPr>
          <w:color w:val="000000" w:themeColor="text1"/>
        </w:rPr>
        <w:t>/</w:t>
      </w:r>
      <w:r w:rsidR="00622D39" w:rsidRPr="00130EEF">
        <w:rPr>
          <w:i/>
          <w:iCs/>
          <w:color w:val="000000" w:themeColor="text1"/>
        </w:rPr>
        <w:t>Nanog</w:t>
      </w:r>
      <w:r w:rsidR="00622D39" w:rsidRPr="00130EEF">
        <w:rPr>
          <w:color w:val="000000" w:themeColor="text1"/>
        </w:rPr>
        <w:t xml:space="preserve"> within each cell compartment within the blastocyst</w:t>
      </w:r>
      <w:r w:rsidR="00961FE8" w:rsidRPr="00130EEF">
        <w:rPr>
          <w:color w:val="000000" w:themeColor="text1"/>
        </w:rPr>
        <w:t xml:space="preserve"> to delineate the long terms effects on embryo development</w:t>
      </w:r>
      <w:r w:rsidR="00622D39" w:rsidRPr="00130EEF">
        <w:rPr>
          <w:color w:val="000000" w:themeColor="text1"/>
        </w:rPr>
        <w:t xml:space="preserve">.  </w:t>
      </w:r>
    </w:p>
    <w:p w14:paraId="432A5797" w14:textId="77777777" w:rsidR="00622D39" w:rsidRPr="00130EEF" w:rsidRDefault="00622D39" w:rsidP="00622D39">
      <w:pPr>
        <w:spacing w:line="480" w:lineRule="auto"/>
        <w:ind w:firstLine="720"/>
        <w:rPr>
          <w:color w:val="000000" w:themeColor="text1"/>
        </w:rPr>
      </w:pPr>
    </w:p>
    <w:p w14:paraId="10B6EE0E" w14:textId="59112FB2" w:rsidR="00DF1BEA" w:rsidRPr="00130EEF" w:rsidRDefault="00DF1BEA" w:rsidP="00C34EE3">
      <w:pPr>
        <w:spacing w:line="480" w:lineRule="auto"/>
        <w:ind w:firstLine="720"/>
        <w:rPr>
          <w:rFonts w:eastAsia="Times New Roman"/>
          <w:color w:val="000000" w:themeColor="text1"/>
          <w:shd w:val="clear" w:color="auto" w:fill="FFFFFF"/>
          <w:lang w:val="en-US"/>
        </w:rPr>
      </w:pPr>
      <w:r w:rsidRPr="00130EEF">
        <w:rPr>
          <w:color w:val="000000" w:themeColor="text1"/>
        </w:rPr>
        <w:t xml:space="preserve">There was no significant change in TE cell number in the Con-HFA group compared to the </w:t>
      </w:r>
      <w:r w:rsidR="005B2370" w:rsidRPr="00130EEF">
        <w:rPr>
          <w:color w:val="000000" w:themeColor="text1"/>
        </w:rPr>
        <w:t>Con-Con group</w:t>
      </w:r>
      <w:r w:rsidRPr="00130EEF">
        <w:rPr>
          <w:color w:val="000000" w:themeColor="text1"/>
        </w:rPr>
        <w:t>, despite lower CDX2 mRNA and protein expression. This may reflect the shorter duration of the HFA diet in the Con-HFA group</w:t>
      </w:r>
      <w:r w:rsidR="005B2370" w:rsidRPr="00130EEF">
        <w:rPr>
          <w:color w:val="000000" w:themeColor="text1"/>
        </w:rPr>
        <w:t xml:space="preserve"> compared to the HFA-HFA group</w:t>
      </w:r>
      <w:r w:rsidRPr="00130EEF">
        <w:rPr>
          <w:color w:val="000000" w:themeColor="text1"/>
        </w:rPr>
        <w:t xml:space="preserve">. </w:t>
      </w:r>
      <w:r w:rsidR="006E27E4" w:rsidRPr="00130EEF">
        <w:rPr>
          <w:color w:val="000000" w:themeColor="text1"/>
        </w:rPr>
        <w:t>T</w:t>
      </w:r>
      <w:r w:rsidRPr="00130EEF">
        <w:rPr>
          <w:color w:val="000000" w:themeColor="text1"/>
        </w:rPr>
        <w:t>he Con-HFA blastocysts</w:t>
      </w:r>
      <w:r w:rsidR="00A71D1D" w:rsidRPr="00130EEF">
        <w:rPr>
          <w:color w:val="000000" w:themeColor="text1"/>
        </w:rPr>
        <w:t xml:space="preserve"> did</w:t>
      </w:r>
      <w:r w:rsidR="00622D39" w:rsidRPr="00130EEF">
        <w:rPr>
          <w:color w:val="000000" w:themeColor="text1"/>
        </w:rPr>
        <w:t xml:space="preserve"> exhibit reduced levels of </w:t>
      </w:r>
      <w:r w:rsidR="00622D39" w:rsidRPr="00130EEF">
        <w:rPr>
          <w:i/>
          <w:iCs/>
          <w:color w:val="000000" w:themeColor="text1"/>
        </w:rPr>
        <w:t>Oct-4</w:t>
      </w:r>
      <w:r w:rsidR="00622D39" w:rsidRPr="00130EEF">
        <w:rPr>
          <w:color w:val="000000" w:themeColor="text1"/>
        </w:rPr>
        <w:t xml:space="preserve"> and </w:t>
      </w:r>
      <w:proofErr w:type="spellStart"/>
      <w:r w:rsidR="00622D39" w:rsidRPr="00130EEF">
        <w:rPr>
          <w:i/>
          <w:iCs/>
          <w:color w:val="000000" w:themeColor="text1"/>
        </w:rPr>
        <w:t>nanog</w:t>
      </w:r>
      <w:proofErr w:type="spellEnd"/>
      <w:r w:rsidR="00622D39" w:rsidRPr="00130EEF">
        <w:rPr>
          <w:color w:val="000000" w:themeColor="text1"/>
        </w:rPr>
        <w:t xml:space="preserve"> </w:t>
      </w:r>
      <w:proofErr w:type="gramStart"/>
      <w:r w:rsidR="00622D39" w:rsidRPr="00130EEF">
        <w:rPr>
          <w:color w:val="000000" w:themeColor="text1"/>
        </w:rPr>
        <w:t>mRNA  but</w:t>
      </w:r>
      <w:proofErr w:type="gramEnd"/>
      <w:r w:rsidR="00622D39" w:rsidRPr="00130EEF">
        <w:rPr>
          <w:color w:val="000000" w:themeColor="text1"/>
        </w:rPr>
        <w:t xml:space="preserve"> an increase in the number of cells expressing Nanog protein, as observed in  HFA-HFA blastocysts, suggesting a common effect of an increased FA intake fed during the preimplantation period.  There were however differences between the HFA-HFA and Con-HFA groups, with the Con-HFA group having </w:t>
      </w:r>
      <w:r w:rsidR="001C5268" w:rsidRPr="00130EEF">
        <w:rPr>
          <w:color w:val="000000" w:themeColor="text1"/>
        </w:rPr>
        <w:t>have a higher number of total cell</w:t>
      </w:r>
      <w:r w:rsidR="00622D39" w:rsidRPr="00130EEF">
        <w:rPr>
          <w:color w:val="000000" w:themeColor="text1"/>
        </w:rPr>
        <w:t>s</w:t>
      </w:r>
      <w:r w:rsidR="001C5268" w:rsidRPr="00130EEF">
        <w:rPr>
          <w:color w:val="000000" w:themeColor="text1"/>
        </w:rPr>
        <w:t xml:space="preserve"> and ICM cells per blastocysts then the HFA-HFA group.  </w:t>
      </w:r>
      <w:r w:rsidR="00072BED" w:rsidRPr="00130EEF">
        <w:rPr>
          <w:color w:val="000000" w:themeColor="text1"/>
        </w:rPr>
        <w:t xml:space="preserve">Such differences between </w:t>
      </w:r>
      <w:r w:rsidR="00FC1C1E" w:rsidRPr="00130EEF">
        <w:rPr>
          <w:color w:val="000000" w:themeColor="text1"/>
        </w:rPr>
        <w:t xml:space="preserve">the groups fed the HFA </w:t>
      </w:r>
      <w:r w:rsidR="00961FE8" w:rsidRPr="00130EEF">
        <w:rPr>
          <w:color w:val="000000" w:themeColor="text1"/>
        </w:rPr>
        <w:t xml:space="preserve">diet </w:t>
      </w:r>
      <w:r w:rsidR="00FC1C1E" w:rsidRPr="00130EEF">
        <w:rPr>
          <w:color w:val="000000" w:themeColor="text1"/>
        </w:rPr>
        <w:t xml:space="preserve">pre-conception and throughout the preimplantation period compared to those fed the HFA diet only during the preimplantation period, suggests that shorter exposure and/or switch in diet is </w:t>
      </w:r>
      <w:r w:rsidR="005D3689" w:rsidRPr="00130EEF">
        <w:rPr>
          <w:color w:val="000000" w:themeColor="text1"/>
        </w:rPr>
        <w:t>responsible for</w:t>
      </w:r>
      <w:r w:rsidR="00FC1C1E" w:rsidRPr="00130EEF">
        <w:rPr>
          <w:color w:val="000000" w:themeColor="text1"/>
        </w:rPr>
        <w:t xml:space="preserve"> these differential effects. Understanding how increased FA intake over </w:t>
      </w:r>
      <w:r w:rsidR="00FC1C1E" w:rsidRPr="00130EEF">
        <w:rPr>
          <w:color w:val="000000" w:themeColor="text1"/>
        </w:rPr>
        <w:lastRenderedPageBreak/>
        <w:t xml:space="preserve">these different time periods impact on folate metabolism in the embryo will </w:t>
      </w:r>
      <w:r w:rsidR="005D3689" w:rsidRPr="00130EEF">
        <w:rPr>
          <w:color w:val="000000" w:themeColor="text1"/>
        </w:rPr>
        <w:t xml:space="preserve">be </w:t>
      </w:r>
      <w:r w:rsidR="00FC1C1E" w:rsidRPr="00130EEF">
        <w:rPr>
          <w:color w:val="000000" w:themeColor="text1"/>
        </w:rPr>
        <w:t xml:space="preserve">crucial to </w:t>
      </w:r>
      <w:r w:rsidR="00961FE8" w:rsidRPr="00130EEF">
        <w:rPr>
          <w:color w:val="000000" w:themeColor="text1"/>
        </w:rPr>
        <w:t xml:space="preserve">elucidate  </w:t>
      </w:r>
      <w:r w:rsidR="00FC1C1E" w:rsidRPr="00130EEF">
        <w:rPr>
          <w:color w:val="000000" w:themeColor="text1"/>
        </w:rPr>
        <w:t xml:space="preserve"> the differential effects on </w:t>
      </w:r>
      <w:r w:rsidR="00961FE8" w:rsidRPr="00130EEF">
        <w:rPr>
          <w:color w:val="000000" w:themeColor="text1"/>
        </w:rPr>
        <w:t>cell specification.</w:t>
      </w:r>
      <w:r w:rsidR="00FC1C1E" w:rsidRPr="00130EEF">
        <w:rPr>
          <w:color w:val="000000" w:themeColor="text1"/>
        </w:rPr>
        <w:t xml:space="preserve"> </w:t>
      </w:r>
    </w:p>
    <w:p w14:paraId="6446D6B9" w14:textId="77777777" w:rsidR="009E7BDA" w:rsidRPr="00130EEF" w:rsidRDefault="009E7BDA" w:rsidP="00C34EE3">
      <w:pPr>
        <w:spacing w:line="480" w:lineRule="auto"/>
        <w:ind w:firstLine="720"/>
        <w:rPr>
          <w:rFonts w:eastAsia="Times New Roman"/>
          <w:color w:val="000000" w:themeColor="text1"/>
          <w:shd w:val="clear" w:color="auto" w:fill="FFFFFF"/>
          <w:lang w:val="en-US"/>
        </w:rPr>
      </w:pPr>
    </w:p>
    <w:p w14:paraId="79070A66" w14:textId="68E92494" w:rsidR="00AE2FCC" w:rsidRPr="00130EEF" w:rsidRDefault="009E0859" w:rsidP="005D066C">
      <w:pPr>
        <w:pStyle w:val="NormalWeb"/>
        <w:spacing w:before="0" w:beforeAutospacing="0" w:after="0" w:afterAutospacing="0" w:line="480" w:lineRule="auto"/>
        <w:ind w:firstLine="720"/>
        <w:contextualSpacing/>
        <w:rPr>
          <w:color w:val="000000" w:themeColor="text1"/>
        </w:rPr>
      </w:pPr>
      <w:r w:rsidRPr="00130EEF">
        <w:rPr>
          <w:color w:val="000000" w:themeColor="text1"/>
        </w:rPr>
        <w:t xml:space="preserve">During development, the interplay between pluripotency and lineage commitment is coordinated by specific transcription factors that regulate gene expression programs by the recruitment of a series of epigenetic writers that alter chromatin structure. This epigenetic regulation of gene expression is essential for the initiation and maintenance of lineage cell fate; EZH2/EED are subunits of the polycomb repressive complex 2 (PRC2), which play a central role in mediating lineage commitment in the embryo </w:t>
      </w:r>
      <w:r w:rsidR="00167AE9" w:rsidRPr="00130EEF">
        <w:rPr>
          <w:color w:val="000000" w:themeColor="text1"/>
        </w:rPr>
        <w:fldChar w:fldCharType="begin" w:fldLock="1"/>
      </w:r>
      <w:r w:rsidR="00167AE9" w:rsidRPr="00130EEF">
        <w:rPr>
          <w:color w:val="000000" w:themeColor="text1"/>
        </w:rPr>
        <w:instrText>ADDIN CSL_CITATION {"citationItems":[{"id":"ITEM-1","itemData":{"DOI":"10.1242/dev.091553","ISBN":"0950-1991","ISSN":"0950-1991","PMID":"23715546","abstract":"Polycomb group (PcG) proteins are epigenetic modifiers involved in controlling gene repression. Organized within multiprotein complexes, they regulate developmental genes in multiple cell types and tissue contexts, including embryonic and adult stem cells, and are essential for cell fate transitions and proper development. Here, we summarize recent breakthroughs that have revealed the diversity of PcG complexes acting in different cell types and genomic contexts. Intriguingly, it appears that particular PcG proteins have specific functions in embryonic development, in pluripotent stem cells and in reprogramming somatic cells into a pluripotent-like state. Finally, we highlight recent results from analyzing PcG protein functions in multipotent stem cells, such as neural, hematopoietic and epidermal stem cells.","author":[{"dropping-particle":"","family":"Aloia","given":"L.","non-dropping-particle":"","parse-names":false,"suffix":""},{"dropping-particle":"","family":"Stefano","given":"B.","non-dropping-particle":"Di","parse-names":false,"suffix":""},{"dropping-particle":"","family":"Croce","given":"L.","non-dropping-particle":"Di","parse-names":false,"suffix":""}],"container-title":"Development","id":"ITEM-1","issue":"12","issued":{"date-parts":[["2013"]]},"page":"2525-2534","title":"Polycomb complexes in stem cells and embryonic development","type":"article-journal","volume":"140"},"uris":["http://www.mendeley.com/documents/?uuid=804fa99e-f0ff-4b88-b2f3-ee8809ea6f40"]},{"id":"ITEM-2","itemData":{"DOI":"10.7554/eLife.14926","ISSN":"2050-084X","PMID":"27723457","abstract":"Mouse embryonic stem cells (ESCs), like the blastocyst from which they are derived, contain precursors of the epiblast (Epi) and primitive endoderm (PrEn) lineages. While transient in vivo, these precursor populations readily interconvert in vitro. We show that altered transcription is the driver of these coordinated changes, known as lineage priming, in a process that exploits novel polycomb activities. We find that intragenic levels of the polycomb mark H3K27me3 anti-correlate with changes in transcription, irrespective of the gene’s developmental trajectory or identity as a polycomb target. In contrast, promoter proximal H3K27me3 is markedly higher for PrEn priming genes. Consequently, depletion of this modification stimulates the degree to which ESCs are primed towards PrEn when challenged to differentiate, but has little effect on gene expression in self-renewing ESC culture. These observations link polycomb with dynamic changes in transcription and stalled lineage commitment, allowing cells to explore alternative choices prior to a definitive decision.","author":[{"dropping-particle":"","family":"Illingworth","given":"Robert S.","non-dropping-particle":"","parse-names":false,"suffix":""},{"dropping-particle":"","family":"Hölzenspies","given":"Jurriaan J.","non-dropping-particle":"","parse-names":false,"suffix":""},{"dropping-particle":"V.","family":"Roske","given":"Fabian","non-dropping-particle":"","parse-names":false,"suffix":""},{"dropping-particle":"","family":"Bickmore","given":"Wendy A.","non-dropping-particle":"","parse-names":false,"suffix":""},{"dropping-particle":"","family":"Brickman","given":"Joshua M.","non-dropping-particle":"","parse-names":false,"suffix":""}],"container-title":"eLife","id":"ITEM-2","issued":{"date-parts":[["2016","10","10"]]},"page":"1-28","title":"Polycomb enables primitive endoderm lineage priming in embryonic stem cells","type":"article-journal","volume":"5"},"uris":["http://www.mendeley.com/documents/?uuid=1f70f449-fb57-4cab-bcca-ac0f0ecb292e"]}],"mendeley":{"formattedCitation":"(Aloia, Di Stefano, &amp; Di Croce, 2013; Illingworth, Hölzenspies, Roske, Bickmore, &amp; Brickman, 2016)","plainTextFormattedCitation":"(Aloia, Di Stefano, &amp; Di Croce, 2013; Illingworth, Hölzenspies, Roske, Bickmore, &amp; Brickman, 2016)","previouslyFormattedCitation":"(Aloia, Di Stefano, &amp; Di Croce, 2013; Illingworth, Hölzenspies, Roske, Bickmore, &amp; Brickman, 2016)"},"properties":{"noteIndex":0},"schema":"https://github.com/citation-style-language/schema/raw/master/csl-citation.json"}</w:instrText>
      </w:r>
      <w:r w:rsidR="00167AE9" w:rsidRPr="00130EEF">
        <w:rPr>
          <w:color w:val="000000" w:themeColor="text1"/>
        </w:rPr>
        <w:fldChar w:fldCharType="separate"/>
      </w:r>
      <w:r w:rsidR="00167AE9" w:rsidRPr="00130EEF">
        <w:rPr>
          <w:noProof/>
          <w:color w:val="000000" w:themeColor="text1"/>
        </w:rPr>
        <w:t>(Aloia, Di Stefano, &amp; Di Croce, 2013; Illingworth, Hölzenspies, Roske, Bickmore, &amp; Brickman, 2016)</w:t>
      </w:r>
      <w:r w:rsidR="00167AE9" w:rsidRPr="00130EEF">
        <w:rPr>
          <w:color w:val="000000" w:themeColor="text1"/>
        </w:rPr>
        <w:fldChar w:fldCharType="end"/>
      </w:r>
      <w:r w:rsidRPr="00130EEF">
        <w:rPr>
          <w:color w:val="000000" w:themeColor="text1"/>
        </w:rPr>
        <w:t xml:space="preserve">. In this study, HFA intake during the preimplantation period </w:t>
      </w:r>
      <w:r w:rsidR="00B275D2" w:rsidRPr="00130EEF">
        <w:rPr>
          <w:color w:val="000000" w:themeColor="text1"/>
        </w:rPr>
        <w:t xml:space="preserve">only </w:t>
      </w:r>
      <w:r w:rsidRPr="00130EEF">
        <w:rPr>
          <w:color w:val="000000" w:themeColor="text1"/>
        </w:rPr>
        <w:t xml:space="preserve">led to a decrease in </w:t>
      </w:r>
      <w:r w:rsidRPr="00130EEF">
        <w:rPr>
          <w:i/>
          <w:iCs/>
          <w:color w:val="000000" w:themeColor="text1"/>
        </w:rPr>
        <w:t xml:space="preserve">Ezh2 </w:t>
      </w:r>
      <w:r w:rsidRPr="00130EEF">
        <w:rPr>
          <w:color w:val="000000" w:themeColor="text1"/>
        </w:rPr>
        <w:t xml:space="preserve">and </w:t>
      </w:r>
      <w:r w:rsidRPr="00130EEF">
        <w:rPr>
          <w:i/>
          <w:iCs/>
          <w:color w:val="000000" w:themeColor="text1"/>
        </w:rPr>
        <w:t xml:space="preserve">Eed </w:t>
      </w:r>
      <w:r w:rsidRPr="00130EEF">
        <w:rPr>
          <w:color w:val="000000" w:themeColor="text1"/>
        </w:rPr>
        <w:t xml:space="preserve">expression, </w:t>
      </w:r>
      <w:r w:rsidR="005D066C" w:rsidRPr="00130EEF">
        <w:rPr>
          <w:color w:val="000000" w:themeColor="text1"/>
        </w:rPr>
        <w:t>while periconceptional</w:t>
      </w:r>
      <w:r w:rsidRPr="00130EEF">
        <w:rPr>
          <w:color w:val="000000" w:themeColor="text1"/>
        </w:rPr>
        <w:t xml:space="preserve"> HFA intake resulted in decreased </w:t>
      </w:r>
      <w:r w:rsidRPr="00130EEF">
        <w:rPr>
          <w:i/>
          <w:iCs/>
          <w:color w:val="000000" w:themeColor="text1"/>
        </w:rPr>
        <w:t>Eed</w:t>
      </w:r>
      <w:r w:rsidRPr="00130EEF">
        <w:rPr>
          <w:color w:val="000000" w:themeColor="text1"/>
        </w:rPr>
        <w:t xml:space="preserve"> expression</w:t>
      </w:r>
      <w:r w:rsidRPr="00130EEF">
        <w:rPr>
          <w:iCs/>
          <w:color w:val="000000" w:themeColor="text1"/>
        </w:rPr>
        <w:t>.</w:t>
      </w:r>
      <w:r w:rsidRPr="00130EEF">
        <w:rPr>
          <w:color w:val="000000" w:themeColor="text1"/>
        </w:rPr>
        <w:t xml:space="preserve"> Loss of </w:t>
      </w:r>
      <w:r w:rsidRPr="00130EEF">
        <w:rPr>
          <w:i/>
          <w:iCs/>
          <w:color w:val="000000" w:themeColor="text1"/>
        </w:rPr>
        <w:t xml:space="preserve">Ezh2 </w:t>
      </w:r>
      <w:r w:rsidRPr="00130EEF">
        <w:rPr>
          <w:color w:val="000000" w:themeColor="text1"/>
        </w:rPr>
        <w:t xml:space="preserve">in mouse embryos is associated with arrested development at the blastocyst stage, increased apoptosis, together with a decrease of </w:t>
      </w:r>
      <w:r w:rsidRPr="00130EEF">
        <w:rPr>
          <w:i/>
          <w:iCs/>
          <w:color w:val="000000" w:themeColor="text1"/>
        </w:rPr>
        <w:t>Oct4</w:t>
      </w:r>
      <w:r w:rsidRPr="00130EEF">
        <w:rPr>
          <w:color w:val="000000" w:themeColor="text1"/>
        </w:rPr>
        <w:t xml:space="preserve">, </w:t>
      </w:r>
      <w:r w:rsidRPr="00130EEF">
        <w:rPr>
          <w:i/>
          <w:iCs/>
          <w:color w:val="000000" w:themeColor="text1"/>
        </w:rPr>
        <w:t xml:space="preserve">Nanog, </w:t>
      </w:r>
      <w:r w:rsidRPr="00130EEF">
        <w:rPr>
          <w:color w:val="000000" w:themeColor="text1"/>
        </w:rPr>
        <w:t xml:space="preserve">and </w:t>
      </w:r>
      <w:r w:rsidRPr="00130EEF">
        <w:rPr>
          <w:i/>
          <w:iCs/>
          <w:color w:val="000000" w:themeColor="text1"/>
        </w:rPr>
        <w:t xml:space="preserve">Sox2 </w:t>
      </w:r>
      <w:r w:rsidRPr="00130EEF">
        <w:rPr>
          <w:iCs/>
          <w:color w:val="000000" w:themeColor="text1"/>
        </w:rPr>
        <w:t>expression</w:t>
      </w:r>
      <w:r w:rsidR="00167AE9" w:rsidRPr="00130EEF">
        <w:rPr>
          <w:iCs/>
          <w:color w:val="000000" w:themeColor="text1"/>
        </w:rPr>
        <w:t xml:space="preserve"> </w:t>
      </w:r>
      <w:r w:rsidR="00167AE9" w:rsidRPr="00130EEF">
        <w:rPr>
          <w:iCs/>
          <w:color w:val="000000" w:themeColor="text1"/>
        </w:rPr>
        <w:fldChar w:fldCharType="begin" w:fldLock="1"/>
      </w:r>
      <w:r w:rsidR="00167AE9" w:rsidRPr="00130EEF">
        <w:rPr>
          <w:iCs/>
          <w:color w:val="000000" w:themeColor="text1"/>
        </w:rPr>
        <w:instrText>ADDIN CSL_CITATION {"citationItems":[{"id":"ITEM-1","itemData":{"DOI":"10.1071/RD13169","ISSN":"1031-3613","PMID":"24153105","abstract":"Enhancer of zeste homologue 2 (Ezh2) is essential for the development of the early mouse preimplantation embryo. Loss of Ezh2 results in embryonic lethality in mice. Ezh2-deficient embryos display impaired outgrowth potential, defective establishment of Ezh2-null embryonic stem (ES) cells and adherence and differentiation of the trophoblast layer into giant cells. We investigated if Ezh2 controls the fate of embryos at an earlier stage by treating with cycloheximide (CHX) or microinjecting short interfering RNA (siRNA) to restrict embryonic Ezh2 expression during preimplantation. CHX inhibited de novo EZH2 protein synthesis in zygotes, suggesting that EZH2 requires de novo synthesis during post-fertilisation stages. We found that loss of Ezh2 at the pronuclear stage caused severe growth retardation and reduced blastocyst formation. Expression of the pluripotency-associated markers Oct4, Sox2 and Nanog were significantly decreased in embryos that had been injected with Ezh2 siRNA. In addition, Ezh2 loss induced upregulated expression of genes related to the differentiation of germ layers, including Gata6, Hoxb1 and Hand1. Finally, apoptosis was increased in the blastocyst embryos with Ezh2 knockdown. Modification of histone H3-Lysine 27 de-methylation and tri-methylation (H3K27me2/3) was strongly reduced in Ezh2 siRNA embryos. We conclude that Ezh2 is essential for early preimplantation embryo development through the regulation of epigenetic modification and apoptosis.","author":[{"dropping-particle":"","family":"Huang","given":"Xian Ju","non-dropping-particle":"","parse-names":false,"suffix":""},{"dropping-particle":"","family":"Wang","given":"Xuguang","non-dropping-particle":"","parse-names":false,"suffix":""},{"dropping-particle":"","family":"Ma","given":"Xueshan","non-dropping-particle":"","parse-names":false,"suffix":""},{"dropping-particle":"","family":"Sun","given":"Shao-Chen","non-dropping-particle":"","parse-names":false,"suffix":""},{"dropping-particle":"","family":"Zhou","given":"Xiaolong","non-dropping-particle":"","parse-names":false,"suffix":""},{"dropping-particle":"","family":"Zhu","given":"Chengcheng","non-dropping-particle":"","parse-names":false,"suffix":""},{"dropping-particle":"","family":"Liu","given":"Honglin","non-dropping-particle":"","parse-names":false,"suffix":""}],"container-title":"Reproduction, Fertility and Development","id":"ITEM-1","issue":"8","issued":{"date-parts":[["2014"]]},"page":"1166","title":"EZH2 is essential for development of mouse preimplantation embryos","type":"article-journal","volume":"26"},"uris":["http://www.mendeley.com/documents/?uuid=9c0f1a6a-a072-4f03-a8f5-e6e55ca77e42"]}],"mendeley":{"formattedCitation":"(X. J. Huang et al., 2014)","plainTextFormattedCitation":"(X. J. Huang et al., 2014)","previouslyFormattedCitation":"(X. J. Huang et al., 2014)"},"properties":{"noteIndex":0},"schema":"https://github.com/citation-style-language/schema/raw/master/csl-citation.json"}</w:instrText>
      </w:r>
      <w:r w:rsidR="00167AE9" w:rsidRPr="00130EEF">
        <w:rPr>
          <w:iCs/>
          <w:color w:val="000000" w:themeColor="text1"/>
        </w:rPr>
        <w:fldChar w:fldCharType="separate"/>
      </w:r>
      <w:r w:rsidR="00167AE9" w:rsidRPr="00130EEF">
        <w:rPr>
          <w:iCs/>
          <w:noProof/>
          <w:color w:val="000000" w:themeColor="text1"/>
        </w:rPr>
        <w:t>(X. J. Huang et al., 2014)</w:t>
      </w:r>
      <w:r w:rsidR="00167AE9" w:rsidRPr="00130EEF">
        <w:rPr>
          <w:iCs/>
          <w:color w:val="000000" w:themeColor="text1"/>
        </w:rPr>
        <w:fldChar w:fldCharType="end"/>
      </w:r>
      <w:r w:rsidRPr="00130EEF">
        <w:rPr>
          <w:color w:val="000000" w:themeColor="text1"/>
        </w:rPr>
        <w:t>, consistent with the PRC</w:t>
      </w:r>
      <w:r w:rsidR="00F31011" w:rsidRPr="00130EEF">
        <w:rPr>
          <w:color w:val="000000" w:themeColor="text1"/>
        </w:rPr>
        <w:t>2</w:t>
      </w:r>
      <w:r w:rsidRPr="00130EEF">
        <w:rPr>
          <w:color w:val="000000" w:themeColor="text1"/>
        </w:rPr>
        <w:t xml:space="preserve"> playing a role in regulating the expression of </w:t>
      </w:r>
      <w:r w:rsidRPr="00130EEF">
        <w:rPr>
          <w:i/>
          <w:iCs/>
          <w:color w:val="000000" w:themeColor="text1"/>
        </w:rPr>
        <w:t>Oct4</w:t>
      </w:r>
      <w:r w:rsidRPr="00130EEF">
        <w:rPr>
          <w:color w:val="000000" w:themeColor="text1"/>
        </w:rPr>
        <w:t xml:space="preserve">, </w:t>
      </w:r>
      <w:r w:rsidRPr="00130EEF">
        <w:rPr>
          <w:i/>
          <w:iCs/>
          <w:color w:val="000000" w:themeColor="text1"/>
        </w:rPr>
        <w:t>Nanog</w:t>
      </w:r>
      <w:r w:rsidRPr="00130EEF">
        <w:rPr>
          <w:color w:val="000000" w:themeColor="text1"/>
        </w:rPr>
        <w:t xml:space="preserve"> and </w:t>
      </w:r>
      <w:r w:rsidRPr="00130EEF">
        <w:rPr>
          <w:i/>
          <w:iCs/>
          <w:color w:val="000000" w:themeColor="text1"/>
        </w:rPr>
        <w:t>Sox2</w:t>
      </w:r>
      <w:r w:rsidRPr="00130EEF">
        <w:rPr>
          <w:color w:val="000000" w:themeColor="text1"/>
        </w:rPr>
        <w:t xml:space="preserve"> </w:t>
      </w:r>
      <w:r w:rsidR="00167AE9" w:rsidRPr="00130EEF">
        <w:rPr>
          <w:color w:val="000000" w:themeColor="text1"/>
        </w:rPr>
        <w:fldChar w:fldCharType="begin" w:fldLock="1"/>
      </w:r>
      <w:r w:rsidR="00167AE9" w:rsidRPr="00130EEF">
        <w:rPr>
          <w:color w:val="000000" w:themeColor="text1"/>
        </w:rPr>
        <w:instrText>ADDIN CSL_CITATION {"citationItems":[{"id":"ITEM-1","itemData":{"DOI":"10.1016/j.stem.2009.12.014","ISBN":"4122685060","ISSN":"19345909","PMID":"1000000221","abstract":"AIM AND OBJECTIVES: To highlight different ways that healthcare professionals can promote health and reduce health inequalities of lesbian and bisexual women using a health promotion framework that focusses on the wider healthcare context.\\n\\nBACKGROUND: Lesbian and bisexual women experience numerous health disparities that place them at high risk of poor health outcomes. The Frieden Health Impact Pyramid (2010) identifies five tiers of public health interventions. This pyramid could be used to promote health in lesbian and bisexual women in healthcare settings.\\n\\nDESIGN: A discursive paper.\\n\\nMETHODS: Literature was searched from 2008 to 2015 using PubMed, ScienceDirect, and published grey literature. Individual key words were used to locate articles that focused on lesbian and bisexual women's health inequalities and to identify interventions to address these.\\n\\nRESULTS: Examples are presented across the tiers of the Health Impact Pyramid in the context of healthcare settings that healthcare practitioners could action to promote health in lesbian and bisexual women.\\n\\nCONCLUSIONS: The use of the Frieden triangle offers an alternative way to promote health by conceptualizing health promotion interventions that promote lesbian and bisexual women without just focusing on behaviour change. The importance of changing areas of practice in healthcare organizations to be more supportive of lesbian and bisexual women and their healthcare needs is highlighted.\\n\\nRELEVANCE TO CLINICAL PRACTICE: This paper highlights ways that healthcare professionals can promote health of lesbian and bisexual women within their healthcare practice to help reduce health disparities. This article is protected by copyright. All rights reserved.","author":[{"dropping-particle":"","family":"Walker","given":"Emily","non-dropping-particle":"","parse-names":false,"suffix":""},{"dropping-particle":"","family":"Chang","given":"Wing Y.","non-dropping-particle":"","parse-names":false,"suffix":""},{"dropping-particle":"","family":"Hunkapiller","given":"Julie","non-dropping-particle":"","parse-names":false,"suffix":""},{"dropping-particle":"","family":"Cagney","given":"Gerard","non-dropping-particle":"","parse-names":false,"suffix":""},{"dropping-particle":"","family":"Garcha","given":"Kamal","non-dropping-particle":"","parse-names":false,"suffix":""},{"dropping-particle":"","family":"Torchia","given":"Joseph","non-dropping-particle":"","parse-names":false,"suffix":""},{"dropping-particle":"","family":"Krogan","given":"Nevan J.","non-dropping-particle":"","parse-names":false,"suffix":""},{"dropping-particle":"","family":"Reiter","given":"Jeremy F.","non-dropping-particle":"","parse-names":false,"suffix":""},{"dropping-particle":"","family":"Stanford","given":"William L.","non-dropping-particle":"","parse-names":false,"suffix":""}],"container-title":"Cell Stem Cell","id":"ITEM-1","issue":"2","issued":{"date-parts":[["2010","2","1"]]},"page":"153-166","title":"Polycomb-like 2 Associates with PRC2 and Regulates Transcriptional Networks during Mouse Embryonic Stem Cell Self-Renewal and Differentiation","type":"article-journal","volume":"6"},"uris":["http://www.mendeley.com/documents/?uuid=d68166b8-5b90-4bae-bf9a-872859d56448"]}],"mendeley":{"formattedCitation":"(Walker et al., 2010)","plainTextFormattedCitation":"(Walker et al., 2010)","previouslyFormattedCitation":"(Walker et al., 2010)"},"properties":{"noteIndex":0},"schema":"https://github.com/citation-style-language/schema/raw/master/csl-citation.json"}</w:instrText>
      </w:r>
      <w:r w:rsidR="00167AE9" w:rsidRPr="00130EEF">
        <w:rPr>
          <w:color w:val="000000" w:themeColor="text1"/>
        </w:rPr>
        <w:fldChar w:fldCharType="separate"/>
      </w:r>
      <w:r w:rsidR="00167AE9" w:rsidRPr="00130EEF">
        <w:rPr>
          <w:noProof/>
          <w:color w:val="000000" w:themeColor="text1"/>
        </w:rPr>
        <w:t>(Walker et al., 2010)</w:t>
      </w:r>
      <w:r w:rsidR="00167AE9" w:rsidRPr="00130EEF">
        <w:rPr>
          <w:color w:val="000000" w:themeColor="text1"/>
        </w:rPr>
        <w:fldChar w:fldCharType="end"/>
      </w:r>
      <w:r w:rsidRPr="00130EEF">
        <w:rPr>
          <w:color w:val="000000" w:themeColor="text1"/>
        </w:rPr>
        <w:t xml:space="preserve">. Here, </w:t>
      </w:r>
      <w:r w:rsidR="00B275D2" w:rsidRPr="00130EEF">
        <w:rPr>
          <w:color w:val="000000" w:themeColor="text1"/>
        </w:rPr>
        <w:t>a</w:t>
      </w:r>
      <w:r w:rsidRPr="00130EEF">
        <w:rPr>
          <w:color w:val="000000" w:themeColor="text1"/>
        </w:rPr>
        <w:t xml:space="preserve"> decrease in </w:t>
      </w:r>
      <w:r w:rsidR="006E0898" w:rsidRPr="00130EEF">
        <w:rPr>
          <w:i/>
          <w:iCs/>
          <w:color w:val="000000" w:themeColor="text1"/>
        </w:rPr>
        <w:t>E</w:t>
      </w:r>
      <w:r w:rsidRPr="00130EEF">
        <w:rPr>
          <w:i/>
          <w:iCs/>
          <w:color w:val="000000" w:themeColor="text1"/>
        </w:rPr>
        <w:t>ed</w:t>
      </w:r>
      <w:r w:rsidRPr="00130EEF">
        <w:rPr>
          <w:color w:val="000000" w:themeColor="text1"/>
        </w:rPr>
        <w:t xml:space="preserve"> expression in the </w:t>
      </w:r>
      <w:r w:rsidR="006E0898" w:rsidRPr="00130EEF">
        <w:rPr>
          <w:color w:val="000000" w:themeColor="text1"/>
        </w:rPr>
        <w:t>HFA</w:t>
      </w:r>
      <w:r w:rsidRPr="00130EEF">
        <w:rPr>
          <w:color w:val="000000" w:themeColor="text1"/>
        </w:rPr>
        <w:t>-HFA</w:t>
      </w:r>
      <w:r w:rsidR="00B275D2" w:rsidRPr="00130EEF">
        <w:rPr>
          <w:color w:val="000000" w:themeColor="text1"/>
        </w:rPr>
        <w:t xml:space="preserve"> and a decrease in </w:t>
      </w:r>
      <w:r w:rsidR="00B275D2" w:rsidRPr="00130EEF">
        <w:rPr>
          <w:i/>
          <w:iCs/>
          <w:color w:val="000000" w:themeColor="text1"/>
        </w:rPr>
        <w:t>Eed</w:t>
      </w:r>
      <w:r w:rsidR="00B275D2" w:rsidRPr="00130EEF">
        <w:rPr>
          <w:color w:val="000000" w:themeColor="text1"/>
        </w:rPr>
        <w:t xml:space="preserve"> and </w:t>
      </w:r>
      <w:r w:rsidR="00B275D2" w:rsidRPr="00130EEF">
        <w:rPr>
          <w:i/>
          <w:iCs/>
          <w:color w:val="000000" w:themeColor="text1"/>
        </w:rPr>
        <w:t>E</w:t>
      </w:r>
      <w:r w:rsidR="00F032A7" w:rsidRPr="00130EEF">
        <w:rPr>
          <w:i/>
          <w:iCs/>
          <w:color w:val="000000" w:themeColor="text1"/>
        </w:rPr>
        <w:t>zh</w:t>
      </w:r>
      <w:r w:rsidR="00B275D2" w:rsidRPr="00130EEF">
        <w:rPr>
          <w:i/>
          <w:iCs/>
          <w:color w:val="000000" w:themeColor="text1"/>
        </w:rPr>
        <w:t>2</w:t>
      </w:r>
      <w:r w:rsidR="00B275D2" w:rsidRPr="00130EEF">
        <w:rPr>
          <w:color w:val="000000" w:themeColor="text1"/>
        </w:rPr>
        <w:t xml:space="preserve"> in the C</w:t>
      </w:r>
      <w:r w:rsidR="00C43241" w:rsidRPr="00130EEF">
        <w:rPr>
          <w:color w:val="000000" w:themeColor="text1"/>
        </w:rPr>
        <w:t>on</w:t>
      </w:r>
      <w:r w:rsidR="00B275D2" w:rsidRPr="00130EEF">
        <w:rPr>
          <w:color w:val="000000" w:themeColor="text1"/>
        </w:rPr>
        <w:t xml:space="preserve">-HFA </w:t>
      </w:r>
      <w:r w:rsidRPr="00130EEF">
        <w:rPr>
          <w:color w:val="000000" w:themeColor="text1"/>
        </w:rPr>
        <w:t>blastocysts</w:t>
      </w:r>
      <w:r w:rsidR="006E0898" w:rsidRPr="00130EEF">
        <w:rPr>
          <w:color w:val="000000" w:themeColor="text1"/>
        </w:rPr>
        <w:t xml:space="preserve"> </w:t>
      </w:r>
      <w:r w:rsidRPr="00130EEF">
        <w:rPr>
          <w:color w:val="000000" w:themeColor="text1"/>
        </w:rPr>
        <w:t xml:space="preserve">was accompanied by </w:t>
      </w:r>
      <w:r w:rsidR="00CF7EC0" w:rsidRPr="00130EEF">
        <w:rPr>
          <w:color w:val="000000" w:themeColor="text1"/>
        </w:rPr>
        <w:t xml:space="preserve">changes in the expression of </w:t>
      </w:r>
      <w:r w:rsidRPr="00130EEF">
        <w:rPr>
          <w:color w:val="000000" w:themeColor="text1"/>
        </w:rPr>
        <w:t xml:space="preserve"> </w:t>
      </w:r>
      <w:r w:rsidR="006E0898" w:rsidRPr="00130EEF">
        <w:rPr>
          <w:color w:val="000000" w:themeColor="text1"/>
        </w:rPr>
        <w:t xml:space="preserve">both </w:t>
      </w:r>
      <w:r w:rsidR="006E0898" w:rsidRPr="00130EEF">
        <w:rPr>
          <w:i/>
          <w:iCs/>
          <w:color w:val="000000" w:themeColor="text1"/>
        </w:rPr>
        <w:t>O</w:t>
      </w:r>
      <w:r w:rsidRPr="00130EEF">
        <w:rPr>
          <w:i/>
          <w:iCs/>
          <w:color w:val="000000" w:themeColor="text1"/>
        </w:rPr>
        <w:t>ct4</w:t>
      </w:r>
      <w:r w:rsidRPr="00130EEF">
        <w:rPr>
          <w:color w:val="000000" w:themeColor="text1"/>
        </w:rPr>
        <w:t xml:space="preserve"> and </w:t>
      </w:r>
      <w:r w:rsidR="006E0898" w:rsidRPr="00130EEF">
        <w:rPr>
          <w:i/>
          <w:iCs/>
          <w:color w:val="000000" w:themeColor="text1"/>
        </w:rPr>
        <w:t>N</w:t>
      </w:r>
      <w:r w:rsidRPr="00130EEF">
        <w:rPr>
          <w:i/>
          <w:iCs/>
          <w:color w:val="000000" w:themeColor="text1"/>
        </w:rPr>
        <w:t>anog</w:t>
      </w:r>
      <w:r w:rsidR="006E0898" w:rsidRPr="00130EEF">
        <w:rPr>
          <w:color w:val="000000" w:themeColor="text1"/>
        </w:rPr>
        <w:t>, suggesting that a higher FA intake may disrupt the balance between pluripotency and differentiation in the embryo through altered expression of components of the PRC</w:t>
      </w:r>
      <w:r w:rsidR="00FC1C1E" w:rsidRPr="00130EEF">
        <w:rPr>
          <w:color w:val="000000" w:themeColor="text1"/>
        </w:rPr>
        <w:t xml:space="preserve">, and interestingly this </w:t>
      </w:r>
      <w:r w:rsidR="005D3689" w:rsidRPr="00130EEF">
        <w:rPr>
          <w:color w:val="000000" w:themeColor="text1"/>
        </w:rPr>
        <w:t>wa</w:t>
      </w:r>
      <w:r w:rsidR="00FC1C1E" w:rsidRPr="00130EEF">
        <w:rPr>
          <w:color w:val="000000" w:themeColor="text1"/>
        </w:rPr>
        <w:t>s observed with both exposure to an increased FA intake pre pregnancy and during the implantation period as well as when fed just during the implantation period.</w:t>
      </w:r>
      <w:r w:rsidR="006E0898" w:rsidRPr="00130EEF">
        <w:rPr>
          <w:color w:val="000000" w:themeColor="text1"/>
        </w:rPr>
        <w:t xml:space="preserve"> </w:t>
      </w:r>
    </w:p>
    <w:p w14:paraId="1B85245F" w14:textId="77777777" w:rsidR="005D066C" w:rsidRPr="00130EEF" w:rsidRDefault="005D066C" w:rsidP="005D066C">
      <w:pPr>
        <w:pStyle w:val="NormalWeb"/>
        <w:spacing w:before="0" w:beforeAutospacing="0" w:after="0" w:afterAutospacing="0" w:line="480" w:lineRule="auto"/>
        <w:ind w:firstLine="720"/>
        <w:contextualSpacing/>
        <w:rPr>
          <w:color w:val="000000" w:themeColor="text1"/>
        </w:rPr>
      </w:pPr>
    </w:p>
    <w:p w14:paraId="4D1F064C" w14:textId="4512F1B3" w:rsidR="00C17D03" w:rsidRPr="00130EEF" w:rsidRDefault="004F4D0F" w:rsidP="005D066C">
      <w:pPr>
        <w:pStyle w:val="NormalWeb"/>
        <w:spacing w:line="480" w:lineRule="auto"/>
        <w:ind w:firstLine="720"/>
        <w:contextualSpacing/>
        <w:rPr>
          <w:color w:val="000000" w:themeColor="text1"/>
        </w:rPr>
      </w:pPr>
      <w:r w:rsidRPr="00130EEF">
        <w:rPr>
          <w:color w:val="000000" w:themeColor="text1"/>
        </w:rPr>
        <w:t>There are</w:t>
      </w:r>
      <w:r w:rsidR="001E3759" w:rsidRPr="00130EEF">
        <w:rPr>
          <w:color w:val="000000" w:themeColor="text1"/>
        </w:rPr>
        <w:t>,</w:t>
      </w:r>
      <w:r w:rsidRPr="00130EEF">
        <w:rPr>
          <w:color w:val="000000" w:themeColor="text1"/>
        </w:rPr>
        <w:t xml:space="preserve"> </w:t>
      </w:r>
      <w:r w:rsidR="00B314D1" w:rsidRPr="00130EEF">
        <w:rPr>
          <w:color w:val="000000" w:themeColor="text1"/>
        </w:rPr>
        <w:t>however</w:t>
      </w:r>
      <w:r w:rsidR="001E3759" w:rsidRPr="00130EEF">
        <w:rPr>
          <w:color w:val="000000" w:themeColor="text1"/>
        </w:rPr>
        <w:t>,</w:t>
      </w:r>
      <w:r w:rsidR="00B314D1" w:rsidRPr="00130EEF">
        <w:rPr>
          <w:color w:val="000000" w:themeColor="text1"/>
        </w:rPr>
        <w:t xml:space="preserve"> </w:t>
      </w:r>
      <w:r w:rsidRPr="00130EEF">
        <w:rPr>
          <w:color w:val="000000" w:themeColor="text1"/>
        </w:rPr>
        <w:t>some limitations to this study</w:t>
      </w:r>
      <w:r w:rsidR="00B314D1" w:rsidRPr="00130EEF">
        <w:rPr>
          <w:color w:val="000000" w:themeColor="text1"/>
        </w:rPr>
        <w:t>.</w:t>
      </w:r>
      <w:r w:rsidR="007E5EAC" w:rsidRPr="00130EEF">
        <w:rPr>
          <w:color w:val="000000" w:themeColor="text1"/>
        </w:rPr>
        <w:t xml:space="preserve"> M</w:t>
      </w:r>
      <w:r w:rsidR="00C17D03" w:rsidRPr="00130EEF">
        <w:rPr>
          <w:color w:val="000000" w:themeColor="text1"/>
        </w:rPr>
        <w:t xml:space="preserve">easurements of blood folate and metabolites were performed after 4 weeks of FA supplementation prior to conception in the </w:t>
      </w:r>
      <w:r w:rsidR="00C17D03" w:rsidRPr="00130EEF">
        <w:rPr>
          <w:color w:val="000000" w:themeColor="text1"/>
        </w:rPr>
        <w:lastRenderedPageBreak/>
        <w:t xml:space="preserve">Con-Con and HFA-HFA mice rather than at E3.5, so whether blood folate levels were </w:t>
      </w:r>
      <w:r w:rsidR="00B76DBE" w:rsidRPr="00130EEF">
        <w:rPr>
          <w:color w:val="000000" w:themeColor="text1"/>
        </w:rPr>
        <w:t xml:space="preserve">also </w:t>
      </w:r>
      <w:r w:rsidR="00C17D03" w:rsidRPr="00130EEF">
        <w:rPr>
          <w:color w:val="000000" w:themeColor="text1"/>
        </w:rPr>
        <w:t>increased in the Con-HFA mice is not known.</w:t>
      </w:r>
      <w:r w:rsidR="00ED4AF6" w:rsidRPr="00130EEF">
        <w:rPr>
          <w:color w:val="000000" w:themeColor="text1"/>
        </w:rPr>
        <w:t xml:space="preserve"> </w:t>
      </w:r>
      <w:r w:rsidR="00C71951" w:rsidRPr="00130EEF">
        <w:rPr>
          <w:color w:val="000000" w:themeColor="text1"/>
        </w:rPr>
        <w:t xml:space="preserve">In addition, it will be important to assess </w:t>
      </w:r>
      <w:r w:rsidR="007E5EAC" w:rsidRPr="00130EEF">
        <w:rPr>
          <w:color w:val="000000" w:themeColor="text1"/>
        </w:rPr>
        <w:t>how altered levels of folate metabolites in the maternal</w:t>
      </w:r>
      <w:r w:rsidR="00C71951" w:rsidRPr="00130EEF">
        <w:rPr>
          <w:color w:val="000000" w:themeColor="text1"/>
        </w:rPr>
        <w:t xml:space="preserve"> circulation</w:t>
      </w:r>
      <w:r w:rsidR="007E5EAC" w:rsidRPr="00130EEF">
        <w:rPr>
          <w:color w:val="000000" w:themeColor="text1"/>
        </w:rPr>
        <w:t xml:space="preserve"> </w:t>
      </w:r>
      <w:r w:rsidR="00C71951" w:rsidRPr="00130EEF">
        <w:rPr>
          <w:color w:val="000000" w:themeColor="text1"/>
        </w:rPr>
        <w:t xml:space="preserve">may </w:t>
      </w:r>
      <w:r w:rsidR="005D3689" w:rsidRPr="00130EEF">
        <w:rPr>
          <w:color w:val="000000" w:themeColor="text1"/>
        </w:rPr>
        <w:t>affect</w:t>
      </w:r>
      <w:r w:rsidR="00955832" w:rsidRPr="00130EEF">
        <w:rPr>
          <w:color w:val="000000" w:themeColor="text1"/>
        </w:rPr>
        <w:t xml:space="preserve"> 1-C metabolism </w:t>
      </w:r>
      <w:r w:rsidR="00C71951" w:rsidRPr="00130EEF">
        <w:rPr>
          <w:color w:val="000000" w:themeColor="text1"/>
        </w:rPr>
        <w:t xml:space="preserve">in the </w:t>
      </w:r>
      <w:r w:rsidR="007E5EAC" w:rsidRPr="00130EEF">
        <w:rPr>
          <w:color w:val="000000" w:themeColor="text1"/>
        </w:rPr>
        <w:t>embryo</w:t>
      </w:r>
      <w:r w:rsidR="00955832" w:rsidRPr="00130EEF">
        <w:rPr>
          <w:color w:val="000000" w:themeColor="text1"/>
        </w:rPr>
        <w:t xml:space="preserve">, </w:t>
      </w:r>
      <w:r w:rsidR="00EE4905" w:rsidRPr="00130EEF">
        <w:rPr>
          <w:color w:val="000000" w:themeColor="text1"/>
        </w:rPr>
        <w:t xml:space="preserve">and how this </w:t>
      </w:r>
      <w:r w:rsidR="00955832" w:rsidRPr="00130EEF">
        <w:rPr>
          <w:color w:val="000000" w:themeColor="text1"/>
        </w:rPr>
        <w:t>contribute</w:t>
      </w:r>
      <w:r w:rsidR="00EE4905" w:rsidRPr="00130EEF">
        <w:rPr>
          <w:color w:val="000000" w:themeColor="text1"/>
        </w:rPr>
        <w:t>s</w:t>
      </w:r>
      <w:r w:rsidR="00955832" w:rsidRPr="00130EEF">
        <w:rPr>
          <w:color w:val="000000" w:themeColor="text1"/>
        </w:rPr>
        <w:t xml:space="preserve"> to the altered expression of epigenetic regulators observed in this study.</w:t>
      </w:r>
      <w:r w:rsidR="007E5EAC" w:rsidRPr="00130EEF">
        <w:rPr>
          <w:color w:val="000000" w:themeColor="text1"/>
        </w:rPr>
        <w:t xml:space="preserve"> </w:t>
      </w:r>
      <w:r w:rsidR="00C71951" w:rsidRPr="00130EEF">
        <w:rPr>
          <w:color w:val="000000" w:themeColor="text1"/>
        </w:rPr>
        <w:t xml:space="preserve"> Secondly, although we observed no dif</w:t>
      </w:r>
      <w:r w:rsidR="005D3689" w:rsidRPr="00130EEF">
        <w:rPr>
          <w:color w:val="000000" w:themeColor="text1"/>
        </w:rPr>
        <w:t xml:space="preserve">ference </w:t>
      </w:r>
      <w:r w:rsidR="00C71951" w:rsidRPr="00130EEF">
        <w:rPr>
          <w:color w:val="000000" w:themeColor="text1"/>
        </w:rPr>
        <w:t xml:space="preserve">in embryo development between </w:t>
      </w:r>
      <w:r w:rsidR="00FB33FD" w:rsidRPr="00130EEF">
        <w:rPr>
          <w:color w:val="000000" w:themeColor="text1"/>
        </w:rPr>
        <w:t xml:space="preserve">the </w:t>
      </w:r>
      <w:r w:rsidR="00955832" w:rsidRPr="00130EEF">
        <w:rPr>
          <w:color w:val="000000" w:themeColor="text1"/>
        </w:rPr>
        <w:t xml:space="preserve">different </w:t>
      </w:r>
      <w:r w:rsidR="00C71951" w:rsidRPr="00130EEF">
        <w:rPr>
          <w:color w:val="000000" w:themeColor="text1"/>
        </w:rPr>
        <w:t>dietary groups, subtle differences</w:t>
      </w:r>
      <w:r w:rsidR="00FB33FD" w:rsidRPr="00130EEF">
        <w:rPr>
          <w:color w:val="000000" w:themeColor="text1"/>
        </w:rPr>
        <w:t xml:space="preserve"> </w:t>
      </w:r>
      <w:r w:rsidR="00C71951" w:rsidRPr="00130EEF">
        <w:rPr>
          <w:color w:val="000000" w:themeColor="text1"/>
        </w:rPr>
        <w:t>in development may</w:t>
      </w:r>
      <w:r w:rsidR="005D3689" w:rsidRPr="00130EEF">
        <w:rPr>
          <w:color w:val="000000" w:themeColor="text1"/>
        </w:rPr>
        <w:t xml:space="preserve"> </w:t>
      </w:r>
      <w:r w:rsidR="00C71951" w:rsidRPr="00130EEF">
        <w:rPr>
          <w:color w:val="000000" w:themeColor="text1"/>
        </w:rPr>
        <w:t>not have been</w:t>
      </w:r>
      <w:r w:rsidR="00FB33FD" w:rsidRPr="00130EEF">
        <w:rPr>
          <w:color w:val="000000" w:themeColor="text1"/>
        </w:rPr>
        <w:t xml:space="preserve"> </w:t>
      </w:r>
      <w:r w:rsidR="00C71951" w:rsidRPr="00130EEF">
        <w:rPr>
          <w:color w:val="000000" w:themeColor="text1"/>
        </w:rPr>
        <w:t>detected t</w:t>
      </w:r>
      <w:r w:rsidR="00FB33FD" w:rsidRPr="00130EEF">
        <w:rPr>
          <w:color w:val="000000" w:themeColor="text1"/>
        </w:rPr>
        <w:t xml:space="preserve">hrough </w:t>
      </w:r>
      <w:r w:rsidR="00056046" w:rsidRPr="00130EEF">
        <w:rPr>
          <w:color w:val="000000" w:themeColor="text1"/>
        </w:rPr>
        <w:t xml:space="preserve">visual </w:t>
      </w:r>
      <w:r w:rsidR="005D3689" w:rsidRPr="00130EEF">
        <w:rPr>
          <w:color w:val="000000" w:themeColor="text1"/>
        </w:rPr>
        <w:t>classification</w:t>
      </w:r>
      <w:r w:rsidR="00056046" w:rsidRPr="00130EEF">
        <w:rPr>
          <w:color w:val="000000" w:themeColor="text1"/>
        </w:rPr>
        <w:t xml:space="preserve"> of the embryo stages. </w:t>
      </w:r>
      <w:r w:rsidR="00FB33FD" w:rsidRPr="00130EEF">
        <w:rPr>
          <w:color w:val="000000" w:themeColor="text1"/>
        </w:rPr>
        <w:t xml:space="preserve">Thirdly, </w:t>
      </w:r>
      <w:r w:rsidR="00955832" w:rsidRPr="00130EEF">
        <w:rPr>
          <w:color w:val="000000" w:themeColor="text1"/>
        </w:rPr>
        <w:t>w</w:t>
      </w:r>
      <w:r w:rsidR="00C17D03" w:rsidRPr="00130EEF">
        <w:rPr>
          <w:color w:val="000000" w:themeColor="text1"/>
        </w:rPr>
        <w:t xml:space="preserve">e only examined gene expression in male blastocysts due to the low number of female blastocysts obtained. Given a number of studies have reported sexual dimorphism in the phenotypic response to variations in </w:t>
      </w:r>
      <w:r w:rsidR="00E50C7B" w:rsidRPr="00130EEF">
        <w:rPr>
          <w:color w:val="000000" w:themeColor="text1"/>
        </w:rPr>
        <w:t xml:space="preserve">the </w:t>
      </w:r>
      <w:r w:rsidR="00C17D03" w:rsidRPr="00130EEF">
        <w:rPr>
          <w:color w:val="000000" w:themeColor="text1"/>
        </w:rPr>
        <w:t xml:space="preserve">maternal diet </w:t>
      </w:r>
      <w:r w:rsidR="00167AE9" w:rsidRPr="00130EEF">
        <w:rPr>
          <w:color w:val="000000" w:themeColor="text1"/>
        </w:rPr>
        <w:fldChar w:fldCharType="begin" w:fldLock="1"/>
      </w:r>
      <w:r w:rsidR="00167AE9" w:rsidRPr="00130EEF">
        <w:rPr>
          <w:color w:val="000000" w:themeColor="text1"/>
        </w:rPr>
        <w:instrText>ADDIN CSL_CITATION {"citationItems":[{"id":"ITEM-1","itemData":{"DOI":"10.1371/journal.pone.0083458","ISSN":"1932-6203","abstract":"Maternal environment during early developmental stages plays a seminal role in the establishment of adult phenotype. Using a rabbit model, we previously showed that feeding dams with a diet supplemented with 8% fat and 0.2% cholesterol (HH diet) from the prepubertal period and throughout gestation induced metabolic syndrome in adult offspring. Here, we examined the effects of the HH diet on feto-placental phenotype at 28 days post-coïtum (term = 31days) in relation to earlier effects in the blastocyst (Day 6). At 28 days, both male and female HH fetuses were intrauterine growth retarded and dyslipidemic, with males more affected than females. Lipid droplets accumulated in the HH placentas' trophoblast, consistent with the increased concentrations in cholesteryl esters (3.2-fold), triacylglycerol (2.5-fold) and stored FA (2.12-fold). Stored FA concentrations were significantly higher in female compared to male HH placentas (2.18-fold, p&lt;0.01), whereas triacylglycerol was increased only in HH males. Trophoblastic lipid droplet accumulation was also observed at the blastocyst stage. The expression of numerous genes involved in lipid pathways differed significantly according to diet both in term placenta and at the blastocyst stage. Among them, the expression of LXR-α in HH placentas was reduced in HH males but not females. These data demonstrate that maternal HH diet affects the blastocyst and induces sex-dependent metabolic adaptations in the placenta, which appears to protect female fetuses from developing severe dyslipidemia. © 2013 Tarrade et al.","author":[{"dropping-particle":"","family":"Tarrade","given":"Anne","non-dropping-particle":"","parse-names":false,"suffix":""},{"dropping-particle":"","family":"Rousseau-Ralliard","given":"Delphine","non-dropping-particle":"","parse-names":false,"suffix":""},{"dropping-particle":"","family":"Aubrière","given":"Marie-Christine","non-dropping-particle":"","parse-names":false,"suffix":""},{"dropping-particle":"","family":"Peynot","given":"Nathalie","non-dropping-particle":"","parse-names":false,"suffix":""},{"dropping-particle":"","family":"Dahirel","given":"Michèle","non-dropping-particle":"","parse-names":false,"suffix":""},{"dropping-particle":"","family":"Bertrand-Michel","given":"Justine","non-dropping-particle":"","parse-names":false,"suffix":""},{"dropping-particle":"","family":"Aguirre-Lavin","given":"Tiphaine","non-dropping-particle":"","parse-names":false,"suffix":""},{"dropping-particle":"","family":"Morel","given":"Olivier","non-dropping-particle":"","parse-names":false,"suffix":""},{"dropping-particle":"","family":"Beaujean","given":"Nathalie","non-dropping-particle":"","parse-names":false,"suffix":""},{"dropping-particle":"","family":"Duranthon","given":"Véronique","non-dropping-particle":"","parse-names":false,"suffix":""},{"dropping-particle":"","family":"Chavatte-Palmer","given":"Pascale","non-dropping-particle":"","parse-names":false,"suffix":""}],"container-title":"PLoS ONE","editor":[{"dropping-particle":"","family":"Zenclussen","given":"Ana Claudia","non-dropping-particle":"","parse-names":false,"suffix":""}],"id":"ITEM-1","issue":"12","issued":{"date-parts":[["2013","12","26"]]},"page":"e83458","title":"Sexual Dimorphism of the Feto-Placental Phenotype in Response to a High Fat and Control Maternal Diets in a Rabbit Model","type":"article-journal","volume":"8"},"uris":["http://www.mendeley.com/documents/?uuid=180fb083-60ca-46a6-97eb-2bb7a4b05c65"]}],"mendeley":{"formattedCitation":"(Tarrade et al., 2013)","plainTextFormattedCitation":"(Tarrade et al., 2013)","previouslyFormattedCitation":"(Tarrade et al., 2013)"},"properties":{"noteIndex":0},"schema":"https://github.com/citation-style-language/schema/raw/master/csl-citation.json"}</w:instrText>
      </w:r>
      <w:r w:rsidR="00167AE9" w:rsidRPr="00130EEF">
        <w:rPr>
          <w:color w:val="000000" w:themeColor="text1"/>
        </w:rPr>
        <w:fldChar w:fldCharType="separate"/>
      </w:r>
      <w:r w:rsidR="00167AE9" w:rsidRPr="00130EEF">
        <w:rPr>
          <w:noProof/>
          <w:color w:val="000000" w:themeColor="text1"/>
        </w:rPr>
        <w:t>(Tarrade et al., 2013)</w:t>
      </w:r>
      <w:r w:rsidR="00167AE9" w:rsidRPr="00130EEF">
        <w:rPr>
          <w:color w:val="000000" w:themeColor="text1"/>
        </w:rPr>
        <w:fldChar w:fldCharType="end"/>
      </w:r>
      <w:r w:rsidR="00C17D03" w:rsidRPr="00130EEF">
        <w:rPr>
          <w:color w:val="000000" w:themeColor="text1"/>
        </w:rPr>
        <w:t xml:space="preserve">, it will be important to investigate whether similar changes occur in female embryos. Finally, </w:t>
      </w:r>
      <w:r w:rsidR="005E7F7B" w:rsidRPr="00130EEF">
        <w:rPr>
          <w:color w:val="000000" w:themeColor="text1"/>
        </w:rPr>
        <w:t>alt</w:t>
      </w:r>
      <w:r w:rsidR="00AA6A69" w:rsidRPr="00130EEF">
        <w:rPr>
          <w:color w:val="000000" w:themeColor="text1"/>
        </w:rPr>
        <w:t xml:space="preserve">hough we found </w:t>
      </w:r>
      <w:r w:rsidR="00D150E2" w:rsidRPr="00130EEF">
        <w:rPr>
          <w:color w:val="000000" w:themeColor="text1"/>
        </w:rPr>
        <w:t xml:space="preserve">differences </w:t>
      </w:r>
      <w:r w:rsidR="00AA6A69" w:rsidRPr="00130EEF">
        <w:rPr>
          <w:color w:val="000000" w:themeColor="text1"/>
        </w:rPr>
        <w:t xml:space="preserve">in the number of TE cells and altered expression of a number of lineage determination markers, </w:t>
      </w:r>
      <w:r w:rsidR="00D150E2" w:rsidRPr="00130EEF">
        <w:rPr>
          <w:color w:val="000000" w:themeColor="text1"/>
        </w:rPr>
        <w:t xml:space="preserve">the </w:t>
      </w:r>
      <w:r w:rsidR="00B314D1" w:rsidRPr="00130EEF">
        <w:rPr>
          <w:color w:val="000000" w:themeColor="text1"/>
        </w:rPr>
        <w:t>c</w:t>
      </w:r>
      <w:r w:rsidR="00AA6A69" w:rsidRPr="00130EEF">
        <w:rPr>
          <w:color w:val="000000" w:themeColor="text1"/>
        </w:rPr>
        <w:t xml:space="preserve">onsequences for </w:t>
      </w:r>
      <w:r w:rsidR="00B314D1" w:rsidRPr="00130EEF">
        <w:rPr>
          <w:color w:val="000000" w:themeColor="text1"/>
        </w:rPr>
        <w:t>embryo implantation</w:t>
      </w:r>
      <w:r w:rsidR="00C17D03" w:rsidRPr="00130EEF">
        <w:rPr>
          <w:color w:val="000000" w:themeColor="text1"/>
        </w:rPr>
        <w:t xml:space="preserve"> or development</w:t>
      </w:r>
      <w:r w:rsidR="00D150E2" w:rsidRPr="00130EEF">
        <w:rPr>
          <w:color w:val="000000" w:themeColor="text1"/>
        </w:rPr>
        <w:t xml:space="preserve"> were not tested</w:t>
      </w:r>
      <w:r w:rsidR="00AA6A69" w:rsidRPr="00130EEF">
        <w:rPr>
          <w:color w:val="000000" w:themeColor="text1"/>
        </w:rPr>
        <w:t>.</w:t>
      </w:r>
      <w:r w:rsidR="00187BE1" w:rsidRPr="00130EEF">
        <w:rPr>
          <w:color w:val="000000" w:themeColor="text1"/>
        </w:rPr>
        <w:t xml:space="preserve"> </w:t>
      </w:r>
      <w:r w:rsidR="00C17D03" w:rsidRPr="00130EEF">
        <w:rPr>
          <w:color w:val="000000" w:themeColor="text1"/>
        </w:rPr>
        <w:t>Elucidation of the long</w:t>
      </w:r>
      <w:r w:rsidR="005D066C" w:rsidRPr="00130EEF">
        <w:rPr>
          <w:color w:val="000000" w:themeColor="text1"/>
        </w:rPr>
        <w:t>-</w:t>
      </w:r>
      <w:r w:rsidR="00C17D03" w:rsidRPr="00130EEF">
        <w:rPr>
          <w:color w:val="000000" w:themeColor="text1"/>
        </w:rPr>
        <w:t xml:space="preserve">term consequences of high maternal FA intake will be important to guide </w:t>
      </w:r>
      <w:r w:rsidR="00B76DBE" w:rsidRPr="00130EEF">
        <w:rPr>
          <w:color w:val="000000" w:themeColor="text1"/>
        </w:rPr>
        <w:t xml:space="preserve">FA intake </w:t>
      </w:r>
      <w:r w:rsidR="00C17D03" w:rsidRPr="00130EEF">
        <w:rPr>
          <w:color w:val="000000" w:themeColor="text1"/>
        </w:rPr>
        <w:t xml:space="preserve">recommendations. </w:t>
      </w:r>
    </w:p>
    <w:p w14:paraId="2CA7A767" w14:textId="0B3BC3A2" w:rsidR="00AA6A69" w:rsidRPr="00130EEF" w:rsidRDefault="00AA6A69" w:rsidP="00100C40">
      <w:pPr>
        <w:pStyle w:val="NormalWeb"/>
        <w:spacing w:line="480" w:lineRule="auto"/>
        <w:ind w:firstLine="720"/>
        <w:contextualSpacing/>
        <w:rPr>
          <w:color w:val="000000" w:themeColor="text1"/>
        </w:rPr>
      </w:pPr>
    </w:p>
    <w:p w14:paraId="54B8D6D5" w14:textId="7443FC8C" w:rsidR="005278CC" w:rsidRPr="00130EEF" w:rsidRDefault="00B314D1" w:rsidP="00BC66E4">
      <w:pPr>
        <w:pStyle w:val="NormalWeb"/>
        <w:spacing w:line="480" w:lineRule="auto"/>
        <w:ind w:firstLine="720"/>
        <w:rPr>
          <w:color w:val="000000" w:themeColor="text1"/>
        </w:rPr>
      </w:pPr>
      <w:r w:rsidRPr="00130EEF">
        <w:rPr>
          <w:color w:val="000000" w:themeColor="text1"/>
        </w:rPr>
        <w:t>This study does show</w:t>
      </w:r>
      <w:r w:rsidR="00E61342" w:rsidRPr="00130EEF">
        <w:rPr>
          <w:color w:val="000000" w:themeColor="text1"/>
        </w:rPr>
        <w:t>,</w:t>
      </w:r>
      <w:r w:rsidRPr="00130EEF">
        <w:rPr>
          <w:color w:val="000000" w:themeColor="text1"/>
        </w:rPr>
        <w:t xml:space="preserve"> h</w:t>
      </w:r>
      <w:r w:rsidR="00AA6A69" w:rsidRPr="00130EEF">
        <w:rPr>
          <w:color w:val="000000" w:themeColor="text1"/>
        </w:rPr>
        <w:t xml:space="preserve">owever, that </w:t>
      </w:r>
      <w:r w:rsidRPr="00130EEF">
        <w:rPr>
          <w:color w:val="000000" w:themeColor="text1"/>
        </w:rPr>
        <w:t xml:space="preserve">increased </w:t>
      </w:r>
      <w:r w:rsidR="00865851" w:rsidRPr="00130EEF">
        <w:rPr>
          <w:color w:val="000000" w:themeColor="text1"/>
        </w:rPr>
        <w:t xml:space="preserve">FA </w:t>
      </w:r>
      <w:r w:rsidRPr="00130EEF">
        <w:rPr>
          <w:color w:val="000000" w:themeColor="text1"/>
        </w:rPr>
        <w:t xml:space="preserve">intake </w:t>
      </w:r>
      <w:r w:rsidR="000B1F60" w:rsidRPr="00130EEF">
        <w:rPr>
          <w:color w:val="000000" w:themeColor="text1"/>
        </w:rPr>
        <w:t xml:space="preserve">during the </w:t>
      </w:r>
      <w:r w:rsidR="00F84D95" w:rsidRPr="00130EEF">
        <w:rPr>
          <w:color w:val="000000" w:themeColor="text1"/>
        </w:rPr>
        <w:t>preconception</w:t>
      </w:r>
      <w:r w:rsidR="000B1F60" w:rsidRPr="00130EEF">
        <w:rPr>
          <w:color w:val="000000" w:themeColor="text1"/>
        </w:rPr>
        <w:t xml:space="preserve"> and </w:t>
      </w:r>
      <w:r w:rsidR="00F84D95" w:rsidRPr="00130EEF">
        <w:rPr>
          <w:color w:val="000000" w:themeColor="text1"/>
        </w:rPr>
        <w:t>preimplantation</w:t>
      </w:r>
      <w:r w:rsidR="000B1F60" w:rsidRPr="00130EEF">
        <w:rPr>
          <w:color w:val="000000" w:themeColor="text1"/>
        </w:rPr>
        <w:t xml:space="preserve"> period </w:t>
      </w:r>
      <w:r w:rsidR="00AB0292" w:rsidRPr="00130EEF">
        <w:rPr>
          <w:color w:val="000000" w:themeColor="text1"/>
        </w:rPr>
        <w:t xml:space="preserve">can potentially </w:t>
      </w:r>
      <w:r w:rsidR="00865851" w:rsidRPr="00130EEF">
        <w:rPr>
          <w:color w:val="000000" w:themeColor="text1"/>
        </w:rPr>
        <w:t>affect cell number within the blastocyst, the ratio of ICM</w:t>
      </w:r>
      <w:r w:rsidR="006606AD" w:rsidRPr="00130EEF">
        <w:rPr>
          <w:color w:val="000000" w:themeColor="text1"/>
        </w:rPr>
        <w:t>/TE</w:t>
      </w:r>
      <w:r w:rsidR="0080679F" w:rsidRPr="00130EEF">
        <w:rPr>
          <w:color w:val="000000" w:themeColor="text1"/>
        </w:rPr>
        <w:t>,</w:t>
      </w:r>
      <w:r w:rsidR="00865851" w:rsidRPr="00130EEF">
        <w:rPr>
          <w:color w:val="000000" w:themeColor="text1"/>
        </w:rPr>
        <w:t xml:space="preserve"> and the expression of key lineage markers</w:t>
      </w:r>
      <w:r w:rsidR="00270410" w:rsidRPr="00130EEF">
        <w:rPr>
          <w:color w:val="000000" w:themeColor="text1"/>
        </w:rPr>
        <w:t xml:space="preserve"> such as CDX2</w:t>
      </w:r>
      <w:r w:rsidR="000B1F60" w:rsidRPr="00130EEF">
        <w:rPr>
          <w:color w:val="000000" w:themeColor="text1"/>
        </w:rPr>
        <w:t>.</w:t>
      </w:r>
      <w:r w:rsidR="00865851" w:rsidRPr="00130EEF">
        <w:rPr>
          <w:color w:val="000000" w:themeColor="text1"/>
        </w:rPr>
        <w:t xml:space="preserve"> </w:t>
      </w:r>
      <w:r w:rsidR="00F00D42" w:rsidRPr="00130EEF">
        <w:rPr>
          <w:color w:val="000000" w:themeColor="text1"/>
        </w:rPr>
        <w:t xml:space="preserve">High intake of FA during </w:t>
      </w:r>
      <w:r w:rsidR="00D150E2" w:rsidRPr="00130EEF">
        <w:rPr>
          <w:color w:val="000000" w:themeColor="text1"/>
        </w:rPr>
        <w:t xml:space="preserve">both </w:t>
      </w:r>
      <w:r w:rsidR="00F84D95" w:rsidRPr="00130EEF">
        <w:rPr>
          <w:color w:val="000000" w:themeColor="text1"/>
        </w:rPr>
        <w:t>preconception</w:t>
      </w:r>
      <w:r w:rsidR="00865851" w:rsidRPr="00130EEF">
        <w:rPr>
          <w:color w:val="000000" w:themeColor="text1"/>
        </w:rPr>
        <w:t xml:space="preserve"> </w:t>
      </w:r>
      <w:r w:rsidR="000B1F60" w:rsidRPr="00130EEF">
        <w:rPr>
          <w:color w:val="000000" w:themeColor="text1"/>
        </w:rPr>
        <w:t xml:space="preserve">and </w:t>
      </w:r>
      <w:r w:rsidR="00F84D95" w:rsidRPr="00130EEF">
        <w:rPr>
          <w:color w:val="000000" w:themeColor="text1"/>
        </w:rPr>
        <w:t xml:space="preserve">preimplantation </w:t>
      </w:r>
      <w:r w:rsidR="000B1F60" w:rsidRPr="00130EEF">
        <w:rPr>
          <w:color w:val="000000" w:themeColor="text1"/>
        </w:rPr>
        <w:t xml:space="preserve">had the most </w:t>
      </w:r>
      <w:r w:rsidR="00487F86" w:rsidRPr="00130EEF">
        <w:rPr>
          <w:color w:val="000000" w:themeColor="text1"/>
        </w:rPr>
        <w:t>pronounced</w:t>
      </w:r>
      <w:r w:rsidR="000B1F60" w:rsidRPr="00130EEF">
        <w:rPr>
          <w:color w:val="000000" w:themeColor="text1"/>
        </w:rPr>
        <w:t xml:space="preserve"> effect</w:t>
      </w:r>
      <w:r w:rsidR="005278CC" w:rsidRPr="00130EEF">
        <w:rPr>
          <w:color w:val="000000" w:themeColor="text1"/>
        </w:rPr>
        <w:t>s</w:t>
      </w:r>
      <w:r w:rsidR="000B1F60" w:rsidRPr="00130EEF">
        <w:rPr>
          <w:color w:val="000000" w:themeColor="text1"/>
        </w:rPr>
        <w:t xml:space="preserve"> on these parameters</w:t>
      </w:r>
      <w:r w:rsidR="00DF7F96" w:rsidRPr="00130EEF">
        <w:rPr>
          <w:color w:val="000000" w:themeColor="text1"/>
        </w:rPr>
        <w:t xml:space="preserve">. </w:t>
      </w:r>
      <w:r w:rsidR="00D150E2" w:rsidRPr="00130EEF">
        <w:rPr>
          <w:color w:val="000000" w:themeColor="text1"/>
        </w:rPr>
        <w:t>Nevertheless</w:t>
      </w:r>
      <w:r w:rsidR="00DF7F96" w:rsidRPr="00130EEF">
        <w:rPr>
          <w:color w:val="000000" w:themeColor="text1"/>
        </w:rPr>
        <w:t>,</w:t>
      </w:r>
      <w:r w:rsidR="00F00D42" w:rsidRPr="00130EEF">
        <w:rPr>
          <w:color w:val="000000" w:themeColor="text1"/>
        </w:rPr>
        <w:t xml:space="preserve"> </w:t>
      </w:r>
      <w:r w:rsidR="00BE1049" w:rsidRPr="00130EEF">
        <w:rPr>
          <w:color w:val="000000" w:themeColor="text1"/>
        </w:rPr>
        <w:t>H</w:t>
      </w:r>
      <w:r w:rsidR="00D150E2" w:rsidRPr="00130EEF">
        <w:rPr>
          <w:color w:val="000000" w:themeColor="text1"/>
        </w:rPr>
        <w:t xml:space="preserve">FA </w:t>
      </w:r>
      <w:r w:rsidR="00F00D42" w:rsidRPr="00130EEF">
        <w:rPr>
          <w:color w:val="000000" w:themeColor="text1"/>
        </w:rPr>
        <w:t>intake</w:t>
      </w:r>
      <w:r w:rsidR="008526BF" w:rsidRPr="00130EEF">
        <w:rPr>
          <w:color w:val="000000" w:themeColor="text1"/>
        </w:rPr>
        <w:t xml:space="preserve"> </w:t>
      </w:r>
      <w:r w:rsidR="000B1F60" w:rsidRPr="00130EEF">
        <w:rPr>
          <w:color w:val="000000" w:themeColor="text1"/>
        </w:rPr>
        <w:t xml:space="preserve">during the </w:t>
      </w:r>
      <w:r w:rsidR="00F84D95" w:rsidRPr="00130EEF">
        <w:rPr>
          <w:color w:val="000000" w:themeColor="text1"/>
        </w:rPr>
        <w:t>preimplantation</w:t>
      </w:r>
      <w:r w:rsidR="000B1F60" w:rsidRPr="00130EEF">
        <w:rPr>
          <w:color w:val="000000" w:themeColor="text1"/>
        </w:rPr>
        <w:t xml:space="preserve"> period alone also affected the expression of the key lineage markers.</w:t>
      </w:r>
      <w:r w:rsidR="00AB0292" w:rsidRPr="00130EEF">
        <w:rPr>
          <w:color w:val="000000" w:themeColor="text1"/>
        </w:rPr>
        <w:t xml:space="preserve"> </w:t>
      </w:r>
      <w:r w:rsidR="00296CC7" w:rsidRPr="00130EEF">
        <w:rPr>
          <w:color w:val="000000" w:themeColor="text1"/>
        </w:rPr>
        <w:t>A change in lineage allocation and reduction in cell number in early development has been reported to result in compensatory accelerated cell proliferation in the embryo</w:t>
      </w:r>
      <w:r w:rsidR="001C3F6E" w:rsidRPr="00130EEF">
        <w:rPr>
          <w:color w:val="000000" w:themeColor="text1"/>
        </w:rPr>
        <w:t xml:space="preserve"> </w:t>
      </w:r>
      <w:r w:rsidR="001C3F6E" w:rsidRPr="00130EEF">
        <w:rPr>
          <w:color w:val="000000" w:themeColor="text1"/>
        </w:rPr>
        <w:fldChar w:fldCharType="begin" w:fldLock="1"/>
      </w:r>
      <w:r w:rsidR="00DC2BE2" w:rsidRPr="00130EEF">
        <w:rPr>
          <w:color w:val="000000" w:themeColor="text1"/>
        </w:rPr>
        <w:instrText>ADDIN CSL_CITATION {"citationItems":[{"id":"ITEM-1","itemData":{"DOI":"10.1007/BF00174425","ISSN":"03402061","abstract":"This is a study on the ability of mouse embryos to compensate for a loss of cells and to develop with body parts of normal size and normal proportions during postimplantation development. Micro-manipulations were performed on 4-cell pre-implantation mouse embryos to reduce the number of cells by 25% (3/4 embryos) or 50% (2/4 embryos). Blastocysts developed from these embryos showed a preferential loss of inner cell mass population, and fewer of them formed viable embryos after implantation. The size of post-implantation 3/4 embryos was initially smaller than controls of the same gestational age, but compensatory growth, achieved by increasing cell numbers at above the normal rate and beyond the normal duration, took place between 6.5 and 11.5 days, resulting in a complete restoration of body size. During compensatory growth the 3/4 embryos rescheduled events of gastrulation and morphogenesis in keeping with cell number or body size appropriate for each developmental stage. The formation of the correct number of somites was accomplished by changing the rate of somite segmentation and by an adjustment of the size of individual somites and somitomeres proportional to the available amount of precursor tissues. Morphogenesis and pattern formation in embryos recovering from earlier cell losses are therefore regulated in accordance to tissue volume (or cell number) instead of chronological age or some intrinsic cellular clock. © 1993 Springer-Verlag.","author":[{"dropping-particle":"","family":"Power","given":"M. A.","non-dropping-particle":"","parse-names":false,"suffix":""},{"dropping-particle":"","family":"Tam","given":"P. P.L.","non-dropping-particle":"","parse-names":false,"suffix":""}],"container-title":"Anatomy and Embryology","id":"ITEM-1","issue":"5","issued":{"date-parts":[["1993"]]},"page":"493-504","title":"Onset of gastrulation, morphogenesis and somitogenesis in mouse embryos displaying compensatory growth","type":"article-journal","volume":"187"},"uris":["http://www.mendeley.com/documents/?uuid=5c60e340-b9ef-4015-a14c-b2b82477514a"]},{"id":"ITEM-2","itemData":{"DOI":"10.1016/j.semcdb.2014.06.010","ISSN":"10849521","abstract":"The timing of developmental events during early mouse development has been investigated in embryos that have been subject to experimental manipulation of cell number and tissue mass. These phenomenological studies revealed that the timing of preimplantation events, such as compaction, formation of blastocyst cavity and lineage allocation is correlated with the rounds of cleavage division or DNA replication of the blastomeres. Timing of postimplantation processes, such as formation of proamniotic cavity and onset of gastrulation is sensitive to cell number and probably the tissue mass, which may be measured by a mechanosensory signaling mechanism. Developmental changes in these two physical attributes are correlated with the cell proliferative activity and the growth trajectory of the whole embryo prior to the transit to organogenesis. During organogenesis, timing of morphogenesis appears to be regulated by individual devices that could be uncoupled during compensatory growth. Insights of the timing mechanism may be gleaned from the analysis of genomic activity associated with the transition through developmental milestones.","author":[{"dropping-particle":"","family":"Kojima","given":"Yoji","non-dropping-particle":"","parse-names":false,"suffix":""},{"dropping-particle":"","family":"Tam","given":"Oliver H.","non-dropping-particle":"","parse-names":false,"suffix":""},{"dropping-particle":"","family":"Tam","given":"Patrick P.L.","non-dropping-particle":"","parse-names":false,"suffix":""}],"container-title":"Seminars in Cell &amp; Developmental Biology","id":"ITEM-2","issued":{"date-parts":[["2014","10"]]},"page":"65-75","publisher":"Elsevier Ltd","title":"Timing of developmental events in the early mouse embryo","type":"article-journal","volume":"34"},"uris":["http://www.mendeley.com/documents/?uuid=ca217aa6-0a60-4d9e-8c5a-5a6f446685cc"]}],"mendeley":{"formattedCitation":"(Kojima, Tam, &amp; Tam, 2014; Power &amp; Tam, 1993)","plainTextFormattedCitation":"(Kojima, Tam, &amp; Tam, 2014; Power &amp; Tam, 1993)","previouslyFormattedCitation":"(Kojima, Tam, &amp; Tam, 2014; Power &amp; Tam, 1993)"},"properties":{"noteIndex":0},"schema":"https://github.com/citation-style-language/schema/raw/master/csl-citation.json"}</w:instrText>
      </w:r>
      <w:r w:rsidR="001C3F6E" w:rsidRPr="00130EEF">
        <w:rPr>
          <w:color w:val="000000" w:themeColor="text1"/>
        </w:rPr>
        <w:fldChar w:fldCharType="separate"/>
      </w:r>
      <w:r w:rsidR="001C3F6E" w:rsidRPr="00130EEF">
        <w:rPr>
          <w:noProof/>
          <w:color w:val="000000" w:themeColor="text1"/>
        </w:rPr>
        <w:t>(Kojima, Tam, &amp; Tam, 2014; Power &amp; Tam, 1993)</w:t>
      </w:r>
      <w:r w:rsidR="001C3F6E" w:rsidRPr="00130EEF">
        <w:rPr>
          <w:color w:val="000000" w:themeColor="text1"/>
        </w:rPr>
        <w:fldChar w:fldCharType="end"/>
      </w:r>
      <w:r w:rsidR="00D1604E" w:rsidRPr="00130EEF">
        <w:rPr>
          <w:color w:val="000000" w:themeColor="text1"/>
        </w:rPr>
        <w:t xml:space="preserve"> and a</w:t>
      </w:r>
      <w:r w:rsidR="00296CC7" w:rsidRPr="00130EEF">
        <w:rPr>
          <w:color w:val="000000" w:themeColor="text1"/>
        </w:rPr>
        <w:t>lthough t</w:t>
      </w:r>
      <w:r w:rsidR="000B1F60" w:rsidRPr="00130EEF">
        <w:rPr>
          <w:color w:val="000000" w:themeColor="text1"/>
        </w:rPr>
        <w:t xml:space="preserve">he </w:t>
      </w:r>
      <w:r w:rsidR="006606AD" w:rsidRPr="00130EEF">
        <w:rPr>
          <w:color w:val="000000" w:themeColor="text1"/>
        </w:rPr>
        <w:t>long-term</w:t>
      </w:r>
      <w:r w:rsidR="000B1F60" w:rsidRPr="00130EEF">
        <w:rPr>
          <w:color w:val="000000" w:themeColor="text1"/>
        </w:rPr>
        <w:t xml:space="preserve"> </w:t>
      </w:r>
      <w:r w:rsidR="00487F86" w:rsidRPr="00130EEF">
        <w:rPr>
          <w:color w:val="000000" w:themeColor="text1"/>
        </w:rPr>
        <w:t>implications</w:t>
      </w:r>
      <w:r w:rsidR="000B1F60" w:rsidRPr="00130EEF">
        <w:rPr>
          <w:color w:val="000000" w:themeColor="text1"/>
        </w:rPr>
        <w:t xml:space="preserve"> of such changes are unknown</w:t>
      </w:r>
      <w:r w:rsidR="0080679F" w:rsidRPr="00130EEF">
        <w:rPr>
          <w:color w:val="000000" w:themeColor="text1"/>
        </w:rPr>
        <w:t>,</w:t>
      </w:r>
      <w:r w:rsidR="000B1F60" w:rsidRPr="00130EEF">
        <w:rPr>
          <w:color w:val="000000" w:themeColor="text1"/>
        </w:rPr>
        <w:t xml:space="preserve"> </w:t>
      </w:r>
      <w:r w:rsidR="00D1604E" w:rsidRPr="00130EEF">
        <w:rPr>
          <w:color w:val="000000" w:themeColor="text1"/>
        </w:rPr>
        <w:t>there may</w:t>
      </w:r>
      <w:r w:rsidR="00E61342" w:rsidRPr="00130EEF">
        <w:rPr>
          <w:color w:val="000000" w:themeColor="text1"/>
        </w:rPr>
        <w:t xml:space="preserve"> </w:t>
      </w:r>
      <w:r w:rsidR="00D1604E" w:rsidRPr="00130EEF">
        <w:rPr>
          <w:color w:val="000000" w:themeColor="text1"/>
        </w:rPr>
        <w:t>be potential consequences for long</w:t>
      </w:r>
      <w:r w:rsidR="00F07148" w:rsidRPr="00130EEF">
        <w:rPr>
          <w:color w:val="000000" w:themeColor="text1"/>
        </w:rPr>
        <w:t>-</w:t>
      </w:r>
      <w:r w:rsidR="00D1604E" w:rsidRPr="00130EEF">
        <w:rPr>
          <w:color w:val="000000" w:themeColor="text1"/>
        </w:rPr>
        <w:t>term health</w:t>
      </w:r>
      <w:r w:rsidR="001C3F6E" w:rsidRPr="00130EEF">
        <w:rPr>
          <w:color w:val="000000" w:themeColor="text1"/>
        </w:rPr>
        <w:t xml:space="preserve"> </w:t>
      </w:r>
      <w:r w:rsidR="001C3F6E" w:rsidRPr="00130EEF">
        <w:rPr>
          <w:color w:val="000000" w:themeColor="text1"/>
        </w:rPr>
        <w:fldChar w:fldCharType="begin" w:fldLock="1"/>
      </w:r>
      <w:r w:rsidR="001C3F6E" w:rsidRPr="00130EEF">
        <w:rPr>
          <w:color w:val="000000" w:themeColor="text1"/>
        </w:rPr>
        <w:instrText>ADDIN CSL_CITATION {"citationItems":[{"id":"ITEM-1","itemData":{"DOI":"10.1016/S0140-6736(18)30312-X","ISSN":"01406736","PMID":"29673874","abstract":"Parental environmental factors, including diet, body composition, metabolism, and stress, affect the health and chronic disease risk of people throughout their lives, as captured in the Developmental Origins of Health and Disease concept. Research across the epidemiological, clinical, and basic science fields has identified the period around conception as being crucial for the processes mediating parental influences on the health of the next generation. During this time, from the maturation of gametes through to early embryonic development, parental lifestyle can adversely influence long-term risks of offspring cardiovascular, metabolic, immune, and neurological morbidities, often termed developmental programming. We review periconceptional induction of disease risk from four broad exposures: maternal overnutrition and obesity; maternal undernutrition; related paternal factors; and the use of assisted reproductive treatment. Studies in both humans and animal models have demonstrated the underlying biological mechanisms, including epigenetic, cellular, physiological, and metabolic processes. We also present a meta-analysis of mouse paternal and maternal protein undernutrition that suggests distinct parental periconceptional contributions to postnatal outcomes. We propose that the evidence for periconceptional effects on lifetime health is now so compelling that it calls for new guidance on parental preparation for pregnancy, beginning before conception, to protect the health of offspring.","author":[{"dropping-particle":"","family":"Fleming","given":"Tom P.","non-dropping-particle":"","parse-names":false,"suffix":""},{"dropping-particle":"","family":"Watkins","given":"Adam J.","non-dropping-particle":"","parse-names":false,"suffix":""},{"dropping-particle":"","family":"Velazquez","given":"Miguel A.","non-dropping-particle":"","parse-names":false,"suffix":""},{"dropping-particle":"","family":"Mathers","given":"John C.","non-dropping-particle":"","parse-names":false,"suffix":""},{"dropping-particle":"","family":"Prentice","given":"Andrew M.","non-dropping-particle":"","parse-names":false,"suffix":""},{"dropping-particle":"","family":"Stephenson","given":"Judith","non-dropping-particle":"","parse-names":false,"suffix":""},{"dropping-particle":"","family":"Barker","given":"Mary","non-dropping-particle":"","parse-names":false,"suffix":""},{"dropping-particle":"","family":"Saffery","given":"Richard","non-dropping-particle":"","parse-names":false,"suffix":""},{"dropping-particle":"","family":"Yajnik","given":"Chittaranjan S.","non-dropping-particle":"","parse-names":false,"suffix":""},{"dropping-particle":"","family":"Eckert","given":"Judith J.","non-dropping-particle":"","parse-names":false,"suffix":""},{"dropping-particle":"","family":"Hanson","given":"Mark A.","non-dropping-particle":"","parse-names":false,"suffix":""},{"dropping-particle":"","family":"Forrester","given":"Terrence","non-dropping-particle":"","parse-names":false,"suffix":""},{"dropping-particle":"","family":"Gluckman","given":"Peter D.","non-dropping-particle":"","parse-names":false,"suffix":""},{"dropping-particle":"","family":"Godfrey","given":"Keith M.","non-dropping-particle":"","parse-names":false,"suffix":""}],"container-title":"The Lancet","id":"ITEM-1","issue":"10132","issued":{"date-parts":[["2018","5"]]},"page":"1842-1852","publisher":"Elsevier Ltd","title":"Origins of lifetime health around the time of conception: causes and consequences","type":"article-journal","volume":"391"},"uris":["http://www.mendeley.com/documents/?uuid=0dcf562f-b954-4eb7-9663-1af6be8d7f57"]}],"mendeley":{"formattedCitation":"(Fleming et al., 2018)","plainTextFormattedCitation":"(Fleming et al., 2018)","previouslyFormattedCitation":"(Fleming et al., 2018)"},"properties":{"noteIndex":0},"schema":"https://github.com/citation-style-language/schema/raw/master/csl-citation.json"}</w:instrText>
      </w:r>
      <w:r w:rsidR="001C3F6E" w:rsidRPr="00130EEF">
        <w:rPr>
          <w:color w:val="000000" w:themeColor="text1"/>
        </w:rPr>
        <w:fldChar w:fldCharType="separate"/>
      </w:r>
      <w:r w:rsidR="001C3F6E" w:rsidRPr="00130EEF">
        <w:rPr>
          <w:noProof/>
          <w:color w:val="000000" w:themeColor="text1"/>
        </w:rPr>
        <w:t>(Fleming et al., 2018)</w:t>
      </w:r>
      <w:r w:rsidR="001C3F6E" w:rsidRPr="00130EEF">
        <w:rPr>
          <w:color w:val="000000" w:themeColor="text1"/>
        </w:rPr>
        <w:fldChar w:fldCharType="end"/>
      </w:r>
      <w:r w:rsidR="00D1604E" w:rsidRPr="00130EEF">
        <w:rPr>
          <w:color w:val="000000" w:themeColor="text1"/>
        </w:rPr>
        <w:t>. Consistent with this,</w:t>
      </w:r>
      <w:r w:rsidR="000B1F60" w:rsidRPr="00130EEF">
        <w:rPr>
          <w:color w:val="000000" w:themeColor="text1"/>
        </w:rPr>
        <w:t xml:space="preserve"> </w:t>
      </w:r>
      <w:r w:rsidR="00F00D42" w:rsidRPr="00130EEF">
        <w:rPr>
          <w:color w:val="000000" w:themeColor="text1"/>
        </w:rPr>
        <w:t>high FA</w:t>
      </w:r>
      <w:r w:rsidR="00FD5ACE" w:rsidRPr="00130EEF">
        <w:rPr>
          <w:color w:val="000000" w:themeColor="text1"/>
        </w:rPr>
        <w:t xml:space="preserve"> diets</w:t>
      </w:r>
      <w:r w:rsidR="006606AD" w:rsidRPr="00130EEF">
        <w:rPr>
          <w:color w:val="000000" w:themeColor="text1"/>
        </w:rPr>
        <w:t xml:space="preserve"> have</w:t>
      </w:r>
      <w:r w:rsidR="000B1F60" w:rsidRPr="00130EEF">
        <w:rPr>
          <w:color w:val="000000" w:themeColor="text1"/>
        </w:rPr>
        <w:t xml:space="preserve"> previously been </w:t>
      </w:r>
      <w:r w:rsidR="008526BF" w:rsidRPr="00130EEF">
        <w:rPr>
          <w:color w:val="000000" w:themeColor="text1"/>
        </w:rPr>
        <w:lastRenderedPageBreak/>
        <w:t>implicated in the</w:t>
      </w:r>
      <w:r w:rsidR="000B1F60" w:rsidRPr="00130EEF">
        <w:rPr>
          <w:color w:val="000000" w:themeColor="text1"/>
        </w:rPr>
        <w:t xml:space="preserve"> </w:t>
      </w:r>
      <w:r w:rsidR="00F128F0" w:rsidRPr="00130EEF">
        <w:rPr>
          <w:color w:val="000000" w:themeColor="text1"/>
        </w:rPr>
        <w:t>dysregulation of</w:t>
      </w:r>
      <w:r w:rsidR="000B1F60" w:rsidRPr="00130EEF">
        <w:rPr>
          <w:color w:val="000000" w:themeColor="text1"/>
        </w:rPr>
        <w:t xml:space="preserve"> </w:t>
      </w:r>
      <w:r w:rsidR="00E50C7B" w:rsidRPr="00130EEF">
        <w:rPr>
          <w:color w:val="000000" w:themeColor="text1"/>
        </w:rPr>
        <w:t xml:space="preserve">the </w:t>
      </w:r>
      <w:r w:rsidR="00F128F0" w:rsidRPr="00130EEF">
        <w:rPr>
          <w:color w:val="000000" w:themeColor="text1"/>
        </w:rPr>
        <w:t>embryo and placenta development</w:t>
      </w:r>
      <w:r w:rsidR="00167AE9" w:rsidRPr="00130EEF">
        <w:rPr>
          <w:color w:val="000000" w:themeColor="text1"/>
        </w:rPr>
        <w:t xml:space="preserve"> </w:t>
      </w:r>
      <w:r w:rsidR="00167AE9" w:rsidRPr="00130EEF">
        <w:rPr>
          <w:color w:val="000000" w:themeColor="text1"/>
        </w:rPr>
        <w:fldChar w:fldCharType="begin" w:fldLock="1"/>
      </w:r>
      <w:r w:rsidR="00167AE9" w:rsidRPr="00130EEF">
        <w:rPr>
          <w:color w:val="000000" w:themeColor="text1"/>
        </w:rPr>
        <w:instrText>ADDIN CSL_CITATION {"citationItems":[{"id":"ITEM-1","itemData":{"DOI":"10.1093/hmg/ddx004","ISSN":"0964-6906","PMID":"28069796","abstract":"Methylenetetrahydrofolate reductase (MTHFR) generates methyltetrahydrofolate for methylation reactions. Severe MTHFR deficiency results in homocystinuria and neurologic impairment. Mild MTHFR deficiency (677C&gt;T polymorphism) increases risk for complex traits, including neuropsychiatric disorders. Although low dietary folate impacts brain development, recent concerns have focused on high folate intake following food fortification and increased vitamin use. Our goal was to determine whether high dietary folate during pregnancy affects brain development in murine offspring. Female mice were placed on control diet (CD) or folic acid-supplemented diet (FASD) throughout mating, pregnancy and lactation. Three-week-old male pups were evaluated for motor and cognitive function. Tissues from E17.5 embryos, pups and dams were collected for choline/methyl metabolite measurements, immunoblotting or gene expression of relevant enzymes. Brains were examined for morphology of hippocampus and cortex.Pups of FASD mothers displayed short-term memory impairment, decreased hippocampal size and decreased thickness of the dentate gyrus. MTHFR protein levels were reduced in FASD pup livers, with lower concentrations of phosphocholine and glycerophosphocholine in liver and hippocampus, respectively. FASD pup brains showed evidence of altered acetylcholine availability and Dnmt3a mRNA was reduced in cortex and hippocampus. E17.5 embryos and placentas from FASD dams were smaller. MTHFR protein and mRNA were reduced in embryonic liver, with lower concentrations of choline, betaine and phosphocholine. Embryonic brain displayed altered development of cortical layers. In summary, high folate intake during pregnancy leads to pseudo-MTHFR 3 deficiency, disturbed choline/methyl metabolism, embryonic growth delay and memory impairment in offspring. These findings highlight the unintended negative consequences of supplemental folic acid.","author":[{"dropping-particle":"","family":"Bahous","given":"Renata H.","non-dropping-particle":"","parse-names":false,"suffix":""},{"dropping-particle":"","family":"Jadavji","given":"Nafisa M.","non-dropping-particle":"","parse-names":false,"suffix":""},{"dropping-particle":"","family":"Deng","given":"Liyuan","non-dropping-particle":"","parse-names":false,"suffix":""},{"dropping-particle":"","family":"Cosín-Tomás","given":"Marta","non-dropping-particle":"","parse-names":false,"suffix":""},{"dropping-particle":"","family":"Lu","given":"Jessica","non-dropping-particle":"","parse-names":false,"suffix":""},{"dropping-particle":"","family":"Malysheva","given":"Olga","non-dropping-particle":"","parse-names":false,"suffix":""},{"dropping-particle":"","family":"Leung","given":"Kit-Yi","non-dropping-particle":"","parse-names":false,"suffix":""},{"dropping-particle":"","family":"Ho","given":"Ming-Kai","non-dropping-particle":"","parse-names":false,"suffix":""},{"dropping-particle":"","family":"Pallàs","given":"Mercè","non-dropping-particle":"","parse-names":false,"suffix":""},{"dropping-particle":"","family":"Kaliman","given":"Perla","non-dropping-particle":"","parse-names":false,"suffix":""},{"dropping-particle":"","family":"Greene","given":"Nicholas DE.","non-dropping-particle":"","parse-names":false,"suffix":""},{"dropping-particle":"","family":"Bedell","given":"Barry J.","non-dropping-particle":"","parse-names":false,"suffix":""},{"dropping-particle":"","family":"Caudill","given":"Marie A.","non-dropping-particle":"","parse-names":false,"suffix":""},{"dropping-particle":"","family":"Rozen","given":"Rima","non-dropping-particle":"","parse-names":false,"suffix":""}],"container-title":"Human Molecular Genetics","id":"ITEM-1","issue":"5","issued":{"date-parts":[["2017"]]},"page":"ddx004","title":"High dietary folate in pregnant mice leads to pseudo-MTHFR deficiency and altered methyl metabolism, with embryonic growth delay and short-term memory impairment in offspring","type":"article-journal","volume":"26"},"uris":["http://www.mendeley.com/documents/?uuid=07db7254-a455-4877-b910-9dd3580d0060"]},{"id":"ITEM-2","itemData":{"DOI":"10.1371/journal.pone.0121098","ISSN":"1932-6203","author":[{"dropping-particle":"","family":"Penailillo","given":"Reyna","non-dropping-particle":"","parse-names":false,"suffix":""},{"dropping-particle":"","family":"Guajardo","given":"Angelica","non-dropping-particle":"","parse-names":false,"suffix":""},{"dropping-particle":"","family":"Llanos","given":"Miguel","non-dropping-particle":"","parse-names":false,"suffix":""},{"dropping-particle":"","family":"Hirsch","given":"Sandra","non-dropping-particle":"","parse-names":false,"suffix":""},{"dropping-particle":"","family":"Ronco","given":"Ana Maria","non-dropping-particle":"","parse-names":false,"suffix":""}],"container-title":"Plos One","id":"ITEM-2","issue":"3","issued":{"date-parts":[["2015"]]},"page":"e0121098","title":"Folic Acid Supplementation during Pregnancy Induces Sex-Specific Changes in Methylation and Expression of Placental 11β-Hydroxysteroid Dehydrogenase 2 in Rats","type":"article-journal","volume":"10"},"uris":["http://www.mendeley.com/documents/?uuid=580e562c-8273-49e2-80a8-03a96fc8664b"]},{"id":"ITEM-3","itemData":{"DOI":"10.1002/bdra.20754","ISSN":"1542-0760","PMID":"21254354","abstract":"Folic acid fortification and supplementation has increased folate intake and blood folate concentrations and successfully reduced the incidence of neural tube defects. However, the developmental consequences of high folate intake are unknown. This study investigated the impact of high folate intake, alone or with methylenetetrahydrofolate reductase (MTHFR) deficiency, on embryonic and placental development in mice.","author":[{"dropping-particle":"","family":"Pickell","given":"Laura","non-dropping-particle":"","parse-names":false,"suffix":""},{"dropping-particle":"","family":"Brown","given":"Katharine","non-dropping-particle":"","parse-names":false,"suffix":""},{"dropping-particle":"","family":"Li","given":"Deqiang","non-dropping-particle":"","parse-names":false,"suffix":""},{"dropping-particle":"","family":"Wang","given":"Xiao-Ling","non-dropping-particle":"","parse-names":false,"suffix":""},{"dropping-particle":"","family":"Deng","given":"Liyuan","non-dropping-particle":"","parse-names":false,"suffix":""},{"dropping-particle":"","family":"Wu","given":"Qing","non-dropping-particle":"","parse-names":false,"suffix":""},{"dropping-particle":"","family":"Selhub","given":"Jacob","non-dropping-particle":"","parse-names":false,"suffix":""},{"dropping-particle":"","family":"Luo","given":"Li","non-dropping-particle":"","parse-names":false,"suffix":""},{"dropping-particle":"","family":"Jerome-Majewska","given":"Loydie","non-dropping-particle":"","parse-names":false,"suffix":""},{"dropping-particle":"","family":"Rozen","given":"Rima","non-dropping-particle":"","parse-names":false,"suffix":""}],"container-title":"Birth defects research","id":"ITEM-3","issue":"1","issued":{"date-parts":[["2011","1"]]},"page":"8-19","title":"High intake of folic acid disrupts embryonic development in mice.","type":"article-journal","volume":"91"},"uris":["http://www.mendeley.com/documents/?uuid=e1cd094b-0e44-467a-a638-b2cc41baaa32"]}],"mendeley":{"formattedCitation":"(Bahous et al., 2017; Penailillo, Guajardo, Llanos, Hirsch, &amp; Ronco, 2015; Pickell et al., 2011)","plainTextFormattedCitation":"(Bahous et al., 2017; Penailillo, Guajardo, Llanos, Hirsch, &amp; Ronco, 2015; Pickell et al., 2011)","previouslyFormattedCitation":"(Bahous et al., 2017; Penailillo, Guajardo, Llanos, Hirsch, &amp; Ronco, 2015; Pickell et al., 2011)"},"properties":{"noteIndex":0},"schema":"https://github.com/citation-style-language/schema/raw/master/csl-citation.json"}</w:instrText>
      </w:r>
      <w:r w:rsidR="00167AE9" w:rsidRPr="00130EEF">
        <w:rPr>
          <w:color w:val="000000" w:themeColor="text1"/>
        </w:rPr>
        <w:fldChar w:fldCharType="separate"/>
      </w:r>
      <w:r w:rsidR="00167AE9" w:rsidRPr="00130EEF">
        <w:rPr>
          <w:noProof/>
          <w:color w:val="000000" w:themeColor="text1"/>
        </w:rPr>
        <w:t>(Bahous et al., 2017; Penailillo, Guajardo, Llanos, Hirsch, &amp; Ronco, 2015; Pickell et al., 2011)</w:t>
      </w:r>
      <w:r w:rsidR="00167AE9" w:rsidRPr="00130EEF">
        <w:rPr>
          <w:color w:val="000000" w:themeColor="text1"/>
        </w:rPr>
        <w:fldChar w:fldCharType="end"/>
      </w:r>
      <w:r w:rsidR="00D1604E" w:rsidRPr="00130EEF">
        <w:rPr>
          <w:color w:val="000000" w:themeColor="text1"/>
        </w:rPr>
        <w:t>, t</w:t>
      </w:r>
      <w:r w:rsidR="00C464EF" w:rsidRPr="00130EEF">
        <w:rPr>
          <w:color w:val="000000" w:themeColor="text1"/>
        </w:rPr>
        <w:t>hus, the consequences</w:t>
      </w:r>
      <w:r w:rsidR="008526BF" w:rsidRPr="00130EEF">
        <w:rPr>
          <w:color w:val="000000" w:themeColor="text1"/>
        </w:rPr>
        <w:t xml:space="preserve"> of </w:t>
      </w:r>
      <w:r w:rsidR="00246BE7" w:rsidRPr="00130EEF">
        <w:rPr>
          <w:color w:val="000000" w:themeColor="text1"/>
        </w:rPr>
        <w:t xml:space="preserve">increased </w:t>
      </w:r>
      <w:r w:rsidR="00D1604E" w:rsidRPr="00130EEF">
        <w:rPr>
          <w:color w:val="000000" w:themeColor="text1"/>
        </w:rPr>
        <w:t>maternal</w:t>
      </w:r>
      <w:r w:rsidR="00246BE7" w:rsidRPr="00130EEF">
        <w:rPr>
          <w:color w:val="000000" w:themeColor="text1"/>
        </w:rPr>
        <w:t xml:space="preserve"> </w:t>
      </w:r>
      <w:r w:rsidR="008526BF" w:rsidRPr="00130EEF">
        <w:rPr>
          <w:color w:val="000000" w:themeColor="text1"/>
        </w:rPr>
        <w:t>FA intake</w:t>
      </w:r>
      <w:r w:rsidR="006E3230" w:rsidRPr="00130EEF">
        <w:rPr>
          <w:color w:val="000000" w:themeColor="text1"/>
        </w:rPr>
        <w:t xml:space="preserve"> </w:t>
      </w:r>
      <w:r w:rsidR="00C464EF" w:rsidRPr="00130EEF">
        <w:rPr>
          <w:color w:val="000000" w:themeColor="text1"/>
        </w:rPr>
        <w:t xml:space="preserve">during the </w:t>
      </w:r>
      <w:r w:rsidR="00F84D95" w:rsidRPr="00130EEF">
        <w:rPr>
          <w:color w:val="000000" w:themeColor="text1"/>
        </w:rPr>
        <w:t>preimplantation</w:t>
      </w:r>
      <w:r w:rsidR="00C464EF" w:rsidRPr="00130EEF">
        <w:rPr>
          <w:color w:val="000000" w:themeColor="text1"/>
        </w:rPr>
        <w:t xml:space="preserve"> period need</w:t>
      </w:r>
      <w:r w:rsidR="00FA2930" w:rsidRPr="00130EEF">
        <w:rPr>
          <w:color w:val="000000" w:themeColor="text1"/>
        </w:rPr>
        <w:t>s</w:t>
      </w:r>
      <w:r w:rsidR="00C464EF" w:rsidRPr="00130EEF">
        <w:rPr>
          <w:color w:val="000000" w:themeColor="text1"/>
        </w:rPr>
        <w:t xml:space="preserve"> to be addressed more rigorously in human and animal reproduction. </w:t>
      </w:r>
    </w:p>
    <w:p w14:paraId="746C6804" w14:textId="64E69CBF" w:rsidR="00B065CE" w:rsidRPr="00130EEF" w:rsidRDefault="00B065CE" w:rsidP="00903934">
      <w:pPr>
        <w:pStyle w:val="Heading1"/>
        <w:spacing w:line="240" w:lineRule="auto"/>
        <w:rPr>
          <w:color w:val="000000" w:themeColor="text1"/>
          <w:lang w:eastAsia="es-ES_tradnl"/>
        </w:rPr>
      </w:pPr>
      <w:r w:rsidRPr="00130EEF">
        <w:rPr>
          <w:color w:val="000000" w:themeColor="text1"/>
          <w:lang w:eastAsia="es-ES_tradnl"/>
        </w:rPr>
        <w:t>Acknowledgments</w:t>
      </w:r>
    </w:p>
    <w:p w14:paraId="7E182DB0" w14:textId="009DC522" w:rsidR="00E50C7B" w:rsidRPr="00130EEF" w:rsidRDefault="00E50C7B" w:rsidP="00E50C7B">
      <w:pPr>
        <w:rPr>
          <w:color w:val="000000" w:themeColor="text1"/>
          <w:lang w:eastAsia="es-ES_tradnl"/>
        </w:rPr>
      </w:pPr>
    </w:p>
    <w:p w14:paraId="053B8C85" w14:textId="1C39E7EE" w:rsidR="00E50C7B" w:rsidRPr="00130EEF" w:rsidRDefault="00E50C7B" w:rsidP="00E50C7B">
      <w:pPr>
        <w:pStyle w:val="Heading1"/>
        <w:spacing w:line="240" w:lineRule="auto"/>
        <w:rPr>
          <w:color w:val="000000" w:themeColor="text1"/>
          <w:lang w:eastAsia="es-ES_tradnl"/>
        </w:rPr>
      </w:pPr>
      <w:r w:rsidRPr="00130EEF">
        <w:rPr>
          <w:color w:val="000000" w:themeColor="text1"/>
          <w:lang w:eastAsia="es-ES_tradnl"/>
        </w:rPr>
        <w:t>Conflict of interest</w:t>
      </w:r>
    </w:p>
    <w:p w14:paraId="74834F87" w14:textId="6C8EE57A" w:rsidR="00E50C7B" w:rsidRPr="00130EEF" w:rsidRDefault="00E50C7B" w:rsidP="00E50C7B">
      <w:pPr>
        <w:rPr>
          <w:color w:val="000000" w:themeColor="text1"/>
          <w:lang w:eastAsia="es-ES_tradnl"/>
        </w:rPr>
      </w:pPr>
    </w:p>
    <w:p w14:paraId="410667D7" w14:textId="5A18D4AC" w:rsidR="00E50C7B" w:rsidRPr="00130EEF" w:rsidRDefault="00E50C7B" w:rsidP="00E50C7B">
      <w:pPr>
        <w:ind w:firstLine="432"/>
        <w:rPr>
          <w:color w:val="000000" w:themeColor="text1"/>
          <w:lang w:eastAsia="es-ES_tradnl"/>
        </w:rPr>
      </w:pPr>
      <w:r w:rsidRPr="00130EEF">
        <w:rPr>
          <w:color w:val="000000" w:themeColor="text1"/>
          <w:lang w:eastAsia="es-ES_tradnl"/>
        </w:rPr>
        <w:t xml:space="preserve">The authors declare that there </w:t>
      </w:r>
      <w:proofErr w:type="gramStart"/>
      <w:r w:rsidRPr="00130EEF">
        <w:rPr>
          <w:color w:val="000000" w:themeColor="text1"/>
          <w:lang w:eastAsia="es-ES_tradnl"/>
        </w:rPr>
        <w:t>are</w:t>
      </w:r>
      <w:proofErr w:type="gramEnd"/>
      <w:r w:rsidRPr="00130EEF">
        <w:rPr>
          <w:color w:val="000000" w:themeColor="text1"/>
          <w:lang w:eastAsia="es-ES_tradnl"/>
        </w:rPr>
        <w:t xml:space="preserve"> no conflict of interests.</w:t>
      </w:r>
    </w:p>
    <w:p w14:paraId="3FA05722" w14:textId="77777777" w:rsidR="00E50C7B" w:rsidRPr="00130EEF" w:rsidRDefault="00E50C7B" w:rsidP="00E50C7B">
      <w:pPr>
        <w:rPr>
          <w:color w:val="000000" w:themeColor="text1"/>
          <w:lang w:eastAsia="es-ES_tradnl"/>
        </w:rPr>
      </w:pPr>
    </w:p>
    <w:p w14:paraId="1B483F82" w14:textId="640023DB" w:rsidR="00555674" w:rsidRPr="00130EEF" w:rsidRDefault="00555674" w:rsidP="008832E1">
      <w:pPr>
        <w:pStyle w:val="Heading1"/>
        <w:rPr>
          <w:color w:val="000000" w:themeColor="text1"/>
        </w:rPr>
      </w:pPr>
      <w:r w:rsidRPr="00130EEF">
        <w:rPr>
          <w:color w:val="000000" w:themeColor="text1"/>
        </w:rPr>
        <w:t>References</w:t>
      </w:r>
    </w:p>
    <w:p w14:paraId="7F28AF3A" w14:textId="25B67601" w:rsidR="00C05664" w:rsidRPr="00130EEF" w:rsidRDefault="00D832AE" w:rsidP="00C05664">
      <w:pPr>
        <w:widowControl w:val="0"/>
        <w:autoSpaceDE w:val="0"/>
        <w:autoSpaceDN w:val="0"/>
        <w:adjustRightInd w:val="0"/>
        <w:spacing w:line="240" w:lineRule="auto"/>
        <w:ind w:left="480" w:hanging="480"/>
        <w:rPr>
          <w:noProof/>
          <w:color w:val="000000" w:themeColor="text1"/>
          <w:lang w:val="es-ES_tradnl"/>
        </w:rPr>
      </w:pPr>
      <w:r w:rsidRPr="00130EEF">
        <w:rPr>
          <w:color w:val="000000" w:themeColor="text1"/>
        </w:rPr>
        <w:fldChar w:fldCharType="begin" w:fldLock="1"/>
      </w:r>
      <w:r w:rsidRPr="00130EEF">
        <w:rPr>
          <w:color w:val="000000" w:themeColor="text1"/>
          <w:lang w:val="es-CL"/>
        </w:rPr>
        <w:instrText xml:space="preserve">ADDIN Mendeley Bibliography CSL_BIBLIOGRAPHY </w:instrText>
      </w:r>
      <w:r w:rsidRPr="00130EEF">
        <w:rPr>
          <w:color w:val="000000" w:themeColor="text1"/>
        </w:rPr>
        <w:fldChar w:fldCharType="separate"/>
      </w:r>
      <w:r w:rsidR="00C05664" w:rsidRPr="00130EEF">
        <w:rPr>
          <w:noProof/>
          <w:color w:val="000000" w:themeColor="text1"/>
          <w:lang w:val="es-ES_tradnl"/>
        </w:rPr>
        <w:t xml:space="preserve">Aloia, L., Di Stefano, B., &amp; Di Croce, L. (2013). Polycomb complexes in stem cells and embryonic development. </w:t>
      </w:r>
      <w:r w:rsidR="00C05664" w:rsidRPr="00130EEF">
        <w:rPr>
          <w:i/>
          <w:iCs/>
          <w:noProof/>
          <w:color w:val="000000" w:themeColor="text1"/>
          <w:lang w:val="es-ES_tradnl"/>
        </w:rPr>
        <w:t>Development</w:t>
      </w:r>
      <w:r w:rsidR="00C05664" w:rsidRPr="00130EEF">
        <w:rPr>
          <w:noProof/>
          <w:color w:val="000000" w:themeColor="text1"/>
          <w:lang w:val="es-ES_tradnl"/>
        </w:rPr>
        <w:t xml:space="preserve">, </w:t>
      </w:r>
      <w:r w:rsidR="00C05664" w:rsidRPr="00130EEF">
        <w:rPr>
          <w:i/>
          <w:iCs/>
          <w:noProof/>
          <w:color w:val="000000" w:themeColor="text1"/>
          <w:lang w:val="es-ES_tradnl"/>
        </w:rPr>
        <w:t>140</w:t>
      </w:r>
      <w:r w:rsidR="00C05664" w:rsidRPr="00130EEF">
        <w:rPr>
          <w:noProof/>
          <w:color w:val="000000" w:themeColor="text1"/>
          <w:lang w:val="es-ES_tradnl"/>
        </w:rPr>
        <w:t>(12), 2525–2534. https://doi.org/10.1242/dev.091553</w:t>
      </w:r>
    </w:p>
    <w:p w14:paraId="56D75043"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Bagley, P. J., &amp; Stipanuk, M. H. (1995). Rats Fed a Low Protein Diet Supplemented with Sulfur Amino Acids Have Increased Cysteine Dioxygenase Activity and Increased Taurine Production in Hepatocytes. </w:t>
      </w:r>
      <w:r w:rsidRPr="00130EEF">
        <w:rPr>
          <w:i/>
          <w:iCs/>
          <w:noProof/>
          <w:color w:val="000000" w:themeColor="text1"/>
          <w:lang w:val="es-ES_tradnl"/>
        </w:rPr>
        <w:t>The Journal of Nutrition</w:t>
      </w:r>
      <w:r w:rsidRPr="00130EEF">
        <w:rPr>
          <w:noProof/>
          <w:color w:val="000000" w:themeColor="text1"/>
          <w:lang w:val="es-ES_tradnl"/>
        </w:rPr>
        <w:t xml:space="preserve">, </w:t>
      </w:r>
      <w:r w:rsidRPr="00130EEF">
        <w:rPr>
          <w:i/>
          <w:iCs/>
          <w:noProof/>
          <w:color w:val="000000" w:themeColor="text1"/>
          <w:lang w:val="es-ES_tradnl"/>
        </w:rPr>
        <w:t>125</w:t>
      </w:r>
      <w:r w:rsidRPr="00130EEF">
        <w:rPr>
          <w:noProof/>
          <w:color w:val="000000" w:themeColor="text1"/>
          <w:lang w:val="es-ES_tradnl"/>
        </w:rPr>
        <w:t>(4), 933–940. https://doi.org/10.1093/jn/125.4.933</w:t>
      </w:r>
    </w:p>
    <w:p w14:paraId="1D2EEE7D"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Bahous, R. H., Jadavji, N. M., Deng, L., Cosín-Tomás, M., Lu, J., Malysheva, O., … Rozen, R. (2017). High dietary folate in pregnant mice leads to pseudo-MTHFR deficiency and altered methyl metabolism, with embryonic growth delay and short-term memory impairment in offspring. </w:t>
      </w:r>
      <w:r w:rsidRPr="00130EEF">
        <w:rPr>
          <w:i/>
          <w:iCs/>
          <w:noProof/>
          <w:color w:val="000000" w:themeColor="text1"/>
          <w:lang w:val="es-ES_tradnl"/>
        </w:rPr>
        <w:t>Human Molecular Genetics</w:t>
      </w:r>
      <w:r w:rsidRPr="00130EEF">
        <w:rPr>
          <w:noProof/>
          <w:color w:val="000000" w:themeColor="text1"/>
          <w:lang w:val="es-ES_tradnl"/>
        </w:rPr>
        <w:t xml:space="preserve">, </w:t>
      </w:r>
      <w:r w:rsidRPr="00130EEF">
        <w:rPr>
          <w:i/>
          <w:iCs/>
          <w:noProof/>
          <w:color w:val="000000" w:themeColor="text1"/>
          <w:lang w:val="es-ES_tradnl"/>
        </w:rPr>
        <w:t>26</w:t>
      </w:r>
      <w:r w:rsidRPr="00130EEF">
        <w:rPr>
          <w:noProof/>
          <w:color w:val="000000" w:themeColor="text1"/>
          <w:lang w:val="es-ES_tradnl"/>
        </w:rPr>
        <w:t>(5), ddx004. https://doi.org/10.1093/hmg/ddx004</w:t>
      </w:r>
    </w:p>
    <w:p w14:paraId="2C7FE437"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Bailey, L. B., Stover, P. J., McNulty, H., Fenech, M. F., Gregory, J. F., Mills, J. L., … Raiten, D. J. (2015). Biomarkers of Nutrition for Development--Folate Review. </w:t>
      </w:r>
      <w:r w:rsidRPr="00130EEF">
        <w:rPr>
          <w:i/>
          <w:iCs/>
          <w:noProof/>
          <w:color w:val="000000" w:themeColor="text1"/>
          <w:lang w:val="es-ES_tradnl"/>
        </w:rPr>
        <w:t>Journal of Nutrition</w:t>
      </w:r>
      <w:r w:rsidRPr="00130EEF">
        <w:rPr>
          <w:noProof/>
          <w:color w:val="000000" w:themeColor="text1"/>
          <w:lang w:val="es-ES_tradnl"/>
        </w:rPr>
        <w:t xml:space="preserve">, </w:t>
      </w:r>
      <w:r w:rsidRPr="00130EEF">
        <w:rPr>
          <w:i/>
          <w:iCs/>
          <w:noProof/>
          <w:color w:val="000000" w:themeColor="text1"/>
          <w:lang w:val="es-ES_tradnl"/>
        </w:rPr>
        <w:t>145</w:t>
      </w:r>
      <w:r w:rsidRPr="00130EEF">
        <w:rPr>
          <w:noProof/>
          <w:color w:val="000000" w:themeColor="text1"/>
          <w:lang w:val="es-ES_tradnl"/>
        </w:rPr>
        <w:t>(7), 1636S-1680S. https://doi.org/10.3945/jn.114.206599</w:t>
      </w:r>
    </w:p>
    <w:p w14:paraId="4162CB4D"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Bailey, R. L., Mills, J. L., Yetley, E. A., Gahche, J. J., Pfeiffer, C. M., Dwyer, J. T., … Picciano, M. F. (2010). Unmetabolized serum folic acid and its relation to folic acid intake from diet and supplements in a nationally representative sample of adults aged ≥60 y in the United States. </w:t>
      </w:r>
      <w:r w:rsidRPr="00130EEF">
        <w:rPr>
          <w:i/>
          <w:iCs/>
          <w:noProof/>
          <w:color w:val="000000" w:themeColor="text1"/>
          <w:lang w:val="es-ES_tradnl"/>
        </w:rPr>
        <w:t>The American Journal of Clinical Nutrition</w:t>
      </w:r>
      <w:r w:rsidRPr="00130EEF">
        <w:rPr>
          <w:noProof/>
          <w:color w:val="000000" w:themeColor="text1"/>
          <w:lang w:val="es-ES_tradnl"/>
        </w:rPr>
        <w:t xml:space="preserve">, </w:t>
      </w:r>
      <w:r w:rsidRPr="00130EEF">
        <w:rPr>
          <w:i/>
          <w:iCs/>
          <w:noProof/>
          <w:color w:val="000000" w:themeColor="text1"/>
          <w:lang w:val="es-ES_tradnl"/>
        </w:rPr>
        <w:t>92</w:t>
      </w:r>
      <w:r w:rsidRPr="00130EEF">
        <w:rPr>
          <w:noProof/>
          <w:color w:val="000000" w:themeColor="text1"/>
          <w:lang w:val="es-ES_tradnl"/>
        </w:rPr>
        <w:t>(2), 383–389. https://doi.org/10.3945/ajcn.2010.29499</w:t>
      </w:r>
    </w:p>
    <w:p w14:paraId="061E2118"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Bailey, S. W., &amp; Ayling, J. E. (2009). The extremely slow and variable activity of dihydrofolate reductase in human liver and its implications for high folic acid intake. </w:t>
      </w:r>
      <w:r w:rsidRPr="00130EEF">
        <w:rPr>
          <w:i/>
          <w:iCs/>
          <w:noProof/>
          <w:color w:val="000000" w:themeColor="text1"/>
          <w:lang w:val="es-ES_tradnl"/>
        </w:rPr>
        <w:t>Proceedings of the National Academy of Sciences of the United States of America</w:t>
      </w:r>
      <w:r w:rsidRPr="00130EEF">
        <w:rPr>
          <w:noProof/>
          <w:color w:val="000000" w:themeColor="text1"/>
          <w:lang w:val="es-ES_tradnl"/>
        </w:rPr>
        <w:t xml:space="preserve">, </w:t>
      </w:r>
      <w:r w:rsidRPr="00130EEF">
        <w:rPr>
          <w:i/>
          <w:iCs/>
          <w:noProof/>
          <w:color w:val="000000" w:themeColor="text1"/>
          <w:lang w:val="es-ES_tradnl"/>
        </w:rPr>
        <w:t>106</w:t>
      </w:r>
      <w:r w:rsidRPr="00130EEF">
        <w:rPr>
          <w:noProof/>
          <w:color w:val="000000" w:themeColor="text1"/>
          <w:lang w:val="es-ES_tradnl"/>
        </w:rPr>
        <w:t>(36), 15424–15429. https://doi.org/10.1073/pnas.0902072106</w:t>
      </w:r>
    </w:p>
    <w:p w14:paraId="4CE83A35"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Bird, A. (2002). DNA methylation patterns and epigenetic memory. </w:t>
      </w:r>
      <w:r w:rsidRPr="00130EEF">
        <w:rPr>
          <w:i/>
          <w:iCs/>
          <w:noProof/>
          <w:color w:val="000000" w:themeColor="text1"/>
          <w:lang w:val="es-ES_tradnl"/>
        </w:rPr>
        <w:t>Genes &amp; Development</w:t>
      </w:r>
      <w:r w:rsidRPr="00130EEF">
        <w:rPr>
          <w:noProof/>
          <w:color w:val="000000" w:themeColor="text1"/>
          <w:lang w:val="es-ES_tradnl"/>
        </w:rPr>
        <w:t xml:space="preserve">, </w:t>
      </w:r>
      <w:r w:rsidRPr="00130EEF">
        <w:rPr>
          <w:i/>
          <w:iCs/>
          <w:noProof/>
          <w:color w:val="000000" w:themeColor="text1"/>
          <w:lang w:val="es-ES_tradnl"/>
        </w:rPr>
        <w:t>16</w:t>
      </w:r>
      <w:r w:rsidRPr="00130EEF">
        <w:rPr>
          <w:noProof/>
          <w:color w:val="000000" w:themeColor="text1"/>
          <w:lang w:val="es-ES_tradnl"/>
        </w:rPr>
        <w:t>(1), 6–21. https://doi.org/10.1101/gad.947102</w:t>
      </w:r>
    </w:p>
    <w:p w14:paraId="040DEEB4"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Blom, H. J. (2009). Folic acid, methylation and neural tube closure in humans. </w:t>
      </w:r>
      <w:r w:rsidRPr="00130EEF">
        <w:rPr>
          <w:i/>
          <w:iCs/>
          <w:noProof/>
          <w:color w:val="000000" w:themeColor="text1"/>
          <w:lang w:val="es-ES_tradnl"/>
        </w:rPr>
        <w:t xml:space="preserve">Birth Defects </w:t>
      </w:r>
      <w:r w:rsidRPr="00130EEF">
        <w:rPr>
          <w:i/>
          <w:iCs/>
          <w:noProof/>
          <w:color w:val="000000" w:themeColor="text1"/>
          <w:lang w:val="es-ES_tradnl"/>
        </w:rPr>
        <w:lastRenderedPageBreak/>
        <w:t>Research Part A: Clinical and Molecular Teratology</w:t>
      </w:r>
      <w:r w:rsidRPr="00130EEF">
        <w:rPr>
          <w:noProof/>
          <w:color w:val="000000" w:themeColor="text1"/>
          <w:lang w:val="es-ES_tradnl"/>
        </w:rPr>
        <w:t xml:space="preserve">, </w:t>
      </w:r>
      <w:r w:rsidRPr="00130EEF">
        <w:rPr>
          <w:i/>
          <w:iCs/>
          <w:noProof/>
          <w:color w:val="000000" w:themeColor="text1"/>
          <w:lang w:val="es-ES_tradnl"/>
        </w:rPr>
        <w:t>85</w:t>
      </w:r>
      <w:r w:rsidRPr="00130EEF">
        <w:rPr>
          <w:noProof/>
          <w:color w:val="000000" w:themeColor="text1"/>
          <w:lang w:val="es-ES_tradnl"/>
        </w:rPr>
        <w:t>(4), 295–302. https://doi.org/10.1002/bdra.20581</w:t>
      </w:r>
    </w:p>
    <w:p w14:paraId="258B3500"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Burdge, G. C., &amp; Lillycrop, K. a. (2012). Folic acid supplementation in pregnancy: are there devils in the detail? </w:t>
      </w:r>
      <w:r w:rsidRPr="00130EEF">
        <w:rPr>
          <w:i/>
          <w:iCs/>
          <w:noProof/>
          <w:color w:val="000000" w:themeColor="text1"/>
          <w:lang w:val="es-ES_tradnl"/>
        </w:rPr>
        <w:t>Br J Nutr</w:t>
      </w:r>
      <w:r w:rsidRPr="00130EEF">
        <w:rPr>
          <w:noProof/>
          <w:color w:val="000000" w:themeColor="text1"/>
          <w:lang w:val="es-ES_tradnl"/>
        </w:rPr>
        <w:t xml:space="preserve">, </w:t>
      </w:r>
      <w:r w:rsidRPr="00130EEF">
        <w:rPr>
          <w:i/>
          <w:iCs/>
          <w:noProof/>
          <w:color w:val="000000" w:themeColor="text1"/>
          <w:lang w:val="es-ES_tradnl"/>
        </w:rPr>
        <w:t>108</w:t>
      </w:r>
      <w:r w:rsidRPr="00130EEF">
        <w:rPr>
          <w:noProof/>
          <w:color w:val="000000" w:themeColor="text1"/>
          <w:lang w:val="es-ES_tradnl"/>
        </w:rPr>
        <w:t>(11), 1924–1930. https://doi.org/10.1017/S0007114512003765</w:t>
      </w:r>
    </w:p>
    <w:p w14:paraId="687D1105"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Čikoš, Š., Bukovská, A., &amp; Koppel, J. (2007). Relative quantification of mRNA: comparison of methods currently used for real-time PCR data analysis. </w:t>
      </w:r>
      <w:r w:rsidRPr="00130EEF">
        <w:rPr>
          <w:i/>
          <w:iCs/>
          <w:noProof/>
          <w:color w:val="000000" w:themeColor="text1"/>
          <w:lang w:val="es-ES_tradnl"/>
        </w:rPr>
        <w:t>BMC Molecular Biology</w:t>
      </w:r>
      <w:r w:rsidRPr="00130EEF">
        <w:rPr>
          <w:noProof/>
          <w:color w:val="000000" w:themeColor="text1"/>
          <w:lang w:val="es-ES_tradnl"/>
        </w:rPr>
        <w:t xml:space="preserve">, </w:t>
      </w:r>
      <w:r w:rsidRPr="00130EEF">
        <w:rPr>
          <w:i/>
          <w:iCs/>
          <w:noProof/>
          <w:color w:val="000000" w:themeColor="text1"/>
          <w:lang w:val="es-ES_tradnl"/>
        </w:rPr>
        <w:t>8</w:t>
      </w:r>
      <w:r w:rsidRPr="00130EEF">
        <w:rPr>
          <w:noProof/>
          <w:color w:val="000000" w:themeColor="text1"/>
          <w:lang w:val="es-ES_tradnl"/>
        </w:rPr>
        <w:t>(1), 113. https://doi.org/10.1186/1471-2199-8-113</w:t>
      </w:r>
    </w:p>
    <w:p w14:paraId="2102ECB9"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Clare, C. E., Brassington, A. H., Kwong, W. Y., &amp; Sinclair, K. D. (2019). One-Carbon Metabolism: Linking Nutritional Biochemistry to Epigenetic Programming of Long-Term Development. </w:t>
      </w:r>
      <w:r w:rsidRPr="00130EEF">
        <w:rPr>
          <w:i/>
          <w:iCs/>
          <w:noProof/>
          <w:color w:val="000000" w:themeColor="text1"/>
          <w:lang w:val="es-ES_tradnl"/>
        </w:rPr>
        <w:t>Annual Review of Animal Biosciences</w:t>
      </w:r>
      <w:r w:rsidRPr="00130EEF">
        <w:rPr>
          <w:noProof/>
          <w:color w:val="000000" w:themeColor="text1"/>
          <w:lang w:val="es-ES_tradnl"/>
        </w:rPr>
        <w:t xml:space="preserve">, </w:t>
      </w:r>
      <w:r w:rsidRPr="00130EEF">
        <w:rPr>
          <w:i/>
          <w:iCs/>
          <w:noProof/>
          <w:color w:val="000000" w:themeColor="text1"/>
          <w:lang w:val="es-ES_tradnl"/>
        </w:rPr>
        <w:t>7</w:t>
      </w:r>
      <w:r w:rsidRPr="00130EEF">
        <w:rPr>
          <w:noProof/>
          <w:color w:val="000000" w:themeColor="text1"/>
          <w:lang w:val="es-ES_tradnl"/>
        </w:rPr>
        <w:t>(1), 263–287. https://doi.org/10.1146/annurev-animal-020518-115206</w:t>
      </w:r>
    </w:p>
    <w:p w14:paraId="08402B02"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Colapinto, C. K., O’Connor, D. L., &amp; Tremblay, M. S. (2011). Folate status of the population in the Canadian Health Measures Survey. </w:t>
      </w:r>
      <w:r w:rsidRPr="00130EEF">
        <w:rPr>
          <w:i/>
          <w:iCs/>
          <w:noProof/>
          <w:color w:val="000000" w:themeColor="text1"/>
          <w:lang w:val="es-ES_tradnl"/>
        </w:rPr>
        <w:t>Canadian Medical Association Journal</w:t>
      </w:r>
      <w:r w:rsidRPr="00130EEF">
        <w:rPr>
          <w:noProof/>
          <w:color w:val="000000" w:themeColor="text1"/>
          <w:lang w:val="es-ES_tradnl"/>
        </w:rPr>
        <w:t xml:space="preserve">, </w:t>
      </w:r>
      <w:r w:rsidRPr="00130EEF">
        <w:rPr>
          <w:i/>
          <w:iCs/>
          <w:noProof/>
          <w:color w:val="000000" w:themeColor="text1"/>
          <w:lang w:val="es-ES_tradnl"/>
        </w:rPr>
        <w:t>183</w:t>
      </w:r>
      <w:r w:rsidRPr="00130EEF">
        <w:rPr>
          <w:noProof/>
          <w:color w:val="000000" w:themeColor="text1"/>
          <w:lang w:val="es-ES_tradnl"/>
        </w:rPr>
        <w:t>(2), E100–E106. https://doi.org/10.1503/cmaj.100568</w:t>
      </w:r>
    </w:p>
    <w:p w14:paraId="20BEAF3D"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Cueto, H. T., Riis, A. H., Hatch, E. E., Wise, L. A., Rothman, K. J., Sørensen, H. T., &amp; Mikkelsen, E. M. (2015). Folic acid supplement use and menstrual cycle characteristics: a cross-sectional study of Danish pregnancy planners. </w:t>
      </w:r>
      <w:r w:rsidRPr="00130EEF">
        <w:rPr>
          <w:i/>
          <w:iCs/>
          <w:noProof/>
          <w:color w:val="000000" w:themeColor="text1"/>
          <w:lang w:val="es-ES_tradnl"/>
        </w:rPr>
        <w:t>Annals of Epidemiology</w:t>
      </w:r>
      <w:r w:rsidRPr="00130EEF">
        <w:rPr>
          <w:noProof/>
          <w:color w:val="000000" w:themeColor="text1"/>
          <w:lang w:val="es-ES_tradnl"/>
        </w:rPr>
        <w:t xml:space="preserve">, </w:t>
      </w:r>
      <w:r w:rsidRPr="00130EEF">
        <w:rPr>
          <w:i/>
          <w:iCs/>
          <w:noProof/>
          <w:color w:val="000000" w:themeColor="text1"/>
          <w:lang w:val="es-ES_tradnl"/>
        </w:rPr>
        <w:t>25</w:t>
      </w:r>
      <w:r w:rsidRPr="00130EEF">
        <w:rPr>
          <w:noProof/>
          <w:color w:val="000000" w:themeColor="text1"/>
          <w:lang w:val="es-ES_tradnl"/>
        </w:rPr>
        <w:t>(10), 723-729.e1. https://doi.org/10.1016/j.annepidem.2015.05.008</w:t>
      </w:r>
    </w:p>
    <w:p w14:paraId="4E5583E3"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De Wals, P., Tairou, F., Van Allen, M. I., Uh, S.-H., Lowry, R. B., Sibbald, B., … Niyonsenga, T. (2007). Reduction in Neural-Tube Defects after Folic Acid Fortification in Canada. </w:t>
      </w:r>
      <w:r w:rsidRPr="00130EEF">
        <w:rPr>
          <w:i/>
          <w:iCs/>
          <w:noProof/>
          <w:color w:val="000000" w:themeColor="text1"/>
          <w:lang w:val="es-ES_tradnl"/>
        </w:rPr>
        <w:t>New England Journal of Medicine</w:t>
      </w:r>
      <w:r w:rsidRPr="00130EEF">
        <w:rPr>
          <w:noProof/>
          <w:color w:val="000000" w:themeColor="text1"/>
          <w:lang w:val="es-ES_tradnl"/>
        </w:rPr>
        <w:t xml:space="preserve">, </w:t>
      </w:r>
      <w:r w:rsidRPr="00130EEF">
        <w:rPr>
          <w:i/>
          <w:iCs/>
          <w:noProof/>
          <w:color w:val="000000" w:themeColor="text1"/>
          <w:lang w:val="es-ES_tradnl"/>
        </w:rPr>
        <w:t>357</w:t>
      </w:r>
      <w:r w:rsidRPr="00130EEF">
        <w:rPr>
          <w:noProof/>
          <w:color w:val="000000" w:themeColor="text1"/>
          <w:lang w:val="es-ES_tradnl"/>
        </w:rPr>
        <w:t>(2), 135–142. https://doi.org/10.1056/NEJMoa067103</w:t>
      </w:r>
    </w:p>
    <w:p w14:paraId="41B1754E"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Denisenko, O., Lucas, E. S., Sun, C., Watkins, A. J., Mar, D., Bomsztyk, K., &amp; Fleming, T. P. (2016). Regulation of ribosomal RNA expression across the lifespan is fine-tuned by maternal diet before implantation. </w:t>
      </w:r>
      <w:r w:rsidRPr="00130EEF">
        <w:rPr>
          <w:i/>
          <w:iCs/>
          <w:noProof/>
          <w:color w:val="000000" w:themeColor="text1"/>
          <w:lang w:val="es-ES_tradnl"/>
        </w:rPr>
        <w:t>Biochimica et Biophysica Acta (BBA) - Gene Regulatory Mechanisms</w:t>
      </w:r>
      <w:r w:rsidRPr="00130EEF">
        <w:rPr>
          <w:noProof/>
          <w:color w:val="000000" w:themeColor="text1"/>
          <w:lang w:val="es-ES_tradnl"/>
        </w:rPr>
        <w:t xml:space="preserve">, </w:t>
      </w:r>
      <w:r w:rsidRPr="00130EEF">
        <w:rPr>
          <w:i/>
          <w:iCs/>
          <w:noProof/>
          <w:color w:val="000000" w:themeColor="text1"/>
          <w:lang w:val="es-ES_tradnl"/>
        </w:rPr>
        <w:t>1859</w:t>
      </w:r>
      <w:r w:rsidRPr="00130EEF">
        <w:rPr>
          <w:noProof/>
          <w:color w:val="000000" w:themeColor="text1"/>
          <w:lang w:val="es-ES_tradnl"/>
        </w:rPr>
        <w:t>(7), 906–913. https://doi.org/10.1016/j.bbagrm.2016.04.001</w:t>
      </w:r>
    </w:p>
    <w:p w14:paraId="4FEE0302"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Ducker, G. S., &amp; Rabinowitz, J. D. (2017). One-Carbon Metabolism in Health and Disease. </w:t>
      </w:r>
      <w:r w:rsidRPr="00130EEF">
        <w:rPr>
          <w:i/>
          <w:iCs/>
          <w:noProof/>
          <w:color w:val="000000" w:themeColor="text1"/>
          <w:lang w:val="es-ES_tradnl"/>
        </w:rPr>
        <w:t>Cell Metabolism</w:t>
      </w:r>
      <w:r w:rsidRPr="00130EEF">
        <w:rPr>
          <w:noProof/>
          <w:color w:val="000000" w:themeColor="text1"/>
          <w:lang w:val="es-ES_tradnl"/>
        </w:rPr>
        <w:t xml:space="preserve">, </w:t>
      </w:r>
      <w:r w:rsidRPr="00130EEF">
        <w:rPr>
          <w:i/>
          <w:iCs/>
          <w:noProof/>
          <w:color w:val="000000" w:themeColor="text1"/>
          <w:lang w:val="es-ES_tradnl"/>
        </w:rPr>
        <w:t>25</w:t>
      </w:r>
      <w:r w:rsidRPr="00130EEF">
        <w:rPr>
          <w:noProof/>
          <w:color w:val="000000" w:themeColor="text1"/>
          <w:lang w:val="es-ES_tradnl"/>
        </w:rPr>
        <w:t>(1), 27–42. https://doi.org/10.1016/j.cmet.2016.08.009</w:t>
      </w:r>
    </w:p>
    <w:p w14:paraId="78F63D1D"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Eckert, J. J., Porter, R., Watkins, A. J., Burt, E., Brooks, S., Leese, H. J., … Fleming, T. P. (2012). Metabolic Induction and Early Responses of Mouse Blastocyst Developmental Programming following Maternal Low Protein Diet Affecting Life-Long Health. </w:t>
      </w:r>
      <w:r w:rsidRPr="00130EEF">
        <w:rPr>
          <w:i/>
          <w:iCs/>
          <w:noProof/>
          <w:color w:val="000000" w:themeColor="text1"/>
          <w:lang w:val="es-ES_tradnl"/>
        </w:rPr>
        <w:t>PLoS ONE</w:t>
      </w:r>
      <w:r w:rsidRPr="00130EEF">
        <w:rPr>
          <w:noProof/>
          <w:color w:val="000000" w:themeColor="text1"/>
          <w:lang w:val="es-ES_tradnl"/>
        </w:rPr>
        <w:t xml:space="preserve">, </w:t>
      </w:r>
      <w:r w:rsidRPr="00130EEF">
        <w:rPr>
          <w:i/>
          <w:iCs/>
          <w:noProof/>
          <w:color w:val="000000" w:themeColor="text1"/>
          <w:lang w:val="es-ES_tradnl"/>
        </w:rPr>
        <w:t>7</w:t>
      </w:r>
      <w:r w:rsidRPr="00130EEF">
        <w:rPr>
          <w:noProof/>
          <w:color w:val="000000" w:themeColor="text1"/>
          <w:lang w:val="es-ES_tradnl"/>
        </w:rPr>
        <w:t>(12), e52791. https://doi.org/10.1371/journal.pone.0052791</w:t>
      </w:r>
    </w:p>
    <w:p w14:paraId="19937620"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Fleming, T. P., Watkins, A. J., Velazquez, M. A., Mathers, J. C., Prentice, A. M., Stephenson, J., … Godfrey, K. M. (2018). Origins of lifetime health around the time of conception: causes and consequences. </w:t>
      </w:r>
      <w:r w:rsidRPr="00130EEF">
        <w:rPr>
          <w:i/>
          <w:iCs/>
          <w:noProof/>
          <w:color w:val="000000" w:themeColor="text1"/>
          <w:lang w:val="es-ES_tradnl"/>
        </w:rPr>
        <w:t>The Lancet</w:t>
      </w:r>
      <w:r w:rsidRPr="00130EEF">
        <w:rPr>
          <w:noProof/>
          <w:color w:val="000000" w:themeColor="text1"/>
          <w:lang w:val="es-ES_tradnl"/>
        </w:rPr>
        <w:t xml:space="preserve">, </w:t>
      </w:r>
      <w:r w:rsidRPr="00130EEF">
        <w:rPr>
          <w:i/>
          <w:iCs/>
          <w:noProof/>
          <w:color w:val="000000" w:themeColor="text1"/>
          <w:lang w:val="es-ES_tradnl"/>
        </w:rPr>
        <w:t>391</w:t>
      </w:r>
      <w:r w:rsidRPr="00130EEF">
        <w:rPr>
          <w:noProof/>
          <w:color w:val="000000" w:themeColor="text1"/>
          <w:lang w:val="es-ES_tradnl"/>
        </w:rPr>
        <w:t>(10132), 1842–1852. https://doi.org/10.1016/S0140-6736(18)30312-X</w:t>
      </w:r>
    </w:p>
    <w:p w14:paraId="49277561"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Gaskins, A. J., Mumford, S. L., Chavarro, J. E., Zhang, C., Pollack, A. Z., Wactawski-Wende, J., … Schisterman, E. F. (2012). The Impact of Dietary Folate Intake on Reproductive Function in Premenopausal Women: A Prospective Cohort Study. </w:t>
      </w:r>
      <w:r w:rsidRPr="00130EEF">
        <w:rPr>
          <w:i/>
          <w:iCs/>
          <w:noProof/>
          <w:color w:val="000000" w:themeColor="text1"/>
          <w:lang w:val="es-ES_tradnl"/>
        </w:rPr>
        <w:t>PLoS ONE</w:t>
      </w:r>
      <w:r w:rsidRPr="00130EEF">
        <w:rPr>
          <w:noProof/>
          <w:color w:val="000000" w:themeColor="text1"/>
          <w:lang w:val="es-ES_tradnl"/>
        </w:rPr>
        <w:t xml:space="preserve">, </w:t>
      </w:r>
      <w:r w:rsidRPr="00130EEF">
        <w:rPr>
          <w:i/>
          <w:iCs/>
          <w:noProof/>
          <w:color w:val="000000" w:themeColor="text1"/>
          <w:lang w:val="es-ES_tradnl"/>
        </w:rPr>
        <w:t>7</w:t>
      </w:r>
      <w:r w:rsidRPr="00130EEF">
        <w:rPr>
          <w:noProof/>
          <w:color w:val="000000" w:themeColor="text1"/>
          <w:lang w:val="es-ES_tradnl"/>
        </w:rPr>
        <w:t>(9), e46276. https://doi.org/10.1371/journal.pone.0046276</w:t>
      </w:r>
    </w:p>
    <w:p w14:paraId="09CED638"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Geoghegan, F. L., McPartlin, J. M., Weir, D. G., &amp; Scott, J. M. (1995). para-acetamidobenzoylglutamate is a suitable indicator of folate catabolism in rats. </w:t>
      </w:r>
      <w:r w:rsidRPr="00130EEF">
        <w:rPr>
          <w:i/>
          <w:iCs/>
          <w:noProof/>
          <w:color w:val="000000" w:themeColor="text1"/>
          <w:lang w:val="es-ES_tradnl"/>
        </w:rPr>
        <w:t>The Journal of Nutrition</w:t>
      </w:r>
      <w:r w:rsidRPr="00130EEF">
        <w:rPr>
          <w:noProof/>
          <w:color w:val="000000" w:themeColor="text1"/>
          <w:lang w:val="es-ES_tradnl"/>
        </w:rPr>
        <w:t xml:space="preserve">, </w:t>
      </w:r>
      <w:r w:rsidRPr="00130EEF">
        <w:rPr>
          <w:i/>
          <w:iCs/>
          <w:noProof/>
          <w:color w:val="000000" w:themeColor="text1"/>
          <w:lang w:val="es-ES_tradnl"/>
        </w:rPr>
        <w:t>125</w:t>
      </w:r>
      <w:r w:rsidRPr="00130EEF">
        <w:rPr>
          <w:noProof/>
          <w:color w:val="000000" w:themeColor="text1"/>
          <w:lang w:val="es-ES_tradnl"/>
        </w:rPr>
        <w:t>(10), 2563–2570. https://doi.org/10.1093/jn/125.10.2563</w:t>
      </w:r>
    </w:p>
    <w:p w14:paraId="5EFCDCDC"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Hardy, K., Handyside, A., &amp; Winston, R. (1989). The human blastocyst: cell number, death and allocation during late preimplantation development in vitro. </w:t>
      </w:r>
      <w:r w:rsidRPr="00130EEF">
        <w:rPr>
          <w:i/>
          <w:iCs/>
          <w:noProof/>
          <w:color w:val="000000" w:themeColor="text1"/>
          <w:lang w:val="es-ES_tradnl"/>
        </w:rPr>
        <w:t>Development</w:t>
      </w:r>
      <w:r w:rsidRPr="00130EEF">
        <w:rPr>
          <w:noProof/>
          <w:color w:val="000000" w:themeColor="text1"/>
          <w:lang w:val="es-ES_tradnl"/>
        </w:rPr>
        <w:t xml:space="preserve">, </w:t>
      </w:r>
      <w:r w:rsidRPr="00130EEF">
        <w:rPr>
          <w:i/>
          <w:iCs/>
          <w:noProof/>
          <w:color w:val="000000" w:themeColor="text1"/>
          <w:lang w:val="es-ES_tradnl"/>
        </w:rPr>
        <w:t>107</w:t>
      </w:r>
      <w:r w:rsidRPr="00130EEF">
        <w:rPr>
          <w:noProof/>
          <w:color w:val="000000" w:themeColor="text1"/>
          <w:lang w:val="es-ES_tradnl"/>
        </w:rPr>
        <w:t>(3), 597–604.</w:t>
      </w:r>
    </w:p>
    <w:p w14:paraId="25B1DECE"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Huang, D., Guo, G., Yuan, P., Ralston, A., Sun, L., Huss, M., … Han, X. (2017). The role of </w:t>
      </w:r>
      <w:r w:rsidRPr="00130EEF">
        <w:rPr>
          <w:noProof/>
          <w:color w:val="000000" w:themeColor="text1"/>
          <w:lang w:val="es-ES_tradnl"/>
        </w:rPr>
        <w:lastRenderedPageBreak/>
        <w:t xml:space="preserve">Cdx2 as a lineage specific transcriptional repressor for pluripotent network during the first developmental cell lineage segregation. </w:t>
      </w:r>
      <w:r w:rsidRPr="00130EEF">
        <w:rPr>
          <w:i/>
          <w:iCs/>
          <w:noProof/>
          <w:color w:val="000000" w:themeColor="text1"/>
          <w:lang w:val="es-ES_tradnl"/>
        </w:rPr>
        <w:t>Scientific Reports</w:t>
      </w:r>
      <w:r w:rsidRPr="00130EEF">
        <w:rPr>
          <w:noProof/>
          <w:color w:val="000000" w:themeColor="text1"/>
          <w:lang w:val="es-ES_tradnl"/>
        </w:rPr>
        <w:t xml:space="preserve">, </w:t>
      </w:r>
      <w:r w:rsidRPr="00130EEF">
        <w:rPr>
          <w:i/>
          <w:iCs/>
          <w:noProof/>
          <w:color w:val="000000" w:themeColor="text1"/>
          <w:lang w:val="es-ES_tradnl"/>
        </w:rPr>
        <w:t>7</w:t>
      </w:r>
      <w:r w:rsidRPr="00130EEF">
        <w:rPr>
          <w:noProof/>
          <w:color w:val="000000" w:themeColor="text1"/>
          <w:lang w:val="es-ES_tradnl"/>
        </w:rPr>
        <w:t>(1), 1–10. https://doi.org/10.1038/s41598-017-16009-w</w:t>
      </w:r>
    </w:p>
    <w:p w14:paraId="33BD5A7B"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Huang, X. J., Wang, X., Ma, X., Sun, S.-C., Zhou, X., Zhu, C., &amp; Liu, H. (2014). EZH2 is essential for development of mouse preimplantation embryos. </w:t>
      </w:r>
      <w:r w:rsidRPr="00130EEF">
        <w:rPr>
          <w:i/>
          <w:iCs/>
          <w:noProof/>
          <w:color w:val="000000" w:themeColor="text1"/>
          <w:lang w:val="es-ES_tradnl"/>
        </w:rPr>
        <w:t>Reproduction, Fertility and Development</w:t>
      </w:r>
      <w:r w:rsidRPr="00130EEF">
        <w:rPr>
          <w:noProof/>
          <w:color w:val="000000" w:themeColor="text1"/>
          <w:lang w:val="es-ES_tradnl"/>
        </w:rPr>
        <w:t xml:space="preserve">, </w:t>
      </w:r>
      <w:r w:rsidRPr="00130EEF">
        <w:rPr>
          <w:i/>
          <w:iCs/>
          <w:noProof/>
          <w:color w:val="000000" w:themeColor="text1"/>
          <w:lang w:val="es-ES_tradnl"/>
        </w:rPr>
        <w:t>26</w:t>
      </w:r>
      <w:r w:rsidRPr="00130EEF">
        <w:rPr>
          <w:noProof/>
          <w:color w:val="000000" w:themeColor="text1"/>
          <w:lang w:val="es-ES_tradnl"/>
        </w:rPr>
        <w:t>(8), 1166. https://doi.org/10.1071/RD13169</w:t>
      </w:r>
    </w:p>
    <w:p w14:paraId="0244EBC4"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Huang, Y., He, Y., Sun, X., He, Y., Li, Y., &amp; Sun, C. (2014). Maternal High Folic Acid Supplement Promotes Glucose Intolerance and Insulin Resistance in Male Mouse Offspring Fed a High-Fat Diet. </w:t>
      </w:r>
      <w:r w:rsidRPr="00130EEF">
        <w:rPr>
          <w:i/>
          <w:iCs/>
          <w:noProof/>
          <w:color w:val="000000" w:themeColor="text1"/>
          <w:lang w:val="es-ES_tradnl"/>
        </w:rPr>
        <w:t>International Journal of Molecular Sciences</w:t>
      </w:r>
      <w:r w:rsidRPr="00130EEF">
        <w:rPr>
          <w:noProof/>
          <w:color w:val="000000" w:themeColor="text1"/>
          <w:lang w:val="es-ES_tradnl"/>
        </w:rPr>
        <w:t xml:space="preserve">, </w:t>
      </w:r>
      <w:r w:rsidRPr="00130EEF">
        <w:rPr>
          <w:i/>
          <w:iCs/>
          <w:noProof/>
          <w:color w:val="000000" w:themeColor="text1"/>
          <w:lang w:val="es-ES_tradnl"/>
        </w:rPr>
        <w:t>15</w:t>
      </w:r>
      <w:r w:rsidRPr="00130EEF">
        <w:rPr>
          <w:noProof/>
          <w:color w:val="000000" w:themeColor="text1"/>
          <w:lang w:val="es-ES_tradnl"/>
        </w:rPr>
        <w:t>(4), 6298–6313. https://doi.org/10.3390/ijms15046298</w:t>
      </w:r>
    </w:p>
    <w:p w14:paraId="291571D5"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Huot, P. S. P., Dodington, D. W., Mollard, R. C., Reza-López, S. A., Sánchez-Hernández, D., Cho, C. E., … Anderson, G. H. (2013). High Folic Acid Intake during Pregnancy Lowers Body Weight and Reduces Femoral Area and Strength in Female Rat Offspring. </w:t>
      </w:r>
      <w:r w:rsidRPr="00130EEF">
        <w:rPr>
          <w:i/>
          <w:iCs/>
          <w:noProof/>
          <w:color w:val="000000" w:themeColor="text1"/>
          <w:lang w:val="es-ES_tradnl"/>
        </w:rPr>
        <w:t>Journal of Osteoporosis</w:t>
      </w:r>
      <w:r w:rsidRPr="00130EEF">
        <w:rPr>
          <w:noProof/>
          <w:color w:val="000000" w:themeColor="text1"/>
          <w:lang w:val="es-ES_tradnl"/>
        </w:rPr>
        <w:t xml:space="preserve">, </w:t>
      </w:r>
      <w:r w:rsidRPr="00130EEF">
        <w:rPr>
          <w:i/>
          <w:iCs/>
          <w:noProof/>
          <w:color w:val="000000" w:themeColor="text1"/>
          <w:lang w:val="es-ES_tradnl"/>
        </w:rPr>
        <w:t>2013</w:t>
      </w:r>
      <w:r w:rsidRPr="00130EEF">
        <w:rPr>
          <w:noProof/>
          <w:color w:val="000000" w:themeColor="text1"/>
          <w:lang w:val="es-ES_tradnl"/>
        </w:rPr>
        <w:t>, 1–9. https://doi.org/10.1155/2013/154109</w:t>
      </w:r>
    </w:p>
    <w:p w14:paraId="36BCB1A1"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Igosheva, N., Abramov, A. Y., Poston, L., Eckert, J. J., Fleming, T. P., Duchen, M. R., &amp; McConnell, J. (2010). Maternal Diet-Induced Obesity Alters Mitochondrial Activity and Redox Status in Mouse Oocytes and Zygotes. </w:t>
      </w:r>
      <w:r w:rsidRPr="00130EEF">
        <w:rPr>
          <w:i/>
          <w:iCs/>
          <w:noProof/>
          <w:color w:val="000000" w:themeColor="text1"/>
          <w:lang w:val="es-ES_tradnl"/>
        </w:rPr>
        <w:t>PLoS ONE</w:t>
      </w:r>
      <w:r w:rsidRPr="00130EEF">
        <w:rPr>
          <w:noProof/>
          <w:color w:val="000000" w:themeColor="text1"/>
          <w:lang w:val="es-ES_tradnl"/>
        </w:rPr>
        <w:t xml:space="preserve">, </w:t>
      </w:r>
      <w:r w:rsidRPr="00130EEF">
        <w:rPr>
          <w:i/>
          <w:iCs/>
          <w:noProof/>
          <w:color w:val="000000" w:themeColor="text1"/>
          <w:lang w:val="es-ES_tradnl"/>
        </w:rPr>
        <w:t>5</w:t>
      </w:r>
      <w:r w:rsidRPr="00130EEF">
        <w:rPr>
          <w:noProof/>
          <w:color w:val="000000" w:themeColor="text1"/>
          <w:lang w:val="es-ES_tradnl"/>
        </w:rPr>
        <w:t>(4), e10074. https://doi.org/10.1371/journal.pone.0010074</w:t>
      </w:r>
    </w:p>
    <w:p w14:paraId="7FF72F46"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Illingworth, R. S., Hölzenspies, J. J., Roske, F. V., Bickmore, W. A., &amp; Brickman, J. M. (2016). Polycomb enables primitive endoderm lineage priming in embryonic stem cells. </w:t>
      </w:r>
      <w:r w:rsidRPr="00130EEF">
        <w:rPr>
          <w:i/>
          <w:iCs/>
          <w:noProof/>
          <w:color w:val="000000" w:themeColor="text1"/>
          <w:lang w:val="es-ES_tradnl"/>
        </w:rPr>
        <w:t>ELife</w:t>
      </w:r>
      <w:r w:rsidRPr="00130EEF">
        <w:rPr>
          <w:noProof/>
          <w:color w:val="000000" w:themeColor="text1"/>
          <w:lang w:val="es-ES_tradnl"/>
        </w:rPr>
        <w:t xml:space="preserve">, </w:t>
      </w:r>
      <w:r w:rsidRPr="00130EEF">
        <w:rPr>
          <w:i/>
          <w:iCs/>
          <w:noProof/>
          <w:color w:val="000000" w:themeColor="text1"/>
          <w:lang w:val="es-ES_tradnl"/>
        </w:rPr>
        <w:t>5</w:t>
      </w:r>
      <w:r w:rsidRPr="00130EEF">
        <w:rPr>
          <w:noProof/>
          <w:color w:val="000000" w:themeColor="text1"/>
          <w:lang w:val="es-ES_tradnl"/>
        </w:rPr>
        <w:t>, 1–28. https://doi.org/10.7554/eLife.14926</w:t>
      </w:r>
    </w:p>
    <w:p w14:paraId="48DD7CB3"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Kashani, I. R., Zarnani, A. H., Soleimani, M., Abdolvahabi, M. A., Nayernia, K., &amp; Shirazi, R. (2014). Retinoic acid induces mouse bone marrow-derived CD15 </w:t>
      </w:r>
      <w:r w:rsidRPr="00130EEF">
        <w:rPr>
          <w:noProof/>
          <w:color w:val="000000" w:themeColor="text1"/>
          <w:vertAlign w:val="superscript"/>
          <w:lang w:val="es-ES_tradnl"/>
        </w:rPr>
        <w:t>+</w:t>
      </w:r>
      <w:r w:rsidRPr="00130EEF">
        <w:rPr>
          <w:noProof/>
          <w:color w:val="000000" w:themeColor="text1"/>
          <w:lang w:val="es-ES_tradnl"/>
        </w:rPr>
        <w:t xml:space="preserve"> , Oct4 </w:t>
      </w:r>
      <w:r w:rsidRPr="00130EEF">
        <w:rPr>
          <w:noProof/>
          <w:color w:val="000000" w:themeColor="text1"/>
          <w:vertAlign w:val="superscript"/>
          <w:lang w:val="es-ES_tradnl"/>
        </w:rPr>
        <w:t>+</w:t>
      </w:r>
      <w:r w:rsidRPr="00130EEF">
        <w:rPr>
          <w:noProof/>
          <w:color w:val="000000" w:themeColor="text1"/>
          <w:lang w:val="es-ES_tradnl"/>
        </w:rPr>
        <w:t xml:space="preserve"> and CXCR4 </w:t>
      </w:r>
      <w:r w:rsidRPr="00130EEF">
        <w:rPr>
          <w:noProof/>
          <w:color w:val="000000" w:themeColor="text1"/>
          <w:vertAlign w:val="superscript"/>
          <w:lang w:val="es-ES_tradnl"/>
        </w:rPr>
        <w:t>+</w:t>
      </w:r>
      <w:r w:rsidRPr="00130EEF">
        <w:rPr>
          <w:noProof/>
          <w:color w:val="000000" w:themeColor="text1"/>
          <w:lang w:val="es-ES_tradnl"/>
        </w:rPr>
        <w:t xml:space="preserve"> stem cells into male germ-like cells in a two-dimensional cell culture system. </w:t>
      </w:r>
      <w:r w:rsidRPr="00130EEF">
        <w:rPr>
          <w:i/>
          <w:iCs/>
          <w:noProof/>
          <w:color w:val="000000" w:themeColor="text1"/>
          <w:lang w:val="es-ES_tradnl"/>
        </w:rPr>
        <w:t>Cell Biology International</w:t>
      </w:r>
      <w:r w:rsidRPr="00130EEF">
        <w:rPr>
          <w:noProof/>
          <w:color w:val="000000" w:themeColor="text1"/>
          <w:lang w:val="es-ES_tradnl"/>
        </w:rPr>
        <w:t xml:space="preserve">, </w:t>
      </w:r>
      <w:r w:rsidRPr="00130EEF">
        <w:rPr>
          <w:i/>
          <w:iCs/>
          <w:noProof/>
          <w:color w:val="000000" w:themeColor="text1"/>
          <w:lang w:val="es-ES_tradnl"/>
        </w:rPr>
        <w:t>38</w:t>
      </w:r>
      <w:r w:rsidRPr="00130EEF">
        <w:rPr>
          <w:noProof/>
          <w:color w:val="000000" w:themeColor="text1"/>
          <w:lang w:val="es-ES_tradnl"/>
        </w:rPr>
        <w:t>(6), 782–789. https://doi.org/10.1002/cbin.10260</w:t>
      </w:r>
    </w:p>
    <w:p w14:paraId="7405CAFF"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Kintaka, Y., Wada, N., Shioda, S., Nakamura, S., Yamazaki, Y., &amp; Mochizuki, K. (2020). Excessive folic acid supplementation in pregnant mice impairs insulin secretion and induces the expression of genes associated with fatty liver in their offspring. </w:t>
      </w:r>
      <w:r w:rsidRPr="00130EEF">
        <w:rPr>
          <w:i/>
          <w:iCs/>
          <w:noProof/>
          <w:color w:val="000000" w:themeColor="text1"/>
          <w:lang w:val="es-ES_tradnl"/>
        </w:rPr>
        <w:t>Heliyon</w:t>
      </w:r>
      <w:r w:rsidRPr="00130EEF">
        <w:rPr>
          <w:noProof/>
          <w:color w:val="000000" w:themeColor="text1"/>
          <w:lang w:val="es-ES_tradnl"/>
        </w:rPr>
        <w:t xml:space="preserve">, </w:t>
      </w:r>
      <w:r w:rsidRPr="00130EEF">
        <w:rPr>
          <w:i/>
          <w:iCs/>
          <w:noProof/>
          <w:color w:val="000000" w:themeColor="text1"/>
          <w:lang w:val="es-ES_tradnl"/>
        </w:rPr>
        <w:t>6</w:t>
      </w:r>
      <w:r w:rsidRPr="00130EEF">
        <w:rPr>
          <w:noProof/>
          <w:color w:val="000000" w:themeColor="text1"/>
          <w:lang w:val="es-ES_tradnl"/>
        </w:rPr>
        <w:t>(4), e03597. https://doi.org/10.1016/j.heliyon.2020.e03597</w:t>
      </w:r>
    </w:p>
    <w:p w14:paraId="1D498F07"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Kojima, Y., Tam, O. H., &amp; Tam, P. P. L. (2014). Timing of developmental events in the early mouse embryo. </w:t>
      </w:r>
      <w:r w:rsidRPr="00130EEF">
        <w:rPr>
          <w:i/>
          <w:iCs/>
          <w:noProof/>
          <w:color w:val="000000" w:themeColor="text1"/>
          <w:lang w:val="es-ES_tradnl"/>
        </w:rPr>
        <w:t>Seminars in Cell &amp; Developmental Biology</w:t>
      </w:r>
      <w:r w:rsidRPr="00130EEF">
        <w:rPr>
          <w:noProof/>
          <w:color w:val="000000" w:themeColor="text1"/>
          <w:lang w:val="es-ES_tradnl"/>
        </w:rPr>
        <w:t xml:space="preserve">, </w:t>
      </w:r>
      <w:r w:rsidRPr="00130EEF">
        <w:rPr>
          <w:i/>
          <w:iCs/>
          <w:noProof/>
          <w:color w:val="000000" w:themeColor="text1"/>
          <w:lang w:val="es-ES_tradnl"/>
        </w:rPr>
        <w:t>34</w:t>
      </w:r>
      <w:r w:rsidRPr="00130EEF">
        <w:rPr>
          <w:noProof/>
          <w:color w:val="000000" w:themeColor="text1"/>
          <w:lang w:val="es-ES_tradnl"/>
        </w:rPr>
        <w:t>, 65–75. https://doi.org/10.1016/j.semcdb.2014.06.010</w:t>
      </w:r>
    </w:p>
    <w:p w14:paraId="2A00B2B8"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Kunieda, T., Xian, M., Kobayashi, E., Imamichi, T., Moriwaki, K., &amp; Toyoda, Y. (1992). Sexing of Mouse Preimplantation Embryos by Detection of Y Chromosome-Specific Sequences Using Polymerase Chain Reaction1. </w:t>
      </w:r>
      <w:r w:rsidRPr="00130EEF">
        <w:rPr>
          <w:i/>
          <w:iCs/>
          <w:noProof/>
          <w:color w:val="000000" w:themeColor="text1"/>
          <w:lang w:val="es-ES_tradnl"/>
        </w:rPr>
        <w:t>Biology of Reproduction</w:t>
      </w:r>
      <w:r w:rsidRPr="00130EEF">
        <w:rPr>
          <w:noProof/>
          <w:color w:val="000000" w:themeColor="text1"/>
          <w:lang w:val="es-ES_tradnl"/>
        </w:rPr>
        <w:t xml:space="preserve">, </w:t>
      </w:r>
      <w:r w:rsidRPr="00130EEF">
        <w:rPr>
          <w:i/>
          <w:iCs/>
          <w:noProof/>
          <w:color w:val="000000" w:themeColor="text1"/>
          <w:lang w:val="es-ES_tradnl"/>
        </w:rPr>
        <w:t>46</w:t>
      </w:r>
      <w:r w:rsidRPr="00130EEF">
        <w:rPr>
          <w:noProof/>
          <w:color w:val="000000" w:themeColor="text1"/>
          <w:lang w:val="es-ES_tradnl"/>
        </w:rPr>
        <w:t>(4), 692–697. https://doi.org/10.1095/biolreprod46.4.692</w:t>
      </w:r>
    </w:p>
    <w:p w14:paraId="77D51901"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Kwong, W. Y., Miller, D. J., Ursell, E., Wild, A. E., Wilkins, A. P., Osmond, C., … Fleming, T. P. (2006). Imprinted gene expression in the rat embryo–fetal axis is altered in response to periconceptional maternal low protein diet. </w:t>
      </w:r>
      <w:r w:rsidRPr="00130EEF">
        <w:rPr>
          <w:i/>
          <w:iCs/>
          <w:noProof/>
          <w:color w:val="000000" w:themeColor="text1"/>
          <w:lang w:val="es-ES_tradnl"/>
        </w:rPr>
        <w:t>Reproduction</w:t>
      </w:r>
      <w:r w:rsidRPr="00130EEF">
        <w:rPr>
          <w:noProof/>
          <w:color w:val="000000" w:themeColor="text1"/>
          <w:lang w:val="es-ES_tradnl"/>
        </w:rPr>
        <w:t xml:space="preserve">, </w:t>
      </w:r>
      <w:r w:rsidRPr="00130EEF">
        <w:rPr>
          <w:i/>
          <w:iCs/>
          <w:noProof/>
          <w:color w:val="000000" w:themeColor="text1"/>
          <w:lang w:val="es-ES_tradnl"/>
        </w:rPr>
        <w:t>132</w:t>
      </w:r>
      <w:r w:rsidRPr="00130EEF">
        <w:rPr>
          <w:noProof/>
          <w:color w:val="000000" w:themeColor="text1"/>
          <w:lang w:val="es-ES_tradnl"/>
        </w:rPr>
        <w:t>(2), 265–277. https://doi.org/10.1530/rep.1.01038</w:t>
      </w:r>
    </w:p>
    <w:p w14:paraId="452D253D"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Kwong, W. Y., Osmond, C., &amp; Fleming, T. P. (2004). Support for Barker hypothesis upheld in rat model of maternal undernutrition during the preimplantation period: Application of integrated “random effects” statistical model. </w:t>
      </w:r>
      <w:r w:rsidRPr="00130EEF">
        <w:rPr>
          <w:i/>
          <w:iCs/>
          <w:noProof/>
          <w:color w:val="000000" w:themeColor="text1"/>
          <w:lang w:val="es-ES_tradnl"/>
        </w:rPr>
        <w:t>Reproductive BioMedicine Online</w:t>
      </w:r>
      <w:r w:rsidRPr="00130EEF">
        <w:rPr>
          <w:noProof/>
          <w:color w:val="000000" w:themeColor="text1"/>
          <w:lang w:val="es-ES_tradnl"/>
        </w:rPr>
        <w:t xml:space="preserve">, </w:t>
      </w:r>
      <w:r w:rsidRPr="00130EEF">
        <w:rPr>
          <w:i/>
          <w:iCs/>
          <w:noProof/>
          <w:color w:val="000000" w:themeColor="text1"/>
          <w:lang w:val="es-ES_tradnl"/>
        </w:rPr>
        <w:t>8</w:t>
      </w:r>
      <w:r w:rsidRPr="00130EEF">
        <w:rPr>
          <w:noProof/>
          <w:color w:val="000000" w:themeColor="text1"/>
          <w:lang w:val="es-ES_tradnl"/>
        </w:rPr>
        <w:t>(5), 574–576. https://doi.org/10.1016/S1472-6483(10)61105-4</w:t>
      </w:r>
    </w:p>
    <w:p w14:paraId="6FFA61F6"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Kwong, W. Y., Wild, A. E., Roberts, P., Willis, A. C., &amp; Fleming, T. P. (2000). Maternal undernutrition during the preimplantation period of rat development causes blastocyst abnormalities and programming of postnatal hypertension. </w:t>
      </w:r>
      <w:r w:rsidRPr="00130EEF">
        <w:rPr>
          <w:i/>
          <w:iCs/>
          <w:noProof/>
          <w:color w:val="000000" w:themeColor="text1"/>
          <w:lang w:val="es-ES_tradnl"/>
        </w:rPr>
        <w:t>Development (Cambridge, England)</w:t>
      </w:r>
      <w:r w:rsidRPr="00130EEF">
        <w:rPr>
          <w:noProof/>
          <w:color w:val="000000" w:themeColor="text1"/>
          <w:lang w:val="es-ES_tradnl"/>
        </w:rPr>
        <w:t xml:space="preserve">, </w:t>
      </w:r>
      <w:r w:rsidRPr="00130EEF">
        <w:rPr>
          <w:i/>
          <w:iCs/>
          <w:noProof/>
          <w:color w:val="000000" w:themeColor="text1"/>
          <w:lang w:val="es-ES_tradnl"/>
        </w:rPr>
        <w:t>127</w:t>
      </w:r>
      <w:r w:rsidRPr="00130EEF">
        <w:rPr>
          <w:noProof/>
          <w:color w:val="000000" w:themeColor="text1"/>
          <w:lang w:val="es-ES_tradnl"/>
        </w:rPr>
        <w:t>(19), 4195–4202. Retrieved from http://www.ncbi.nlm.nih.gov/pubmed/10976051</w:t>
      </w:r>
    </w:p>
    <w:p w14:paraId="738CFB2C"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lastRenderedPageBreak/>
        <w:t xml:space="preserve">Lucas, E. S., Watkins, A. J., Cox, A. L., Marfy-Smith, S. J., Smyth, N., &amp; Fleming, T. P. (2011). Tissue-specific selection of reference genes is required for expression studies in the mouse model of maternal protein undernutrition. </w:t>
      </w:r>
      <w:r w:rsidRPr="00130EEF">
        <w:rPr>
          <w:i/>
          <w:iCs/>
          <w:noProof/>
          <w:color w:val="000000" w:themeColor="text1"/>
          <w:lang w:val="es-ES_tradnl"/>
        </w:rPr>
        <w:t>Theriogenology</w:t>
      </w:r>
      <w:r w:rsidRPr="00130EEF">
        <w:rPr>
          <w:noProof/>
          <w:color w:val="000000" w:themeColor="text1"/>
          <w:lang w:val="es-ES_tradnl"/>
        </w:rPr>
        <w:t xml:space="preserve">, </w:t>
      </w:r>
      <w:r w:rsidRPr="00130EEF">
        <w:rPr>
          <w:i/>
          <w:iCs/>
          <w:noProof/>
          <w:color w:val="000000" w:themeColor="text1"/>
          <w:lang w:val="es-ES_tradnl"/>
        </w:rPr>
        <w:t>76</w:t>
      </w:r>
      <w:r w:rsidRPr="00130EEF">
        <w:rPr>
          <w:noProof/>
          <w:color w:val="000000" w:themeColor="text1"/>
          <w:lang w:val="es-ES_tradnl"/>
        </w:rPr>
        <w:t>(3), 558–569. https://doi.org/10.1016/j.theriogenology.2011.03.008</w:t>
      </w:r>
    </w:p>
    <w:p w14:paraId="028CBAE7"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Ly, A., Lee, H., Chen, J., Sie, K. K. Y., Renlund, R., Medline, A., … Kim, Y.-I. (2011). Effect of maternal and postweaning folic acid supplementation on mammary tumor risk in the offspring. </w:t>
      </w:r>
      <w:r w:rsidRPr="00130EEF">
        <w:rPr>
          <w:i/>
          <w:iCs/>
          <w:noProof/>
          <w:color w:val="000000" w:themeColor="text1"/>
          <w:lang w:val="es-ES_tradnl"/>
        </w:rPr>
        <w:t>Cancer Res</w:t>
      </w:r>
      <w:r w:rsidRPr="00130EEF">
        <w:rPr>
          <w:noProof/>
          <w:color w:val="000000" w:themeColor="text1"/>
          <w:lang w:val="es-ES_tradnl"/>
        </w:rPr>
        <w:t xml:space="preserve">, </w:t>
      </w:r>
      <w:r w:rsidRPr="00130EEF">
        <w:rPr>
          <w:i/>
          <w:iCs/>
          <w:noProof/>
          <w:color w:val="000000" w:themeColor="text1"/>
          <w:lang w:val="es-ES_tradnl"/>
        </w:rPr>
        <w:t>71</w:t>
      </w:r>
      <w:r w:rsidRPr="00130EEF">
        <w:rPr>
          <w:noProof/>
          <w:color w:val="000000" w:themeColor="text1"/>
          <w:lang w:val="es-ES_tradnl"/>
        </w:rPr>
        <w:t>(3), 988–997. https://doi.org/10.1158/0008-5472.CAN-10-2379</w:t>
      </w:r>
    </w:p>
    <w:p w14:paraId="6BEAE364"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Messerschmidt, D. M., Knowles, B. B., &amp; Solter, D. (2014). DNA methylation dynamics during epigenetic reprogramming in the germline and preimplantation embryos. </w:t>
      </w:r>
      <w:r w:rsidRPr="00130EEF">
        <w:rPr>
          <w:i/>
          <w:iCs/>
          <w:noProof/>
          <w:color w:val="000000" w:themeColor="text1"/>
          <w:lang w:val="es-ES_tradnl"/>
        </w:rPr>
        <w:t>Genes &amp; Development</w:t>
      </w:r>
      <w:r w:rsidRPr="00130EEF">
        <w:rPr>
          <w:noProof/>
          <w:color w:val="000000" w:themeColor="text1"/>
          <w:lang w:val="es-ES_tradnl"/>
        </w:rPr>
        <w:t xml:space="preserve">, </w:t>
      </w:r>
      <w:r w:rsidRPr="00130EEF">
        <w:rPr>
          <w:i/>
          <w:iCs/>
          <w:noProof/>
          <w:color w:val="000000" w:themeColor="text1"/>
          <w:lang w:val="es-ES_tradnl"/>
        </w:rPr>
        <w:t>28</w:t>
      </w:r>
      <w:r w:rsidRPr="00130EEF">
        <w:rPr>
          <w:noProof/>
          <w:color w:val="000000" w:themeColor="text1"/>
          <w:lang w:val="es-ES_tradnl"/>
        </w:rPr>
        <w:t>(8), 812–828. https://doi.org/10.1101/gad.234294.113</w:t>
      </w:r>
    </w:p>
    <w:p w14:paraId="2D226B5E"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Mitchell, M., Schulz, S. L., Armstrong, D. T., &amp; Lane, M. (2009). Metabolic and Mitochondrial Dysfunction in Early Mouse Embryos Following Maternal Dietary Protein Intervention1. </w:t>
      </w:r>
      <w:r w:rsidRPr="00130EEF">
        <w:rPr>
          <w:i/>
          <w:iCs/>
          <w:noProof/>
          <w:color w:val="000000" w:themeColor="text1"/>
          <w:lang w:val="es-ES_tradnl"/>
        </w:rPr>
        <w:t>Biology of Reproduction</w:t>
      </w:r>
      <w:r w:rsidRPr="00130EEF">
        <w:rPr>
          <w:noProof/>
          <w:color w:val="000000" w:themeColor="text1"/>
          <w:lang w:val="es-ES_tradnl"/>
        </w:rPr>
        <w:t xml:space="preserve">, </w:t>
      </w:r>
      <w:r w:rsidRPr="00130EEF">
        <w:rPr>
          <w:i/>
          <w:iCs/>
          <w:noProof/>
          <w:color w:val="000000" w:themeColor="text1"/>
          <w:lang w:val="es-ES_tradnl"/>
        </w:rPr>
        <w:t>80</w:t>
      </w:r>
      <w:r w:rsidRPr="00130EEF">
        <w:rPr>
          <w:noProof/>
          <w:color w:val="000000" w:themeColor="text1"/>
          <w:lang w:val="es-ES_tradnl"/>
        </w:rPr>
        <w:t>(4), 622–630. https://doi.org/10.1095/biolreprod.108.072595</w:t>
      </w:r>
    </w:p>
    <w:p w14:paraId="1C7DBF41"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Nishioka, N., Yamamoto, S., Kiyonari, H., Sato, H., Sawada, A., Ota, M., … Sasaki, H. (2008). Tead4 is required for specification of trophectoderm in pre-implantation mouse embryos. </w:t>
      </w:r>
      <w:r w:rsidRPr="00130EEF">
        <w:rPr>
          <w:i/>
          <w:iCs/>
          <w:noProof/>
          <w:color w:val="000000" w:themeColor="text1"/>
          <w:lang w:val="es-ES_tradnl"/>
        </w:rPr>
        <w:t>Mechanisms of Development</w:t>
      </w:r>
      <w:r w:rsidRPr="00130EEF">
        <w:rPr>
          <w:noProof/>
          <w:color w:val="000000" w:themeColor="text1"/>
          <w:lang w:val="es-ES_tradnl"/>
        </w:rPr>
        <w:t xml:space="preserve">, </w:t>
      </w:r>
      <w:r w:rsidRPr="00130EEF">
        <w:rPr>
          <w:i/>
          <w:iCs/>
          <w:noProof/>
          <w:color w:val="000000" w:themeColor="text1"/>
          <w:lang w:val="es-ES_tradnl"/>
        </w:rPr>
        <w:t>125</w:t>
      </w:r>
      <w:r w:rsidRPr="00130EEF">
        <w:rPr>
          <w:noProof/>
          <w:color w:val="000000" w:themeColor="text1"/>
          <w:lang w:val="es-ES_tradnl"/>
        </w:rPr>
        <w:t>(3–4), 270–283. https://doi.org/10.1016/j.mod.2007.11.002</w:t>
      </w:r>
    </w:p>
    <w:p w14:paraId="1F1EECBE"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Patanwala, I., King, M. J., Barrett, D. a, Rose, J., Jackson, R., Hudson, M., … Jones, D. E. (2014). Folic acid handling by the human gut: implications for food fortification and supplementation. </w:t>
      </w:r>
      <w:r w:rsidRPr="00130EEF">
        <w:rPr>
          <w:i/>
          <w:iCs/>
          <w:noProof/>
          <w:color w:val="000000" w:themeColor="text1"/>
          <w:lang w:val="es-ES_tradnl"/>
        </w:rPr>
        <w:t>The American Journal of Clinical Nutrition</w:t>
      </w:r>
      <w:r w:rsidRPr="00130EEF">
        <w:rPr>
          <w:noProof/>
          <w:color w:val="000000" w:themeColor="text1"/>
          <w:lang w:val="es-ES_tradnl"/>
        </w:rPr>
        <w:t xml:space="preserve">, </w:t>
      </w:r>
      <w:r w:rsidRPr="00130EEF">
        <w:rPr>
          <w:i/>
          <w:iCs/>
          <w:noProof/>
          <w:color w:val="000000" w:themeColor="text1"/>
          <w:lang w:val="es-ES_tradnl"/>
        </w:rPr>
        <w:t>100</w:t>
      </w:r>
      <w:r w:rsidRPr="00130EEF">
        <w:rPr>
          <w:noProof/>
          <w:color w:val="000000" w:themeColor="text1"/>
          <w:lang w:val="es-ES_tradnl"/>
        </w:rPr>
        <w:t>(2), 593–599. https://doi.org/10.3945/ajcn.113.080507</w:t>
      </w:r>
    </w:p>
    <w:p w14:paraId="006CFD7C"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Penailillo, R., Guajardo, A., Llanos, M., Hirsch, S., &amp; Ronco, A. M. (2015). Folic Acid Supplementation during Pregnancy Induces Sex-Specific Changes in Methylation and Expression of Placental 11β-Hydroxysteroid Dehydrogenase 2 in Rats. </w:t>
      </w:r>
      <w:r w:rsidRPr="00130EEF">
        <w:rPr>
          <w:i/>
          <w:iCs/>
          <w:noProof/>
          <w:color w:val="000000" w:themeColor="text1"/>
          <w:lang w:val="es-ES_tradnl"/>
        </w:rPr>
        <w:t>Plos One</w:t>
      </w:r>
      <w:r w:rsidRPr="00130EEF">
        <w:rPr>
          <w:noProof/>
          <w:color w:val="000000" w:themeColor="text1"/>
          <w:lang w:val="es-ES_tradnl"/>
        </w:rPr>
        <w:t xml:space="preserve">, </w:t>
      </w:r>
      <w:r w:rsidRPr="00130EEF">
        <w:rPr>
          <w:i/>
          <w:iCs/>
          <w:noProof/>
          <w:color w:val="000000" w:themeColor="text1"/>
          <w:lang w:val="es-ES_tradnl"/>
        </w:rPr>
        <w:t>10</w:t>
      </w:r>
      <w:r w:rsidRPr="00130EEF">
        <w:rPr>
          <w:noProof/>
          <w:color w:val="000000" w:themeColor="text1"/>
          <w:lang w:val="es-ES_tradnl"/>
        </w:rPr>
        <w:t>(3), e0121098. https://doi.org/10.1371/journal.pone.0121098</w:t>
      </w:r>
    </w:p>
    <w:p w14:paraId="704523F5"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Pfeiffer, C. M., Johnson, C. L., Jain, R. B., Yetley, E. A., Picciano, M. F., Rader, J. I., … Osterloh, J. D. (2007). Trends in blood folate and vitamin B-12 concentrations in the United States, 1988–2004. </w:t>
      </w:r>
      <w:r w:rsidRPr="00130EEF">
        <w:rPr>
          <w:i/>
          <w:iCs/>
          <w:noProof/>
          <w:color w:val="000000" w:themeColor="text1"/>
          <w:lang w:val="es-ES_tradnl"/>
        </w:rPr>
        <w:t>The American Journal of Clinical Nutrition</w:t>
      </w:r>
      <w:r w:rsidRPr="00130EEF">
        <w:rPr>
          <w:noProof/>
          <w:color w:val="000000" w:themeColor="text1"/>
          <w:lang w:val="es-ES_tradnl"/>
        </w:rPr>
        <w:t xml:space="preserve">, </w:t>
      </w:r>
      <w:r w:rsidRPr="00130EEF">
        <w:rPr>
          <w:i/>
          <w:iCs/>
          <w:noProof/>
          <w:color w:val="000000" w:themeColor="text1"/>
          <w:lang w:val="es-ES_tradnl"/>
        </w:rPr>
        <w:t>86</w:t>
      </w:r>
      <w:r w:rsidRPr="00130EEF">
        <w:rPr>
          <w:noProof/>
          <w:color w:val="000000" w:themeColor="text1"/>
          <w:lang w:val="es-ES_tradnl"/>
        </w:rPr>
        <w:t>(3), 718–727. https://doi.org/10.1093/ajcn/86.3.718</w:t>
      </w:r>
    </w:p>
    <w:p w14:paraId="27816AC3"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Pfeiffer, C. M., Sternberg, M. R., Fazili, Z., Yetley, E. A., Lacher, D. A., Bailey, R. L., &amp; Johnson, C. L. (2015). Unmetabolized folic acid is detected in nearly all serum samples from US children, adolescents, and adults. </w:t>
      </w:r>
      <w:r w:rsidRPr="00130EEF">
        <w:rPr>
          <w:i/>
          <w:iCs/>
          <w:noProof/>
          <w:color w:val="000000" w:themeColor="text1"/>
          <w:lang w:val="es-ES_tradnl"/>
        </w:rPr>
        <w:t>The Journal of Nutrition</w:t>
      </w:r>
      <w:r w:rsidRPr="00130EEF">
        <w:rPr>
          <w:noProof/>
          <w:color w:val="000000" w:themeColor="text1"/>
          <w:lang w:val="es-ES_tradnl"/>
        </w:rPr>
        <w:t xml:space="preserve">, </w:t>
      </w:r>
      <w:r w:rsidRPr="00130EEF">
        <w:rPr>
          <w:i/>
          <w:iCs/>
          <w:noProof/>
          <w:color w:val="000000" w:themeColor="text1"/>
          <w:lang w:val="es-ES_tradnl"/>
        </w:rPr>
        <w:t>145</w:t>
      </w:r>
      <w:r w:rsidRPr="00130EEF">
        <w:rPr>
          <w:noProof/>
          <w:color w:val="000000" w:themeColor="text1"/>
          <w:lang w:val="es-ES_tradnl"/>
        </w:rPr>
        <w:t>(3), 520–531. https://doi.org/10.3945/jn.114.201210</w:t>
      </w:r>
    </w:p>
    <w:p w14:paraId="2AE98A7D"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Pickell, L., Brown, K., Li, D., Wang, X.-L., Deng, L., Wu, Q., … Rozen, R. (2011). High intake of folic acid disrupts embryonic development in mice. </w:t>
      </w:r>
      <w:r w:rsidRPr="00130EEF">
        <w:rPr>
          <w:i/>
          <w:iCs/>
          <w:noProof/>
          <w:color w:val="000000" w:themeColor="text1"/>
          <w:lang w:val="es-ES_tradnl"/>
        </w:rPr>
        <w:t>Birth Defects Research</w:t>
      </w:r>
      <w:r w:rsidRPr="00130EEF">
        <w:rPr>
          <w:noProof/>
          <w:color w:val="000000" w:themeColor="text1"/>
          <w:lang w:val="es-ES_tradnl"/>
        </w:rPr>
        <w:t xml:space="preserve">, </w:t>
      </w:r>
      <w:r w:rsidRPr="00130EEF">
        <w:rPr>
          <w:i/>
          <w:iCs/>
          <w:noProof/>
          <w:color w:val="000000" w:themeColor="text1"/>
          <w:lang w:val="es-ES_tradnl"/>
        </w:rPr>
        <w:t>91</w:t>
      </w:r>
      <w:r w:rsidRPr="00130EEF">
        <w:rPr>
          <w:noProof/>
          <w:color w:val="000000" w:themeColor="text1"/>
          <w:lang w:val="es-ES_tradnl"/>
        </w:rPr>
        <w:t>(1), 8–19. https://doi.org/10.1002/bdra.20754</w:t>
      </w:r>
    </w:p>
    <w:p w14:paraId="5C72BA78"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Pitkin, R. M. (2007). Folate and neural tube defects. </w:t>
      </w:r>
      <w:r w:rsidRPr="00130EEF">
        <w:rPr>
          <w:i/>
          <w:iCs/>
          <w:noProof/>
          <w:color w:val="000000" w:themeColor="text1"/>
          <w:lang w:val="es-ES_tradnl"/>
        </w:rPr>
        <w:t>The American Journal of Clinical Nutrition</w:t>
      </w:r>
      <w:r w:rsidRPr="00130EEF">
        <w:rPr>
          <w:noProof/>
          <w:color w:val="000000" w:themeColor="text1"/>
          <w:lang w:val="es-ES_tradnl"/>
        </w:rPr>
        <w:t xml:space="preserve">, </w:t>
      </w:r>
      <w:r w:rsidRPr="00130EEF">
        <w:rPr>
          <w:i/>
          <w:iCs/>
          <w:noProof/>
          <w:color w:val="000000" w:themeColor="text1"/>
          <w:lang w:val="es-ES_tradnl"/>
        </w:rPr>
        <w:t>85</w:t>
      </w:r>
      <w:r w:rsidRPr="00130EEF">
        <w:rPr>
          <w:noProof/>
          <w:color w:val="000000" w:themeColor="text1"/>
          <w:lang w:val="es-ES_tradnl"/>
        </w:rPr>
        <w:t>(1), 285S-288S. https://doi.org/10.1093/ajcn/85.1.285S</w:t>
      </w:r>
    </w:p>
    <w:p w14:paraId="38687E5D"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Power, M. A., &amp; Tam, P. P. L. (1993). Onset of gastrulation, morphogenesis and somitogenesis in mouse embryos displaying compensatory growth. </w:t>
      </w:r>
      <w:r w:rsidRPr="00130EEF">
        <w:rPr>
          <w:i/>
          <w:iCs/>
          <w:noProof/>
          <w:color w:val="000000" w:themeColor="text1"/>
          <w:lang w:val="es-ES_tradnl"/>
        </w:rPr>
        <w:t>Anatomy and Embryology</w:t>
      </w:r>
      <w:r w:rsidRPr="00130EEF">
        <w:rPr>
          <w:noProof/>
          <w:color w:val="000000" w:themeColor="text1"/>
          <w:lang w:val="es-ES_tradnl"/>
        </w:rPr>
        <w:t xml:space="preserve">, </w:t>
      </w:r>
      <w:r w:rsidRPr="00130EEF">
        <w:rPr>
          <w:i/>
          <w:iCs/>
          <w:noProof/>
          <w:color w:val="000000" w:themeColor="text1"/>
          <w:lang w:val="es-ES_tradnl"/>
        </w:rPr>
        <w:t>187</w:t>
      </w:r>
      <w:r w:rsidRPr="00130EEF">
        <w:rPr>
          <w:noProof/>
          <w:color w:val="000000" w:themeColor="text1"/>
          <w:lang w:val="es-ES_tradnl"/>
        </w:rPr>
        <w:t>(5), 493–504. https://doi.org/10.1007/BF00174425</w:t>
      </w:r>
    </w:p>
    <w:p w14:paraId="1BC4776D"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Rahimi, S., Martel, J., Karahan, G., Angle, C., Behan, N. A., Chan, D., … Trasler, J. M. (2019). Moderate maternal folic acid supplementation ameliorates adverse embryonic and epigenetic outcomes associated with assisted reproduction in a mouse model. </w:t>
      </w:r>
      <w:r w:rsidRPr="00130EEF">
        <w:rPr>
          <w:i/>
          <w:iCs/>
          <w:noProof/>
          <w:color w:val="000000" w:themeColor="text1"/>
          <w:lang w:val="es-ES_tradnl"/>
        </w:rPr>
        <w:t>Human Reproduction</w:t>
      </w:r>
      <w:r w:rsidRPr="00130EEF">
        <w:rPr>
          <w:noProof/>
          <w:color w:val="000000" w:themeColor="text1"/>
          <w:lang w:val="es-ES_tradnl"/>
        </w:rPr>
        <w:t xml:space="preserve">, </w:t>
      </w:r>
      <w:r w:rsidRPr="00130EEF">
        <w:rPr>
          <w:i/>
          <w:iCs/>
          <w:noProof/>
          <w:color w:val="000000" w:themeColor="text1"/>
          <w:lang w:val="es-ES_tradnl"/>
        </w:rPr>
        <w:t>34</w:t>
      </w:r>
      <w:r w:rsidRPr="00130EEF">
        <w:rPr>
          <w:noProof/>
          <w:color w:val="000000" w:themeColor="text1"/>
          <w:lang w:val="es-ES_tradnl"/>
        </w:rPr>
        <w:t>(5), 851–862. https://doi.org/10.1093/humrep/dez036</w:t>
      </w:r>
    </w:p>
    <w:p w14:paraId="5B264891"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Ralston, A., &amp; Rossant, J. (2008). Cdx2 acts downstream of cell polarization to cell-autonomously promote trophectoderm fate in the early mouse embryo. </w:t>
      </w:r>
      <w:r w:rsidRPr="00130EEF">
        <w:rPr>
          <w:i/>
          <w:iCs/>
          <w:noProof/>
          <w:color w:val="000000" w:themeColor="text1"/>
          <w:lang w:val="es-ES_tradnl"/>
        </w:rPr>
        <w:t>Developmental Biology</w:t>
      </w:r>
      <w:r w:rsidRPr="00130EEF">
        <w:rPr>
          <w:noProof/>
          <w:color w:val="000000" w:themeColor="text1"/>
          <w:lang w:val="es-ES_tradnl"/>
        </w:rPr>
        <w:t xml:space="preserve">, </w:t>
      </w:r>
      <w:r w:rsidRPr="00130EEF">
        <w:rPr>
          <w:i/>
          <w:iCs/>
          <w:noProof/>
          <w:color w:val="000000" w:themeColor="text1"/>
          <w:lang w:val="es-ES_tradnl"/>
        </w:rPr>
        <w:t>313</w:t>
      </w:r>
      <w:r w:rsidRPr="00130EEF">
        <w:rPr>
          <w:noProof/>
          <w:color w:val="000000" w:themeColor="text1"/>
          <w:lang w:val="es-ES_tradnl"/>
        </w:rPr>
        <w:t>(2), 614–629. https://doi.org/10.1016/j.ydbio.2007.10.054</w:t>
      </w:r>
    </w:p>
    <w:p w14:paraId="66BAD6D0"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Reeves, P. G., Nielsen, F. H., &amp; Fahey, G. C. (1993). AIN-93 Purified Diets for Laboratory </w:t>
      </w:r>
      <w:r w:rsidRPr="00130EEF">
        <w:rPr>
          <w:noProof/>
          <w:color w:val="000000" w:themeColor="text1"/>
          <w:lang w:val="es-ES_tradnl"/>
        </w:rPr>
        <w:lastRenderedPageBreak/>
        <w:t xml:space="preserve">Rodents: Final Report of the American Institute of Nutrition Ad Hoc Writing Committee on the Reformulation of the AIN-76A Rodent Diet. </w:t>
      </w:r>
      <w:r w:rsidRPr="00130EEF">
        <w:rPr>
          <w:i/>
          <w:iCs/>
          <w:noProof/>
          <w:color w:val="000000" w:themeColor="text1"/>
          <w:lang w:val="es-ES_tradnl"/>
        </w:rPr>
        <w:t>The Journal of Nutrition</w:t>
      </w:r>
      <w:r w:rsidRPr="00130EEF">
        <w:rPr>
          <w:noProof/>
          <w:color w:val="000000" w:themeColor="text1"/>
          <w:lang w:val="es-ES_tradnl"/>
        </w:rPr>
        <w:t xml:space="preserve">, </w:t>
      </w:r>
      <w:r w:rsidRPr="00130EEF">
        <w:rPr>
          <w:i/>
          <w:iCs/>
          <w:noProof/>
          <w:color w:val="000000" w:themeColor="text1"/>
          <w:lang w:val="es-ES_tradnl"/>
        </w:rPr>
        <w:t>123</w:t>
      </w:r>
      <w:r w:rsidRPr="00130EEF">
        <w:rPr>
          <w:noProof/>
          <w:color w:val="000000" w:themeColor="text1"/>
          <w:lang w:val="es-ES_tradnl"/>
        </w:rPr>
        <w:t>(11), 1939–1951. https://doi.org/10.1093/jn/123.11.1939</w:t>
      </w:r>
    </w:p>
    <w:p w14:paraId="28CFD83C"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Schrode, N., Xenopoulos, P., Piliszek, A., Frankenberg, S., Plusa, B., &amp; Hadjantonakis, A.-K. (2013). Anatomy of a blastocyst: Cell behaviors driving cell fate choice and morphogenesis in the early mouse embryo. </w:t>
      </w:r>
      <w:r w:rsidRPr="00130EEF">
        <w:rPr>
          <w:i/>
          <w:iCs/>
          <w:noProof/>
          <w:color w:val="000000" w:themeColor="text1"/>
          <w:lang w:val="es-ES_tradnl"/>
        </w:rPr>
        <w:t>Genesis</w:t>
      </w:r>
      <w:r w:rsidRPr="00130EEF">
        <w:rPr>
          <w:noProof/>
          <w:color w:val="000000" w:themeColor="text1"/>
          <w:lang w:val="es-ES_tradnl"/>
        </w:rPr>
        <w:t xml:space="preserve">, </w:t>
      </w:r>
      <w:r w:rsidRPr="00130EEF">
        <w:rPr>
          <w:i/>
          <w:iCs/>
          <w:noProof/>
          <w:color w:val="000000" w:themeColor="text1"/>
          <w:lang w:val="es-ES_tradnl"/>
        </w:rPr>
        <w:t>51</w:t>
      </w:r>
      <w:r w:rsidRPr="00130EEF">
        <w:rPr>
          <w:noProof/>
          <w:color w:val="000000" w:themeColor="text1"/>
          <w:lang w:val="es-ES_tradnl"/>
        </w:rPr>
        <w:t>(4), 219–233. https://doi.org/10.1002/dvg.22368</w:t>
      </w:r>
    </w:p>
    <w:p w14:paraId="48A73423"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Smithells, R. W., Sheppard, S., Schorah, C. J., Seller, M. J., Nevin, N. C., Harris, R., … Fielding, D. W. (1980). Possible prevention of neural-tube defects by periconceptional vitamin supplementation. </w:t>
      </w:r>
      <w:r w:rsidRPr="00130EEF">
        <w:rPr>
          <w:i/>
          <w:iCs/>
          <w:noProof/>
          <w:color w:val="000000" w:themeColor="text1"/>
          <w:lang w:val="es-ES_tradnl"/>
        </w:rPr>
        <w:t>The Lancet</w:t>
      </w:r>
      <w:r w:rsidRPr="00130EEF">
        <w:rPr>
          <w:noProof/>
          <w:color w:val="000000" w:themeColor="text1"/>
          <w:lang w:val="es-ES_tradnl"/>
        </w:rPr>
        <w:t xml:space="preserve">, </w:t>
      </w:r>
      <w:r w:rsidRPr="00130EEF">
        <w:rPr>
          <w:i/>
          <w:iCs/>
          <w:noProof/>
          <w:color w:val="000000" w:themeColor="text1"/>
          <w:lang w:val="es-ES_tradnl"/>
        </w:rPr>
        <w:t>315</w:t>
      </w:r>
      <w:r w:rsidRPr="00130EEF">
        <w:rPr>
          <w:noProof/>
          <w:color w:val="000000" w:themeColor="text1"/>
          <w:lang w:val="es-ES_tradnl"/>
        </w:rPr>
        <w:t>(8164), 339–340. https://doi.org/10.1016/S0140-6736(80)90886-7</w:t>
      </w:r>
    </w:p>
    <w:p w14:paraId="51880159"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Stanley, L. A., Copp, A. J., Pope, J., Rolls, S., Smelt, V., Perry, V. H., &amp; Sim, E. (1998). Immunochemical detection of arylamine N-acetyltransferase during mouse embryonic development and in adult mouse brain. </w:t>
      </w:r>
      <w:r w:rsidRPr="00130EEF">
        <w:rPr>
          <w:i/>
          <w:iCs/>
          <w:noProof/>
          <w:color w:val="000000" w:themeColor="text1"/>
          <w:lang w:val="es-ES_tradnl"/>
        </w:rPr>
        <w:t>Teratology</w:t>
      </w:r>
      <w:r w:rsidRPr="00130EEF">
        <w:rPr>
          <w:noProof/>
          <w:color w:val="000000" w:themeColor="text1"/>
          <w:lang w:val="es-ES_tradnl"/>
        </w:rPr>
        <w:t xml:space="preserve">, </w:t>
      </w:r>
      <w:r w:rsidRPr="00130EEF">
        <w:rPr>
          <w:i/>
          <w:iCs/>
          <w:noProof/>
          <w:color w:val="000000" w:themeColor="text1"/>
          <w:lang w:val="es-ES_tradnl"/>
        </w:rPr>
        <w:t>58</w:t>
      </w:r>
      <w:r w:rsidRPr="00130EEF">
        <w:rPr>
          <w:noProof/>
          <w:color w:val="000000" w:themeColor="text1"/>
          <w:lang w:val="es-ES_tradnl"/>
        </w:rPr>
        <w:t>(5), 174–182. https://doi.org/10.1002/(SICI)1096-9926(199811)58:5&lt;174::AID-TERA3&gt;3.0.CO;2-Q</w:t>
      </w:r>
    </w:p>
    <w:p w14:paraId="69A89CFB"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Strumpf, D., Mao, C.-A., Yamanaka, Y., Ralston, A., Chawengsaksophak, K., Beck, F., &amp; Rossant, J. (2005). Cdx2 is required for correct cell fate specification and differentiation of trophectoderm in the mouse blastocyst. </w:t>
      </w:r>
      <w:r w:rsidRPr="00130EEF">
        <w:rPr>
          <w:i/>
          <w:iCs/>
          <w:noProof/>
          <w:color w:val="000000" w:themeColor="text1"/>
          <w:lang w:val="es-ES_tradnl"/>
        </w:rPr>
        <w:t>Development</w:t>
      </w:r>
      <w:r w:rsidRPr="00130EEF">
        <w:rPr>
          <w:noProof/>
          <w:color w:val="000000" w:themeColor="text1"/>
          <w:lang w:val="es-ES_tradnl"/>
        </w:rPr>
        <w:t xml:space="preserve">, </w:t>
      </w:r>
      <w:r w:rsidRPr="00130EEF">
        <w:rPr>
          <w:i/>
          <w:iCs/>
          <w:noProof/>
          <w:color w:val="000000" w:themeColor="text1"/>
          <w:lang w:val="es-ES_tradnl"/>
        </w:rPr>
        <w:t>132</w:t>
      </w:r>
      <w:r w:rsidRPr="00130EEF">
        <w:rPr>
          <w:noProof/>
          <w:color w:val="000000" w:themeColor="text1"/>
          <w:lang w:val="es-ES_tradnl"/>
        </w:rPr>
        <w:t>(9), 2093–2102. https://doi.org/10.1242/dev.01801</w:t>
      </w:r>
    </w:p>
    <w:p w14:paraId="049B275F"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Suh, J. R., Herbig, A. K., &amp; Stover, P. J. (2001). New Perspectives on Folate Catabolism. </w:t>
      </w:r>
      <w:r w:rsidRPr="00130EEF">
        <w:rPr>
          <w:i/>
          <w:iCs/>
          <w:noProof/>
          <w:color w:val="000000" w:themeColor="text1"/>
          <w:lang w:val="es-ES_tradnl"/>
        </w:rPr>
        <w:t>Annual Review of Nutrition</w:t>
      </w:r>
      <w:r w:rsidRPr="00130EEF">
        <w:rPr>
          <w:noProof/>
          <w:color w:val="000000" w:themeColor="text1"/>
          <w:lang w:val="es-ES_tradnl"/>
        </w:rPr>
        <w:t xml:space="preserve">, </w:t>
      </w:r>
      <w:r w:rsidRPr="00130EEF">
        <w:rPr>
          <w:i/>
          <w:iCs/>
          <w:noProof/>
          <w:color w:val="000000" w:themeColor="text1"/>
          <w:lang w:val="es-ES_tradnl"/>
        </w:rPr>
        <w:t>21</w:t>
      </w:r>
      <w:r w:rsidRPr="00130EEF">
        <w:rPr>
          <w:noProof/>
          <w:color w:val="000000" w:themeColor="text1"/>
          <w:lang w:val="es-ES_tradnl"/>
        </w:rPr>
        <w:t>(1), 255–282. https://doi.org/10.1146/annurev.nutr.21.1.255</w:t>
      </w:r>
    </w:p>
    <w:p w14:paraId="4F42275A"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Sun, C., Denisenko, O., Sheth, B., Cox, A., Lucas, E. S., Smyth, N. R., &amp; Fleming, T. P. (2015). Epigenetic regulation of histone modifications and Gata6 gene expression induced by maternal diet in mouse embryoid bodies in a model of developmental programming. </w:t>
      </w:r>
      <w:r w:rsidRPr="00130EEF">
        <w:rPr>
          <w:i/>
          <w:iCs/>
          <w:noProof/>
          <w:color w:val="000000" w:themeColor="text1"/>
          <w:lang w:val="es-ES_tradnl"/>
        </w:rPr>
        <w:t>BMC Developmental Biology</w:t>
      </w:r>
      <w:r w:rsidRPr="00130EEF">
        <w:rPr>
          <w:noProof/>
          <w:color w:val="000000" w:themeColor="text1"/>
          <w:lang w:val="es-ES_tradnl"/>
        </w:rPr>
        <w:t xml:space="preserve">, </w:t>
      </w:r>
      <w:r w:rsidRPr="00130EEF">
        <w:rPr>
          <w:i/>
          <w:iCs/>
          <w:noProof/>
          <w:color w:val="000000" w:themeColor="text1"/>
          <w:lang w:val="es-ES_tradnl"/>
        </w:rPr>
        <w:t>15</w:t>
      </w:r>
      <w:r w:rsidRPr="00130EEF">
        <w:rPr>
          <w:noProof/>
          <w:color w:val="000000" w:themeColor="text1"/>
          <w:lang w:val="es-ES_tradnl"/>
        </w:rPr>
        <w:t>(1), 3. https://doi.org/10.1186/s12861-015-0053-1</w:t>
      </w:r>
    </w:p>
    <w:p w14:paraId="37EC783E"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Surani, M. A., Hayashi, K., &amp; Hajkova, P. (2007). Genetic and Epigenetic Regulators of Pluripotency. </w:t>
      </w:r>
      <w:r w:rsidRPr="00130EEF">
        <w:rPr>
          <w:i/>
          <w:iCs/>
          <w:noProof/>
          <w:color w:val="000000" w:themeColor="text1"/>
          <w:lang w:val="es-ES_tradnl"/>
        </w:rPr>
        <w:t>Cell</w:t>
      </w:r>
      <w:r w:rsidRPr="00130EEF">
        <w:rPr>
          <w:noProof/>
          <w:color w:val="000000" w:themeColor="text1"/>
          <w:lang w:val="es-ES_tradnl"/>
        </w:rPr>
        <w:t xml:space="preserve">, </w:t>
      </w:r>
      <w:r w:rsidRPr="00130EEF">
        <w:rPr>
          <w:i/>
          <w:iCs/>
          <w:noProof/>
          <w:color w:val="000000" w:themeColor="text1"/>
          <w:lang w:val="es-ES_tradnl"/>
        </w:rPr>
        <w:t>128</w:t>
      </w:r>
      <w:r w:rsidRPr="00130EEF">
        <w:rPr>
          <w:noProof/>
          <w:color w:val="000000" w:themeColor="text1"/>
          <w:lang w:val="es-ES_tradnl"/>
        </w:rPr>
        <w:t>, 747–762. https://doi.org/10.1016/j.cell.2007.02.010</w:t>
      </w:r>
    </w:p>
    <w:p w14:paraId="05CDC67B"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Tam, C., O’Connor, D., &amp; Koren, G. (2012). Circulating Unmetabolized Folic Acid: Relationship to Folate Status and Effect of Supplementation. </w:t>
      </w:r>
      <w:r w:rsidRPr="00130EEF">
        <w:rPr>
          <w:i/>
          <w:iCs/>
          <w:noProof/>
          <w:color w:val="000000" w:themeColor="text1"/>
          <w:lang w:val="es-ES_tradnl"/>
        </w:rPr>
        <w:t>Obstetrics and Gynecology International</w:t>
      </w:r>
      <w:r w:rsidRPr="00130EEF">
        <w:rPr>
          <w:noProof/>
          <w:color w:val="000000" w:themeColor="text1"/>
          <w:lang w:val="es-ES_tradnl"/>
        </w:rPr>
        <w:t xml:space="preserve">, </w:t>
      </w:r>
      <w:r w:rsidRPr="00130EEF">
        <w:rPr>
          <w:i/>
          <w:iCs/>
          <w:noProof/>
          <w:color w:val="000000" w:themeColor="text1"/>
          <w:lang w:val="es-ES_tradnl"/>
        </w:rPr>
        <w:t>2012</w:t>
      </w:r>
      <w:r w:rsidRPr="00130EEF">
        <w:rPr>
          <w:noProof/>
          <w:color w:val="000000" w:themeColor="text1"/>
          <w:lang w:val="es-ES_tradnl"/>
        </w:rPr>
        <w:t>, 1–17. https://doi.org/10.1155/2012/485179</w:t>
      </w:r>
    </w:p>
    <w:p w14:paraId="42441C00"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Tarrade, A., Rousseau-Ralliard, D., Aubrière, M.-C., Peynot, N., Dahirel, M., Bertrand-Michel, J., … Chavatte-Palmer, P. (2013). Sexual Dimorphism of the Feto-Placental Phenotype in Response to a High Fat and Control Maternal Diets in a Rabbit Model. </w:t>
      </w:r>
      <w:r w:rsidRPr="00130EEF">
        <w:rPr>
          <w:i/>
          <w:iCs/>
          <w:noProof/>
          <w:color w:val="000000" w:themeColor="text1"/>
          <w:lang w:val="es-ES_tradnl"/>
        </w:rPr>
        <w:t>PLoS ONE</w:t>
      </w:r>
      <w:r w:rsidRPr="00130EEF">
        <w:rPr>
          <w:noProof/>
          <w:color w:val="000000" w:themeColor="text1"/>
          <w:lang w:val="es-ES_tradnl"/>
        </w:rPr>
        <w:t xml:space="preserve">, </w:t>
      </w:r>
      <w:r w:rsidRPr="00130EEF">
        <w:rPr>
          <w:i/>
          <w:iCs/>
          <w:noProof/>
          <w:color w:val="000000" w:themeColor="text1"/>
          <w:lang w:val="es-ES_tradnl"/>
        </w:rPr>
        <w:t>8</w:t>
      </w:r>
      <w:r w:rsidRPr="00130EEF">
        <w:rPr>
          <w:noProof/>
          <w:color w:val="000000" w:themeColor="text1"/>
          <w:lang w:val="es-ES_tradnl"/>
        </w:rPr>
        <w:t>(12), e83458. https://doi.org/10.1371/journal.pone.0083458</w:t>
      </w:r>
    </w:p>
    <w:p w14:paraId="49F2F222"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Vandesompele, J., De Preter, K., Pattyn,  ilip, Poppe, B., Van Roy, N., De Paepe, A., &amp; Speleman,  rank. (2002). Accurate normalization of real-time quantitative RT-PCR data by geometric averaging of multiple internal control genes. </w:t>
      </w:r>
      <w:r w:rsidRPr="00130EEF">
        <w:rPr>
          <w:i/>
          <w:iCs/>
          <w:noProof/>
          <w:color w:val="000000" w:themeColor="text1"/>
          <w:lang w:val="es-ES_tradnl"/>
        </w:rPr>
        <w:t>Genome Biology</w:t>
      </w:r>
      <w:r w:rsidRPr="00130EEF">
        <w:rPr>
          <w:noProof/>
          <w:color w:val="000000" w:themeColor="text1"/>
          <w:lang w:val="es-ES_tradnl"/>
        </w:rPr>
        <w:t xml:space="preserve">, </w:t>
      </w:r>
      <w:r w:rsidRPr="00130EEF">
        <w:rPr>
          <w:i/>
          <w:iCs/>
          <w:noProof/>
          <w:color w:val="000000" w:themeColor="text1"/>
          <w:lang w:val="es-ES_tradnl"/>
        </w:rPr>
        <w:t>3</w:t>
      </w:r>
      <w:r w:rsidRPr="00130EEF">
        <w:rPr>
          <w:noProof/>
          <w:color w:val="000000" w:themeColor="text1"/>
          <w:lang w:val="es-ES_tradnl"/>
        </w:rPr>
        <w:t>(711), 34–1. https://doi.org/10.1186/gb-2002-3-7-research0034</w:t>
      </w:r>
    </w:p>
    <w:p w14:paraId="083FDCCB"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Velazquez, M. A., Hermann, D., Kues, W. A., &amp; Niemann, H. (2011). Increased apoptosis in bovine blastocysts exposed to high levels of IGF1 is not associated with downregulation of the IGF1 receptor. </w:t>
      </w:r>
      <w:r w:rsidRPr="00130EEF">
        <w:rPr>
          <w:i/>
          <w:iCs/>
          <w:noProof/>
          <w:color w:val="000000" w:themeColor="text1"/>
          <w:lang w:val="es-ES_tradnl"/>
        </w:rPr>
        <w:t>REPRODUCTION</w:t>
      </w:r>
      <w:r w:rsidRPr="00130EEF">
        <w:rPr>
          <w:noProof/>
          <w:color w:val="000000" w:themeColor="text1"/>
          <w:lang w:val="es-ES_tradnl"/>
        </w:rPr>
        <w:t xml:space="preserve">, </w:t>
      </w:r>
      <w:r w:rsidRPr="00130EEF">
        <w:rPr>
          <w:i/>
          <w:iCs/>
          <w:noProof/>
          <w:color w:val="000000" w:themeColor="text1"/>
          <w:lang w:val="es-ES_tradnl"/>
        </w:rPr>
        <w:t>141</w:t>
      </w:r>
      <w:r w:rsidRPr="00130EEF">
        <w:rPr>
          <w:noProof/>
          <w:color w:val="000000" w:themeColor="text1"/>
          <w:lang w:val="es-ES_tradnl"/>
        </w:rPr>
        <w:t>(1), 91–103. https://doi.org/10.1530/REP-10-0336</w:t>
      </w:r>
    </w:p>
    <w:p w14:paraId="15061471"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Velazquez, M. A., Smith, C. G. C., Smyth, N. R., Osmond, C., &amp; Fleming, T. P. (2016). Advanced maternal age causes adverse programming of mouse blastocysts leading to altered growth and impaired cardiometabolic health in post-natal life. </w:t>
      </w:r>
      <w:r w:rsidRPr="00130EEF">
        <w:rPr>
          <w:i/>
          <w:iCs/>
          <w:noProof/>
          <w:color w:val="000000" w:themeColor="text1"/>
          <w:lang w:val="es-ES_tradnl"/>
        </w:rPr>
        <w:t>Human Reproduction</w:t>
      </w:r>
      <w:r w:rsidRPr="00130EEF">
        <w:rPr>
          <w:noProof/>
          <w:color w:val="000000" w:themeColor="text1"/>
          <w:lang w:val="es-ES_tradnl"/>
        </w:rPr>
        <w:t xml:space="preserve">, </w:t>
      </w:r>
      <w:r w:rsidRPr="00130EEF">
        <w:rPr>
          <w:i/>
          <w:iCs/>
          <w:noProof/>
          <w:color w:val="000000" w:themeColor="text1"/>
          <w:lang w:val="es-ES_tradnl"/>
        </w:rPr>
        <w:t>31</w:t>
      </w:r>
      <w:r w:rsidRPr="00130EEF">
        <w:rPr>
          <w:noProof/>
          <w:color w:val="000000" w:themeColor="text1"/>
          <w:lang w:val="es-ES_tradnl"/>
        </w:rPr>
        <w:t>(9), 1970–1980. https://doi.org/10.1093/humrep/dew177</w:t>
      </w:r>
    </w:p>
    <w:p w14:paraId="254AEB79"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Velazquez, Miguel A., Sheth, B., Smith, S. J., Eckert, J. J., Osmond, C., &amp; Fleming, T. P. (2018). Insulin and branched-chain amino acid depletion during mouse preimplantation </w:t>
      </w:r>
      <w:r w:rsidRPr="00130EEF">
        <w:rPr>
          <w:noProof/>
          <w:color w:val="000000" w:themeColor="text1"/>
          <w:lang w:val="es-ES_tradnl"/>
        </w:rPr>
        <w:lastRenderedPageBreak/>
        <w:t xml:space="preserve">embryo culture programmes body weight gain and raised blood pressure during early postnatal life. </w:t>
      </w:r>
      <w:r w:rsidRPr="00130EEF">
        <w:rPr>
          <w:i/>
          <w:iCs/>
          <w:noProof/>
          <w:color w:val="000000" w:themeColor="text1"/>
          <w:lang w:val="es-ES_tradnl"/>
        </w:rPr>
        <w:t>Biochimica et Biophysica Acta - Molecular Basis of Disease</w:t>
      </w:r>
      <w:r w:rsidRPr="00130EEF">
        <w:rPr>
          <w:noProof/>
          <w:color w:val="000000" w:themeColor="text1"/>
          <w:lang w:val="es-ES_tradnl"/>
        </w:rPr>
        <w:t xml:space="preserve">, </w:t>
      </w:r>
      <w:r w:rsidRPr="00130EEF">
        <w:rPr>
          <w:i/>
          <w:iCs/>
          <w:noProof/>
          <w:color w:val="000000" w:themeColor="text1"/>
          <w:lang w:val="es-ES_tradnl"/>
        </w:rPr>
        <w:t>1864</w:t>
      </w:r>
      <w:r w:rsidRPr="00130EEF">
        <w:rPr>
          <w:noProof/>
          <w:color w:val="000000" w:themeColor="text1"/>
          <w:lang w:val="es-ES_tradnl"/>
        </w:rPr>
        <w:t>(2), 590–600. https://doi.org/10.1016/j.bbadis.2017.11.020</w:t>
      </w:r>
    </w:p>
    <w:p w14:paraId="4638522E"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Walker, E., Chang, W. Y., Hunkapiller, J., Cagney, G., Garcha, K., Torchia, J., … Stanford, W. L. (2010). Polycomb-like 2 Associates with PRC2 and Regulates Transcriptional Networks during Mouse Embryonic Stem Cell Self-Renewal and Differentiation. </w:t>
      </w:r>
      <w:r w:rsidRPr="00130EEF">
        <w:rPr>
          <w:i/>
          <w:iCs/>
          <w:noProof/>
          <w:color w:val="000000" w:themeColor="text1"/>
          <w:lang w:val="es-ES_tradnl"/>
        </w:rPr>
        <w:t>Cell Stem Cell</w:t>
      </w:r>
      <w:r w:rsidRPr="00130EEF">
        <w:rPr>
          <w:noProof/>
          <w:color w:val="000000" w:themeColor="text1"/>
          <w:lang w:val="es-ES_tradnl"/>
        </w:rPr>
        <w:t xml:space="preserve">, </w:t>
      </w:r>
      <w:r w:rsidRPr="00130EEF">
        <w:rPr>
          <w:i/>
          <w:iCs/>
          <w:noProof/>
          <w:color w:val="000000" w:themeColor="text1"/>
          <w:lang w:val="es-ES_tradnl"/>
        </w:rPr>
        <w:t>6</w:t>
      </w:r>
      <w:r w:rsidRPr="00130EEF">
        <w:rPr>
          <w:noProof/>
          <w:color w:val="000000" w:themeColor="text1"/>
          <w:lang w:val="es-ES_tradnl"/>
        </w:rPr>
        <w:t>(2), 153–166. https://doi.org/10.1016/j.stem.2009.12.014</w:t>
      </w:r>
    </w:p>
    <w:p w14:paraId="79B584A7"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Watkins, A. J., Lucas, E. S., Torrens, C., Cleal, J. K., Green, L., Osmond, C., … Fleming, T. P. (2010). Maternal low-protein diet during mouse pre-implantation development induces vascular dysfunction and altered renin–angiotensin-system homeostasis in the offspring. </w:t>
      </w:r>
      <w:r w:rsidRPr="00130EEF">
        <w:rPr>
          <w:i/>
          <w:iCs/>
          <w:noProof/>
          <w:color w:val="000000" w:themeColor="text1"/>
          <w:lang w:val="es-ES_tradnl"/>
        </w:rPr>
        <w:t>British Journal of Nutrition</w:t>
      </w:r>
      <w:r w:rsidRPr="00130EEF">
        <w:rPr>
          <w:noProof/>
          <w:color w:val="000000" w:themeColor="text1"/>
          <w:lang w:val="es-ES_tradnl"/>
        </w:rPr>
        <w:t xml:space="preserve">, </w:t>
      </w:r>
      <w:r w:rsidRPr="00130EEF">
        <w:rPr>
          <w:i/>
          <w:iCs/>
          <w:noProof/>
          <w:color w:val="000000" w:themeColor="text1"/>
          <w:lang w:val="es-ES_tradnl"/>
        </w:rPr>
        <w:t>103</w:t>
      </w:r>
      <w:r w:rsidRPr="00130EEF">
        <w:rPr>
          <w:noProof/>
          <w:color w:val="000000" w:themeColor="text1"/>
          <w:lang w:val="es-ES_tradnl"/>
        </w:rPr>
        <w:t>(12), 1762–1770. https://doi.org/10.1017/S0007114509993783</w:t>
      </w:r>
    </w:p>
    <w:p w14:paraId="43AEE19F"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Watkins, A. J., Lucas, E. S., Wilkins, A., Cagampang, F. R. a, &amp; Fleming, T. P. (2011). Maternal Periconceptional and Gestational Low Protein Diet Affects Mouse Offspring Growth, Cardiovascular and Adipose Phenotype at 1 Year of Age. </w:t>
      </w:r>
      <w:r w:rsidRPr="00130EEF">
        <w:rPr>
          <w:i/>
          <w:iCs/>
          <w:noProof/>
          <w:color w:val="000000" w:themeColor="text1"/>
          <w:lang w:val="es-ES_tradnl"/>
        </w:rPr>
        <w:t>PLoS ONE</w:t>
      </w:r>
      <w:r w:rsidRPr="00130EEF">
        <w:rPr>
          <w:noProof/>
          <w:color w:val="000000" w:themeColor="text1"/>
          <w:lang w:val="es-ES_tradnl"/>
        </w:rPr>
        <w:t xml:space="preserve">, </w:t>
      </w:r>
      <w:r w:rsidRPr="00130EEF">
        <w:rPr>
          <w:i/>
          <w:iCs/>
          <w:noProof/>
          <w:color w:val="000000" w:themeColor="text1"/>
          <w:lang w:val="es-ES_tradnl"/>
        </w:rPr>
        <w:t>6</w:t>
      </w:r>
      <w:r w:rsidRPr="00130EEF">
        <w:rPr>
          <w:noProof/>
          <w:color w:val="000000" w:themeColor="text1"/>
          <w:lang w:val="es-ES_tradnl"/>
        </w:rPr>
        <w:t>(12), e28745. https://doi.org/10.1371/journal.pone.0028745</w:t>
      </w:r>
    </w:p>
    <w:p w14:paraId="27125A6B"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Watkins, A. J., Platt, D., Papenbrock, T., Wilkins, A., Eckert, J. J., Kwong, W. Y., … Fleming, T. P. (2007). Mouse embryo culture induces changes in postnatal phenotype including raised systolic blood pressure. </w:t>
      </w:r>
      <w:r w:rsidRPr="00130EEF">
        <w:rPr>
          <w:i/>
          <w:iCs/>
          <w:noProof/>
          <w:color w:val="000000" w:themeColor="text1"/>
          <w:lang w:val="es-ES_tradnl"/>
        </w:rPr>
        <w:t>Proceedings of the National Academy of Sciences</w:t>
      </w:r>
      <w:r w:rsidRPr="00130EEF">
        <w:rPr>
          <w:noProof/>
          <w:color w:val="000000" w:themeColor="text1"/>
          <w:lang w:val="es-ES_tradnl"/>
        </w:rPr>
        <w:t xml:space="preserve">, </w:t>
      </w:r>
      <w:r w:rsidRPr="00130EEF">
        <w:rPr>
          <w:i/>
          <w:iCs/>
          <w:noProof/>
          <w:color w:val="000000" w:themeColor="text1"/>
          <w:lang w:val="es-ES_tradnl"/>
        </w:rPr>
        <w:t>104</w:t>
      </w:r>
      <w:r w:rsidRPr="00130EEF">
        <w:rPr>
          <w:noProof/>
          <w:color w:val="000000" w:themeColor="text1"/>
          <w:lang w:val="es-ES_tradnl"/>
        </w:rPr>
        <w:t>(13), 5449–5454. https://doi.org/10.1073/pnas.0610317104</w:t>
      </w:r>
    </w:p>
    <w:p w14:paraId="0623838E"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Watkins, A. J., Sirovica, S., Stokes, B., Isaacs, M., Addison, O., &amp; Martin, R. A. (2017). Paternal low protein diet programs preimplantation embryo gene expression, fetal growth and skeletal development in mice. </w:t>
      </w:r>
      <w:r w:rsidRPr="00130EEF">
        <w:rPr>
          <w:i/>
          <w:iCs/>
          <w:noProof/>
          <w:color w:val="000000" w:themeColor="text1"/>
          <w:lang w:val="es-ES_tradnl"/>
        </w:rPr>
        <w:t>Biochimica et Biophysica Acta - Molecular Basis of Disease</w:t>
      </w:r>
      <w:r w:rsidRPr="00130EEF">
        <w:rPr>
          <w:noProof/>
          <w:color w:val="000000" w:themeColor="text1"/>
          <w:lang w:val="es-ES_tradnl"/>
        </w:rPr>
        <w:t xml:space="preserve">, </w:t>
      </w:r>
      <w:r w:rsidRPr="00130EEF">
        <w:rPr>
          <w:i/>
          <w:iCs/>
          <w:noProof/>
          <w:color w:val="000000" w:themeColor="text1"/>
          <w:lang w:val="es-ES_tradnl"/>
        </w:rPr>
        <w:t>1863</w:t>
      </w:r>
      <w:r w:rsidRPr="00130EEF">
        <w:rPr>
          <w:noProof/>
          <w:color w:val="000000" w:themeColor="text1"/>
          <w:lang w:val="es-ES_tradnl"/>
        </w:rPr>
        <w:t>(6), 1371–1381. https://doi.org/10.1016/j.bbadis.2017.02.009</w:t>
      </w:r>
    </w:p>
    <w:p w14:paraId="1B7A9968"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Watkins, A. J., Ursell, E., Panton, R., Papenbrock, T., Hollis, L., Cunningham, C., … Fleming, T. P. (2008). Adaptive Responses by Mouse Early Embryos to Maternal Diet Protect Fetal Growth but Predispose to Adult Onset Disease1. </w:t>
      </w:r>
      <w:r w:rsidRPr="00130EEF">
        <w:rPr>
          <w:i/>
          <w:iCs/>
          <w:noProof/>
          <w:color w:val="000000" w:themeColor="text1"/>
          <w:lang w:val="es-ES_tradnl"/>
        </w:rPr>
        <w:t>Biology of Reproduction</w:t>
      </w:r>
      <w:r w:rsidRPr="00130EEF">
        <w:rPr>
          <w:noProof/>
          <w:color w:val="000000" w:themeColor="text1"/>
          <w:lang w:val="es-ES_tradnl"/>
        </w:rPr>
        <w:t xml:space="preserve">, </w:t>
      </w:r>
      <w:r w:rsidRPr="00130EEF">
        <w:rPr>
          <w:i/>
          <w:iCs/>
          <w:noProof/>
          <w:color w:val="000000" w:themeColor="text1"/>
          <w:lang w:val="es-ES_tradnl"/>
        </w:rPr>
        <w:t>78</w:t>
      </w:r>
      <w:r w:rsidRPr="00130EEF">
        <w:rPr>
          <w:noProof/>
          <w:color w:val="000000" w:themeColor="text1"/>
          <w:lang w:val="es-ES_tradnl"/>
        </w:rPr>
        <w:t>(2), 299–306. https://doi.org/10.1095/biolreprod.107.064220</w:t>
      </w:r>
    </w:p>
    <w:p w14:paraId="495BF4CF"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Watkins, A. J., Wilkins, A., Cunningham, C., Perry, V. H., Seet, M. J., Osmond, C., … Fleming, T. P. (2008). Low protein diet fed exclusively during mouse oocyte maturation leads to behavioural and cardiovascular abnormalities in offspring. </w:t>
      </w:r>
      <w:r w:rsidRPr="00130EEF">
        <w:rPr>
          <w:i/>
          <w:iCs/>
          <w:noProof/>
          <w:color w:val="000000" w:themeColor="text1"/>
          <w:lang w:val="es-ES_tradnl"/>
        </w:rPr>
        <w:t>The Journal of Physiology</w:t>
      </w:r>
      <w:r w:rsidRPr="00130EEF">
        <w:rPr>
          <w:noProof/>
          <w:color w:val="000000" w:themeColor="text1"/>
          <w:lang w:val="es-ES_tradnl"/>
        </w:rPr>
        <w:t xml:space="preserve">, </w:t>
      </w:r>
      <w:r w:rsidRPr="00130EEF">
        <w:rPr>
          <w:i/>
          <w:iCs/>
          <w:noProof/>
          <w:color w:val="000000" w:themeColor="text1"/>
          <w:lang w:val="es-ES_tradnl"/>
        </w:rPr>
        <w:t>586</w:t>
      </w:r>
      <w:r w:rsidRPr="00130EEF">
        <w:rPr>
          <w:noProof/>
          <w:color w:val="000000" w:themeColor="text1"/>
          <w:lang w:val="es-ES_tradnl"/>
        </w:rPr>
        <w:t>(8), 2231–2244. https://doi.org/10.1113/jphysiol.2007.149229</w:t>
      </w:r>
    </w:p>
    <w:p w14:paraId="67CB94B8"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Williams, C. L., Teeling, J. L., Perry, V. H., &amp; Fleming, T. P. (2011). Mouse maternal systemic inflammation at the zygote stage causes blunted cytokine responsiveness in lipopolysaccharide-challenged adult offspring. </w:t>
      </w:r>
      <w:r w:rsidRPr="00130EEF">
        <w:rPr>
          <w:i/>
          <w:iCs/>
          <w:noProof/>
          <w:color w:val="000000" w:themeColor="text1"/>
          <w:lang w:val="es-ES_tradnl"/>
        </w:rPr>
        <w:t>BMC Biology</w:t>
      </w:r>
      <w:r w:rsidRPr="00130EEF">
        <w:rPr>
          <w:noProof/>
          <w:color w:val="000000" w:themeColor="text1"/>
          <w:lang w:val="es-ES_tradnl"/>
        </w:rPr>
        <w:t xml:space="preserve">, </w:t>
      </w:r>
      <w:r w:rsidRPr="00130EEF">
        <w:rPr>
          <w:i/>
          <w:iCs/>
          <w:noProof/>
          <w:color w:val="000000" w:themeColor="text1"/>
          <w:lang w:val="es-ES_tradnl"/>
        </w:rPr>
        <w:t>9</w:t>
      </w:r>
      <w:r w:rsidRPr="00130EEF">
        <w:rPr>
          <w:noProof/>
          <w:color w:val="000000" w:themeColor="text1"/>
          <w:lang w:val="es-ES_tradnl"/>
        </w:rPr>
        <w:t>(1), 49. https://doi.org/10.1186/1741-7007-9-49</w:t>
      </w:r>
    </w:p>
    <w:p w14:paraId="081549CA"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Williams, P. J., Bulmer, J. N., Innes, B. a, &amp; Broughton Pipkin, F. (2011). Possible roles for folic acid in the regulation of trophoblast invasion and placental development in normal early human pregnancy. </w:t>
      </w:r>
      <w:r w:rsidRPr="00130EEF">
        <w:rPr>
          <w:i/>
          <w:iCs/>
          <w:noProof/>
          <w:color w:val="000000" w:themeColor="text1"/>
          <w:lang w:val="es-ES_tradnl"/>
        </w:rPr>
        <w:t>Biology of Reproduction</w:t>
      </w:r>
      <w:r w:rsidRPr="00130EEF">
        <w:rPr>
          <w:noProof/>
          <w:color w:val="000000" w:themeColor="text1"/>
          <w:lang w:val="es-ES_tradnl"/>
        </w:rPr>
        <w:t xml:space="preserve">, </w:t>
      </w:r>
      <w:r w:rsidRPr="00130EEF">
        <w:rPr>
          <w:i/>
          <w:iCs/>
          <w:noProof/>
          <w:color w:val="000000" w:themeColor="text1"/>
          <w:lang w:val="es-ES_tradnl"/>
        </w:rPr>
        <w:t>84</w:t>
      </w:r>
      <w:r w:rsidRPr="00130EEF">
        <w:rPr>
          <w:noProof/>
          <w:color w:val="000000" w:themeColor="text1"/>
          <w:lang w:val="es-ES_tradnl"/>
        </w:rPr>
        <w:t>(6), 1148–1153. https://doi.org/10.1095/biolreprod.110.088351</w:t>
      </w:r>
    </w:p>
    <w:p w14:paraId="33BC6FEC"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lang w:val="es-ES_tradnl"/>
        </w:rPr>
      </w:pPr>
      <w:r w:rsidRPr="00130EEF">
        <w:rPr>
          <w:noProof/>
          <w:color w:val="000000" w:themeColor="text1"/>
          <w:lang w:val="es-ES_tradnl"/>
        </w:rPr>
        <w:t xml:space="preserve">Wilson, R. D., Wilson, R. D., Désilets, V., Wyatt, P., Langlois, S., Gagnon, A., … Kapur, B. (2007). Pre-conceptional Vitamin/Folic Acid Supplementation 2007: The Use of Folic Acid in Combination With a Multivitamin Supplement for the Prevention of Neural Tube Defects and Other Congenital Anomalies. </w:t>
      </w:r>
      <w:r w:rsidRPr="00130EEF">
        <w:rPr>
          <w:i/>
          <w:iCs/>
          <w:noProof/>
          <w:color w:val="000000" w:themeColor="text1"/>
          <w:lang w:val="es-ES_tradnl"/>
        </w:rPr>
        <w:t>Journal of Obstetrics and Gynaecology Canada</w:t>
      </w:r>
      <w:r w:rsidRPr="00130EEF">
        <w:rPr>
          <w:noProof/>
          <w:color w:val="000000" w:themeColor="text1"/>
          <w:lang w:val="es-ES_tradnl"/>
        </w:rPr>
        <w:t xml:space="preserve">, </w:t>
      </w:r>
      <w:r w:rsidRPr="00130EEF">
        <w:rPr>
          <w:i/>
          <w:iCs/>
          <w:noProof/>
          <w:color w:val="000000" w:themeColor="text1"/>
          <w:lang w:val="es-ES_tradnl"/>
        </w:rPr>
        <w:t>29</w:t>
      </w:r>
      <w:r w:rsidRPr="00130EEF">
        <w:rPr>
          <w:noProof/>
          <w:color w:val="000000" w:themeColor="text1"/>
          <w:lang w:val="es-ES_tradnl"/>
        </w:rPr>
        <w:t>(12), 1003–1013. https://doi.org/10.1016/S1701-2163(16)32685-8</w:t>
      </w:r>
      <w:bookmarkStart w:id="2" w:name="_GoBack"/>
      <w:bookmarkEnd w:id="2"/>
    </w:p>
    <w:p w14:paraId="5F1E8AA6" w14:textId="77777777" w:rsidR="00C05664" w:rsidRPr="00130EEF" w:rsidRDefault="00C05664" w:rsidP="00C05664">
      <w:pPr>
        <w:widowControl w:val="0"/>
        <w:autoSpaceDE w:val="0"/>
        <w:autoSpaceDN w:val="0"/>
        <w:adjustRightInd w:val="0"/>
        <w:spacing w:line="240" w:lineRule="auto"/>
        <w:ind w:left="480" w:hanging="480"/>
        <w:rPr>
          <w:noProof/>
          <w:color w:val="000000" w:themeColor="text1"/>
        </w:rPr>
      </w:pPr>
      <w:r w:rsidRPr="00130EEF">
        <w:rPr>
          <w:noProof/>
          <w:color w:val="000000" w:themeColor="text1"/>
          <w:lang w:val="es-ES_tradnl"/>
        </w:rPr>
        <w:t xml:space="preserve">Wu, G., Gentile, L., Fuchikami, T., Sutter, J., Psathaki, K., Esteves, T. C., … Scholer, H. R. (2010). Initiation of trophectoderm lineage specification in mouse embryos is independent of Cdx2. </w:t>
      </w:r>
      <w:r w:rsidRPr="00130EEF">
        <w:rPr>
          <w:i/>
          <w:iCs/>
          <w:noProof/>
          <w:color w:val="000000" w:themeColor="text1"/>
          <w:lang w:val="es-ES_tradnl"/>
        </w:rPr>
        <w:t>Development</w:t>
      </w:r>
      <w:r w:rsidRPr="00130EEF">
        <w:rPr>
          <w:noProof/>
          <w:color w:val="000000" w:themeColor="text1"/>
          <w:lang w:val="es-ES_tradnl"/>
        </w:rPr>
        <w:t xml:space="preserve">, </w:t>
      </w:r>
      <w:r w:rsidRPr="00130EEF">
        <w:rPr>
          <w:i/>
          <w:iCs/>
          <w:noProof/>
          <w:color w:val="000000" w:themeColor="text1"/>
          <w:lang w:val="es-ES_tradnl"/>
        </w:rPr>
        <w:t>137</w:t>
      </w:r>
      <w:r w:rsidRPr="00130EEF">
        <w:rPr>
          <w:noProof/>
          <w:color w:val="000000" w:themeColor="text1"/>
          <w:lang w:val="es-ES_tradnl"/>
        </w:rPr>
        <w:t>(24), 4159–4169. https://doi.org/10.1242/dev.056630</w:t>
      </w:r>
    </w:p>
    <w:p w14:paraId="1E9061CF" w14:textId="31B9DAF2" w:rsidR="00555674" w:rsidRPr="00130EEF" w:rsidRDefault="00D832AE" w:rsidP="00C05664">
      <w:pPr>
        <w:widowControl w:val="0"/>
        <w:autoSpaceDE w:val="0"/>
        <w:autoSpaceDN w:val="0"/>
        <w:adjustRightInd w:val="0"/>
        <w:spacing w:line="240" w:lineRule="auto"/>
        <w:ind w:left="480" w:hanging="480"/>
        <w:rPr>
          <w:color w:val="000000" w:themeColor="text1"/>
        </w:rPr>
      </w:pPr>
      <w:r w:rsidRPr="00130EEF">
        <w:rPr>
          <w:color w:val="000000" w:themeColor="text1"/>
        </w:rPr>
        <w:fldChar w:fldCharType="end"/>
      </w:r>
    </w:p>
    <w:sectPr w:rsidR="00555674" w:rsidRPr="00130EEF" w:rsidSect="00AB0292">
      <w:headerReference w:type="even" r:id="rId17"/>
      <w:headerReference w:type="default" r:id="rId18"/>
      <w:pgSz w:w="11900" w:h="16840"/>
      <w:pgMar w:top="1440" w:right="1440" w:bottom="1797" w:left="1440" w:header="720" w:footer="720" w:gutter="0"/>
      <w:lnNumType w:countBy="1" w:restart="continuous"/>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E5161" w16cex:dateUtc="2020-11-05T13:24:00Z"/>
  <w16cex:commentExtensible w16cex:durableId="2354D4F9" w16cex:dateUtc="2020-11-10T11:5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B552A8" w14:textId="77777777" w:rsidR="00144775" w:rsidRDefault="00144775" w:rsidP="001E6EB5">
      <w:r>
        <w:separator/>
      </w:r>
    </w:p>
  </w:endnote>
  <w:endnote w:type="continuationSeparator" w:id="0">
    <w:p w14:paraId="1B41D937" w14:textId="77777777" w:rsidR="00144775" w:rsidRDefault="00144775" w:rsidP="001E6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588DD9" w14:textId="77777777" w:rsidR="00144775" w:rsidRDefault="00144775" w:rsidP="001E6EB5">
      <w:r>
        <w:separator/>
      </w:r>
    </w:p>
  </w:footnote>
  <w:footnote w:type="continuationSeparator" w:id="0">
    <w:p w14:paraId="17EE6FF1" w14:textId="77777777" w:rsidR="00144775" w:rsidRDefault="00144775" w:rsidP="001E6E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27606252"/>
      <w:docPartObj>
        <w:docPartGallery w:val="Page Numbers (Top of Page)"/>
        <w:docPartUnique/>
      </w:docPartObj>
    </w:sdtPr>
    <w:sdtContent>
      <w:p w14:paraId="22D9D177" w14:textId="1A9E9CF6" w:rsidR="00622D39" w:rsidRDefault="00622D39" w:rsidP="00E53DD7">
        <w:pPr>
          <w:pStyle w:val="Header"/>
          <w:framePr w:wrap="none" w:vAnchor="text" w:hAnchor="margin" w:xAlign="right" w:y="1"/>
          <w:rPr>
            <w:rStyle w:val="PageNumber"/>
          </w:rPr>
        </w:pPr>
      </w:p>
    </w:sdtContent>
  </w:sdt>
  <w:p w14:paraId="5EBA0EE2" w14:textId="77777777" w:rsidR="00622D39" w:rsidRDefault="00622D39" w:rsidP="001E6EB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70F0A" w14:textId="7CC341DC" w:rsidR="00622D39" w:rsidRDefault="00622D39" w:rsidP="00E53DD7">
    <w:pPr>
      <w:pStyle w:val="Header"/>
      <w:framePr w:wrap="none" w:vAnchor="text" w:hAnchor="margin" w:xAlign="right" w:y="1"/>
      <w:rPr>
        <w:rStyle w:val="PageNumber"/>
      </w:rPr>
    </w:pPr>
  </w:p>
  <w:p w14:paraId="7D547A5C" w14:textId="77777777" w:rsidR="00622D39" w:rsidRDefault="00622D39" w:rsidP="001E6EB5">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E315C95"/>
    <w:multiLevelType w:val="multilevel"/>
    <w:tmpl w:val="040A0025"/>
    <w:lvl w:ilvl="0">
      <w:start w:val="1"/>
      <w:numFmt w:val="decimal"/>
      <w:lvlText w:val="%1"/>
      <w:lvlJc w:val="left"/>
      <w:pPr>
        <w:ind w:left="432" w:hanging="432"/>
      </w:pPr>
    </w:lvl>
    <w:lvl w:ilvl="1">
      <w:start w:val="1"/>
      <w:numFmt w:val="decimal"/>
      <w:lvlText w:val="%1.%2"/>
      <w:lvlJc w:val="left"/>
      <w:pPr>
        <w:ind w:left="576" w:hanging="576"/>
      </w:pPr>
      <w:rPr>
        <w:rFonts w:hint="default"/>
        <w:b w:val="0"/>
        <w:i w:val="0"/>
        <w:strike w:val="0"/>
        <w:dstrike w:val="0"/>
        <w:sz w:val="24"/>
        <w:vertAlign w:val="baseline"/>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307A6869"/>
    <w:multiLevelType w:val="multilevel"/>
    <w:tmpl w:val="2DE4123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30F7204B"/>
    <w:multiLevelType w:val="hybridMultilevel"/>
    <w:tmpl w:val="173EF50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3E5216F2"/>
    <w:multiLevelType w:val="multilevel"/>
    <w:tmpl w:val="FEBE4F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40646CCF"/>
    <w:multiLevelType w:val="multilevel"/>
    <w:tmpl w:val="D30E51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59514D8A"/>
    <w:multiLevelType w:val="multilevel"/>
    <w:tmpl w:val="F0C4352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bC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 w:numId="2">
    <w:abstractNumId w:val="3"/>
  </w:num>
  <w:num w:numId="3">
    <w:abstractNumId w:val="1"/>
  </w:num>
  <w:num w:numId="4">
    <w:abstractNumId w:val="4"/>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Medicin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vxpdrs26sz224ep5tx5zdebwardxsdetwd2&quot;&gt;CDKN2A paper EndNote Library 15-08-13&lt;record-ids&gt;&lt;item&gt;138&lt;/item&gt;&lt;/record-ids&gt;&lt;/item&gt;&lt;/Libraries&gt;"/>
  </w:docVars>
  <w:rsids>
    <w:rsidRoot w:val="00AD4CEE"/>
    <w:rsid w:val="000028ED"/>
    <w:rsid w:val="00003320"/>
    <w:rsid w:val="00004871"/>
    <w:rsid w:val="00006CA9"/>
    <w:rsid w:val="000076DD"/>
    <w:rsid w:val="00007A0B"/>
    <w:rsid w:val="00007C84"/>
    <w:rsid w:val="000104B3"/>
    <w:rsid w:val="0001108D"/>
    <w:rsid w:val="00012785"/>
    <w:rsid w:val="0001407F"/>
    <w:rsid w:val="00015BB7"/>
    <w:rsid w:val="00015F2E"/>
    <w:rsid w:val="00015FC2"/>
    <w:rsid w:val="00016A3D"/>
    <w:rsid w:val="000172DE"/>
    <w:rsid w:val="000201F3"/>
    <w:rsid w:val="00021656"/>
    <w:rsid w:val="00022336"/>
    <w:rsid w:val="00027864"/>
    <w:rsid w:val="00027991"/>
    <w:rsid w:val="00032161"/>
    <w:rsid w:val="00032201"/>
    <w:rsid w:val="0003518F"/>
    <w:rsid w:val="000369D5"/>
    <w:rsid w:val="000373CA"/>
    <w:rsid w:val="00040719"/>
    <w:rsid w:val="00041644"/>
    <w:rsid w:val="0004208E"/>
    <w:rsid w:val="000460A9"/>
    <w:rsid w:val="000473A8"/>
    <w:rsid w:val="00047630"/>
    <w:rsid w:val="00050B21"/>
    <w:rsid w:val="00052B9B"/>
    <w:rsid w:val="00055EA1"/>
    <w:rsid w:val="00056046"/>
    <w:rsid w:val="00060623"/>
    <w:rsid w:val="00060F0C"/>
    <w:rsid w:val="0006149C"/>
    <w:rsid w:val="00062577"/>
    <w:rsid w:val="00066371"/>
    <w:rsid w:val="00070C50"/>
    <w:rsid w:val="000723F9"/>
    <w:rsid w:val="00072BED"/>
    <w:rsid w:val="0007392E"/>
    <w:rsid w:val="00074284"/>
    <w:rsid w:val="0007747F"/>
    <w:rsid w:val="00077B3B"/>
    <w:rsid w:val="000843FC"/>
    <w:rsid w:val="0008510E"/>
    <w:rsid w:val="00085324"/>
    <w:rsid w:val="00087438"/>
    <w:rsid w:val="00092460"/>
    <w:rsid w:val="00095D98"/>
    <w:rsid w:val="00096673"/>
    <w:rsid w:val="000A02B3"/>
    <w:rsid w:val="000A6825"/>
    <w:rsid w:val="000B066F"/>
    <w:rsid w:val="000B130E"/>
    <w:rsid w:val="000B1F60"/>
    <w:rsid w:val="000B25A4"/>
    <w:rsid w:val="000B28A9"/>
    <w:rsid w:val="000B48C1"/>
    <w:rsid w:val="000B5821"/>
    <w:rsid w:val="000B66DB"/>
    <w:rsid w:val="000B68AA"/>
    <w:rsid w:val="000B6BB1"/>
    <w:rsid w:val="000C0582"/>
    <w:rsid w:val="000C0DDF"/>
    <w:rsid w:val="000C334C"/>
    <w:rsid w:val="000D1BAB"/>
    <w:rsid w:val="000D5650"/>
    <w:rsid w:val="000E3248"/>
    <w:rsid w:val="000E43CE"/>
    <w:rsid w:val="000E6563"/>
    <w:rsid w:val="000E6726"/>
    <w:rsid w:val="000F18E1"/>
    <w:rsid w:val="000F2E03"/>
    <w:rsid w:val="000F2EFE"/>
    <w:rsid w:val="000F31C0"/>
    <w:rsid w:val="000F573B"/>
    <w:rsid w:val="00100C40"/>
    <w:rsid w:val="001024EE"/>
    <w:rsid w:val="00102EA6"/>
    <w:rsid w:val="001052A9"/>
    <w:rsid w:val="00110DA3"/>
    <w:rsid w:val="0011351C"/>
    <w:rsid w:val="00114F5F"/>
    <w:rsid w:val="00115B87"/>
    <w:rsid w:val="00117C0D"/>
    <w:rsid w:val="00123465"/>
    <w:rsid w:val="0012576B"/>
    <w:rsid w:val="00125CDC"/>
    <w:rsid w:val="00126EFE"/>
    <w:rsid w:val="00130EEF"/>
    <w:rsid w:val="00134B6B"/>
    <w:rsid w:val="00140DE5"/>
    <w:rsid w:val="0014244B"/>
    <w:rsid w:val="00143921"/>
    <w:rsid w:val="00144775"/>
    <w:rsid w:val="00145435"/>
    <w:rsid w:val="00145DDC"/>
    <w:rsid w:val="001462A9"/>
    <w:rsid w:val="001472BE"/>
    <w:rsid w:val="00151C70"/>
    <w:rsid w:val="00155BC7"/>
    <w:rsid w:val="00156B3B"/>
    <w:rsid w:val="0016018B"/>
    <w:rsid w:val="00160AAF"/>
    <w:rsid w:val="00161478"/>
    <w:rsid w:val="0016396A"/>
    <w:rsid w:val="001662C3"/>
    <w:rsid w:val="001668B6"/>
    <w:rsid w:val="00166D3A"/>
    <w:rsid w:val="00167AE9"/>
    <w:rsid w:val="00174754"/>
    <w:rsid w:val="00174826"/>
    <w:rsid w:val="0017515F"/>
    <w:rsid w:val="00175E12"/>
    <w:rsid w:val="00175EE8"/>
    <w:rsid w:val="00176CAF"/>
    <w:rsid w:val="00180C33"/>
    <w:rsid w:val="00180E41"/>
    <w:rsid w:val="00181A80"/>
    <w:rsid w:val="00182969"/>
    <w:rsid w:val="00183B02"/>
    <w:rsid w:val="0018545F"/>
    <w:rsid w:val="00186733"/>
    <w:rsid w:val="00187488"/>
    <w:rsid w:val="00187BE1"/>
    <w:rsid w:val="001930AF"/>
    <w:rsid w:val="0019459C"/>
    <w:rsid w:val="001A0A79"/>
    <w:rsid w:val="001A0FC3"/>
    <w:rsid w:val="001A1EF6"/>
    <w:rsid w:val="001A4CD0"/>
    <w:rsid w:val="001A5C04"/>
    <w:rsid w:val="001A6A10"/>
    <w:rsid w:val="001B005C"/>
    <w:rsid w:val="001B0C95"/>
    <w:rsid w:val="001B1346"/>
    <w:rsid w:val="001B4FF3"/>
    <w:rsid w:val="001B5844"/>
    <w:rsid w:val="001B67FD"/>
    <w:rsid w:val="001C0D15"/>
    <w:rsid w:val="001C18CC"/>
    <w:rsid w:val="001C3F6E"/>
    <w:rsid w:val="001C5268"/>
    <w:rsid w:val="001C5850"/>
    <w:rsid w:val="001C5978"/>
    <w:rsid w:val="001D0D81"/>
    <w:rsid w:val="001D137A"/>
    <w:rsid w:val="001D13BF"/>
    <w:rsid w:val="001D1458"/>
    <w:rsid w:val="001D3129"/>
    <w:rsid w:val="001D59FD"/>
    <w:rsid w:val="001D5E41"/>
    <w:rsid w:val="001D61C2"/>
    <w:rsid w:val="001D6282"/>
    <w:rsid w:val="001D62CC"/>
    <w:rsid w:val="001D66E1"/>
    <w:rsid w:val="001D7308"/>
    <w:rsid w:val="001D7D29"/>
    <w:rsid w:val="001E2CC5"/>
    <w:rsid w:val="001E3759"/>
    <w:rsid w:val="001E6EB5"/>
    <w:rsid w:val="001E7469"/>
    <w:rsid w:val="001F0716"/>
    <w:rsid w:val="001F0C87"/>
    <w:rsid w:val="001F5015"/>
    <w:rsid w:val="001F7FF6"/>
    <w:rsid w:val="002005FB"/>
    <w:rsid w:val="002042D1"/>
    <w:rsid w:val="00206FDF"/>
    <w:rsid w:val="0020761D"/>
    <w:rsid w:val="00207F3C"/>
    <w:rsid w:val="002100A5"/>
    <w:rsid w:val="002101CA"/>
    <w:rsid w:val="002115AE"/>
    <w:rsid w:val="0021163A"/>
    <w:rsid w:val="002128DC"/>
    <w:rsid w:val="002140EB"/>
    <w:rsid w:val="00215251"/>
    <w:rsid w:val="00216F38"/>
    <w:rsid w:val="002201ED"/>
    <w:rsid w:val="00221B7E"/>
    <w:rsid w:val="00222243"/>
    <w:rsid w:val="00226FED"/>
    <w:rsid w:val="002316E4"/>
    <w:rsid w:val="002318AE"/>
    <w:rsid w:val="002319AD"/>
    <w:rsid w:val="002350EA"/>
    <w:rsid w:val="00235C1D"/>
    <w:rsid w:val="002367D1"/>
    <w:rsid w:val="00243B90"/>
    <w:rsid w:val="00245558"/>
    <w:rsid w:val="00246620"/>
    <w:rsid w:val="002468A1"/>
    <w:rsid w:val="00246BE7"/>
    <w:rsid w:val="002472D1"/>
    <w:rsid w:val="00247732"/>
    <w:rsid w:val="00251CAD"/>
    <w:rsid w:val="002527B6"/>
    <w:rsid w:val="00253785"/>
    <w:rsid w:val="002538B8"/>
    <w:rsid w:val="00254B55"/>
    <w:rsid w:val="002562A2"/>
    <w:rsid w:val="00257AF6"/>
    <w:rsid w:val="00262145"/>
    <w:rsid w:val="00262D8B"/>
    <w:rsid w:val="00263B61"/>
    <w:rsid w:val="00264198"/>
    <w:rsid w:val="002660FC"/>
    <w:rsid w:val="002661A8"/>
    <w:rsid w:val="00270410"/>
    <w:rsid w:val="0027046F"/>
    <w:rsid w:val="00271648"/>
    <w:rsid w:val="0027377A"/>
    <w:rsid w:val="002744BE"/>
    <w:rsid w:val="00274B3E"/>
    <w:rsid w:val="00280112"/>
    <w:rsid w:val="0028149D"/>
    <w:rsid w:val="00284151"/>
    <w:rsid w:val="0028485D"/>
    <w:rsid w:val="0028518D"/>
    <w:rsid w:val="00285705"/>
    <w:rsid w:val="00286481"/>
    <w:rsid w:val="00286506"/>
    <w:rsid w:val="00290469"/>
    <w:rsid w:val="00292C4B"/>
    <w:rsid w:val="00295D03"/>
    <w:rsid w:val="00296CC7"/>
    <w:rsid w:val="002A0AFD"/>
    <w:rsid w:val="002A2A2F"/>
    <w:rsid w:val="002A2B1C"/>
    <w:rsid w:val="002A5687"/>
    <w:rsid w:val="002A5ACE"/>
    <w:rsid w:val="002B0223"/>
    <w:rsid w:val="002B3C79"/>
    <w:rsid w:val="002B3E11"/>
    <w:rsid w:val="002B491C"/>
    <w:rsid w:val="002B7CCD"/>
    <w:rsid w:val="002C1533"/>
    <w:rsid w:val="002C2A6A"/>
    <w:rsid w:val="002C37BF"/>
    <w:rsid w:val="002C4DE1"/>
    <w:rsid w:val="002C7514"/>
    <w:rsid w:val="002C758E"/>
    <w:rsid w:val="002D055C"/>
    <w:rsid w:val="002E1F0C"/>
    <w:rsid w:val="002E22C4"/>
    <w:rsid w:val="002E2834"/>
    <w:rsid w:val="002E2B79"/>
    <w:rsid w:val="002E412E"/>
    <w:rsid w:val="002E43E9"/>
    <w:rsid w:val="002E46A7"/>
    <w:rsid w:val="002E6264"/>
    <w:rsid w:val="002E6C27"/>
    <w:rsid w:val="002F0B7A"/>
    <w:rsid w:val="002F3146"/>
    <w:rsid w:val="002F4746"/>
    <w:rsid w:val="002F6E55"/>
    <w:rsid w:val="002F736E"/>
    <w:rsid w:val="00300B79"/>
    <w:rsid w:val="003051F7"/>
    <w:rsid w:val="003060EC"/>
    <w:rsid w:val="00306BDF"/>
    <w:rsid w:val="00311C41"/>
    <w:rsid w:val="003124DA"/>
    <w:rsid w:val="00312AAD"/>
    <w:rsid w:val="0031429D"/>
    <w:rsid w:val="00314645"/>
    <w:rsid w:val="00316169"/>
    <w:rsid w:val="00316F33"/>
    <w:rsid w:val="00317B70"/>
    <w:rsid w:val="00321925"/>
    <w:rsid w:val="003220CD"/>
    <w:rsid w:val="00323078"/>
    <w:rsid w:val="0032737A"/>
    <w:rsid w:val="00333034"/>
    <w:rsid w:val="003352BA"/>
    <w:rsid w:val="00336912"/>
    <w:rsid w:val="00336BBE"/>
    <w:rsid w:val="003370DD"/>
    <w:rsid w:val="00337271"/>
    <w:rsid w:val="003407F6"/>
    <w:rsid w:val="00344A23"/>
    <w:rsid w:val="00346076"/>
    <w:rsid w:val="0035058D"/>
    <w:rsid w:val="00350DFD"/>
    <w:rsid w:val="003514FA"/>
    <w:rsid w:val="00360A46"/>
    <w:rsid w:val="003621DB"/>
    <w:rsid w:val="00363CFA"/>
    <w:rsid w:val="0036487E"/>
    <w:rsid w:val="003652B3"/>
    <w:rsid w:val="003659BF"/>
    <w:rsid w:val="00366811"/>
    <w:rsid w:val="00371123"/>
    <w:rsid w:val="00371537"/>
    <w:rsid w:val="00372090"/>
    <w:rsid w:val="003723B7"/>
    <w:rsid w:val="00373D33"/>
    <w:rsid w:val="003755D8"/>
    <w:rsid w:val="00375D01"/>
    <w:rsid w:val="003822DE"/>
    <w:rsid w:val="0038295E"/>
    <w:rsid w:val="003851F7"/>
    <w:rsid w:val="00391C35"/>
    <w:rsid w:val="00392190"/>
    <w:rsid w:val="003934C0"/>
    <w:rsid w:val="0039355F"/>
    <w:rsid w:val="00394985"/>
    <w:rsid w:val="003A244C"/>
    <w:rsid w:val="003A36C7"/>
    <w:rsid w:val="003A4110"/>
    <w:rsid w:val="003A6F1E"/>
    <w:rsid w:val="003A7ECD"/>
    <w:rsid w:val="003C1DEE"/>
    <w:rsid w:val="003C5734"/>
    <w:rsid w:val="003C72E2"/>
    <w:rsid w:val="003D2891"/>
    <w:rsid w:val="003D2F04"/>
    <w:rsid w:val="003D58F2"/>
    <w:rsid w:val="003D5C59"/>
    <w:rsid w:val="003D60DC"/>
    <w:rsid w:val="003E04A9"/>
    <w:rsid w:val="003E12BB"/>
    <w:rsid w:val="003E2390"/>
    <w:rsid w:val="003E2C7E"/>
    <w:rsid w:val="003E6813"/>
    <w:rsid w:val="003F02CB"/>
    <w:rsid w:val="003F67AB"/>
    <w:rsid w:val="00400F2C"/>
    <w:rsid w:val="004025DF"/>
    <w:rsid w:val="00405592"/>
    <w:rsid w:val="00405A74"/>
    <w:rsid w:val="0041080D"/>
    <w:rsid w:val="00412760"/>
    <w:rsid w:val="0041651B"/>
    <w:rsid w:val="00416990"/>
    <w:rsid w:val="00420444"/>
    <w:rsid w:val="00421E23"/>
    <w:rsid w:val="00424B4F"/>
    <w:rsid w:val="00425F86"/>
    <w:rsid w:val="00430B79"/>
    <w:rsid w:val="00431E97"/>
    <w:rsid w:val="00432C47"/>
    <w:rsid w:val="00433D7C"/>
    <w:rsid w:val="004438B4"/>
    <w:rsid w:val="00443B32"/>
    <w:rsid w:val="004472D5"/>
    <w:rsid w:val="004516A8"/>
    <w:rsid w:val="004524E0"/>
    <w:rsid w:val="004540D4"/>
    <w:rsid w:val="0046102A"/>
    <w:rsid w:val="004656FE"/>
    <w:rsid w:val="0046770C"/>
    <w:rsid w:val="00470A94"/>
    <w:rsid w:val="004716F7"/>
    <w:rsid w:val="00473CA7"/>
    <w:rsid w:val="00474A61"/>
    <w:rsid w:val="004764FF"/>
    <w:rsid w:val="00476585"/>
    <w:rsid w:val="00480DF8"/>
    <w:rsid w:val="0048179D"/>
    <w:rsid w:val="00486864"/>
    <w:rsid w:val="00487C2D"/>
    <w:rsid w:val="00487E21"/>
    <w:rsid w:val="00487F86"/>
    <w:rsid w:val="0049024F"/>
    <w:rsid w:val="00490E01"/>
    <w:rsid w:val="004913CE"/>
    <w:rsid w:val="00493844"/>
    <w:rsid w:val="0049535E"/>
    <w:rsid w:val="004A0E32"/>
    <w:rsid w:val="004A154D"/>
    <w:rsid w:val="004A4183"/>
    <w:rsid w:val="004A6D78"/>
    <w:rsid w:val="004B021B"/>
    <w:rsid w:val="004B6E4A"/>
    <w:rsid w:val="004B6EE8"/>
    <w:rsid w:val="004B6F0B"/>
    <w:rsid w:val="004C0D19"/>
    <w:rsid w:val="004C19EA"/>
    <w:rsid w:val="004C33A6"/>
    <w:rsid w:val="004C45F7"/>
    <w:rsid w:val="004C4B01"/>
    <w:rsid w:val="004C5086"/>
    <w:rsid w:val="004C58E6"/>
    <w:rsid w:val="004C6D11"/>
    <w:rsid w:val="004C7055"/>
    <w:rsid w:val="004C762A"/>
    <w:rsid w:val="004D2251"/>
    <w:rsid w:val="004D2929"/>
    <w:rsid w:val="004D5322"/>
    <w:rsid w:val="004D622D"/>
    <w:rsid w:val="004D6EBB"/>
    <w:rsid w:val="004E0E54"/>
    <w:rsid w:val="004E1B32"/>
    <w:rsid w:val="004E1D7B"/>
    <w:rsid w:val="004E387E"/>
    <w:rsid w:val="004E4AC5"/>
    <w:rsid w:val="004E599D"/>
    <w:rsid w:val="004E6439"/>
    <w:rsid w:val="004E7130"/>
    <w:rsid w:val="004E7204"/>
    <w:rsid w:val="004F00EB"/>
    <w:rsid w:val="004F138B"/>
    <w:rsid w:val="004F1975"/>
    <w:rsid w:val="004F2080"/>
    <w:rsid w:val="004F4D0F"/>
    <w:rsid w:val="004F6ED6"/>
    <w:rsid w:val="004F710D"/>
    <w:rsid w:val="004F72BE"/>
    <w:rsid w:val="005006B5"/>
    <w:rsid w:val="0050197D"/>
    <w:rsid w:val="005046AB"/>
    <w:rsid w:val="00505354"/>
    <w:rsid w:val="00505610"/>
    <w:rsid w:val="0050771E"/>
    <w:rsid w:val="00515759"/>
    <w:rsid w:val="00515950"/>
    <w:rsid w:val="00517AF9"/>
    <w:rsid w:val="00520922"/>
    <w:rsid w:val="00522833"/>
    <w:rsid w:val="00523FCE"/>
    <w:rsid w:val="00526105"/>
    <w:rsid w:val="005278CC"/>
    <w:rsid w:val="005332DD"/>
    <w:rsid w:val="00533D8B"/>
    <w:rsid w:val="005344BC"/>
    <w:rsid w:val="00535C65"/>
    <w:rsid w:val="0054125C"/>
    <w:rsid w:val="00541D37"/>
    <w:rsid w:val="0054240D"/>
    <w:rsid w:val="005436E5"/>
    <w:rsid w:val="00543AF3"/>
    <w:rsid w:val="0054510F"/>
    <w:rsid w:val="00554EDF"/>
    <w:rsid w:val="00555674"/>
    <w:rsid w:val="005576F7"/>
    <w:rsid w:val="00564E2B"/>
    <w:rsid w:val="005663A9"/>
    <w:rsid w:val="005665A6"/>
    <w:rsid w:val="00572AAA"/>
    <w:rsid w:val="00576361"/>
    <w:rsid w:val="005772F8"/>
    <w:rsid w:val="005807DD"/>
    <w:rsid w:val="00580D57"/>
    <w:rsid w:val="00581087"/>
    <w:rsid w:val="00582BA8"/>
    <w:rsid w:val="00582D52"/>
    <w:rsid w:val="00584CB2"/>
    <w:rsid w:val="0058676D"/>
    <w:rsid w:val="00587651"/>
    <w:rsid w:val="00587A3D"/>
    <w:rsid w:val="00590204"/>
    <w:rsid w:val="00591B47"/>
    <w:rsid w:val="0059362E"/>
    <w:rsid w:val="00594B44"/>
    <w:rsid w:val="0059526A"/>
    <w:rsid w:val="005975CE"/>
    <w:rsid w:val="005A4813"/>
    <w:rsid w:val="005A6134"/>
    <w:rsid w:val="005A69F7"/>
    <w:rsid w:val="005B17E0"/>
    <w:rsid w:val="005B1C68"/>
    <w:rsid w:val="005B2370"/>
    <w:rsid w:val="005B23DC"/>
    <w:rsid w:val="005B6CAD"/>
    <w:rsid w:val="005B7D43"/>
    <w:rsid w:val="005B7EDA"/>
    <w:rsid w:val="005C1CEC"/>
    <w:rsid w:val="005C20AF"/>
    <w:rsid w:val="005C33B1"/>
    <w:rsid w:val="005C6E0D"/>
    <w:rsid w:val="005C7273"/>
    <w:rsid w:val="005C75F8"/>
    <w:rsid w:val="005D066C"/>
    <w:rsid w:val="005D086D"/>
    <w:rsid w:val="005D31B4"/>
    <w:rsid w:val="005D3635"/>
    <w:rsid w:val="005D3689"/>
    <w:rsid w:val="005D3E18"/>
    <w:rsid w:val="005D722E"/>
    <w:rsid w:val="005E2666"/>
    <w:rsid w:val="005E4008"/>
    <w:rsid w:val="005E49F1"/>
    <w:rsid w:val="005E5C69"/>
    <w:rsid w:val="005E765E"/>
    <w:rsid w:val="005E7F7B"/>
    <w:rsid w:val="005F02BD"/>
    <w:rsid w:val="005F07B4"/>
    <w:rsid w:val="005F1B40"/>
    <w:rsid w:val="005F6B0A"/>
    <w:rsid w:val="006023D2"/>
    <w:rsid w:val="00607AF8"/>
    <w:rsid w:val="00610086"/>
    <w:rsid w:val="00617222"/>
    <w:rsid w:val="0061759D"/>
    <w:rsid w:val="00621D76"/>
    <w:rsid w:val="00622B96"/>
    <w:rsid w:val="00622D39"/>
    <w:rsid w:val="00632DCC"/>
    <w:rsid w:val="00632FE4"/>
    <w:rsid w:val="00634DB9"/>
    <w:rsid w:val="00636BFA"/>
    <w:rsid w:val="00637F5B"/>
    <w:rsid w:val="00640400"/>
    <w:rsid w:val="00641B0C"/>
    <w:rsid w:val="006455B4"/>
    <w:rsid w:val="00650CED"/>
    <w:rsid w:val="006552E2"/>
    <w:rsid w:val="00657144"/>
    <w:rsid w:val="006606AD"/>
    <w:rsid w:val="00661B64"/>
    <w:rsid w:val="00665DCB"/>
    <w:rsid w:val="0066697B"/>
    <w:rsid w:val="00666F25"/>
    <w:rsid w:val="00667F76"/>
    <w:rsid w:val="00670E92"/>
    <w:rsid w:val="00672624"/>
    <w:rsid w:val="0067744C"/>
    <w:rsid w:val="00680ABC"/>
    <w:rsid w:val="00682D7D"/>
    <w:rsid w:val="006912B6"/>
    <w:rsid w:val="00692B0D"/>
    <w:rsid w:val="006930F0"/>
    <w:rsid w:val="00693247"/>
    <w:rsid w:val="006971ED"/>
    <w:rsid w:val="00697DBB"/>
    <w:rsid w:val="006A0227"/>
    <w:rsid w:val="006A2303"/>
    <w:rsid w:val="006A54BB"/>
    <w:rsid w:val="006B6884"/>
    <w:rsid w:val="006C0EDD"/>
    <w:rsid w:val="006C4444"/>
    <w:rsid w:val="006C6C53"/>
    <w:rsid w:val="006D259B"/>
    <w:rsid w:val="006D312C"/>
    <w:rsid w:val="006D5C40"/>
    <w:rsid w:val="006D6D3B"/>
    <w:rsid w:val="006E0898"/>
    <w:rsid w:val="006E2283"/>
    <w:rsid w:val="006E27E4"/>
    <w:rsid w:val="006E3230"/>
    <w:rsid w:val="006E57B2"/>
    <w:rsid w:val="006F0F5C"/>
    <w:rsid w:val="006F2525"/>
    <w:rsid w:val="006F394F"/>
    <w:rsid w:val="006F3A7D"/>
    <w:rsid w:val="006F65F5"/>
    <w:rsid w:val="0070135F"/>
    <w:rsid w:val="00703028"/>
    <w:rsid w:val="00706445"/>
    <w:rsid w:val="007066B2"/>
    <w:rsid w:val="007068C8"/>
    <w:rsid w:val="00710331"/>
    <w:rsid w:val="0071070D"/>
    <w:rsid w:val="00712DF6"/>
    <w:rsid w:val="00714956"/>
    <w:rsid w:val="007168CB"/>
    <w:rsid w:val="0071720D"/>
    <w:rsid w:val="00720207"/>
    <w:rsid w:val="00723FE7"/>
    <w:rsid w:val="007254F0"/>
    <w:rsid w:val="00732FE3"/>
    <w:rsid w:val="00733445"/>
    <w:rsid w:val="00733A31"/>
    <w:rsid w:val="00733AF9"/>
    <w:rsid w:val="007363FD"/>
    <w:rsid w:val="007364D4"/>
    <w:rsid w:val="00736C45"/>
    <w:rsid w:val="00740B4B"/>
    <w:rsid w:val="00741B7F"/>
    <w:rsid w:val="007420CB"/>
    <w:rsid w:val="00746D4B"/>
    <w:rsid w:val="00747238"/>
    <w:rsid w:val="00752CC2"/>
    <w:rsid w:val="00753BF4"/>
    <w:rsid w:val="00755941"/>
    <w:rsid w:val="00756512"/>
    <w:rsid w:val="00756D72"/>
    <w:rsid w:val="0076072E"/>
    <w:rsid w:val="007634CB"/>
    <w:rsid w:val="007650A3"/>
    <w:rsid w:val="00766448"/>
    <w:rsid w:val="00767FD9"/>
    <w:rsid w:val="00770E08"/>
    <w:rsid w:val="007711F9"/>
    <w:rsid w:val="007721F2"/>
    <w:rsid w:val="007722EB"/>
    <w:rsid w:val="0077369D"/>
    <w:rsid w:val="00774DA7"/>
    <w:rsid w:val="007757D6"/>
    <w:rsid w:val="00775C6E"/>
    <w:rsid w:val="007766B1"/>
    <w:rsid w:val="007777D6"/>
    <w:rsid w:val="0077796A"/>
    <w:rsid w:val="007809EE"/>
    <w:rsid w:val="00782C33"/>
    <w:rsid w:val="00786122"/>
    <w:rsid w:val="007861E8"/>
    <w:rsid w:val="00786FFD"/>
    <w:rsid w:val="00787A37"/>
    <w:rsid w:val="00790960"/>
    <w:rsid w:val="00793A8E"/>
    <w:rsid w:val="00793FB7"/>
    <w:rsid w:val="00794A24"/>
    <w:rsid w:val="0079751C"/>
    <w:rsid w:val="007A151E"/>
    <w:rsid w:val="007A20CA"/>
    <w:rsid w:val="007A4BB8"/>
    <w:rsid w:val="007A61CA"/>
    <w:rsid w:val="007A6A48"/>
    <w:rsid w:val="007B07ED"/>
    <w:rsid w:val="007B1443"/>
    <w:rsid w:val="007B17E4"/>
    <w:rsid w:val="007B236E"/>
    <w:rsid w:val="007B3564"/>
    <w:rsid w:val="007B5FCD"/>
    <w:rsid w:val="007B78CD"/>
    <w:rsid w:val="007C005A"/>
    <w:rsid w:val="007C4808"/>
    <w:rsid w:val="007D0F3D"/>
    <w:rsid w:val="007D10CD"/>
    <w:rsid w:val="007D2AFF"/>
    <w:rsid w:val="007D724B"/>
    <w:rsid w:val="007E424D"/>
    <w:rsid w:val="007E5EAC"/>
    <w:rsid w:val="007E64B3"/>
    <w:rsid w:val="007E65CA"/>
    <w:rsid w:val="007E7957"/>
    <w:rsid w:val="007E7DD7"/>
    <w:rsid w:val="007F333D"/>
    <w:rsid w:val="007F4F32"/>
    <w:rsid w:val="007F62D6"/>
    <w:rsid w:val="007F6FAE"/>
    <w:rsid w:val="007F7A53"/>
    <w:rsid w:val="007F7FC4"/>
    <w:rsid w:val="0080136B"/>
    <w:rsid w:val="008026FC"/>
    <w:rsid w:val="0080679F"/>
    <w:rsid w:val="00807A6B"/>
    <w:rsid w:val="00813DBD"/>
    <w:rsid w:val="00813EFB"/>
    <w:rsid w:val="00815038"/>
    <w:rsid w:val="00815782"/>
    <w:rsid w:val="00815A45"/>
    <w:rsid w:val="00817475"/>
    <w:rsid w:val="00821FC6"/>
    <w:rsid w:val="0082273E"/>
    <w:rsid w:val="00823FAF"/>
    <w:rsid w:val="0082446A"/>
    <w:rsid w:val="008310A7"/>
    <w:rsid w:val="008321E1"/>
    <w:rsid w:val="008322A0"/>
    <w:rsid w:val="00834071"/>
    <w:rsid w:val="00835B29"/>
    <w:rsid w:val="00840F82"/>
    <w:rsid w:val="0084218F"/>
    <w:rsid w:val="00843D03"/>
    <w:rsid w:val="008516C6"/>
    <w:rsid w:val="0085219B"/>
    <w:rsid w:val="0085267C"/>
    <w:rsid w:val="008526BF"/>
    <w:rsid w:val="0085537F"/>
    <w:rsid w:val="0085764C"/>
    <w:rsid w:val="00860FF5"/>
    <w:rsid w:val="0086118C"/>
    <w:rsid w:val="0086457D"/>
    <w:rsid w:val="00865851"/>
    <w:rsid w:val="00866868"/>
    <w:rsid w:val="00866EAB"/>
    <w:rsid w:val="00871AB2"/>
    <w:rsid w:val="008722A1"/>
    <w:rsid w:val="0087401C"/>
    <w:rsid w:val="00875FB6"/>
    <w:rsid w:val="008832E1"/>
    <w:rsid w:val="00883362"/>
    <w:rsid w:val="00892548"/>
    <w:rsid w:val="00895C5C"/>
    <w:rsid w:val="00895CA3"/>
    <w:rsid w:val="008A1437"/>
    <w:rsid w:val="008A36FC"/>
    <w:rsid w:val="008A3EBD"/>
    <w:rsid w:val="008A6459"/>
    <w:rsid w:val="008A6CC7"/>
    <w:rsid w:val="008B422F"/>
    <w:rsid w:val="008B4D32"/>
    <w:rsid w:val="008B4F56"/>
    <w:rsid w:val="008B5308"/>
    <w:rsid w:val="008B6116"/>
    <w:rsid w:val="008B794F"/>
    <w:rsid w:val="008C5B6E"/>
    <w:rsid w:val="008C6DFB"/>
    <w:rsid w:val="008D1632"/>
    <w:rsid w:val="008D1689"/>
    <w:rsid w:val="008D2C2E"/>
    <w:rsid w:val="008E2267"/>
    <w:rsid w:val="008E39A3"/>
    <w:rsid w:val="008E4290"/>
    <w:rsid w:val="008E6160"/>
    <w:rsid w:val="008E69A6"/>
    <w:rsid w:val="008E6D05"/>
    <w:rsid w:val="008F02D0"/>
    <w:rsid w:val="008F20C0"/>
    <w:rsid w:val="008F7276"/>
    <w:rsid w:val="00903934"/>
    <w:rsid w:val="00904E40"/>
    <w:rsid w:val="00905B0A"/>
    <w:rsid w:val="009068C4"/>
    <w:rsid w:val="009077C9"/>
    <w:rsid w:val="0091216E"/>
    <w:rsid w:val="00913793"/>
    <w:rsid w:val="00913CD0"/>
    <w:rsid w:val="00914C51"/>
    <w:rsid w:val="00914DB2"/>
    <w:rsid w:val="00916682"/>
    <w:rsid w:val="00916A12"/>
    <w:rsid w:val="00917093"/>
    <w:rsid w:val="009173C9"/>
    <w:rsid w:val="00920BB2"/>
    <w:rsid w:val="00922CB7"/>
    <w:rsid w:val="00923B5A"/>
    <w:rsid w:val="00933FE2"/>
    <w:rsid w:val="00934D0C"/>
    <w:rsid w:val="009368A5"/>
    <w:rsid w:val="00937E17"/>
    <w:rsid w:val="00940D6F"/>
    <w:rsid w:val="00940FBB"/>
    <w:rsid w:val="0094166E"/>
    <w:rsid w:val="00945271"/>
    <w:rsid w:val="00946973"/>
    <w:rsid w:val="00947264"/>
    <w:rsid w:val="009509AE"/>
    <w:rsid w:val="0095107A"/>
    <w:rsid w:val="00952168"/>
    <w:rsid w:val="009541DD"/>
    <w:rsid w:val="00955832"/>
    <w:rsid w:val="00955B84"/>
    <w:rsid w:val="00956C17"/>
    <w:rsid w:val="00961FE8"/>
    <w:rsid w:val="0096692B"/>
    <w:rsid w:val="009737D4"/>
    <w:rsid w:val="00974660"/>
    <w:rsid w:val="0097644D"/>
    <w:rsid w:val="00981FF6"/>
    <w:rsid w:val="009852F6"/>
    <w:rsid w:val="00986D35"/>
    <w:rsid w:val="00990725"/>
    <w:rsid w:val="00990F72"/>
    <w:rsid w:val="00991751"/>
    <w:rsid w:val="00992A66"/>
    <w:rsid w:val="00993A94"/>
    <w:rsid w:val="009949E8"/>
    <w:rsid w:val="00997738"/>
    <w:rsid w:val="009A1524"/>
    <w:rsid w:val="009A213A"/>
    <w:rsid w:val="009A7103"/>
    <w:rsid w:val="009A7739"/>
    <w:rsid w:val="009B1F8A"/>
    <w:rsid w:val="009B48BC"/>
    <w:rsid w:val="009B520B"/>
    <w:rsid w:val="009C0426"/>
    <w:rsid w:val="009C19A6"/>
    <w:rsid w:val="009C2B5E"/>
    <w:rsid w:val="009C2FD5"/>
    <w:rsid w:val="009C4F78"/>
    <w:rsid w:val="009C571C"/>
    <w:rsid w:val="009C620D"/>
    <w:rsid w:val="009C6955"/>
    <w:rsid w:val="009D1E47"/>
    <w:rsid w:val="009D290E"/>
    <w:rsid w:val="009D4177"/>
    <w:rsid w:val="009D5F38"/>
    <w:rsid w:val="009D61D5"/>
    <w:rsid w:val="009D630D"/>
    <w:rsid w:val="009E00D5"/>
    <w:rsid w:val="009E0859"/>
    <w:rsid w:val="009E0D70"/>
    <w:rsid w:val="009E361D"/>
    <w:rsid w:val="009E5AF0"/>
    <w:rsid w:val="009E652F"/>
    <w:rsid w:val="009E729F"/>
    <w:rsid w:val="009E7BDA"/>
    <w:rsid w:val="009F0046"/>
    <w:rsid w:val="009F028A"/>
    <w:rsid w:val="009F0641"/>
    <w:rsid w:val="009F0A2F"/>
    <w:rsid w:val="009F2EF1"/>
    <w:rsid w:val="009F5C3B"/>
    <w:rsid w:val="009F7AEC"/>
    <w:rsid w:val="00A01DEA"/>
    <w:rsid w:val="00A033C0"/>
    <w:rsid w:val="00A0694E"/>
    <w:rsid w:val="00A105D9"/>
    <w:rsid w:val="00A10D4E"/>
    <w:rsid w:val="00A10F4D"/>
    <w:rsid w:val="00A11A3D"/>
    <w:rsid w:val="00A12450"/>
    <w:rsid w:val="00A13E88"/>
    <w:rsid w:val="00A1475A"/>
    <w:rsid w:val="00A152CF"/>
    <w:rsid w:val="00A15CD7"/>
    <w:rsid w:val="00A17DCF"/>
    <w:rsid w:val="00A2156E"/>
    <w:rsid w:val="00A23888"/>
    <w:rsid w:val="00A2391F"/>
    <w:rsid w:val="00A2439C"/>
    <w:rsid w:val="00A305CA"/>
    <w:rsid w:val="00A3157A"/>
    <w:rsid w:val="00A31835"/>
    <w:rsid w:val="00A32E37"/>
    <w:rsid w:val="00A3461D"/>
    <w:rsid w:val="00A35D0B"/>
    <w:rsid w:val="00A36AC7"/>
    <w:rsid w:val="00A36DEC"/>
    <w:rsid w:val="00A374F3"/>
    <w:rsid w:val="00A40F3D"/>
    <w:rsid w:val="00A41CAB"/>
    <w:rsid w:val="00A4215B"/>
    <w:rsid w:val="00A47816"/>
    <w:rsid w:val="00A50DBE"/>
    <w:rsid w:val="00A55281"/>
    <w:rsid w:val="00A55BA6"/>
    <w:rsid w:val="00A55FC8"/>
    <w:rsid w:val="00A56947"/>
    <w:rsid w:val="00A57B1C"/>
    <w:rsid w:val="00A603E4"/>
    <w:rsid w:val="00A62157"/>
    <w:rsid w:val="00A6220A"/>
    <w:rsid w:val="00A66D79"/>
    <w:rsid w:val="00A67045"/>
    <w:rsid w:val="00A71C93"/>
    <w:rsid w:val="00A71D1D"/>
    <w:rsid w:val="00A731D3"/>
    <w:rsid w:val="00A813A9"/>
    <w:rsid w:val="00A83F9D"/>
    <w:rsid w:val="00A86BAA"/>
    <w:rsid w:val="00A90717"/>
    <w:rsid w:val="00A91962"/>
    <w:rsid w:val="00A9497A"/>
    <w:rsid w:val="00AA018B"/>
    <w:rsid w:val="00AA16E6"/>
    <w:rsid w:val="00AA1861"/>
    <w:rsid w:val="00AA1D82"/>
    <w:rsid w:val="00AA2561"/>
    <w:rsid w:val="00AA4B43"/>
    <w:rsid w:val="00AA53EB"/>
    <w:rsid w:val="00AA6A69"/>
    <w:rsid w:val="00AB0292"/>
    <w:rsid w:val="00AB104B"/>
    <w:rsid w:val="00AB2A1A"/>
    <w:rsid w:val="00AB3836"/>
    <w:rsid w:val="00AB46E9"/>
    <w:rsid w:val="00AB713C"/>
    <w:rsid w:val="00AB7453"/>
    <w:rsid w:val="00AC2EF3"/>
    <w:rsid w:val="00AC54EE"/>
    <w:rsid w:val="00AC55CF"/>
    <w:rsid w:val="00AD0BC8"/>
    <w:rsid w:val="00AD491C"/>
    <w:rsid w:val="00AD4CEE"/>
    <w:rsid w:val="00AD5868"/>
    <w:rsid w:val="00AD608F"/>
    <w:rsid w:val="00AD64CF"/>
    <w:rsid w:val="00AD7013"/>
    <w:rsid w:val="00AD71ED"/>
    <w:rsid w:val="00AE12AE"/>
    <w:rsid w:val="00AE297C"/>
    <w:rsid w:val="00AE2FCC"/>
    <w:rsid w:val="00AE415C"/>
    <w:rsid w:val="00AE5457"/>
    <w:rsid w:val="00AF1989"/>
    <w:rsid w:val="00AF2F0E"/>
    <w:rsid w:val="00AF391D"/>
    <w:rsid w:val="00AF494D"/>
    <w:rsid w:val="00AF5DA4"/>
    <w:rsid w:val="00B01E91"/>
    <w:rsid w:val="00B065CE"/>
    <w:rsid w:val="00B1176E"/>
    <w:rsid w:val="00B12181"/>
    <w:rsid w:val="00B141EF"/>
    <w:rsid w:val="00B1432E"/>
    <w:rsid w:val="00B2079B"/>
    <w:rsid w:val="00B25B79"/>
    <w:rsid w:val="00B275D2"/>
    <w:rsid w:val="00B3091D"/>
    <w:rsid w:val="00B314D1"/>
    <w:rsid w:val="00B33285"/>
    <w:rsid w:val="00B34184"/>
    <w:rsid w:val="00B3459F"/>
    <w:rsid w:val="00B359BB"/>
    <w:rsid w:val="00B36306"/>
    <w:rsid w:val="00B40044"/>
    <w:rsid w:val="00B40D4E"/>
    <w:rsid w:val="00B453C9"/>
    <w:rsid w:val="00B459AB"/>
    <w:rsid w:val="00B47AB3"/>
    <w:rsid w:val="00B540CE"/>
    <w:rsid w:val="00B56156"/>
    <w:rsid w:val="00B564F0"/>
    <w:rsid w:val="00B57B1D"/>
    <w:rsid w:val="00B60EB1"/>
    <w:rsid w:val="00B64730"/>
    <w:rsid w:val="00B65C89"/>
    <w:rsid w:val="00B70079"/>
    <w:rsid w:val="00B70398"/>
    <w:rsid w:val="00B709B2"/>
    <w:rsid w:val="00B70D4E"/>
    <w:rsid w:val="00B71C8A"/>
    <w:rsid w:val="00B72237"/>
    <w:rsid w:val="00B74C95"/>
    <w:rsid w:val="00B76DBE"/>
    <w:rsid w:val="00B8439C"/>
    <w:rsid w:val="00B867CC"/>
    <w:rsid w:val="00B87BC8"/>
    <w:rsid w:val="00B90CBD"/>
    <w:rsid w:val="00B91F35"/>
    <w:rsid w:val="00B93627"/>
    <w:rsid w:val="00B94477"/>
    <w:rsid w:val="00B94BC3"/>
    <w:rsid w:val="00B9531D"/>
    <w:rsid w:val="00B96321"/>
    <w:rsid w:val="00BA1A41"/>
    <w:rsid w:val="00BA2FA1"/>
    <w:rsid w:val="00BA5DC5"/>
    <w:rsid w:val="00BA7031"/>
    <w:rsid w:val="00BA7AEC"/>
    <w:rsid w:val="00BB08AC"/>
    <w:rsid w:val="00BB27C9"/>
    <w:rsid w:val="00BB339C"/>
    <w:rsid w:val="00BC1A64"/>
    <w:rsid w:val="00BC2785"/>
    <w:rsid w:val="00BC2DB1"/>
    <w:rsid w:val="00BC2E09"/>
    <w:rsid w:val="00BC3046"/>
    <w:rsid w:val="00BC4197"/>
    <w:rsid w:val="00BC66E4"/>
    <w:rsid w:val="00BD094A"/>
    <w:rsid w:val="00BD0F92"/>
    <w:rsid w:val="00BD3033"/>
    <w:rsid w:val="00BD4E2D"/>
    <w:rsid w:val="00BD50FF"/>
    <w:rsid w:val="00BE1049"/>
    <w:rsid w:val="00BE5071"/>
    <w:rsid w:val="00BE5936"/>
    <w:rsid w:val="00BF7CF1"/>
    <w:rsid w:val="00C0215F"/>
    <w:rsid w:val="00C033CF"/>
    <w:rsid w:val="00C03444"/>
    <w:rsid w:val="00C04209"/>
    <w:rsid w:val="00C05664"/>
    <w:rsid w:val="00C134DC"/>
    <w:rsid w:val="00C13FD2"/>
    <w:rsid w:val="00C1613E"/>
    <w:rsid w:val="00C17733"/>
    <w:rsid w:val="00C17C53"/>
    <w:rsid w:val="00C17D03"/>
    <w:rsid w:val="00C22797"/>
    <w:rsid w:val="00C237F1"/>
    <w:rsid w:val="00C25C4B"/>
    <w:rsid w:val="00C34EE3"/>
    <w:rsid w:val="00C36383"/>
    <w:rsid w:val="00C36800"/>
    <w:rsid w:val="00C40D3F"/>
    <w:rsid w:val="00C41999"/>
    <w:rsid w:val="00C41D73"/>
    <w:rsid w:val="00C43241"/>
    <w:rsid w:val="00C464EF"/>
    <w:rsid w:val="00C47932"/>
    <w:rsid w:val="00C50B8F"/>
    <w:rsid w:val="00C52952"/>
    <w:rsid w:val="00C53197"/>
    <w:rsid w:val="00C54D1F"/>
    <w:rsid w:val="00C55C24"/>
    <w:rsid w:val="00C576FD"/>
    <w:rsid w:val="00C6164F"/>
    <w:rsid w:val="00C62CB5"/>
    <w:rsid w:val="00C6449E"/>
    <w:rsid w:val="00C66AC2"/>
    <w:rsid w:val="00C67496"/>
    <w:rsid w:val="00C67616"/>
    <w:rsid w:val="00C70588"/>
    <w:rsid w:val="00C70EAA"/>
    <w:rsid w:val="00C7105B"/>
    <w:rsid w:val="00C718FC"/>
    <w:rsid w:val="00C71951"/>
    <w:rsid w:val="00C73D52"/>
    <w:rsid w:val="00C74082"/>
    <w:rsid w:val="00C741CD"/>
    <w:rsid w:val="00C745F8"/>
    <w:rsid w:val="00C75439"/>
    <w:rsid w:val="00C764D7"/>
    <w:rsid w:val="00C81BA8"/>
    <w:rsid w:val="00C8245B"/>
    <w:rsid w:val="00C8421D"/>
    <w:rsid w:val="00C85485"/>
    <w:rsid w:val="00C87DA6"/>
    <w:rsid w:val="00C90654"/>
    <w:rsid w:val="00C908C1"/>
    <w:rsid w:val="00C91A4C"/>
    <w:rsid w:val="00C9262E"/>
    <w:rsid w:val="00C95792"/>
    <w:rsid w:val="00C96DAC"/>
    <w:rsid w:val="00C97D59"/>
    <w:rsid w:val="00CA2CDA"/>
    <w:rsid w:val="00CA3EE8"/>
    <w:rsid w:val="00CA5FE3"/>
    <w:rsid w:val="00CA7A79"/>
    <w:rsid w:val="00CB0F41"/>
    <w:rsid w:val="00CB27AD"/>
    <w:rsid w:val="00CB2A89"/>
    <w:rsid w:val="00CB397B"/>
    <w:rsid w:val="00CB4958"/>
    <w:rsid w:val="00CB4D62"/>
    <w:rsid w:val="00CB574B"/>
    <w:rsid w:val="00CB69F3"/>
    <w:rsid w:val="00CB7C62"/>
    <w:rsid w:val="00CC0660"/>
    <w:rsid w:val="00CC0913"/>
    <w:rsid w:val="00CC09DA"/>
    <w:rsid w:val="00CC26D5"/>
    <w:rsid w:val="00CC2D3E"/>
    <w:rsid w:val="00CC31D9"/>
    <w:rsid w:val="00CC334E"/>
    <w:rsid w:val="00CD12AA"/>
    <w:rsid w:val="00CD1379"/>
    <w:rsid w:val="00CD289C"/>
    <w:rsid w:val="00CD37EC"/>
    <w:rsid w:val="00CD4710"/>
    <w:rsid w:val="00CD4EAB"/>
    <w:rsid w:val="00CD622B"/>
    <w:rsid w:val="00CD73CB"/>
    <w:rsid w:val="00CE2A1A"/>
    <w:rsid w:val="00CF0BEA"/>
    <w:rsid w:val="00CF42F7"/>
    <w:rsid w:val="00CF49D7"/>
    <w:rsid w:val="00CF50F8"/>
    <w:rsid w:val="00CF7EC0"/>
    <w:rsid w:val="00D00C1A"/>
    <w:rsid w:val="00D01285"/>
    <w:rsid w:val="00D01723"/>
    <w:rsid w:val="00D10409"/>
    <w:rsid w:val="00D150E2"/>
    <w:rsid w:val="00D1604E"/>
    <w:rsid w:val="00D17328"/>
    <w:rsid w:val="00D174AC"/>
    <w:rsid w:val="00D17575"/>
    <w:rsid w:val="00D20D65"/>
    <w:rsid w:val="00D22931"/>
    <w:rsid w:val="00D23ACD"/>
    <w:rsid w:val="00D2515A"/>
    <w:rsid w:val="00D2528D"/>
    <w:rsid w:val="00D30603"/>
    <w:rsid w:val="00D32FD3"/>
    <w:rsid w:val="00D343BB"/>
    <w:rsid w:val="00D406E1"/>
    <w:rsid w:val="00D41534"/>
    <w:rsid w:val="00D43630"/>
    <w:rsid w:val="00D44632"/>
    <w:rsid w:val="00D44A44"/>
    <w:rsid w:val="00D45F91"/>
    <w:rsid w:val="00D47001"/>
    <w:rsid w:val="00D56386"/>
    <w:rsid w:val="00D57D5E"/>
    <w:rsid w:val="00D6214D"/>
    <w:rsid w:val="00D63E99"/>
    <w:rsid w:val="00D6567C"/>
    <w:rsid w:val="00D67010"/>
    <w:rsid w:val="00D679C7"/>
    <w:rsid w:val="00D703FF"/>
    <w:rsid w:val="00D71C44"/>
    <w:rsid w:val="00D72122"/>
    <w:rsid w:val="00D7241A"/>
    <w:rsid w:val="00D72AAF"/>
    <w:rsid w:val="00D72DCC"/>
    <w:rsid w:val="00D76114"/>
    <w:rsid w:val="00D8004A"/>
    <w:rsid w:val="00D80B16"/>
    <w:rsid w:val="00D832AE"/>
    <w:rsid w:val="00D83B80"/>
    <w:rsid w:val="00D84F0A"/>
    <w:rsid w:val="00D9006B"/>
    <w:rsid w:val="00D9437E"/>
    <w:rsid w:val="00D94A6C"/>
    <w:rsid w:val="00D9745C"/>
    <w:rsid w:val="00D97DEE"/>
    <w:rsid w:val="00DA2610"/>
    <w:rsid w:val="00DA4DEC"/>
    <w:rsid w:val="00DA5F6F"/>
    <w:rsid w:val="00DA70B0"/>
    <w:rsid w:val="00DA779F"/>
    <w:rsid w:val="00DA7AFA"/>
    <w:rsid w:val="00DB0B42"/>
    <w:rsid w:val="00DB1278"/>
    <w:rsid w:val="00DB275B"/>
    <w:rsid w:val="00DB4FD3"/>
    <w:rsid w:val="00DB5A33"/>
    <w:rsid w:val="00DB6050"/>
    <w:rsid w:val="00DB6EBA"/>
    <w:rsid w:val="00DB771D"/>
    <w:rsid w:val="00DC1F00"/>
    <w:rsid w:val="00DC2BE2"/>
    <w:rsid w:val="00DC4B5D"/>
    <w:rsid w:val="00DC5A42"/>
    <w:rsid w:val="00DC5C6E"/>
    <w:rsid w:val="00DD05B6"/>
    <w:rsid w:val="00DD3E3A"/>
    <w:rsid w:val="00DD5FCF"/>
    <w:rsid w:val="00DD776B"/>
    <w:rsid w:val="00DE15A7"/>
    <w:rsid w:val="00DF0590"/>
    <w:rsid w:val="00DF1BEA"/>
    <w:rsid w:val="00DF3083"/>
    <w:rsid w:val="00DF64DA"/>
    <w:rsid w:val="00DF7DF8"/>
    <w:rsid w:val="00DF7F96"/>
    <w:rsid w:val="00E0076D"/>
    <w:rsid w:val="00E0292F"/>
    <w:rsid w:val="00E02E17"/>
    <w:rsid w:val="00E04A92"/>
    <w:rsid w:val="00E074A3"/>
    <w:rsid w:val="00E14C73"/>
    <w:rsid w:val="00E15AB5"/>
    <w:rsid w:val="00E21599"/>
    <w:rsid w:val="00E22172"/>
    <w:rsid w:val="00E22E8B"/>
    <w:rsid w:val="00E24637"/>
    <w:rsid w:val="00E24BC1"/>
    <w:rsid w:val="00E24C3D"/>
    <w:rsid w:val="00E27DE9"/>
    <w:rsid w:val="00E30B42"/>
    <w:rsid w:val="00E316FA"/>
    <w:rsid w:val="00E34D5D"/>
    <w:rsid w:val="00E34F41"/>
    <w:rsid w:val="00E3581A"/>
    <w:rsid w:val="00E3658E"/>
    <w:rsid w:val="00E41B08"/>
    <w:rsid w:val="00E431F1"/>
    <w:rsid w:val="00E43399"/>
    <w:rsid w:val="00E45442"/>
    <w:rsid w:val="00E50C7B"/>
    <w:rsid w:val="00E51BDC"/>
    <w:rsid w:val="00E51F7B"/>
    <w:rsid w:val="00E53DD7"/>
    <w:rsid w:val="00E542CA"/>
    <w:rsid w:val="00E54AC8"/>
    <w:rsid w:val="00E55B29"/>
    <w:rsid w:val="00E55CB9"/>
    <w:rsid w:val="00E55D98"/>
    <w:rsid w:val="00E57A4F"/>
    <w:rsid w:val="00E60B28"/>
    <w:rsid w:val="00E60C2B"/>
    <w:rsid w:val="00E61342"/>
    <w:rsid w:val="00E61970"/>
    <w:rsid w:val="00E61FAF"/>
    <w:rsid w:val="00E634C3"/>
    <w:rsid w:val="00E66A4C"/>
    <w:rsid w:val="00E66BB2"/>
    <w:rsid w:val="00E70005"/>
    <w:rsid w:val="00E71B10"/>
    <w:rsid w:val="00E72F45"/>
    <w:rsid w:val="00E762D5"/>
    <w:rsid w:val="00E83505"/>
    <w:rsid w:val="00E836C3"/>
    <w:rsid w:val="00E84411"/>
    <w:rsid w:val="00E869AE"/>
    <w:rsid w:val="00E91B14"/>
    <w:rsid w:val="00E91DC7"/>
    <w:rsid w:val="00E97CE2"/>
    <w:rsid w:val="00EA00FF"/>
    <w:rsid w:val="00EA01BF"/>
    <w:rsid w:val="00EA0894"/>
    <w:rsid w:val="00EA3D11"/>
    <w:rsid w:val="00EA56F2"/>
    <w:rsid w:val="00EA63B2"/>
    <w:rsid w:val="00EA6D0A"/>
    <w:rsid w:val="00EB005F"/>
    <w:rsid w:val="00EB082E"/>
    <w:rsid w:val="00EB3BA2"/>
    <w:rsid w:val="00EB5585"/>
    <w:rsid w:val="00EB631E"/>
    <w:rsid w:val="00EC0C1A"/>
    <w:rsid w:val="00EC1A09"/>
    <w:rsid w:val="00EC22B2"/>
    <w:rsid w:val="00EC2448"/>
    <w:rsid w:val="00EC7115"/>
    <w:rsid w:val="00ED2CD1"/>
    <w:rsid w:val="00ED3512"/>
    <w:rsid w:val="00ED4AF6"/>
    <w:rsid w:val="00ED5768"/>
    <w:rsid w:val="00ED71E1"/>
    <w:rsid w:val="00EE1126"/>
    <w:rsid w:val="00EE3D8E"/>
    <w:rsid w:val="00EE4905"/>
    <w:rsid w:val="00EE7373"/>
    <w:rsid w:val="00EF0805"/>
    <w:rsid w:val="00EF225A"/>
    <w:rsid w:val="00EF252A"/>
    <w:rsid w:val="00EF26E5"/>
    <w:rsid w:val="00EF5212"/>
    <w:rsid w:val="00EF59AD"/>
    <w:rsid w:val="00EF5DF0"/>
    <w:rsid w:val="00EF6492"/>
    <w:rsid w:val="00EF68D8"/>
    <w:rsid w:val="00EF6F4B"/>
    <w:rsid w:val="00EF7AB5"/>
    <w:rsid w:val="00F00D42"/>
    <w:rsid w:val="00F01B3E"/>
    <w:rsid w:val="00F01FD5"/>
    <w:rsid w:val="00F032A7"/>
    <w:rsid w:val="00F0455A"/>
    <w:rsid w:val="00F0512C"/>
    <w:rsid w:val="00F05283"/>
    <w:rsid w:val="00F05C42"/>
    <w:rsid w:val="00F05DBD"/>
    <w:rsid w:val="00F07148"/>
    <w:rsid w:val="00F072EE"/>
    <w:rsid w:val="00F115F5"/>
    <w:rsid w:val="00F128F0"/>
    <w:rsid w:val="00F12A74"/>
    <w:rsid w:val="00F13FF2"/>
    <w:rsid w:val="00F177B6"/>
    <w:rsid w:val="00F2048B"/>
    <w:rsid w:val="00F2055B"/>
    <w:rsid w:val="00F21860"/>
    <w:rsid w:val="00F2387E"/>
    <w:rsid w:val="00F24712"/>
    <w:rsid w:val="00F25663"/>
    <w:rsid w:val="00F26961"/>
    <w:rsid w:val="00F30FBF"/>
    <w:rsid w:val="00F31011"/>
    <w:rsid w:val="00F33F7B"/>
    <w:rsid w:val="00F34F45"/>
    <w:rsid w:val="00F40D2D"/>
    <w:rsid w:val="00F410C8"/>
    <w:rsid w:val="00F41147"/>
    <w:rsid w:val="00F424C7"/>
    <w:rsid w:val="00F44C21"/>
    <w:rsid w:val="00F46067"/>
    <w:rsid w:val="00F4726F"/>
    <w:rsid w:val="00F54CF0"/>
    <w:rsid w:val="00F551A5"/>
    <w:rsid w:val="00F575E6"/>
    <w:rsid w:val="00F648BD"/>
    <w:rsid w:val="00F65581"/>
    <w:rsid w:val="00F67413"/>
    <w:rsid w:val="00F70532"/>
    <w:rsid w:val="00F705BA"/>
    <w:rsid w:val="00F7185A"/>
    <w:rsid w:val="00F7211E"/>
    <w:rsid w:val="00F74DCF"/>
    <w:rsid w:val="00F7763C"/>
    <w:rsid w:val="00F77B02"/>
    <w:rsid w:val="00F8022A"/>
    <w:rsid w:val="00F82E9E"/>
    <w:rsid w:val="00F83299"/>
    <w:rsid w:val="00F84D95"/>
    <w:rsid w:val="00F9078F"/>
    <w:rsid w:val="00F94988"/>
    <w:rsid w:val="00F95289"/>
    <w:rsid w:val="00F95589"/>
    <w:rsid w:val="00F97CBA"/>
    <w:rsid w:val="00FA2930"/>
    <w:rsid w:val="00FA3BB5"/>
    <w:rsid w:val="00FA48E9"/>
    <w:rsid w:val="00FA73DE"/>
    <w:rsid w:val="00FA7E18"/>
    <w:rsid w:val="00FB33FD"/>
    <w:rsid w:val="00FB4C24"/>
    <w:rsid w:val="00FB5240"/>
    <w:rsid w:val="00FB7782"/>
    <w:rsid w:val="00FC0037"/>
    <w:rsid w:val="00FC1C1E"/>
    <w:rsid w:val="00FC36A2"/>
    <w:rsid w:val="00FC43B1"/>
    <w:rsid w:val="00FC53A0"/>
    <w:rsid w:val="00FD10C8"/>
    <w:rsid w:val="00FD29DE"/>
    <w:rsid w:val="00FD4B43"/>
    <w:rsid w:val="00FD5ACE"/>
    <w:rsid w:val="00FD5B74"/>
    <w:rsid w:val="00FD6378"/>
    <w:rsid w:val="00FE2830"/>
    <w:rsid w:val="00FE3031"/>
    <w:rsid w:val="00FE3216"/>
    <w:rsid w:val="00FE5206"/>
    <w:rsid w:val="00FE5215"/>
    <w:rsid w:val="00FE6323"/>
    <w:rsid w:val="00FE7F17"/>
    <w:rsid w:val="00FF0919"/>
    <w:rsid w:val="00FF1367"/>
    <w:rsid w:val="00FF5622"/>
    <w:rsid w:val="4C47AB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AF9636"/>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00C40"/>
    <w:pPr>
      <w:spacing w:line="360" w:lineRule="auto"/>
      <w:jc w:val="both"/>
    </w:pPr>
    <w:rPr>
      <w:rFonts w:ascii="Times New Roman" w:hAnsi="Times New Roman" w:cs="Times New Roman"/>
      <w:lang w:val="en-GB" w:eastAsia="en-GB"/>
    </w:rPr>
  </w:style>
  <w:style w:type="paragraph" w:styleId="Heading1">
    <w:name w:val="heading 1"/>
    <w:basedOn w:val="Normal"/>
    <w:next w:val="Normal"/>
    <w:link w:val="Heading1Char"/>
    <w:autoRedefine/>
    <w:uiPriority w:val="9"/>
    <w:qFormat/>
    <w:rsid w:val="00D84F0A"/>
    <w:pPr>
      <w:keepNext/>
      <w:keepLines/>
      <w:numPr>
        <w:numId w:val="7"/>
      </w:numPr>
      <w:spacing w:before="240"/>
      <w:outlineLvl w:val="0"/>
    </w:pPr>
    <w:rPr>
      <w:rFonts w:eastAsiaTheme="majorEastAsia" w:cstheme="majorBidi"/>
      <w:b/>
      <w:color w:val="2F5496" w:themeColor="accent1" w:themeShade="BF"/>
      <w:sz w:val="32"/>
      <w:szCs w:val="32"/>
    </w:rPr>
  </w:style>
  <w:style w:type="paragraph" w:styleId="Heading2">
    <w:name w:val="heading 2"/>
    <w:basedOn w:val="Normal"/>
    <w:next w:val="Normal"/>
    <w:link w:val="Heading2Char"/>
    <w:autoRedefine/>
    <w:uiPriority w:val="9"/>
    <w:unhideWhenUsed/>
    <w:qFormat/>
    <w:rsid w:val="001D7D29"/>
    <w:pPr>
      <w:keepNext/>
      <w:keepLines/>
      <w:numPr>
        <w:ilvl w:val="1"/>
        <w:numId w:val="7"/>
      </w:numPr>
      <w:spacing w:before="280" w:after="240"/>
      <w:outlineLvl w:val="1"/>
    </w:pPr>
    <w:rPr>
      <w:rFonts w:eastAsiaTheme="majorEastAsia"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913793"/>
    <w:pPr>
      <w:keepNext/>
      <w:keepLines/>
      <w:numPr>
        <w:ilvl w:val="2"/>
        <w:numId w:val="7"/>
      </w:numPr>
      <w:spacing w:before="40"/>
      <w:outlineLvl w:val="2"/>
    </w:pPr>
    <w:rPr>
      <w:rFonts w:eastAsiaTheme="majorEastAsia" w:cstheme="majorBidi"/>
      <w:b/>
      <w:color w:val="1F3763" w:themeColor="accent1" w:themeShade="7F"/>
    </w:rPr>
  </w:style>
  <w:style w:type="paragraph" w:styleId="Heading4">
    <w:name w:val="heading 4"/>
    <w:basedOn w:val="Normal"/>
    <w:link w:val="Heading4Char"/>
    <w:uiPriority w:val="9"/>
    <w:qFormat/>
    <w:rsid w:val="007650A3"/>
    <w:pPr>
      <w:numPr>
        <w:ilvl w:val="3"/>
        <w:numId w:val="7"/>
      </w:numPr>
      <w:spacing w:before="100" w:beforeAutospacing="1" w:after="100" w:afterAutospacing="1"/>
      <w:outlineLvl w:val="3"/>
    </w:pPr>
    <w:rPr>
      <w:b/>
      <w:bCs/>
    </w:rPr>
  </w:style>
  <w:style w:type="paragraph" w:styleId="Heading5">
    <w:name w:val="heading 5"/>
    <w:basedOn w:val="Normal"/>
    <w:next w:val="Normal"/>
    <w:link w:val="Heading5Char"/>
    <w:uiPriority w:val="9"/>
    <w:semiHidden/>
    <w:unhideWhenUsed/>
    <w:qFormat/>
    <w:rsid w:val="008832E1"/>
    <w:pPr>
      <w:keepNext/>
      <w:keepLines/>
      <w:numPr>
        <w:ilvl w:val="4"/>
        <w:numId w:val="7"/>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832E1"/>
    <w:pPr>
      <w:keepNext/>
      <w:keepLines/>
      <w:numPr>
        <w:ilvl w:val="5"/>
        <w:numId w:val="7"/>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832E1"/>
    <w:pPr>
      <w:keepNext/>
      <w:keepLines/>
      <w:numPr>
        <w:ilvl w:val="6"/>
        <w:numId w:val="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832E1"/>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832E1"/>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D7D29"/>
    <w:rPr>
      <w:rFonts w:ascii="Times New Roman" w:eastAsiaTheme="majorEastAsia" w:hAnsi="Times New Roman" w:cstheme="majorBidi"/>
      <w:b/>
      <w:color w:val="2F5496" w:themeColor="accent1" w:themeShade="BF"/>
      <w:sz w:val="26"/>
      <w:szCs w:val="26"/>
      <w:lang w:val="en-GB" w:eastAsia="en-GB"/>
    </w:rPr>
  </w:style>
  <w:style w:type="paragraph" w:styleId="DocumentMap">
    <w:name w:val="Document Map"/>
    <w:basedOn w:val="Normal"/>
    <w:link w:val="DocumentMapChar"/>
    <w:uiPriority w:val="99"/>
    <w:semiHidden/>
    <w:unhideWhenUsed/>
    <w:rsid w:val="00AD4CEE"/>
  </w:style>
  <w:style w:type="character" w:customStyle="1" w:styleId="DocumentMapChar">
    <w:name w:val="Document Map Char"/>
    <w:basedOn w:val="DefaultParagraphFont"/>
    <w:link w:val="DocumentMap"/>
    <w:uiPriority w:val="99"/>
    <w:semiHidden/>
    <w:rsid w:val="00AD4CEE"/>
    <w:rPr>
      <w:rFonts w:ascii="Times New Roman" w:hAnsi="Times New Roman" w:cs="Times New Roman"/>
    </w:rPr>
  </w:style>
  <w:style w:type="character" w:customStyle="1" w:styleId="Heading3Char">
    <w:name w:val="Heading 3 Char"/>
    <w:basedOn w:val="DefaultParagraphFont"/>
    <w:link w:val="Heading3"/>
    <w:uiPriority w:val="9"/>
    <w:rsid w:val="00913793"/>
    <w:rPr>
      <w:rFonts w:ascii="Times New Roman" w:eastAsiaTheme="majorEastAsia" w:hAnsi="Times New Roman" w:cstheme="majorBidi"/>
      <w:b/>
      <w:color w:val="1F3763" w:themeColor="accent1" w:themeShade="7F"/>
      <w:lang w:val="en-GB" w:eastAsia="en-GB"/>
    </w:rPr>
  </w:style>
  <w:style w:type="character" w:customStyle="1" w:styleId="Heading1Char">
    <w:name w:val="Heading 1 Char"/>
    <w:basedOn w:val="DefaultParagraphFont"/>
    <w:link w:val="Heading1"/>
    <w:uiPriority w:val="9"/>
    <w:rsid w:val="00D84F0A"/>
    <w:rPr>
      <w:rFonts w:ascii="Times New Roman" w:eastAsiaTheme="majorEastAsia" w:hAnsi="Times New Roman" w:cstheme="majorBidi"/>
      <w:b/>
      <w:color w:val="2F5496" w:themeColor="accent1" w:themeShade="BF"/>
      <w:sz w:val="32"/>
      <w:szCs w:val="32"/>
      <w:lang w:val="en-GB" w:eastAsia="en-GB"/>
    </w:rPr>
  </w:style>
  <w:style w:type="paragraph" w:styleId="NormalWeb">
    <w:name w:val="Normal (Web)"/>
    <w:basedOn w:val="Normal"/>
    <w:uiPriority w:val="99"/>
    <w:unhideWhenUsed/>
    <w:rsid w:val="00F41147"/>
    <w:pPr>
      <w:spacing w:before="100" w:beforeAutospacing="1" w:after="100" w:afterAutospacing="1"/>
    </w:pPr>
    <w:rPr>
      <w:rFonts w:eastAsia="Times New Roman"/>
    </w:rPr>
  </w:style>
  <w:style w:type="character" w:styleId="CommentReference">
    <w:name w:val="annotation reference"/>
    <w:basedOn w:val="DefaultParagraphFont"/>
    <w:uiPriority w:val="99"/>
    <w:unhideWhenUsed/>
    <w:rsid w:val="00D9437E"/>
    <w:rPr>
      <w:sz w:val="16"/>
      <w:szCs w:val="16"/>
    </w:rPr>
  </w:style>
  <w:style w:type="paragraph" w:styleId="CommentText">
    <w:name w:val="annotation text"/>
    <w:basedOn w:val="Normal"/>
    <w:link w:val="CommentTextChar"/>
    <w:uiPriority w:val="99"/>
    <w:unhideWhenUsed/>
    <w:rsid w:val="00D9437E"/>
    <w:rPr>
      <w:sz w:val="20"/>
      <w:szCs w:val="20"/>
    </w:rPr>
  </w:style>
  <w:style w:type="character" w:customStyle="1" w:styleId="CommentTextChar">
    <w:name w:val="Comment Text Char"/>
    <w:basedOn w:val="DefaultParagraphFont"/>
    <w:link w:val="CommentText"/>
    <w:uiPriority w:val="99"/>
    <w:rsid w:val="00D9437E"/>
    <w:rPr>
      <w:sz w:val="20"/>
      <w:szCs w:val="20"/>
    </w:rPr>
  </w:style>
  <w:style w:type="paragraph" w:styleId="CommentSubject">
    <w:name w:val="annotation subject"/>
    <w:basedOn w:val="CommentText"/>
    <w:next w:val="CommentText"/>
    <w:link w:val="CommentSubjectChar"/>
    <w:uiPriority w:val="99"/>
    <w:semiHidden/>
    <w:unhideWhenUsed/>
    <w:rsid w:val="00D9437E"/>
    <w:rPr>
      <w:b/>
      <w:bCs/>
    </w:rPr>
  </w:style>
  <w:style w:type="character" w:customStyle="1" w:styleId="CommentSubjectChar">
    <w:name w:val="Comment Subject Char"/>
    <w:basedOn w:val="CommentTextChar"/>
    <w:link w:val="CommentSubject"/>
    <w:uiPriority w:val="99"/>
    <w:semiHidden/>
    <w:rsid w:val="00D9437E"/>
    <w:rPr>
      <w:b/>
      <w:bCs/>
      <w:sz w:val="20"/>
      <w:szCs w:val="20"/>
    </w:rPr>
  </w:style>
  <w:style w:type="paragraph" w:styleId="BalloonText">
    <w:name w:val="Balloon Text"/>
    <w:basedOn w:val="Normal"/>
    <w:link w:val="BalloonTextChar"/>
    <w:uiPriority w:val="99"/>
    <w:semiHidden/>
    <w:unhideWhenUsed/>
    <w:rsid w:val="00D943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437E"/>
    <w:rPr>
      <w:rFonts w:ascii="Segoe UI" w:hAnsi="Segoe UI" w:cs="Segoe UI"/>
      <w:sz w:val="18"/>
      <w:szCs w:val="18"/>
    </w:rPr>
  </w:style>
  <w:style w:type="character" w:styleId="Emphasis">
    <w:name w:val="Emphasis"/>
    <w:basedOn w:val="DefaultParagraphFont"/>
    <w:uiPriority w:val="20"/>
    <w:qFormat/>
    <w:rsid w:val="009B1F8A"/>
    <w:rPr>
      <w:i/>
      <w:iCs/>
    </w:rPr>
  </w:style>
  <w:style w:type="paragraph" w:styleId="Caption">
    <w:name w:val="caption"/>
    <w:basedOn w:val="Normal"/>
    <w:next w:val="Normal"/>
    <w:uiPriority w:val="35"/>
    <w:unhideWhenUsed/>
    <w:qFormat/>
    <w:rsid w:val="00740B4B"/>
    <w:rPr>
      <w:rFonts w:eastAsiaTheme="minorEastAsia"/>
      <w:b/>
      <w:iCs/>
      <w:color w:val="000000" w:themeColor="text1"/>
      <w:szCs w:val="18"/>
    </w:rPr>
  </w:style>
  <w:style w:type="paragraph" w:styleId="Header">
    <w:name w:val="header"/>
    <w:basedOn w:val="Normal"/>
    <w:link w:val="HeaderChar"/>
    <w:uiPriority w:val="99"/>
    <w:unhideWhenUsed/>
    <w:rsid w:val="001E6EB5"/>
    <w:pPr>
      <w:tabs>
        <w:tab w:val="center" w:pos="4419"/>
        <w:tab w:val="right" w:pos="8838"/>
      </w:tabs>
    </w:pPr>
  </w:style>
  <w:style w:type="character" w:customStyle="1" w:styleId="HeaderChar">
    <w:name w:val="Header Char"/>
    <w:basedOn w:val="DefaultParagraphFont"/>
    <w:link w:val="Header"/>
    <w:uiPriority w:val="99"/>
    <w:rsid w:val="001E6EB5"/>
  </w:style>
  <w:style w:type="character" w:styleId="PageNumber">
    <w:name w:val="page number"/>
    <w:basedOn w:val="DefaultParagraphFont"/>
    <w:uiPriority w:val="99"/>
    <w:semiHidden/>
    <w:unhideWhenUsed/>
    <w:rsid w:val="001E6EB5"/>
  </w:style>
  <w:style w:type="character" w:customStyle="1" w:styleId="apple-converted-space">
    <w:name w:val="apple-converted-space"/>
    <w:basedOn w:val="DefaultParagraphFont"/>
    <w:rsid w:val="00554EDF"/>
  </w:style>
  <w:style w:type="character" w:customStyle="1" w:styleId="Heading4Char">
    <w:name w:val="Heading 4 Char"/>
    <w:basedOn w:val="DefaultParagraphFont"/>
    <w:link w:val="Heading4"/>
    <w:uiPriority w:val="9"/>
    <w:rsid w:val="007650A3"/>
    <w:rPr>
      <w:rFonts w:ascii="Times New Roman" w:hAnsi="Times New Roman" w:cs="Times New Roman"/>
      <w:b/>
      <w:bCs/>
      <w:lang w:val="en-GB" w:eastAsia="en-GB"/>
    </w:rPr>
  </w:style>
  <w:style w:type="paragraph" w:customStyle="1" w:styleId="EndNoteBibliographyTitle">
    <w:name w:val="EndNote Bibliography Title"/>
    <w:basedOn w:val="Normal"/>
    <w:rsid w:val="008F02D0"/>
    <w:pPr>
      <w:jc w:val="center"/>
    </w:pPr>
    <w:rPr>
      <w:rFonts w:ascii="Calibri" w:hAnsi="Calibri"/>
    </w:rPr>
  </w:style>
  <w:style w:type="paragraph" w:customStyle="1" w:styleId="EndNoteBibliography">
    <w:name w:val="EndNote Bibliography"/>
    <w:basedOn w:val="Normal"/>
    <w:rsid w:val="008F02D0"/>
    <w:rPr>
      <w:rFonts w:ascii="Calibri" w:hAnsi="Calibri"/>
    </w:rPr>
  </w:style>
  <w:style w:type="character" w:styleId="Hyperlink">
    <w:name w:val="Hyperlink"/>
    <w:basedOn w:val="DefaultParagraphFont"/>
    <w:uiPriority w:val="99"/>
    <w:semiHidden/>
    <w:unhideWhenUsed/>
    <w:rsid w:val="00EF59AD"/>
    <w:rPr>
      <w:color w:val="0000FF"/>
      <w:u w:val="single"/>
    </w:rPr>
  </w:style>
  <w:style w:type="paragraph" w:customStyle="1" w:styleId="p">
    <w:name w:val="p"/>
    <w:basedOn w:val="Normal"/>
    <w:rsid w:val="00940FBB"/>
    <w:pPr>
      <w:spacing w:before="100" w:beforeAutospacing="1" w:after="100" w:afterAutospacing="1"/>
    </w:pPr>
  </w:style>
  <w:style w:type="paragraph" w:styleId="Revision">
    <w:name w:val="Revision"/>
    <w:hidden/>
    <w:uiPriority w:val="99"/>
    <w:semiHidden/>
    <w:rsid w:val="00B94477"/>
    <w:rPr>
      <w:rFonts w:ascii="Times New Roman" w:hAnsi="Times New Roman" w:cs="Times New Roman"/>
      <w:lang w:val="en-GB" w:eastAsia="en-GB"/>
    </w:rPr>
  </w:style>
  <w:style w:type="character" w:customStyle="1" w:styleId="small-caps">
    <w:name w:val="small-caps"/>
    <w:basedOn w:val="DefaultParagraphFont"/>
    <w:rsid w:val="00015F2E"/>
  </w:style>
  <w:style w:type="paragraph" w:customStyle="1" w:styleId="para">
    <w:name w:val="para"/>
    <w:basedOn w:val="Normal"/>
    <w:rsid w:val="00015F2E"/>
    <w:pPr>
      <w:spacing w:before="100" w:beforeAutospacing="1" w:after="100" w:afterAutospacing="1"/>
    </w:pPr>
    <w:rPr>
      <w:rFonts w:eastAsia="Times New Roman"/>
    </w:rPr>
  </w:style>
  <w:style w:type="paragraph" w:styleId="NoSpacing">
    <w:name w:val="No Spacing"/>
    <w:link w:val="NoSpacingChar"/>
    <w:uiPriority w:val="1"/>
    <w:qFormat/>
    <w:rsid w:val="00914DB2"/>
    <w:rPr>
      <w:rFonts w:ascii="Calibri" w:eastAsia="PMingLiU" w:hAnsi="Calibri" w:cs="Times New Roman"/>
      <w:sz w:val="22"/>
      <w:szCs w:val="22"/>
      <w:lang w:val="en-GB" w:eastAsia="zh-CN"/>
    </w:rPr>
  </w:style>
  <w:style w:type="character" w:customStyle="1" w:styleId="NoSpacingChar">
    <w:name w:val="No Spacing Char"/>
    <w:basedOn w:val="DefaultParagraphFont"/>
    <w:link w:val="NoSpacing"/>
    <w:uiPriority w:val="1"/>
    <w:rsid w:val="00914DB2"/>
    <w:rPr>
      <w:rFonts w:ascii="Calibri" w:eastAsia="PMingLiU" w:hAnsi="Calibri" w:cs="Times New Roman"/>
      <w:sz w:val="22"/>
      <w:szCs w:val="22"/>
      <w:lang w:val="en-GB" w:eastAsia="zh-CN"/>
    </w:rPr>
  </w:style>
  <w:style w:type="character" w:styleId="FollowedHyperlink">
    <w:name w:val="FollowedHyperlink"/>
    <w:basedOn w:val="DefaultParagraphFont"/>
    <w:uiPriority w:val="99"/>
    <w:semiHidden/>
    <w:unhideWhenUsed/>
    <w:rsid w:val="006D6D3B"/>
    <w:rPr>
      <w:color w:val="954F72" w:themeColor="followedHyperlink"/>
      <w:u w:val="single"/>
    </w:rPr>
  </w:style>
  <w:style w:type="character" w:customStyle="1" w:styleId="Heading5Char">
    <w:name w:val="Heading 5 Char"/>
    <w:basedOn w:val="DefaultParagraphFont"/>
    <w:link w:val="Heading5"/>
    <w:uiPriority w:val="9"/>
    <w:semiHidden/>
    <w:rsid w:val="008832E1"/>
    <w:rPr>
      <w:rFonts w:asciiTheme="majorHAnsi" w:eastAsiaTheme="majorEastAsia" w:hAnsiTheme="majorHAnsi" w:cstheme="majorBidi"/>
      <w:color w:val="2F5496" w:themeColor="accent1" w:themeShade="BF"/>
      <w:lang w:val="en-GB" w:eastAsia="en-GB"/>
    </w:rPr>
  </w:style>
  <w:style w:type="character" w:customStyle="1" w:styleId="Heading6Char">
    <w:name w:val="Heading 6 Char"/>
    <w:basedOn w:val="DefaultParagraphFont"/>
    <w:link w:val="Heading6"/>
    <w:uiPriority w:val="9"/>
    <w:semiHidden/>
    <w:rsid w:val="008832E1"/>
    <w:rPr>
      <w:rFonts w:asciiTheme="majorHAnsi" w:eastAsiaTheme="majorEastAsia" w:hAnsiTheme="majorHAnsi" w:cstheme="majorBidi"/>
      <w:color w:val="1F3763" w:themeColor="accent1" w:themeShade="7F"/>
      <w:lang w:val="en-GB" w:eastAsia="en-GB"/>
    </w:rPr>
  </w:style>
  <w:style w:type="character" w:customStyle="1" w:styleId="Heading7Char">
    <w:name w:val="Heading 7 Char"/>
    <w:basedOn w:val="DefaultParagraphFont"/>
    <w:link w:val="Heading7"/>
    <w:uiPriority w:val="9"/>
    <w:semiHidden/>
    <w:rsid w:val="008832E1"/>
    <w:rPr>
      <w:rFonts w:asciiTheme="majorHAnsi" w:eastAsiaTheme="majorEastAsia" w:hAnsiTheme="majorHAnsi" w:cstheme="majorBidi"/>
      <w:i/>
      <w:iCs/>
      <w:color w:val="1F3763" w:themeColor="accent1" w:themeShade="7F"/>
      <w:lang w:val="en-GB" w:eastAsia="en-GB"/>
    </w:rPr>
  </w:style>
  <w:style w:type="character" w:customStyle="1" w:styleId="Heading8Char">
    <w:name w:val="Heading 8 Char"/>
    <w:basedOn w:val="DefaultParagraphFont"/>
    <w:link w:val="Heading8"/>
    <w:uiPriority w:val="9"/>
    <w:semiHidden/>
    <w:rsid w:val="008832E1"/>
    <w:rPr>
      <w:rFonts w:asciiTheme="majorHAnsi" w:eastAsiaTheme="majorEastAsia" w:hAnsiTheme="majorHAnsi" w:cstheme="majorBidi"/>
      <w:color w:val="272727" w:themeColor="text1" w:themeTint="D8"/>
      <w:sz w:val="21"/>
      <w:szCs w:val="21"/>
      <w:lang w:val="en-GB" w:eastAsia="en-GB"/>
    </w:rPr>
  </w:style>
  <w:style w:type="character" w:customStyle="1" w:styleId="Heading9Char">
    <w:name w:val="Heading 9 Char"/>
    <w:basedOn w:val="DefaultParagraphFont"/>
    <w:link w:val="Heading9"/>
    <w:uiPriority w:val="9"/>
    <w:semiHidden/>
    <w:rsid w:val="008832E1"/>
    <w:rPr>
      <w:rFonts w:asciiTheme="majorHAnsi" w:eastAsiaTheme="majorEastAsia" w:hAnsiTheme="majorHAnsi" w:cstheme="majorBidi"/>
      <w:i/>
      <w:iCs/>
      <w:color w:val="272727" w:themeColor="text1" w:themeTint="D8"/>
      <w:sz w:val="21"/>
      <w:szCs w:val="21"/>
      <w:lang w:val="en-GB" w:eastAsia="en-GB"/>
    </w:rPr>
  </w:style>
  <w:style w:type="paragraph" w:styleId="Footer">
    <w:name w:val="footer"/>
    <w:basedOn w:val="Normal"/>
    <w:link w:val="FooterChar"/>
    <w:uiPriority w:val="99"/>
    <w:unhideWhenUsed/>
    <w:rsid w:val="00C70EAA"/>
    <w:pPr>
      <w:tabs>
        <w:tab w:val="center" w:pos="4419"/>
        <w:tab w:val="right" w:pos="8838"/>
      </w:tabs>
      <w:spacing w:line="240" w:lineRule="auto"/>
    </w:pPr>
  </w:style>
  <w:style w:type="character" w:customStyle="1" w:styleId="FooterChar">
    <w:name w:val="Footer Char"/>
    <w:basedOn w:val="DefaultParagraphFont"/>
    <w:link w:val="Footer"/>
    <w:uiPriority w:val="99"/>
    <w:rsid w:val="00C70EAA"/>
    <w:rPr>
      <w:rFonts w:ascii="Times New Roman" w:hAnsi="Times New Roman" w:cs="Times New Roman"/>
      <w:lang w:val="en-GB" w:eastAsia="en-GB"/>
    </w:rPr>
  </w:style>
  <w:style w:type="character" w:styleId="LineNumber">
    <w:name w:val="line number"/>
    <w:basedOn w:val="DefaultParagraphFont"/>
    <w:uiPriority w:val="99"/>
    <w:semiHidden/>
    <w:unhideWhenUsed/>
    <w:rsid w:val="00C8245B"/>
  </w:style>
  <w:style w:type="character" w:customStyle="1" w:styleId="citation-part">
    <w:name w:val="citation-part"/>
    <w:basedOn w:val="DefaultParagraphFont"/>
    <w:rsid w:val="009C620D"/>
  </w:style>
  <w:style w:type="character" w:customStyle="1" w:styleId="docsum-pmid">
    <w:name w:val="docsum-pmid"/>
    <w:basedOn w:val="DefaultParagraphFont"/>
    <w:rsid w:val="009C62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00540">
      <w:bodyDiv w:val="1"/>
      <w:marLeft w:val="0"/>
      <w:marRight w:val="0"/>
      <w:marTop w:val="0"/>
      <w:marBottom w:val="0"/>
      <w:divBdr>
        <w:top w:val="none" w:sz="0" w:space="0" w:color="auto"/>
        <w:left w:val="none" w:sz="0" w:space="0" w:color="auto"/>
        <w:bottom w:val="none" w:sz="0" w:space="0" w:color="auto"/>
        <w:right w:val="none" w:sz="0" w:space="0" w:color="auto"/>
      </w:divBdr>
      <w:divsChild>
        <w:div w:id="293296054">
          <w:marLeft w:val="0"/>
          <w:marRight w:val="0"/>
          <w:marTop w:val="0"/>
          <w:marBottom w:val="0"/>
          <w:divBdr>
            <w:top w:val="none" w:sz="0" w:space="0" w:color="auto"/>
            <w:left w:val="none" w:sz="0" w:space="0" w:color="auto"/>
            <w:bottom w:val="none" w:sz="0" w:space="0" w:color="auto"/>
            <w:right w:val="none" w:sz="0" w:space="0" w:color="auto"/>
          </w:divBdr>
          <w:divsChild>
            <w:div w:id="1144733547">
              <w:marLeft w:val="0"/>
              <w:marRight w:val="0"/>
              <w:marTop w:val="0"/>
              <w:marBottom w:val="0"/>
              <w:divBdr>
                <w:top w:val="none" w:sz="0" w:space="0" w:color="auto"/>
                <w:left w:val="none" w:sz="0" w:space="0" w:color="auto"/>
                <w:bottom w:val="none" w:sz="0" w:space="0" w:color="auto"/>
                <w:right w:val="none" w:sz="0" w:space="0" w:color="auto"/>
              </w:divBdr>
              <w:divsChild>
                <w:div w:id="140988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25124">
      <w:bodyDiv w:val="1"/>
      <w:marLeft w:val="0"/>
      <w:marRight w:val="0"/>
      <w:marTop w:val="0"/>
      <w:marBottom w:val="0"/>
      <w:divBdr>
        <w:top w:val="none" w:sz="0" w:space="0" w:color="auto"/>
        <w:left w:val="none" w:sz="0" w:space="0" w:color="auto"/>
        <w:bottom w:val="none" w:sz="0" w:space="0" w:color="auto"/>
        <w:right w:val="none" w:sz="0" w:space="0" w:color="auto"/>
      </w:divBdr>
      <w:divsChild>
        <w:div w:id="1433167048">
          <w:marLeft w:val="0"/>
          <w:marRight w:val="0"/>
          <w:marTop w:val="0"/>
          <w:marBottom w:val="0"/>
          <w:divBdr>
            <w:top w:val="none" w:sz="0" w:space="0" w:color="auto"/>
            <w:left w:val="none" w:sz="0" w:space="0" w:color="auto"/>
            <w:bottom w:val="none" w:sz="0" w:space="0" w:color="auto"/>
            <w:right w:val="none" w:sz="0" w:space="0" w:color="auto"/>
          </w:divBdr>
          <w:divsChild>
            <w:div w:id="69735831">
              <w:marLeft w:val="0"/>
              <w:marRight w:val="0"/>
              <w:marTop w:val="0"/>
              <w:marBottom w:val="0"/>
              <w:divBdr>
                <w:top w:val="none" w:sz="0" w:space="0" w:color="auto"/>
                <w:left w:val="none" w:sz="0" w:space="0" w:color="auto"/>
                <w:bottom w:val="none" w:sz="0" w:space="0" w:color="auto"/>
                <w:right w:val="none" w:sz="0" w:space="0" w:color="auto"/>
              </w:divBdr>
              <w:divsChild>
                <w:div w:id="41294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62889">
      <w:bodyDiv w:val="1"/>
      <w:marLeft w:val="0"/>
      <w:marRight w:val="0"/>
      <w:marTop w:val="0"/>
      <w:marBottom w:val="0"/>
      <w:divBdr>
        <w:top w:val="none" w:sz="0" w:space="0" w:color="auto"/>
        <w:left w:val="none" w:sz="0" w:space="0" w:color="auto"/>
        <w:bottom w:val="none" w:sz="0" w:space="0" w:color="auto"/>
        <w:right w:val="none" w:sz="0" w:space="0" w:color="auto"/>
      </w:divBdr>
      <w:divsChild>
        <w:div w:id="553615075">
          <w:marLeft w:val="0"/>
          <w:marRight w:val="0"/>
          <w:marTop w:val="0"/>
          <w:marBottom w:val="0"/>
          <w:divBdr>
            <w:top w:val="none" w:sz="0" w:space="0" w:color="auto"/>
            <w:left w:val="none" w:sz="0" w:space="0" w:color="auto"/>
            <w:bottom w:val="none" w:sz="0" w:space="0" w:color="auto"/>
            <w:right w:val="none" w:sz="0" w:space="0" w:color="auto"/>
          </w:divBdr>
          <w:divsChild>
            <w:div w:id="718867628">
              <w:marLeft w:val="0"/>
              <w:marRight w:val="0"/>
              <w:marTop w:val="0"/>
              <w:marBottom w:val="0"/>
              <w:divBdr>
                <w:top w:val="none" w:sz="0" w:space="0" w:color="auto"/>
                <w:left w:val="none" w:sz="0" w:space="0" w:color="auto"/>
                <w:bottom w:val="none" w:sz="0" w:space="0" w:color="auto"/>
                <w:right w:val="none" w:sz="0" w:space="0" w:color="auto"/>
              </w:divBdr>
              <w:divsChild>
                <w:div w:id="94149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958">
      <w:bodyDiv w:val="1"/>
      <w:marLeft w:val="0"/>
      <w:marRight w:val="0"/>
      <w:marTop w:val="0"/>
      <w:marBottom w:val="0"/>
      <w:divBdr>
        <w:top w:val="none" w:sz="0" w:space="0" w:color="auto"/>
        <w:left w:val="none" w:sz="0" w:space="0" w:color="auto"/>
        <w:bottom w:val="none" w:sz="0" w:space="0" w:color="auto"/>
        <w:right w:val="none" w:sz="0" w:space="0" w:color="auto"/>
      </w:divBdr>
      <w:divsChild>
        <w:div w:id="19476777">
          <w:marLeft w:val="0"/>
          <w:marRight w:val="0"/>
          <w:marTop w:val="0"/>
          <w:marBottom w:val="0"/>
          <w:divBdr>
            <w:top w:val="none" w:sz="0" w:space="0" w:color="auto"/>
            <w:left w:val="none" w:sz="0" w:space="0" w:color="auto"/>
            <w:bottom w:val="none" w:sz="0" w:space="0" w:color="auto"/>
            <w:right w:val="none" w:sz="0" w:space="0" w:color="auto"/>
          </w:divBdr>
          <w:divsChild>
            <w:div w:id="799423642">
              <w:marLeft w:val="0"/>
              <w:marRight w:val="0"/>
              <w:marTop w:val="0"/>
              <w:marBottom w:val="0"/>
              <w:divBdr>
                <w:top w:val="none" w:sz="0" w:space="0" w:color="auto"/>
                <w:left w:val="none" w:sz="0" w:space="0" w:color="auto"/>
                <w:bottom w:val="none" w:sz="0" w:space="0" w:color="auto"/>
                <w:right w:val="none" w:sz="0" w:space="0" w:color="auto"/>
              </w:divBdr>
              <w:divsChild>
                <w:div w:id="12415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427777">
      <w:bodyDiv w:val="1"/>
      <w:marLeft w:val="0"/>
      <w:marRight w:val="0"/>
      <w:marTop w:val="0"/>
      <w:marBottom w:val="0"/>
      <w:divBdr>
        <w:top w:val="none" w:sz="0" w:space="0" w:color="auto"/>
        <w:left w:val="none" w:sz="0" w:space="0" w:color="auto"/>
        <w:bottom w:val="none" w:sz="0" w:space="0" w:color="auto"/>
        <w:right w:val="none" w:sz="0" w:space="0" w:color="auto"/>
      </w:divBdr>
    </w:div>
    <w:div w:id="330718336">
      <w:bodyDiv w:val="1"/>
      <w:marLeft w:val="0"/>
      <w:marRight w:val="0"/>
      <w:marTop w:val="0"/>
      <w:marBottom w:val="0"/>
      <w:divBdr>
        <w:top w:val="none" w:sz="0" w:space="0" w:color="auto"/>
        <w:left w:val="none" w:sz="0" w:space="0" w:color="auto"/>
        <w:bottom w:val="none" w:sz="0" w:space="0" w:color="auto"/>
        <w:right w:val="none" w:sz="0" w:space="0" w:color="auto"/>
      </w:divBdr>
    </w:div>
    <w:div w:id="344981851">
      <w:bodyDiv w:val="1"/>
      <w:marLeft w:val="0"/>
      <w:marRight w:val="0"/>
      <w:marTop w:val="0"/>
      <w:marBottom w:val="0"/>
      <w:divBdr>
        <w:top w:val="none" w:sz="0" w:space="0" w:color="auto"/>
        <w:left w:val="none" w:sz="0" w:space="0" w:color="auto"/>
        <w:bottom w:val="none" w:sz="0" w:space="0" w:color="auto"/>
        <w:right w:val="none" w:sz="0" w:space="0" w:color="auto"/>
      </w:divBdr>
    </w:div>
    <w:div w:id="387270653">
      <w:bodyDiv w:val="1"/>
      <w:marLeft w:val="0"/>
      <w:marRight w:val="0"/>
      <w:marTop w:val="0"/>
      <w:marBottom w:val="0"/>
      <w:divBdr>
        <w:top w:val="none" w:sz="0" w:space="0" w:color="auto"/>
        <w:left w:val="none" w:sz="0" w:space="0" w:color="auto"/>
        <w:bottom w:val="none" w:sz="0" w:space="0" w:color="auto"/>
        <w:right w:val="none" w:sz="0" w:space="0" w:color="auto"/>
      </w:divBdr>
    </w:div>
    <w:div w:id="449085169">
      <w:bodyDiv w:val="1"/>
      <w:marLeft w:val="0"/>
      <w:marRight w:val="0"/>
      <w:marTop w:val="0"/>
      <w:marBottom w:val="0"/>
      <w:divBdr>
        <w:top w:val="none" w:sz="0" w:space="0" w:color="auto"/>
        <w:left w:val="none" w:sz="0" w:space="0" w:color="auto"/>
        <w:bottom w:val="none" w:sz="0" w:space="0" w:color="auto"/>
        <w:right w:val="none" w:sz="0" w:space="0" w:color="auto"/>
      </w:divBdr>
    </w:div>
    <w:div w:id="546062916">
      <w:bodyDiv w:val="1"/>
      <w:marLeft w:val="0"/>
      <w:marRight w:val="0"/>
      <w:marTop w:val="0"/>
      <w:marBottom w:val="0"/>
      <w:divBdr>
        <w:top w:val="none" w:sz="0" w:space="0" w:color="auto"/>
        <w:left w:val="none" w:sz="0" w:space="0" w:color="auto"/>
        <w:bottom w:val="none" w:sz="0" w:space="0" w:color="auto"/>
        <w:right w:val="none" w:sz="0" w:space="0" w:color="auto"/>
      </w:divBdr>
    </w:div>
    <w:div w:id="559249324">
      <w:bodyDiv w:val="1"/>
      <w:marLeft w:val="0"/>
      <w:marRight w:val="0"/>
      <w:marTop w:val="0"/>
      <w:marBottom w:val="0"/>
      <w:divBdr>
        <w:top w:val="none" w:sz="0" w:space="0" w:color="auto"/>
        <w:left w:val="none" w:sz="0" w:space="0" w:color="auto"/>
        <w:bottom w:val="none" w:sz="0" w:space="0" w:color="auto"/>
        <w:right w:val="none" w:sz="0" w:space="0" w:color="auto"/>
      </w:divBdr>
    </w:div>
    <w:div w:id="574583170">
      <w:bodyDiv w:val="1"/>
      <w:marLeft w:val="0"/>
      <w:marRight w:val="0"/>
      <w:marTop w:val="0"/>
      <w:marBottom w:val="0"/>
      <w:divBdr>
        <w:top w:val="none" w:sz="0" w:space="0" w:color="auto"/>
        <w:left w:val="none" w:sz="0" w:space="0" w:color="auto"/>
        <w:bottom w:val="none" w:sz="0" w:space="0" w:color="auto"/>
        <w:right w:val="none" w:sz="0" w:space="0" w:color="auto"/>
      </w:divBdr>
      <w:divsChild>
        <w:div w:id="433132800">
          <w:marLeft w:val="0"/>
          <w:marRight w:val="0"/>
          <w:marTop w:val="0"/>
          <w:marBottom w:val="0"/>
          <w:divBdr>
            <w:top w:val="none" w:sz="0" w:space="0" w:color="auto"/>
            <w:left w:val="none" w:sz="0" w:space="0" w:color="auto"/>
            <w:bottom w:val="none" w:sz="0" w:space="0" w:color="auto"/>
            <w:right w:val="none" w:sz="0" w:space="0" w:color="auto"/>
          </w:divBdr>
          <w:divsChild>
            <w:div w:id="650644888">
              <w:marLeft w:val="0"/>
              <w:marRight w:val="0"/>
              <w:marTop w:val="0"/>
              <w:marBottom w:val="0"/>
              <w:divBdr>
                <w:top w:val="none" w:sz="0" w:space="0" w:color="auto"/>
                <w:left w:val="none" w:sz="0" w:space="0" w:color="auto"/>
                <w:bottom w:val="none" w:sz="0" w:space="0" w:color="auto"/>
                <w:right w:val="none" w:sz="0" w:space="0" w:color="auto"/>
              </w:divBdr>
              <w:divsChild>
                <w:div w:id="170335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410806">
      <w:bodyDiv w:val="1"/>
      <w:marLeft w:val="0"/>
      <w:marRight w:val="0"/>
      <w:marTop w:val="0"/>
      <w:marBottom w:val="0"/>
      <w:divBdr>
        <w:top w:val="none" w:sz="0" w:space="0" w:color="auto"/>
        <w:left w:val="none" w:sz="0" w:space="0" w:color="auto"/>
        <w:bottom w:val="none" w:sz="0" w:space="0" w:color="auto"/>
        <w:right w:val="none" w:sz="0" w:space="0" w:color="auto"/>
      </w:divBdr>
    </w:div>
    <w:div w:id="648166980">
      <w:bodyDiv w:val="1"/>
      <w:marLeft w:val="0"/>
      <w:marRight w:val="0"/>
      <w:marTop w:val="0"/>
      <w:marBottom w:val="0"/>
      <w:divBdr>
        <w:top w:val="none" w:sz="0" w:space="0" w:color="auto"/>
        <w:left w:val="none" w:sz="0" w:space="0" w:color="auto"/>
        <w:bottom w:val="none" w:sz="0" w:space="0" w:color="auto"/>
        <w:right w:val="none" w:sz="0" w:space="0" w:color="auto"/>
      </w:divBdr>
      <w:divsChild>
        <w:div w:id="1843737051">
          <w:marLeft w:val="0"/>
          <w:marRight w:val="0"/>
          <w:marTop w:val="0"/>
          <w:marBottom w:val="0"/>
          <w:divBdr>
            <w:top w:val="none" w:sz="0" w:space="0" w:color="auto"/>
            <w:left w:val="none" w:sz="0" w:space="0" w:color="auto"/>
            <w:bottom w:val="none" w:sz="0" w:space="0" w:color="auto"/>
            <w:right w:val="none" w:sz="0" w:space="0" w:color="auto"/>
          </w:divBdr>
          <w:divsChild>
            <w:div w:id="1577789719">
              <w:marLeft w:val="0"/>
              <w:marRight w:val="0"/>
              <w:marTop w:val="0"/>
              <w:marBottom w:val="0"/>
              <w:divBdr>
                <w:top w:val="none" w:sz="0" w:space="0" w:color="auto"/>
                <w:left w:val="none" w:sz="0" w:space="0" w:color="auto"/>
                <w:bottom w:val="none" w:sz="0" w:space="0" w:color="auto"/>
                <w:right w:val="none" w:sz="0" w:space="0" w:color="auto"/>
              </w:divBdr>
              <w:divsChild>
                <w:div w:id="98377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179344">
      <w:bodyDiv w:val="1"/>
      <w:marLeft w:val="0"/>
      <w:marRight w:val="0"/>
      <w:marTop w:val="0"/>
      <w:marBottom w:val="0"/>
      <w:divBdr>
        <w:top w:val="none" w:sz="0" w:space="0" w:color="auto"/>
        <w:left w:val="none" w:sz="0" w:space="0" w:color="auto"/>
        <w:bottom w:val="none" w:sz="0" w:space="0" w:color="auto"/>
        <w:right w:val="none" w:sz="0" w:space="0" w:color="auto"/>
      </w:divBdr>
      <w:divsChild>
        <w:div w:id="1712538933">
          <w:marLeft w:val="0"/>
          <w:marRight w:val="0"/>
          <w:marTop w:val="0"/>
          <w:marBottom w:val="0"/>
          <w:divBdr>
            <w:top w:val="none" w:sz="0" w:space="0" w:color="auto"/>
            <w:left w:val="none" w:sz="0" w:space="0" w:color="auto"/>
            <w:bottom w:val="none" w:sz="0" w:space="0" w:color="auto"/>
            <w:right w:val="none" w:sz="0" w:space="0" w:color="auto"/>
          </w:divBdr>
          <w:divsChild>
            <w:div w:id="410126412">
              <w:marLeft w:val="0"/>
              <w:marRight w:val="0"/>
              <w:marTop w:val="0"/>
              <w:marBottom w:val="0"/>
              <w:divBdr>
                <w:top w:val="none" w:sz="0" w:space="0" w:color="auto"/>
                <w:left w:val="none" w:sz="0" w:space="0" w:color="auto"/>
                <w:bottom w:val="none" w:sz="0" w:space="0" w:color="auto"/>
                <w:right w:val="none" w:sz="0" w:space="0" w:color="auto"/>
              </w:divBdr>
              <w:divsChild>
                <w:div w:id="99614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105216">
      <w:bodyDiv w:val="1"/>
      <w:marLeft w:val="0"/>
      <w:marRight w:val="0"/>
      <w:marTop w:val="0"/>
      <w:marBottom w:val="0"/>
      <w:divBdr>
        <w:top w:val="none" w:sz="0" w:space="0" w:color="auto"/>
        <w:left w:val="none" w:sz="0" w:space="0" w:color="auto"/>
        <w:bottom w:val="none" w:sz="0" w:space="0" w:color="auto"/>
        <w:right w:val="none" w:sz="0" w:space="0" w:color="auto"/>
      </w:divBdr>
    </w:div>
    <w:div w:id="751463919">
      <w:bodyDiv w:val="1"/>
      <w:marLeft w:val="0"/>
      <w:marRight w:val="0"/>
      <w:marTop w:val="0"/>
      <w:marBottom w:val="0"/>
      <w:divBdr>
        <w:top w:val="none" w:sz="0" w:space="0" w:color="auto"/>
        <w:left w:val="none" w:sz="0" w:space="0" w:color="auto"/>
        <w:bottom w:val="none" w:sz="0" w:space="0" w:color="auto"/>
        <w:right w:val="none" w:sz="0" w:space="0" w:color="auto"/>
      </w:divBdr>
      <w:divsChild>
        <w:div w:id="1510026821">
          <w:marLeft w:val="0"/>
          <w:marRight w:val="0"/>
          <w:marTop w:val="0"/>
          <w:marBottom w:val="0"/>
          <w:divBdr>
            <w:top w:val="none" w:sz="0" w:space="0" w:color="auto"/>
            <w:left w:val="none" w:sz="0" w:space="0" w:color="auto"/>
            <w:bottom w:val="none" w:sz="0" w:space="0" w:color="auto"/>
            <w:right w:val="none" w:sz="0" w:space="0" w:color="auto"/>
          </w:divBdr>
          <w:divsChild>
            <w:div w:id="1500732511">
              <w:marLeft w:val="0"/>
              <w:marRight w:val="0"/>
              <w:marTop w:val="0"/>
              <w:marBottom w:val="0"/>
              <w:divBdr>
                <w:top w:val="none" w:sz="0" w:space="0" w:color="auto"/>
                <w:left w:val="none" w:sz="0" w:space="0" w:color="auto"/>
                <w:bottom w:val="none" w:sz="0" w:space="0" w:color="auto"/>
                <w:right w:val="none" w:sz="0" w:space="0" w:color="auto"/>
              </w:divBdr>
              <w:divsChild>
                <w:div w:id="135646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093346">
      <w:bodyDiv w:val="1"/>
      <w:marLeft w:val="0"/>
      <w:marRight w:val="0"/>
      <w:marTop w:val="0"/>
      <w:marBottom w:val="0"/>
      <w:divBdr>
        <w:top w:val="none" w:sz="0" w:space="0" w:color="auto"/>
        <w:left w:val="none" w:sz="0" w:space="0" w:color="auto"/>
        <w:bottom w:val="none" w:sz="0" w:space="0" w:color="auto"/>
        <w:right w:val="none" w:sz="0" w:space="0" w:color="auto"/>
      </w:divBdr>
    </w:div>
    <w:div w:id="783423700">
      <w:bodyDiv w:val="1"/>
      <w:marLeft w:val="0"/>
      <w:marRight w:val="0"/>
      <w:marTop w:val="0"/>
      <w:marBottom w:val="0"/>
      <w:divBdr>
        <w:top w:val="none" w:sz="0" w:space="0" w:color="auto"/>
        <w:left w:val="none" w:sz="0" w:space="0" w:color="auto"/>
        <w:bottom w:val="none" w:sz="0" w:space="0" w:color="auto"/>
        <w:right w:val="none" w:sz="0" w:space="0" w:color="auto"/>
      </w:divBdr>
    </w:div>
    <w:div w:id="828013471">
      <w:bodyDiv w:val="1"/>
      <w:marLeft w:val="0"/>
      <w:marRight w:val="0"/>
      <w:marTop w:val="0"/>
      <w:marBottom w:val="0"/>
      <w:divBdr>
        <w:top w:val="none" w:sz="0" w:space="0" w:color="auto"/>
        <w:left w:val="none" w:sz="0" w:space="0" w:color="auto"/>
        <w:bottom w:val="none" w:sz="0" w:space="0" w:color="auto"/>
        <w:right w:val="none" w:sz="0" w:space="0" w:color="auto"/>
      </w:divBdr>
    </w:div>
    <w:div w:id="836074192">
      <w:bodyDiv w:val="1"/>
      <w:marLeft w:val="0"/>
      <w:marRight w:val="0"/>
      <w:marTop w:val="0"/>
      <w:marBottom w:val="0"/>
      <w:divBdr>
        <w:top w:val="none" w:sz="0" w:space="0" w:color="auto"/>
        <w:left w:val="none" w:sz="0" w:space="0" w:color="auto"/>
        <w:bottom w:val="none" w:sz="0" w:space="0" w:color="auto"/>
        <w:right w:val="none" w:sz="0" w:space="0" w:color="auto"/>
      </w:divBdr>
      <w:divsChild>
        <w:div w:id="335235685">
          <w:marLeft w:val="0"/>
          <w:marRight w:val="0"/>
          <w:marTop w:val="0"/>
          <w:marBottom w:val="0"/>
          <w:divBdr>
            <w:top w:val="none" w:sz="0" w:space="0" w:color="auto"/>
            <w:left w:val="none" w:sz="0" w:space="0" w:color="auto"/>
            <w:bottom w:val="none" w:sz="0" w:space="0" w:color="auto"/>
            <w:right w:val="none" w:sz="0" w:space="0" w:color="auto"/>
          </w:divBdr>
          <w:divsChild>
            <w:div w:id="215090640">
              <w:marLeft w:val="0"/>
              <w:marRight w:val="0"/>
              <w:marTop w:val="0"/>
              <w:marBottom w:val="0"/>
              <w:divBdr>
                <w:top w:val="none" w:sz="0" w:space="0" w:color="auto"/>
                <w:left w:val="none" w:sz="0" w:space="0" w:color="auto"/>
                <w:bottom w:val="none" w:sz="0" w:space="0" w:color="auto"/>
                <w:right w:val="none" w:sz="0" w:space="0" w:color="auto"/>
              </w:divBdr>
              <w:divsChild>
                <w:div w:id="123882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709884">
      <w:bodyDiv w:val="1"/>
      <w:marLeft w:val="0"/>
      <w:marRight w:val="0"/>
      <w:marTop w:val="0"/>
      <w:marBottom w:val="0"/>
      <w:divBdr>
        <w:top w:val="none" w:sz="0" w:space="0" w:color="auto"/>
        <w:left w:val="none" w:sz="0" w:space="0" w:color="auto"/>
        <w:bottom w:val="none" w:sz="0" w:space="0" w:color="auto"/>
        <w:right w:val="none" w:sz="0" w:space="0" w:color="auto"/>
      </w:divBdr>
    </w:div>
    <w:div w:id="969482331">
      <w:bodyDiv w:val="1"/>
      <w:marLeft w:val="0"/>
      <w:marRight w:val="0"/>
      <w:marTop w:val="0"/>
      <w:marBottom w:val="0"/>
      <w:divBdr>
        <w:top w:val="none" w:sz="0" w:space="0" w:color="auto"/>
        <w:left w:val="none" w:sz="0" w:space="0" w:color="auto"/>
        <w:bottom w:val="none" w:sz="0" w:space="0" w:color="auto"/>
        <w:right w:val="none" w:sz="0" w:space="0" w:color="auto"/>
      </w:divBdr>
    </w:div>
    <w:div w:id="1021709491">
      <w:bodyDiv w:val="1"/>
      <w:marLeft w:val="0"/>
      <w:marRight w:val="0"/>
      <w:marTop w:val="0"/>
      <w:marBottom w:val="0"/>
      <w:divBdr>
        <w:top w:val="none" w:sz="0" w:space="0" w:color="auto"/>
        <w:left w:val="none" w:sz="0" w:space="0" w:color="auto"/>
        <w:bottom w:val="none" w:sz="0" w:space="0" w:color="auto"/>
        <w:right w:val="none" w:sz="0" w:space="0" w:color="auto"/>
      </w:divBdr>
      <w:divsChild>
        <w:div w:id="648632881">
          <w:marLeft w:val="0"/>
          <w:marRight w:val="0"/>
          <w:marTop w:val="0"/>
          <w:marBottom w:val="0"/>
          <w:divBdr>
            <w:top w:val="none" w:sz="0" w:space="0" w:color="auto"/>
            <w:left w:val="none" w:sz="0" w:space="0" w:color="auto"/>
            <w:bottom w:val="none" w:sz="0" w:space="0" w:color="auto"/>
            <w:right w:val="none" w:sz="0" w:space="0" w:color="auto"/>
          </w:divBdr>
          <w:divsChild>
            <w:div w:id="2087144177">
              <w:marLeft w:val="0"/>
              <w:marRight w:val="0"/>
              <w:marTop w:val="0"/>
              <w:marBottom w:val="0"/>
              <w:divBdr>
                <w:top w:val="none" w:sz="0" w:space="0" w:color="auto"/>
                <w:left w:val="none" w:sz="0" w:space="0" w:color="auto"/>
                <w:bottom w:val="none" w:sz="0" w:space="0" w:color="auto"/>
                <w:right w:val="none" w:sz="0" w:space="0" w:color="auto"/>
              </w:divBdr>
              <w:divsChild>
                <w:div w:id="93647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480155">
      <w:bodyDiv w:val="1"/>
      <w:marLeft w:val="0"/>
      <w:marRight w:val="0"/>
      <w:marTop w:val="0"/>
      <w:marBottom w:val="0"/>
      <w:divBdr>
        <w:top w:val="none" w:sz="0" w:space="0" w:color="auto"/>
        <w:left w:val="none" w:sz="0" w:space="0" w:color="auto"/>
        <w:bottom w:val="none" w:sz="0" w:space="0" w:color="auto"/>
        <w:right w:val="none" w:sz="0" w:space="0" w:color="auto"/>
      </w:divBdr>
    </w:div>
    <w:div w:id="1059595733">
      <w:bodyDiv w:val="1"/>
      <w:marLeft w:val="0"/>
      <w:marRight w:val="0"/>
      <w:marTop w:val="0"/>
      <w:marBottom w:val="0"/>
      <w:divBdr>
        <w:top w:val="none" w:sz="0" w:space="0" w:color="auto"/>
        <w:left w:val="none" w:sz="0" w:space="0" w:color="auto"/>
        <w:bottom w:val="none" w:sz="0" w:space="0" w:color="auto"/>
        <w:right w:val="none" w:sz="0" w:space="0" w:color="auto"/>
      </w:divBdr>
      <w:divsChild>
        <w:div w:id="1768454508">
          <w:marLeft w:val="0"/>
          <w:marRight w:val="0"/>
          <w:marTop w:val="0"/>
          <w:marBottom w:val="0"/>
          <w:divBdr>
            <w:top w:val="none" w:sz="0" w:space="0" w:color="auto"/>
            <w:left w:val="none" w:sz="0" w:space="0" w:color="auto"/>
            <w:bottom w:val="none" w:sz="0" w:space="0" w:color="auto"/>
            <w:right w:val="none" w:sz="0" w:space="0" w:color="auto"/>
          </w:divBdr>
          <w:divsChild>
            <w:div w:id="224879559">
              <w:marLeft w:val="0"/>
              <w:marRight w:val="0"/>
              <w:marTop w:val="0"/>
              <w:marBottom w:val="0"/>
              <w:divBdr>
                <w:top w:val="none" w:sz="0" w:space="0" w:color="auto"/>
                <w:left w:val="none" w:sz="0" w:space="0" w:color="auto"/>
                <w:bottom w:val="none" w:sz="0" w:space="0" w:color="auto"/>
                <w:right w:val="none" w:sz="0" w:space="0" w:color="auto"/>
              </w:divBdr>
              <w:divsChild>
                <w:div w:id="135148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448524">
      <w:bodyDiv w:val="1"/>
      <w:marLeft w:val="0"/>
      <w:marRight w:val="0"/>
      <w:marTop w:val="0"/>
      <w:marBottom w:val="0"/>
      <w:divBdr>
        <w:top w:val="none" w:sz="0" w:space="0" w:color="auto"/>
        <w:left w:val="none" w:sz="0" w:space="0" w:color="auto"/>
        <w:bottom w:val="none" w:sz="0" w:space="0" w:color="auto"/>
        <w:right w:val="none" w:sz="0" w:space="0" w:color="auto"/>
      </w:divBdr>
      <w:divsChild>
        <w:div w:id="6946927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8517222">
              <w:marLeft w:val="0"/>
              <w:marRight w:val="0"/>
              <w:marTop w:val="0"/>
              <w:marBottom w:val="0"/>
              <w:divBdr>
                <w:top w:val="none" w:sz="0" w:space="0" w:color="auto"/>
                <w:left w:val="none" w:sz="0" w:space="0" w:color="auto"/>
                <w:bottom w:val="none" w:sz="0" w:space="0" w:color="auto"/>
                <w:right w:val="none" w:sz="0" w:space="0" w:color="auto"/>
              </w:divBdr>
              <w:divsChild>
                <w:div w:id="564947217">
                  <w:marLeft w:val="0"/>
                  <w:marRight w:val="0"/>
                  <w:marTop w:val="0"/>
                  <w:marBottom w:val="0"/>
                  <w:divBdr>
                    <w:top w:val="none" w:sz="0" w:space="0" w:color="auto"/>
                    <w:left w:val="none" w:sz="0" w:space="0" w:color="auto"/>
                    <w:bottom w:val="none" w:sz="0" w:space="0" w:color="auto"/>
                    <w:right w:val="none" w:sz="0" w:space="0" w:color="auto"/>
                  </w:divBdr>
                  <w:divsChild>
                    <w:div w:id="1747650044">
                      <w:marLeft w:val="0"/>
                      <w:marRight w:val="0"/>
                      <w:marTop w:val="0"/>
                      <w:marBottom w:val="0"/>
                      <w:divBdr>
                        <w:top w:val="none" w:sz="0" w:space="0" w:color="auto"/>
                        <w:left w:val="none" w:sz="0" w:space="0" w:color="auto"/>
                        <w:bottom w:val="none" w:sz="0" w:space="0" w:color="auto"/>
                        <w:right w:val="none" w:sz="0" w:space="0" w:color="auto"/>
                      </w:divBdr>
                      <w:divsChild>
                        <w:div w:id="20047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813121">
      <w:bodyDiv w:val="1"/>
      <w:marLeft w:val="0"/>
      <w:marRight w:val="0"/>
      <w:marTop w:val="0"/>
      <w:marBottom w:val="0"/>
      <w:divBdr>
        <w:top w:val="none" w:sz="0" w:space="0" w:color="auto"/>
        <w:left w:val="none" w:sz="0" w:space="0" w:color="auto"/>
        <w:bottom w:val="none" w:sz="0" w:space="0" w:color="auto"/>
        <w:right w:val="none" w:sz="0" w:space="0" w:color="auto"/>
      </w:divBdr>
    </w:div>
    <w:div w:id="1244610506">
      <w:bodyDiv w:val="1"/>
      <w:marLeft w:val="0"/>
      <w:marRight w:val="0"/>
      <w:marTop w:val="0"/>
      <w:marBottom w:val="0"/>
      <w:divBdr>
        <w:top w:val="none" w:sz="0" w:space="0" w:color="auto"/>
        <w:left w:val="none" w:sz="0" w:space="0" w:color="auto"/>
        <w:bottom w:val="none" w:sz="0" w:space="0" w:color="auto"/>
        <w:right w:val="none" w:sz="0" w:space="0" w:color="auto"/>
      </w:divBdr>
    </w:div>
    <w:div w:id="1246761197">
      <w:bodyDiv w:val="1"/>
      <w:marLeft w:val="0"/>
      <w:marRight w:val="0"/>
      <w:marTop w:val="0"/>
      <w:marBottom w:val="0"/>
      <w:divBdr>
        <w:top w:val="none" w:sz="0" w:space="0" w:color="auto"/>
        <w:left w:val="none" w:sz="0" w:space="0" w:color="auto"/>
        <w:bottom w:val="none" w:sz="0" w:space="0" w:color="auto"/>
        <w:right w:val="none" w:sz="0" w:space="0" w:color="auto"/>
      </w:divBdr>
      <w:divsChild>
        <w:div w:id="1547526042">
          <w:marLeft w:val="0"/>
          <w:marRight w:val="0"/>
          <w:marTop w:val="0"/>
          <w:marBottom w:val="0"/>
          <w:divBdr>
            <w:top w:val="none" w:sz="0" w:space="0" w:color="auto"/>
            <w:left w:val="none" w:sz="0" w:space="0" w:color="auto"/>
            <w:bottom w:val="none" w:sz="0" w:space="0" w:color="auto"/>
            <w:right w:val="none" w:sz="0" w:space="0" w:color="auto"/>
          </w:divBdr>
          <w:divsChild>
            <w:div w:id="1823234894">
              <w:marLeft w:val="0"/>
              <w:marRight w:val="0"/>
              <w:marTop w:val="0"/>
              <w:marBottom w:val="0"/>
              <w:divBdr>
                <w:top w:val="none" w:sz="0" w:space="0" w:color="auto"/>
                <w:left w:val="none" w:sz="0" w:space="0" w:color="auto"/>
                <w:bottom w:val="none" w:sz="0" w:space="0" w:color="auto"/>
                <w:right w:val="none" w:sz="0" w:space="0" w:color="auto"/>
              </w:divBdr>
              <w:divsChild>
                <w:div w:id="5851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075205">
      <w:bodyDiv w:val="1"/>
      <w:marLeft w:val="0"/>
      <w:marRight w:val="0"/>
      <w:marTop w:val="0"/>
      <w:marBottom w:val="0"/>
      <w:divBdr>
        <w:top w:val="none" w:sz="0" w:space="0" w:color="auto"/>
        <w:left w:val="none" w:sz="0" w:space="0" w:color="auto"/>
        <w:bottom w:val="none" w:sz="0" w:space="0" w:color="auto"/>
        <w:right w:val="none" w:sz="0" w:space="0" w:color="auto"/>
      </w:divBdr>
    </w:div>
    <w:div w:id="1281376458">
      <w:bodyDiv w:val="1"/>
      <w:marLeft w:val="0"/>
      <w:marRight w:val="0"/>
      <w:marTop w:val="0"/>
      <w:marBottom w:val="0"/>
      <w:divBdr>
        <w:top w:val="none" w:sz="0" w:space="0" w:color="auto"/>
        <w:left w:val="none" w:sz="0" w:space="0" w:color="auto"/>
        <w:bottom w:val="none" w:sz="0" w:space="0" w:color="auto"/>
        <w:right w:val="none" w:sz="0" w:space="0" w:color="auto"/>
      </w:divBdr>
    </w:div>
    <w:div w:id="1326057840">
      <w:bodyDiv w:val="1"/>
      <w:marLeft w:val="0"/>
      <w:marRight w:val="0"/>
      <w:marTop w:val="0"/>
      <w:marBottom w:val="0"/>
      <w:divBdr>
        <w:top w:val="none" w:sz="0" w:space="0" w:color="auto"/>
        <w:left w:val="none" w:sz="0" w:space="0" w:color="auto"/>
        <w:bottom w:val="none" w:sz="0" w:space="0" w:color="auto"/>
        <w:right w:val="none" w:sz="0" w:space="0" w:color="auto"/>
      </w:divBdr>
      <w:divsChild>
        <w:div w:id="2084720040">
          <w:marLeft w:val="0"/>
          <w:marRight w:val="0"/>
          <w:marTop w:val="0"/>
          <w:marBottom w:val="0"/>
          <w:divBdr>
            <w:top w:val="none" w:sz="0" w:space="0" w:color="auto"/>
            <w:left w:val="none" w:sz="0" w:space="0" w:color="auto"/>
            <w:bottom w:val="none" w:sz="0" w:space="0" w:color="auto"/>
            <w:right w:val="none" w:sz="0" w:space="0" w:color="auto"/>
          </w:divBdr>
          <w:divsChild>
            <w:div w:id="1577982637">
              <w:marLeft w:val="0"/>
              <w:marRight w:val="0"/>
              <w:marTop w:val="0"/>
              <w:marBottom w:val="0"/>
              <w:divBdr>
                <w:top w:val="none" w:sz="0" w:space="0" w:color="auto"/>
                <w:left w:val="none" w:sz="0" w:space="0" w:color="auto"/>
                <w:bottom w:val="none" w:sz="0" w:space="0" w:color="auto"/>
                <w:right w:val="none" w:sz="0" w:space="0" w:color="auto"/>
              </w:divBdr>
              <w:divsChild>
                <w:div w:id="107990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912538">
      <w:bodyDiv w:val="1"/>
      <w:marLeft w:val="0"/>
      <w:marRight w:val="0"/>
      <w:marTop w:val="0"/>
      <w:marBottom w:val="0"/>
      <w:divBdr>
        <w:top w:val="none" w:sz="0" w:space="0" w:color="auto"/>
        <w:left w:val="none" w:sz="0" w:space="0" w:color="auto"/>
        <w:bottom w:val="none" w:sz="0" w:space="0" w:color="auto"/>
        <w:right w:val="none" w:sz="0" w:space="0" w:color="auto"/>
      </w:divBdr>
      <w:divsChild>
        <w:div w:id="1170097586">
          <w:marLeft w:val="0"/>
          <w:marRight w:val="0"/>
          <w:marTop w:val="0"/>
          <w:marBottom w:val="0"/>
          <w:divBdr>
            <w:top w:val="none" w:sz="0" w:space="0" w:color="auto"/>
            <w:left w:val="none" w:sz="0" w:space="0" w:color="auto"/>
            <w:bottom w:val="none" w:sz="0" w:space="0" w:color="auto"/>
            <w:right w:val="none" w:sz="0" w:space="0" w:color="auto"/>
          </w:divBdr>
          <w:divsChild>
            <w:div w:id="335815174">
              <w:marLeft w:val="0"/>
              <w:marRight w:val="0"/>
              <w:marTop w:val="0"/>
              <w:marBottom w:val="0"/>
              <w:divBdr>
                <w:top w:val="none" w:sz="0" w:space="0" w:color="auto"/>
                <w:left w:val="none" w:sz="0" w:space="0" w:color="auto"/>
                <w:bottom w:val="none" w:sz="0" w:space="0" w:color="auto"/>
                <w:right w:val="none" w:sz="0" w:space="0" w:color="auto"/>
              </w:divBdr>
              <w:divsChild>
                <w:div w:id="2065250232">
                  <w:marLeft w:val="0"/>
                  <w:marRight w:val="0"/>
                  <w:marTop w:val="0"/>
                  <w:marBottom w:val="0"/>
                  <w:divBdr>
                    <w:top w:val="none" w:sz="0" w:space="0" w:color="auto"/>
                    <w:left w:val="none" w:sz="0" w:space="0" w:color="auto"/>
                    <w:bottom w:val="none" w:sz="0" w:space="0" w:color="auto"/>
                    <w:right w:val="none" w:sz="0" w:space="0" w:color="auto"/>
                  </w:divBdr>
                  <w:divsChild>
                    <w:div w:id="20410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259347">
      <w:bodyDiv w:val="1"/>
      <w:marLeft w:val="0"/>
      <w:marRight w:val="0"/>
      <w:marTop w:val="0"/>
      <w:marBottom w:val="0"/>
      <w:divBdr>
        <w:top w:val="none" w:sz="0" w:space="0" w:color="auto"/>
        <w:left w:val="none" w:sz="0" w:space="0" w:color="auto"/>
        <w:bottom w:val="none" w:sz="0" w:space="0" w:color="auto"/>
        <w:right w:val="none" w:sz="0" w:space="0" w:color="auto"/>
      </w:divBdr>
    </w:div>
    <w:div w:id="1555652410">
      <w:bodyDiv w:val="1"/>
      <w:marLeft w:val="0"/>
      <w:marRight w:val="0"/>
      <w:marTop w:val="0"/>
      <w:marBottom w:val="0"/>
      <w:divBdr>
        <w:top w:val="none" w:sz="0" w:space="0" w:color="auto"/>
        <w:left w:val="none" w:sz="0" w:space="0" w:color="auto"/>
        <w:bottom w:val="none" w:sz="0" w:space="0" w:color="auto"/>
        <w:right w:val="none" w:sz="0" w:space="0" w:color="auto"/>
      </w:divBdr>
    </w:div>
    <w:div w:id="1600021320">
      <w:bodyDiv w:val="1"/>
      <w:marLeft w:val="0"/>
      <w:marRight w:val="0"/>
      <w:marTop w:val="0"/>
      <w:marBottom w:val="0"/>
      <w:divBdr>
        <w:top w:val="none" w:sz="0" w:space="0" w:color="auto"/>
        <w:left w:val="none" w:sz="0" w:space="0" w:color="auto"/>
        <w:bottom w:val="none" w:sz="0" w:space="0" w:color="auto"/>
        <w:right w:val="none" w:sz="0" w:space="0" w:color="auto"/>
      </w:divBdr>
    </w:div>
    <w:div w:id="1646274621">
      <w:bodyDiv w:val="1"/>
      <w:marLeft w:val="0"/>
      <w:marRight w:val="0"/>
      <w:marTop w:val="0"/>
      <w:marBottom w:val="0"/>
      <w:divBdr>
        <w:top w:val="none" w:sz="0" w:space="0" w:color="auto"/>
        <w:left w:val="none" w:sz="0" w:space="0" w:color="auto"/>
        <w:bottom w:val="none" w:sz="0" w:space="0" w:color="auto"/>
        <w:right w:val="none" w:sz="0" w:space="0" w:color="auto"/>
      </w:divBdr>
    </w:div>
    <w:div w:id="1664623859">
      <w:bodyDiv w:val="1"/>
      <w:marLeft w:val="0"/>
      <w:marRight w:val="0"/>
      <w:marTop w:val="0"/>
      <w:marBottom w:val="0"/>
      <w:divBdr>
        <w:top w:val="none" w:sz="0" w:space="0" w:color="auto"/>
        <w:left w:val="none" w:sz="0" w:space="0" w:color="auto"/>
        <w:bottom w:val="none" w:sz="0" w:space="0" w:color="auto"/>
        <w:right w:val="none" w:sz="0" w:space="0" w:color="auto"/>
      </w:divBdr>
      <w:divsChild>
        <w:div w:id="194856190">
          <w:marLeft w:val="0"/>
          <w:marRight w:val="0"/>
          <w:marTop w:val="0"/>
          <w:marBottom w:val="0"/>
          <w:divBdr>
            <w:top w:val="none" w:sz="0" w:space="0" w:color="auto"/>
            <w:left w:val="none" w:sz="0" w:space="0" w:color="auto"/>
            <w:bottom w:val="none" w:sz="0" w:space="0" w:color="auto"/>
            <w:right w:val="none" w:sz="0" w:space="0" w:color="auto"/>
          </w:divBdr>
          <w:divsChild>
            <w:div w:id="1803838721">
              <w:marLeft w:val="0"/>
              <w:marRight w:val="0"/>
              <w:marTop w:val="0"/>
              <w:marBottom w:val="0"/>
              <w:divBdr>
                <w:top w:val="none" w:sz="0" w:space="0" w:color="auto"/>
                <w:left w:val="none" w:sz="0" w:space="0" w:color="auto"/>
                <w:bottom w:val="none" w:sz="0" w:space="0" w:color="auto"/>
                <w:right w:val="none" w:sz="0" w:space="0" w:color="auto"/>
              </w:divBdr>
              <w:divsChild>
                <w:div w:id="136617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243007">
      <w:bodyDiv w:val="1"/>
      <w:marLeft w:val="0"/>
      <w:marRight w:val="0"/>
      <w:marTop w:val="0"/>
      <w:marBottom w:val="0"/>
      <w:divBdr>
        <w:top w:val="none" w:sz="0" w:space="0" w:color="auto"/>
        <w:left w:val="none" w:sz="0" w:space="0" w:color="auto"/>
        <w:bottom w:val="none" w:sz="0" w:space="0" w:color="auto"/>
        <w:right w:val="none" w:sz="0" w:space="0" w:color="auto"/>
      </w:divBdr>
    </w:div>
    <w:div w:id="1723365395">
      <w:bodyDiv w:val="1"/>
      <w:marLeft w:val="0"/>
      <w:marRight w:val="0"/>
      <w:marTop w:val="0"/>
      <w:marBottom w:val="0"/>
      <w:divBdr>
        <w:top w:val="none" w:sz="0" w:space="0" w:color="auto"/>
        <w:left w:val="none" w:sz="0" w:space="0" w:color="auto"/>
        <w:bottom w:val="none" w:sz="0" w:space="0" w:color="auto"/>
        <w:right w:val="none" w:sz="0" w:space="0" w:color="auto"/>
      </w:divBdr>
    </w:div>
    <w:div w:id="1724517967">
      <w:bodyDiv w:val="1"/>
      <w:marLeft w:val="0"/>
      <w:marRight w:val="0"/>
      <w:marTop w:val="0"/>
      <w:marBottom w:val="0"/>
      <w:divBdr>
        <w:top w:val="none" w:sz="0" w:space="0" w:color="auto"/>
        <w:left w:val="none" w:sz="0" w:space="0" w:color="auto"/>
        <w:bottom w:val="none" w:sz="0" w:space="0" w:color="auto"/>
        <w:right w:val="none" w:sz="0" w:space="0" w:color="auto"/>
      </w:divBdr>
    </w:div>
    <w:div w:id="1746537341">
      <w:bodyDiv w:val="1"/>
      <w:marLeft w:val="0"/>
      <w:marRight w:val="0"/>
      <w:marTop w:val="0"/>
      <w:marBottom w:val="0"/>
      <w:divBdr>
        <w:top w:val="none" w:sz="0" w:space="0" w:color="auto"/>
        <w:left w:val="none" w:sz="0" w:space="0" w:color="auto"/>
        <w:bottom w:val="none" w:sz="0" w:space="0" w:color="auto"/>
        <w:right w:val="none" w:sz="0" w:space="0" w:color="auto"/>
      </w:divBdr>
    </w:div>
    <w:div w:id="1770807584">
      <w:bodyDiv w:val="1"/>
      <w:marLeft w:val="0"/>
      <w:marRight w:val="0"/>
      <w:marTop w:val="0"/>
      <w:marBottom w:val="0"/>
      <w:divBdr>
        <w:top w:val="none" w:sz="0" w:space="0" w:color="auto"/>
        <w:left w:val="none" w:sz="0" w:space="0" w:color="auto"/>
        <w:bottom w:val="none" w:sz="0" w:space="0" w:color="auto"/>
        <w:right w:val="none" w:sz="0" w:space="0" w:color="auto"/>
      </w:divBdr>
    </w:div>
    <w:div w:id="1871800363">
      <w:bodyDiv w:val="1"/>
      <w:marLeft w:val="0"/>
      <w:marRight w:val="0"/>
      <w:marTop w:val="0"/>
      <w:marBottom w:val="0"/>
      <w:divBdr>
        <w:top w:val="none" w:sz="0" w:space="0" w:color="auto"/>
        <w:left w:val="none" w:sz="0" w:space="0" w:color="auto"/>
        <w:bottom w:val="none" w:sz="0" w:space="0" w:color="auto"/>
        <w:right w:val="none" w:sz="0" w:space="0" w:color="auto"/>
      </w:divBdr>
      <w:divsChild>
        <w:div w:id="1275407169">
          <w:marLeft w:val="0"/>
          <w:marRight w:val="0"/>
          <w:marTop w:val="0"/>
          <w:marBottom w:val="0"/>
          <w:divBdr>
            <w:top w:val="none" w:sz="0" w:space="0" w:color="auto"/>
            <w:left w:val="none" w:sz="0" w:space="0" w:color="auto"/>
            <w:bottom w:val="none" w:sz="0" w:space="0" w:color="auto"/>
            <w:right w:val="none" w:sz="0" w:space="0" w:color="auto"/>
          </w:divBdr>
          <w:divsChild>
            <w:div w:id="1246181395">
              <w:marLeft w:val="0"/>
              <w:marRight w:val="0"/>
              <w:marTop w:val="0"/>
              <w:marBottom w:val="0"/>
              <w:divBdr>
                <w:top w:val="none" w:sz="0" w:space="0" w:color="auto"/>
                <w:left w:val="none" w:sz="0" w:space="0" w:color="auto"/>
                <w:bottom w:val="none" w:sz="0" w:space="0" w:color="auto"/>
                <w:right w:val="none" w:sz="0" w:space="0" w:color="auto"/>
              </w:divBdr>
              <w:divsChild>
                <w:div w:id="157897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690996">
      <w:bodyDiv w:val="1"/>
      <w:marLeft w:val="0"/>
      <w:marRight w:val="0"/>
      <w:marTop w:val="0"/>
      <w:marBottom w:val="0"/>
      <w:divBdr>
        <w:top w:val="none" w:sz="0" w:space="0" w:color="auto"/>
        <w:left w:val="none" w:sz="0" w:space="0" w:color="auto"/>
        <w:bottom w:val="none" w:sz="0" w:space="0" w:color="auto"/>
        <w:right w:val="none" w:sz="0" w:space="0" w:color="auto"/>
      </w:divBdr>
      <w:divsChild>
        <w:div w:id="1622298102">
          <w:marLeft w:val="0"/>
          <w:marRight w:val="0"/>
          <w:marTop w:val="0"/>
          <w:marBottom w:val="0"/>
          <w:divBdr>
            <w:top w:val="none" w:sz="0" w:space="0" w:color="auto"/>
            <w:left w:val="none" w:sz="0" w:space="0" w:color="auto"/>
            <w:bottom w:val="none" w:sz="0" w:space="0" w:color="auto"/>
            <w:right w:val="none" w:sz="0" w:space="0" w:color="auto"/>
          </w:divBdr>
          <w:divsChild>
            <w:div w:id="1262568789">
              <w:marLeft w:val="0"/>
              <w:marRight w:val="0"/>
              <w:marTop w:val="0"/>
              <w:marBottom w:val="0"/>
              <w:divBdr>
                <w:top w:val="none" w:sz="0" w:space="0" w:color="auto"/>
                <w:left w:val="none" w:sz="0" w:space="0" w:color="auto"/>
                <w:bottom w:val="none" w:sz="0" w:space="0" w:color="auto"/>
                <w:right w:val="none" w:sz="0" w:space="0" w:color="auto"/>
              </w:divBdr>
              <w:divsChild>
                <w:div w:id="199618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643614">
      <w:bodyDiv w:val="1"/>
      <w:marLeft w:val="0"/>
      <w:marRight w:val="0"/>
      <w:marTop w:val="0"/>
      <w:marBottom w:val="0"/>
      <w:divBdr>
        <w:top w:val="none" w:sz="0" w:space="0" w:color="auto"/>
        <w:left w:val="none" w:sz="0" w:space="0" w:color="auto"/>
        <w:bottom w:val="none" w:sz="0" w:space="0" w:color="auto"/>
        <w:right w:val="none" w:sz="0" w:space="0" w:color="auto"/>
      </w:divBdr>
      <w:divsChild>
        <w:div w:id="1267731293">
          <w:marLeft w:val="0"/>
          <w:marRight w:val="0"/>
          <w:marTop w:val="0"/>
          <w:marBottom w:val="0"/>
          <w:divBdr>
            <w:top w:val="none" w:sz="0" w:space="0" w:color="auto"/>
            <w:left w:val="none" w:sz="0" w:space="0" w:color="auto"/>
            <w:bottom w:val="none" w:sz="0" w:space="0" w:color="auto"/>
            <w:right w:val="none" w:sz="0" w:space="0" w:color="auto"/>
          </w:divBdr>
          <w:divsChild>
            <w:div w:id="737898599">
              <w:marLeft w:val="0"/>
              <w:marRight w:val="0"/>
              <w:marTop w:val="0"/>
              <w:marBottom w:val="0"/>
              <w:divBdr>
                <w:top w:val="none" w:sz="0" w:space="0" w:color="auto"/>
                <w:left w:val="none" w:sz="0" w:space="0" w:color="auto"/>
                <w:bottom w:val="none" w:sz="0" w:space="0" w:color="auto"/>
                <w:right w:val="none" w:sz="0" w:space="0" w:color="auto"/>
              </w:divBdr>
              <w:divsChild>
                <w:div w:id="37585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591299">
      <w:bodyDiv w:val="1"/>
      <w:marLeft w:val="0"/>
      <w:marRight w:val="0"/>
      <w:marTop w:val="0"/>
      <w:marBottom w:val="0"/>
      <w:divBdr>
        <w:top w:val="none" w:sz="0" w:space="0" w:color="auto"/>
        <w:left w:val="none" w:sz="0" w:space="0" w:color="auto"/>
        <w:bottom w:val="none" w:sz="0" w:space="0" w:color="auto"/>
        <w:right w:val="none" w:sz="0" w:space="0" w:color="auto"/>
      </w:divBdr>
      <w:divsChild>
        <w:div w:id="2027512932">
          <w:marLeft w:val="0"/>
          <w:marRight w:val="0"/>
          <w:marTop w:val="0"/>
          <w:marBottom w:val="0"/>
          <w:divBdr>
            <w:top w:val="none" w:sz="0" w:space="0" w:color="auto"/>
            <w:left w:val="none" w:sz="0" w:space="0" w:color="auto"/>
            <w:bottom w:val="none" w:sz="0" w:space="0" w:color="auto"/>
            <w:right w:val="none" w:sz="0" w:space="0" w:color="auto"/>
          </w:divBdr>
          <w:divsChild>
            <w:div w:id="591359220">
              <w:marLeft w:val="0"/>
              <w:marRight w:val="0"/>
              <w:marTop w:val="0"/>
              <w:marBottom w:val="0"/>
              <w:divBdr>
                <w:top w:val="none" w:sz="0" w:space="0" w:color="auto"/>
                <w:left w:val="none" w:sz="0" w:space="0" w:color="auto"/>
                <w:bottom w:val="none" w:sz="0" w:space="0" w:color="auto"/>
                <w:right w:val="none" w:sz="0" w:space="0" w:color="auto"/>
              </w:divBdr>
              <w:divsChild>
                <w:div w:id="21049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816828">
      <w:bodyDiv w:val="1"/>
      <w:marLeft w:val="0"/>
      <w:marRight w:val="0"/>
      <w:marTop w:val="0"/>
      <w:marBottom w:val="0"/>
      <w:divBdr>
        <w:top w:val="none" w:sz="0" w:space="0" w:color="auto"/>
        <w:left w:val="none" w:sz="0" w:space="0" w:color="auto"/>
        <w:bottom w:val="none" w:sz="0" w:space="0" w:color="auto"/>
        <w:right w:val="none" w:sz="0" w:space="0" w:color="auto"/>
      </w:divBdr>
      <w:divsChild>
        <w:div w:id="38406024">
          <w:marLeft w:val="0"/>
          <w:marRight w:val="0"/>
          <w:marTop w:val="0"/>
          <w:marBottom w:val="0"/>
          <w:divBdr>
            <w:top w:val="none" w:sz="0" w:space="0" w:color="auto"/>
            <w:left w:val="none" w:sz="0" w:space="0" w:color="auto"/>
            <w:bottom w:val="none" w:sz="0" w:space="0" w:color="auto"/>
            <w:right w:val="none" w:sz="0" w:space="0" w:color="auto"/>
          </w:divBdr>
          <w:divsChild>
            <w:div w:id="1526869612">
              <w:marLeft w:val="0"/>
              <w:marRight w:val="0"/>
              <w:marTop w:val="0"/>
              <w:marBottom w:val="0"/>
              <w:divBdr>
                <w:top w:val="none" w:sz="0" w:space="0" w:color="auto"/>
                <w:left w:val="none" w:sz="0" w:space="0" w:color="auto"/>
                <w:bottom w:val="none" w:sz="0" w:space="0" w:color="auto"/>
                <w:right w:val="none" w:sz="0" w:space="0" w:color="auto"/>
              </w:divBdr>
              <w:divsChild>
                <w:div w:id="77005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603624">
      <w:bodyDiv w:val="1"/>
      <w:marLeft w:val="0"/>
      <w:marRight w:val="0"/>
      <w:marTop w:val="0"/>
      <w:marBottom w:val="0"/>
      <w:divBdr>
        <w:top w:val="none" w:sz="0" w:space="0" w:color="auto"/>
        <w:left w:val="none" w:sz="0" w:space="0" w:color="auto"/>
        <w:bottom w:val="none" w:sz="0" w:space="0" w:color="auto"/>
        <w:right w:val="none" w:sz="0" w:space="0" w:color="auto"/>
      </w:divBdr>
      <w:divsChild>
        <w:div w:id="1214659237">
          <w:marLeft w:val="0"/>
          <w:marRight w:val="0"/>
          <w:marTop w:val="0"/>
          <w:marBottom w:val="0"/>
          <w:divBdr>
            <w:top w:val="none" w:sz="0" w:space="0" w:color="auto"/>
            <w:left w:val="none" w:sz="0" w:space="0" w:color="auto"/>
            <w:bottom w:val="none" w:sz="0" w:space="0" w:color="auto"/>
            <w:right w:val="none" w:sz="0" w:space="0" w:color="auto"/>
          </w:divBdr>
          <w:divsChild>
            <w:div w:id="187332675">
              <w:marLeft w:val="0"/>
              <w:marRight w:val="0"/>
              <w:marTop w:val="0"/>
              <w:marBottom w:val="0"/>
              <w:divBdr>
                <w:top w:val="none" w:sz="0" w:space="0" w:color="auto"/>
                <w:left w:val="none" w:sz="0" w:space="0" w:color="auto"/>
                <w:bottom w:val="none" w:sz="0" w:space="0" w:color="auto"/>
                <w:right w:val="none" w:sz="0" w:space="0" w:color="auto"/>
              </w:divBdr>
              <w:divsChild>
                <w:div w:id="8961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612746">
      <w:bodyDiv w:val="1"/>
      <w:marLeft w:val="0"/>
      <w:marRight w:val="0"/>
      <w:marTop w:val="0"/>
      <w:marBottom w:val="0"/>
      <w:divBdr>
        <w:top w:val="none" w:sz="0" w:space="0" w:color="auto"/>
        <w:left w:val="none" w:sz="0" w:space="0" w:color="auto"/>
        <w:bottom w:val="none" w:sz="0" w:space="0" w:color="auto"/>
        <w:right w:val="none" w:sz="0" w:space="0" w:color="auto"/>
      </w:divBdr>
      <w:divsChild>
        <w:div w:id="346446931">
          <w:marLeft w:val="0"/>
          <w:marRight w:val="0"/>
          <w:marTop w:val="0"/>
          <w:marBottom w:val="0"/>
          <w:divBdr>
            <w:top w:val="none" w:sz="0" w:space="0" w:color="auto"/>
            <w:left w:val="none" w:sz="0" w:space="0" w:color="auto"/>
            <w:bottom w:val="none" w:sz="0" w:space="0" w:color="auto"/>
            <w:right w:val="none" w:sz="0" w:space="0" w:color="auto"/>
          </w:divBdr>
          <w:divsChild>
            <w:div w:id="82185284">
              <w:marLeft w:val="0"/>
              <w:marRight w:val="0"/>
              <w:marTop w:val="0"/>
              <w:marBottom w:val="0"/>
              <w:divBdr>
                <w:top w:val="none" w:sz="0" w:space="0" w:color="auto"/>
                <w:left w:val="none" w:sz="0" w:space="0" w:color="auto"/>
                <w:bottom w:val="none" w:sz="0" w:space="0" w:color="auto"/>
                <w:right w:val="none" w:sz="0" w:space="0" w:color="auto"/>
              </w:divBdr>
              <w:divsChild>
                <w:div w:id="94380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271865">
      <w:bodyDiv w:val="1"/>
      <w:marLeft w:val="0"/>
      <w:marRight w:val="0"/>
      <w:marTop w:val="0"/>
      <w:marBottom w:val="0"/>
      <w:divBdr>
        <w:top w:val="none" w:sz="0" w:space="0" w:color="auto"/>
        <w:left w:val="none" w:sz="0" w:space="0" w:color="auto"/>
        <w:bottom w:val="none" w:sz="0" w:space="0" w:color="auto"/>
        <w:right w:val="none" w:sz="0" w:space="0" w:color="auto"/>
      </w:divBdr>
    </w:div>
    <w:div w:id="2051683280">
      <w:bodyDiv w:val="1"/>
      <w:marLeft w:val="0"/>
      <w:marRight w:val="0"/>
      <w:marTop w:val="0"/>
      <w:marBottom w:val="0"/>
      <w:divBdr>
        <w:top w:val="none" w:sz="0" w:space="0" w:color="auto"/>
        <w:left w:val="none" w:sz="0" w:space="0" w:color="auto"/>
        <w:bottom w:val="none" w:sz="0" w:space="0" w:color="auto"/>
        <w:right w:val="none" w:sz="0" w:space="0" w:color="auto"/>
      </w:divBdr>
    </w:div>
    <w:div w:id="2054886509">
      <w:bodyDiv w:val="1"/>
      <w:marLeft w:val="0"/>
      <w:marRight w:val="0"/>
      <w:marTop w:val="0"/>
      <w:marBottom w:val="0"/>
      <w:divBdr>
        <w:top w:val="none" w:sz="0" w:space="0" w:color="auto"/>
        <w:left w:val="none" w:sz="0" w:space="0" w:color="auto"/>
        <w:bottom w:val="none" w:sz="0" w:space="0" w:color="auto"/>
        <w:right w:val="none" w:sz="0" w:space="0" w:color="auto"/>
      </w:divBdr>
      <w:divsChild>
        <w:div w:id="153643842">
          <w:marLeft w:val="0"/>
          <w:marRight w:val="0"/>
          <w:marTop w:val="0"/>
          <w:marBottom w:val="0"/>
          <w:divBdr>
            <w:top w:val="none" w:sz="0" w:space="0" w:color="auto"/>
            <w:left w:val="none" w:sz="0" w:space="0" w:color="auto"/>
            <w:bottom w:val="none" w:sz="0" w:space="0" w:color="auto"/>
            <w:right w:val="none" w:sz="0" w:space="0" w:color="auto"/>
          </w:divBdr>
          <w:divsChild>
            <w:div w:id="1010137253">
              <w:marLeft w:val="0"/>
              <w:marRight w:val="0"/>
              <w:marTop w:val="0"/>
              <w:marBottom w:val="0"/>
              <w:divBdr>
                <w:top w:val="none" w:sz="0" w:space="0" w:color="auto"/>
                <w:left w:val="none" w:sz="0" w:space="0" w:color="auto"/>
                <w:bottom w:val="none" w:sz="0" w:space="0" w:color="auto"/>
                <w:right w:val="none" w:sz="0" w:space="0" w:color="auto"/>
              </w:divBdr>
              <w:divsChild>
                <w:div w:id="129225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253265">
      <w:bodyDiv w:val="1"/>
      <w:marLeft w:val="0"/>
      <w:marRight w:val="0"/>
      <w:marTop w:val="0"/>
      <w:marBottom w:val="0"/>
      <w:divBdr>
        <w:top w:val="none" w:sz="0" w:space="0" w:color="auto"/>
        <w:left w:val="none" w:sz="0" w:space="0" w:color="auto"/>
        <w:bottom w:val="none" w:sz="0" w:space="0" w:color="auto"/>
        <w:right w:val="none" w:sz="0" w:space="0" w:color="auto"/>
      </w:divBdr>
    </w:div>
    <w:div w:id="2066368225">
      <w:bodyDiv w:val="1"/>
      <w:marLeft w:val="0"/>
      <w:marRight w:val="0"/>
      <w:marTop w:val="0"/>
      <w:marBottom w:val="0"/>
      <w:divBdr>
        <w:top w:val="none" w:sz="0" w:space="0" w:color="auto"/>
        <w:left w:val="none" w:sz="0" w:space="0" w:color="auto"/>
        <w:bottom w:val="none" w:sz="0" w:space="0" w:color="auto"/>
        <w:right w:val="none" w:sz="0" w:space="0" w:color="auto"/>
      </w:divBdr>
    </w:div>
    <w:div w:id="2092776871">
      <w:bodyDiv w:val="1"/>
      <w:marLeft w:val="0"/>
      <w:marRight w:val="0"/>
      <w:marTop w:val="0"/>
      <w:marBottom w:val="0"/>
      <w:divBdr>
        <w:top w:val="none" w:sz="0" w:space="0" w:color="auto"/>
        <w:left w:val="none" w:sz="0" w:space="0" w:color="auto"/>
        <w:bottom w:val="none" w:sz="0" w:space="0" w:color="auto"/>
        <w:right w:val="none" w:sz="0" w:space="0" w:color="auto"/>
      </w:divBdr>
    </w:div>
    <w:div w:id="21162893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eader" Target="header2.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D4E40E6-1953-4B4F-894C-A2D4956A42CB}">
  <we:reference id="wa200001011" version="1.1.0.0" store="en-001"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38B15C-14AF-4459-A38A-F83F2451F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39644</Words>
  <Characters>225975</Characters>
  <Application>Microsoft Office Word</Application>
  <DocSecurity>0</DocSecurity>
  <Lines>1883</Lines>
  <Paragraphs>530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265089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Reyna Penailillo</dc:creator>
  <cp:keywords/>
  <dc:description/>
  <cp:lastModifiedBy>Karen Lillycrop</cp:lastModifiedBy>
  <cp:revision>2</cp:revision>
  <dcterms:created xsi:type="dcterms:W3CDTF">2020-11-10T14:34:00Z</dcterms:created>
  <dcterms:modified xsi:type="dcterms:W3CDTF">2020-11-10T14:34:00Z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http://www.zotero.org/styles/biology-of-reproduction</vt:lpwstr>
  </property>
  <property fmtid="{D5CDD505-2E9C-101B-9397-08002B2CF9AE}" pid="9" name="Mendeley Recent Style Name 3_1">
    <vt:lpwstr>Biology of Reproduction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http://www.zotero.org/styles/molecular-aspects-of-medicine</vt:lpwstr>
  </property>
  <property fmtid="{D5CDD505-2E9C-101B-9397-08002B2CF9AE}" pid="19" name="Mendeley Recent Style Name 8_1">
    <vt:lpwstr>Molecular Aspects of Medicine</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29d8adf9-427b-3f72-838a-638421d447e8</vt:lpwstr>
  </property>
  <property fmtid="{D5CDD505-2E9C-101B-9397-08002B2CF9AE}" pid="24" name="Mendeley Citation Style_1">
    <vt:lpwstr>http://www.zotero.org/styles/apa</vt:lpwstr>
  </property>
  <property fmtid="{D5CDD505-2E9C-101B-9397-08002B2CF9AE}" pid="25" name="grammarly_documentId">
    <vt:lpwstr>documentId_6775</vt:lpwstr>
  </property>
</Properties>
</file>