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13480E" w14:textId="1008813F" w:rsidR="00252C17" w:rsidRPr="00C41FDC" w:rsidRDefault="00535507" w:rsidP="007B1066">
      <w:pPr>
        <w:pStyle w:val="Heading2"/>
        <w:spacing w:line="360" w:lineRule="auto"/>
        <w:jc w:val="center"/>
        <w:rPr>
          <w:rFonts w:eastAsia="Times New Roman"/>
          <w:color w:val="000000" w:themeColor="text1"/>
          <w:sz w:val="28"/>
          <w:szCs w:val="28"/>
        </w:rPr>
      </w:pPr>
      <w:bookmarkStart w:id="0" w:name="OLE_LINK5"/>
      <w:bookmarkStart w:id="1" w:name="OLE_LINK6"/>
      <w:bookmarkStart w:id="2" w:name="OLE_LINK373"/>
      <w:bookmarkStart w:id="3" w:name="OLE_LINK229"/>
      <w:r w:rsidRPr="00C41FDC">
        <w:rPr>
          <w:rFonts w:eastAsia="Times New Roman"/>
          <w:color w:val="000000" w:themeColor="text1"/>
          <w:sz w:val="28"/>
          <w:szCs w:val="28"/>
        </w:rPr>
        <w:t xml:space="preserve">Pleuroparenchymal Fibroelastosis in Idiopathic Pulmonary Fibrosis: </w:t>
      </w:r>
      <w:r w:rsidR="002911B9" w:rsidRPr="00C41FDC">
        <w:rPr>
          <w:rFonts w:eastAsia="Times New Roman"/>
          <w:color w:val="000000" w:themeColor="text1"/>
          <w:sz w:val="28"/>
          <w:szCs w:val="28"/>
        </w:rPr>
        <w:t>S</w:t>
      </w:r>
      <w:r w:rsidRPr="00C41FDC">
        <w:rPr>
          <w:rFonts w:eastAsia="Times New Roman"/>
          <w:color w:val="000000" w:themeColor="text1"/>
          <w:sz w:val="28"/>
          <w:szCs w:val="28"/>
        </w:rPr>
        <w:t xml:space="preserve">urvival </w:t>
      </w:r>
      <w:r w:rsidR="00636050" w:rsidRPr="00C41FDC">
        <w:rPr>
          <w:rFonts w:eastAsia="Times New Roman"/>
          <w:color w:val="000000" w:themeColor="text1"/>
          <w:sz w:val="28"/>
          <w:szCs w:val="28"/>
        </w:rPr>
        <w:t xml:space="preserve">Analysis </w:t>
      </w:r>
      <w:r w:rsidRPr="00C41FDC">
        <w:rPr>
          <w:rFonts w:eastAsia="Times New Roman"/>
          <w:color w:val="000000" w:themeColor="text1"/>
          <w:sz w:val="28"/>
          <w:szCs w:val="28"/>
        </w:rPr>
        <w:t>using Visual and Computer-Based C</w:t>
      </w:r>
      <w:r w:rsidR="00AC445C" w:rsidRPr="00C41FDC">
        <w:rPr>
          <w:rFonts w:eastAsia="Times New Roman"/>
          <w:color w:val="000000" w:themeColor="text1"/>
          <w:sz w:val="28"/>
          <w:szCs w:val="28"/>
        </w:rPr>
        <w:t xml:space="preserve">omputed </w:t>
      </w:r>
      <w:r w:rsidRPr="00C41FDC">
        <w:rPr>
          <w:rFonts w:eastAsia="Times New Roman"/>
          <w:color w:val="000000" w:themeColor="text1"/>
          <w:sz w:val="28"/>
          <w:szCs w:val="28"/>
        </w:rPr>
        <w:t>T</w:t>
      </w:r>
      <w:r w:rsidR="00AC445C" w:rsidRPr="00C41FDC">
        <w:rPr>
          <w:rFonts w:eastAsia="Times New Roman"/>
          <w:color w:val="000000" w:themeColor="text1"/>
          <w:sz w:val="28"/>
          <w:szCs w:val="28"/>
        </w:rPr>
        <w:t>omography</w:t>
      </w:r>
      <w:r w:rsidRPr="00C41FDC">
        <w:rPr>
          <w:rFonts w:eastAsia="Times New Roman"/>
          <w:color w:val="000000" w:themeColor="text1"/>
          <w:sz w:val="28"/>
          <w:szCs w:val="28"/>
        </w:rPr>
        <w:t xml:space="preserve"> </w:t>
      </w:r>
      <w:r w:rsidR="00636050" w:rsidRPr="00C41FDC">
        <w:rPr>
          <w:rFonts w:eastAsia="Times New Roman"/>
          <w:color w:val="000000" w:themeColor="text1"/>
          <w:sz w:val="28"/>
          <w:szCs w:val="28"/>
        </w:rPr>
        <w:t>Assessment</w:t>
      </w:r>
    </w:p>
    <w:p w14:paraId="3AFABEBC" w14:textId="3B2157D2" w:rsidR="00902CFE" w:rsidRPr="00C41FDC" w:rsidRDefault="00B733A0" w:rsidP="007B1066">
      <w:pPr>
        <w:spacing w:line="360" w:lineRule="auto"/>
        <w:ind w:left="360"/>
        <w:jc w:val="center"/>
        <w:rPr>
          <w:color w:val="000000" w:themeColor="text1"/>
        </w:rPr>
      </w:pPr>
      <w:bookmarkStart w:id="4" w:name="OLE_LINK19"/>
      <w:bookmarkStart w:id="5" w:name="OLE_LINK20"/>
      <w:bookmarkEnd w:id="0"/>
      <w:bookmarkEnd w:id="1"/>
      <w:bookmarkEnd w:id="2"/>
      <w:bookmarkEnd w:id="3"/>
      <w:r w:rsidRPr="00C41FDC">
        <w:rPr>
          <w:color w:val="000000" w:themeColor="text1"/>
        </w:rPr>
        <w:t xml:space="preserve">Dr </w:t>
      </w:r>
      <w:r w:rsidR="00902CFE" w:rsidRPr="00C41FDC">
        <w:rPr>
          <w:color w:val="000000" w:themeColor="text1"/>
        </w:rPr>
        <w:t>Eyjolfur Gudmundsson</w:t>
      </w:r>
      <w:r w:rsidR="003C730E" w:rsidRPr="00C41FDC">
        <w:rPr>
          <w:color w:val="000000" w:themeColor="text1"/>
          <w:vertAlign w:val="superscript"/>
        </w:rPr>
        <w:t>1</w:t>
      </w:r>
      <w:r w:rsidR="00902CFE" w:rsidRPr="00C41FDC">
        <w:rPr>
          <w:color w:val="000000" w:themeColor="text1"/>
        </w:rPr>
        <w:t xml:space="preserve"> </w:t>
      </w:r>
      <w:r w:rsidR="001821CA" w:rsidRPr="00C41FDC">
        <w:rPr>
          <w:color w:val="000000" w:themeColor="text1"/>
        </w:rPr>
        <w:t xml:space="preserve">PhD </w:t>
      </w:r>
      <w:r w:rsidR="00902CFE" w:rsidRPr="00C41FDC">
        <w:rPr>
          <w:color w:val="000000" w:themeColor="text1"/>
        </w:rPr>
        <w:t>(</w:t>
      </w:r>
      <w:r w:rsidR="00986668" w:rsidRPr="00C41FDC">
        <w:rPr>
          <w:color w:val="000000" w:themeColor="text1"/>
        </w:rPr>
        <w:t>e.gudmundsson@ucl.ac.uk</w:t>
      </w:r>
      <w:r w:rsidR="00902CFE" w:rsidRPr="00C41FDC">
        <w:rPr>
          <w:color w:val="000000" w:themeColor="text1"/>
        </w:rPr>
        <w:t>)</w:t>
      </w:r>
    </w:p>
    <w:p w14:paraId="3DF158AC" w14:textId="56BDB1D1" w:rsidR="00902CFE" w:rsidRPr="00C41FDC" w:rsidRDefault="00440FE3" w:rsidP="007B1066">
      <w:pPr>
        <w:spacing w:line="360" w:lineRule="auto"/>
        <w:ind w:left="360"/>
        <w:jc w:val="center"/>
        <w:rPr>
          <w:color w:val="000000" w:themeColor="text1"/>
        </w:rPr>
      </w:pPr>
      <w:r w:rsidRPr="00C41FDC">
        <w:rPr>
          <w:color w:val="000000" w:themeColor="text1"/>
        </w:rPr>
        <w:t>An Zhao</w:t>
      </w:r>
      <w:r w:rsidR="003C730E" w:rsidRPr="00C41FDC">
        <w:rPr>
          <w:color w:val="000000" w:themeColor="text1"/>
          <w:vertAlign w:val="superscript"/>
        </w:rPr>
        <w:t>1</w:t>
      </w:r>
      <w:r w:rsidR="00902CFE" w:rsidRPr="00C41FDC">
        <w:rPr>
          <w:color w:val="000000" w:themeColor="text1"/>
        </w:rPr>
        <w:t xml:space="preserve"> </w:t>
      </w:r>
      <w:r w:rsidR="004F0781" w:rsidRPr="00C41FDC">
        <w:rPr>
          <w:color w:val="000000" w:themeColor="text1"/>
        </w:rPr>
        <w:t>M</w:t>
      </w:r>
      <w:r w:rsidR="001821CA" w:rsidRPr="00C41FDC">
        <w:rPr>
          <w:color w:val="000000" w:themeColor="text1"/>
        </w:rPr>
        <w:t xml:space="preserve">Sc </w:t>
      </w:r>
      <w:r w:rsidR="00902CFE" w:rsidRPr="00C41FDC">
        <w:rPr>
          <w:color w:val="000000" w:themeColor="text1"/>
        </w:rPr>
        <w:t>(</w:t>
      </w:r>
      <w:bookmarkStart w:id="6" w:name="OLE_LINK376"/>
      <w:bookmarkStart w:id="7" w:name="OLE_LINK377"/>
      <w:bookmarkStart w:id="8" w:name="OLE_LINK54"/>
      <w:r w:rsidRPr="00C41FDC">
        <w:rPr>
          <w:color w:val="000000" w:themeColor="text1"/>
        </w:rPr>
        <w:t>an.zhao.19@ucl.ac.uk</w:t>
      </w:r>
      <w:bookmarkEnd w:id="6"/>
      <w:bookmarkEnd w:id="7"/>
      <w:bookmarkEnd w:id="8"/>
      <w:r w:rsidR="00902CFE" w:rsidRPr="00C41FDC">
        <w:rPr>
          <w:color w:val="000000" w:themeColor="text1"/>
        </w:rPr>
        <w:t>)</w:t>
      </w:r>
    </w:p>
    <w:p w14:paraId="34C6C2E2" w14:textId="42102BFB" w:rsidR="00902CFE" w:rsidRPr="00C41FDC" w:rsidRDefault="00440FE3" w:rsidP="007B1066">
      <w:pPr>
        <w:spacing w:line="360" w:lineRule="auto"/>
        <w:ind w:left="360"/>
        <w:jc w:val="center"/>
        <w:rPr>
          <w:color w:val="000000" w:themeColor="text1"/>
        </w:rPr>
      </w:pPr>
      <w:r w:rsidRPr="00C41FDC">
        <w:rPr>
          <w:color w:val="000000" w:themeColor="text1"/>
        </w:rPr>
        <w:t>Prof Nesrin Mogulkoc</w:t>
      </w:r>
      <w:r w:rsidR="00BD684C" w:rsidRPr="00C41FDC">
        <w:rPr>
          <w:color w:val="000000" w:themeColor="text1"/>
          <w:vertAlign w:val="superscript"/>
        </w:rPr>
        <w:t>2</w:t>
      </w:r>
      <w:r w:rsidR="00902CFE" w:rsidRPr="00C41FDC">
        <w:rPr>
          <w:color w:val="000000" w:themeColor="text1"/>
        </w:rPr>
        <w:t xml:space="preserve"> </w:t>
      </w:r>
      <w:r w:rsidR="001821CA" w:rsidRPr="00C41FDC">
        <w:rPr>
          <w:color w:val="000000" w:themeColor="text1"/>
        </w:rPr>
        <w:t xml:space="preserve">MD </w:t>
      </w:r>
      <w:r w:rsidR="00902CFE" w:rsidRPr="00C41FDC">
        <w:rPr>
          <w:color w:val="000000" w:themeColor="text1"/>
        </w:rPr>
        <w:t>(</w:t>
      </w:r>
      <w:bookmarkStart w:id="9" w:name="OLE_LINK378"/>
      <w:bookmarkStart w:id="10" w:name="OLE_LINK379"/>
      <w:bookmarkStart w:id="11" w:name="OLE_LINK412"/>
      <w:bookmarkStart w:id="12" w:name="OLE_LINK51"/>
      <w:r w:rsidRPr="00C41FDC">
        <w:rPr>
          <w:color w:val="000000" w:themeColor="text1"/>
        </w:rPr>
        <w:t>nesrin.mogulkoc</w:t>
      </w:r>
      <w:r w:rsidR="00902CFE" w:rsidRPr="00C41FDC">
        <w:rPr>
          <w:color w:val="000000" w:themeColor="text1"/>
        </w:rPr>
        <w:t>@</w:t>
      </w:r>
      <w:r w:rsidRPr="00C41FDC">
        <w:rPr>
          <w:color w:val="000000" w:themeColor="text1"/>
        </w:rPr>
        <w:t>gmail.com</w:t>
      </w:r>
      <w:bookmarkEnd w:id="9"/>
      <w:bookmarkEnd w:id="10"/>
      <w:bookmarkEnd w:id="11"/>
      <w:bookmarkEnd w:id="12"/>
      <w:r w:rsidR="00902CFE" w:rsidRPr="00C41FDC">
        <w:rPr>
          <w:color w:val="000000" w:themeColor="text1"/>
        </w:rPr>
        <w:t>)</w:t>
      </w:r>
    </w:p>
    <w:p w14:paraId="44A45DFC" w14:textId="636DB342" w:rsidR="00BD684C" w:rsidRPr="00C41FDC" w:rsidRDefault="00BD684C" w:rsidP="007B1066">
      <w:pPr>
        <w:spacing w:line="360" w:lineRule="auto"/>
        <w:ind w:left="360"/>
        <w:jc w:val="center"/>
        <w:rPr>
          <w:color w:val="000000" w:themeColor="text1"/>
        </w:rPr>
      </w:pPr>
      <w:r w:rsidRPr="00C41FDC">
        <w:rPr>
          <w:color w:val="000000" w:themeColor="text1"/>
        </w:rPr>
        <w:t>Dr Iain Stewart</w:t>
      </w:r>
      <w:r w:rsidRPr="00C41FDC">
        <w:rPr>
          <w:color w:val="000000" w:themeColor="text1"/>
          <w:vertAlign w:val="superscript"/>
        </w:rPr>
        <w:t>3</w:t>
      </w:r>
      <w:r w:rsidRPr="00C41FDC">
        <w:rPr>
          <w:color w:val="000000" w:themeColor="text1"/>
        </w:rPr>
        <w:t xml:space="preserve"> </w:t>
      </w:r>
      <w:r w:rsidR="001821CA" w:rsidRPr="00C41FDC">
        <w:rPr>
          <w:color w:val="000000" w:themeColor="text1"/>
        </w:rPr>
        <w:t xml:space="preserve">PhD </w:t>
      </w:r>
      <w:r w:rsidRPr="00C41FDC">
        <w:rPr>
          <w:color w:val="000000" w:themeColor="text1"/>
        </w:rPr>
        <w:t>(</w:t>
      </w:r>
      <w:bookmarkStart w:id="13" w:name="OLE_LINK380"/>
      <w:bookmarkStart w:id="14" w:name="OLE_LINK381"/>
      <w:bookmarkStart w:id="15" w:name="OLE_LINK413"/>
      <w:bookmarkStart w:id="16" w:name="OLE_LINK50"/>
      <w:r w:rsidR="007D186D" w:rsidRPr="00C41FDC">
        <w:rPr>
          <w:color w:val="000000" w:themeColor="text1"/>
        </w:rPr>
        <w:t>iain.stewart@imperial.ac.uk</w:t>
      </w:r>
      <w:bookmarkEnd w:id="13"/>
      <w:bookmarkEnd w:id="14"/>
      <w:bookmarkEnd w:id="15"/>
      <w:bookmarkEnd w:id="16"/>
      <w:r w:rsidRPr="00C41FDC">
        <w:rPr>
          <w:color w:val="000000" w:themeColor="text1"/>
        </w:rPr>
        <w:t>)</w:t>
      </w:r>
    </w:p>
    <w:p w14:paraId="482F1DC9" w14:textId="5054B168" w:rsidR="00902CFE" w:rsidRPr="00C41FDC" w:rsidRDefault="009356A9" w:rsidP="007B1066">
      <w:pPr>
        <w:spacing w:line="360" w:lineRule="auto"/>
        <w:ind w:left="360"/>
        <w:jc w:val="center"/>
        <w:rPr>
          <w:color w:val="000000" w:themeColor="text1"/>
        </w:rPr>
      </w:pPr>
      <w:bookmarkStart w:id="17" w:name="OLE_LINK1"/>
      <w:bookmarkStart w:id="18" w:name="OLE_LINK2"/>
      <w:r w:rsidRPr="00C41FDC">
        <w:rPr>
          <w:color w:val="000000" w:themeColor="text1"/>
        </w:rPr>
        <w:t>Dr Mark G Jones</w:t>
      </w:r>
      <w:r w:rsidR="007D0EAB" w:rsidRPr="00C41FDC">
        <w:rPr>
          <w:color w:val="000000" w:themeColor="text1"/>
          <w:vertAlign w:val="superscript"/>
        </w:rPr>
        <w:t>4</w:t>
      </w:r>
      <w:r w:rsidR="00902CFE" w:rsidRPr="00C41FDC">
        <w:rPr>
          <w:color w:val="000000" w:themeColor="text1"/>
        </w:rPr>
        <w:t xml:space="preserve"> </w:t>
      </w:r>
      <w:r w:rsidR="001821CA" w:rsidRPr="00C41FDC">
        <w:rPr>
          <w:color w:val="000000" w:themeColor="text1"/>
        </w:rPr>
        <w:t xml:space="preserve">PhD </w:t>
      </w:r>
      <w:r w:rsidR="00902CFE" w:rsidRPr="00C41FDC">
        <w:rPr>
          <w:color w:val="000000" w:themeColor="text1"/>
        </w:rPr>
        <w:t>(</w:t>
      </w:r>
      <w:bookmarkStart w:id="19" w:name="OLE_LINK382"/>
      <w:bookmarkStart w:id="20" w:name="OLE_LINK383"/>
      <w:bookmarkStart w:id="21" w:name="OLE_LINK49"/>
      <w:r w:rsidRPr="00C41FDC">
        <w:rPr>
          <w:color w:val="000000" w:themeColor="text1"/>
        </w:rPr>
        <w:t>mark.jones@soton.ac.uk</w:t>
      </w:r>
      <w:bookmarkEnd w:id="19"/>
      <w:bookmarkEnd w:id="20"/>
      <w:bookmarkEnd w:id="21"/>
      <w:r w:rsidR="00902CFE" w:rsidRPr="00C41FDC">
        <w:rPr>
          <w:color w:val="000000" w:themeColor="text1"/>
        </w:rPr>
        <w:t>)</w:t>
      </w:r>
    </w:p>
    <w:p w14:paraId="4D5BB714" w14:textId="158871E6" w:rsidR="009356A9" w:rsidRPr="00C41FDC" w:rsidRDefault="009356A9" w:rsidP="009356A9">
      <w:pPr>
        <w:spacing w:line="360" w:lineRule="auto"/>
        <w:ind w:left="360"/>
        <w:jc w:val="center"/>
        <w:rPr>
          <w:color w:val="000000" w:themeColor="text1"/>
        </w:rPr>
      </w:pPr>
      <w:bookmarkStart w:id="22" w:name="OLE_LINK195"/>
      <w:bookmarkStart w:id="23" w:name="OLE_LINK196"/>
      <w:r w:rsidRPr="00C41FDC">
        <w:rPr>
          <w:color w:val="000000" w:themeColor="text1"/>
        </w:rPr>
        <w:t xml:space="preserve">Dr Coline </w:t>
      </w:r>
      <w:r w:rsidR="009063EC" w:rsidRPr="00C41FDC">
        <w:rPr>
          <w:color w:val="000000" w:themeColor="text1"/>
        </w:rPr>
        <w:t xml:space="preserve">H.M. </w:t>
      </w:r>
      <w:r w:rsidRPr="00C41FDC">
        <w:rPr>
          <w:color w:val="000000" w:themeColor="text1"/>
        </w:rPr>
        <w:t>van Moorsel</w:t>
      </w:r>
      <w:r w:rsidR="007D0EAB" w:rsidRPr="00C41FDC">
        <w:rPr>
          <w:color w:val="000000" w:themeColor="text1"/>
          <w:vertAlign w:val="superscript"/>
        </w:rPr>
        <w:t>5</w:t>
      </w:r>
      <w:r w:rsidRPr="00C41FDC">
        <w:rPr>
          <w:color w:val="000000" w:themeColor="text1"/>
        </w:rPr>
        <w:t xml:space="preserve"> </w:t>
      </w:r>
      <w:r w:rsidR="001821CA" w:rsidRPr="00C41FDC">
        <w:rPr>
          <w:color w:val="000000" w:themeColor="text1"/>
        </w:rPr>
        <w:t>PhD</w:t>
      </w:r>
      <w:bookmarkEnd w:id="22"/>
      <w:bookmarkEnd w:id="23"/>
      <w:r w:rsidR="001821CA" w:rsidRPr="00C41FDC">
        <w:rPr>
          <w:color w:val="000000" w:themeColor="text1"/>
        </w:rPr>
        <w:t xml:space="preserve"> </w:t>
      </w:r>
      <w:r w:rsidRPr="00C41FDC">
        <w:rPr>
          <w:color w:val="000000" w:themeColor="text1"/>
        </w:rPr>
        <w:t>(</w:t>
      </w:r>
      <w:bookmarkStart w:id="24" w:name="OLE_LINK384"/>
      <w:bookmarkStart w:id="25" w:name="OLE_LINK385"/>
      <w:bookmarkStart w:id="26" w:name="OLE_LINK47"/>
      <w:r w:rsidRPr="00C41FDC">
        <w:rPr>
          <w:color w:val="000000" w:themeColor="text1"/>
        </w:rPr>
        <w:t>c.van.moorsel@antoniusziekenhuis.nl</w:t>
      </w:r>
      <w:bookmarkEnd w:id="24"/>
      <w:bookmarkEnd w:id="25"/>
      <w:bookmarkEnd w:id="26"/>
      <w:r w:rsidRPr="00C41FDC">
        <w:rPr>
          <w:color w:val="000000" w:themeColor="text1"/>
        </w:rPr>
        <w:t>)</w:t>
      </w:r>
    </w:p>
    <w:p w14:paraId="07D9C3DF" w14:textId="39AB04DE" w:rsidR="009356A9" w:rsidRPr="00C41FDC" w:rsidRDefault="009356A9" w:rsidP="009356A9">
      <w:pPr>
        <w:spacing w:line="360" w:lineRule="auto"/>
        <w:ind w:left="360"/>
        <w:jc w:val="center"/>
        <w:rPr>
          <w:color w:val="000000" w:themeColor="text1"/>
        </w:rPr>
      </w:pPr>
      <w:r w:rsidRPr="00C41FDC">
        <w:rPr>
          <w:color w:val="000000" w:themeColor="text1"/>
        </w:rPr>
        <w:t>Dr Recep Savas</w:t>
      </w:r>
      <w:r w:rsidR="007D0EAB" w:rsidRPr="00C41FDC">
        <w:rPr>
          <w:color w:val="000000" w:themeColor="text1"/>
          <w:vertAlign w:val="superscript"/>
        </w:rPr>
        <w:t>6</w:t>
      </w:r>
      <w:r w:rsidRPr="00C41FDC">
        <w:rPr>
          <w:color w:val="000000" w:themeColor="text1"/>
        </w:rPr>
        <w:t xml:space="preserve"> </w:t>
      </w:r>
      <w:r w:rsidR="001821CA" w:rsidRPr="00C41FDC">
        <w:rPr>
          <w:color w:val="000000" w:themeColor="text1"/>
        </w:rPr>
        <w:t xml:space="preserve">MD </w:t>
      </w:r>
      <w:r w:rsidRPr="00C41FDC">
        <w:rPr>
          <w:color w:val="000000" w:themeColor="text1"/>
        </w:rPr>
        <w:t>(</w:t>
      </w:r>
      <w:bookmarkStart w:id="27" w:name="OLE_LINK386"/>
      <w:bookmarkStart w:id="28" w:name="OLE_LINK387"/>
      <w:bookmarkStart w:id="29" w:name="OLE_LINK48"/>
      <w:r w:rsidR="00BD684C" w:rsidRPr="00C41FDC">
        <w:rPr>
          <w:color w:val="000000" w:themeColor="text1"/>
        </w:rPr>
        <w:t>recepsavas@gmail.com</w:t>
      </w:r>
      <w:bookmarkEnd w:id="27"/>
      <w:bookmarkEnd w:id="28"/>
      <w:bookmarkEnd w:id="29"/>
      <w:r w:rsidRPr="00C41FDC">
        <w:rPr>
          <w:color w:val="000000" w:themeColor="text1"/>
        </w:rPr>
        <w:t>)</w:t>
      </w:r>
    </w:p>
    <w:p w14:paraId="76153AAC" w14:textId="49A57815" w:rsidR="009356A9" w:rsidRPr="00C41FDC" w:rsidRDefault="009356A9" w:rsidP="009356A9">
      <w:pPr>
        <w:spacing w:line="360" w:lineRule="auto"/>
        <w:ind w:left="360"/>
        <w:jc w:val="center"/>
        <w:rPr>
          <w:color w:val="000000" w:themeColor="text1"/>
        </w:rPr>
      </w:pPr>
      <w:r w:rsidRPr="00C41FDC">
        <w:rPr>
          <w:color w:val="000000" w:themeColor="text1"/>
        </w:rPr>
        <w:t>Dr Christopher J Brereton</w:t>
      </w:r>
      <w:r w:rsidR="00897C6D" w:rsidRPr="00C41FDC">
        <w:rPr>
          <w:color w:val="000000" w:themeColor="text1"/>
          <w:vertAlign w:val="superscript"/>
        </w:rPr>
        <w:t>4</w:t>
      </w:r>
      <w:r w:rsidRPr="00C41FDC">
        <w:rPr>
          <w:color w:val="000000" w:themeColor="text1"/>
        </w:rPr>
        <w:t xml:space="preserve"> </w:t>
      </w:r>
      <w:r w:rsidR="001B0334" w:rsidRPr="00C41FDC">
        <w:rPr>
          <w:color w:val="000000" w:themeColor="text1"/>
        </w:rPr>
        <w:t xml:space="preserve">PhD </w:t>
      </w:r>
      <w:r w:rsidRPr="00C41FDC">
        <w:rPr>
          <w:color w:val="000000" w:themeColor="text1"/>
        </w:rPr>
        <w:t>(</w:t>
      </w:r>
      <w:bookmarkStart w:id="30" w:name="OLE_LINK388"/>
      <w:bookmarkStart w:id="31" w:name="OLE_LINK389"/>
      <w:bookmarkStart w:id="32" w:name="OLE_LINK416"/>
      <w:bookmarkStart w:id="33" w:name="OLE_LINK46"/>
      <w:r w:rsidR="00BD684C" w:rsidRPr="00C41FDC">
        <w:rPr>
          <w:color w:val="000000" w:themeColor="text1"/>
        </w:rPr>
        <w:t>c.j.brereton@soton.ac.uk</w:t>
      </w:r>
      <w:bookmarkEnd w:id="30"/>
      <w:bookmarkEnd w:id="31"/>
      <w:bookmarkEnd w:id="32"/>
      <w:bookmarkEnd w:id="33"/>
      <w:r w:rsidRPr="00C41FDC">
        <w:rPr>
          <w:color w:val="000000" w:themeColor="text1"/>
        </w:rPr>
        <w:t>)</w:t>
      </w:r>
    </w:p>
    <w:p w14:paraId="695FD893" w14:textId="77A03581" w:rsidR="009356A9" w:rsidRPr="00C41FDC" w:rsidRDefault="009356A9" w:rsidP="009356A9">
      <w:pPr>
        <w:spacing w:line="360" w:lineRule="auto"/>
        <w:ind w:left="360"/>
        <w:jc w:val="center"/>
        <w:rPr>
          <w:color w:val="000000" w:themeColor="text1"/>
        </w:rPr>
      </w:pPr>
      <w:bookmarkStart w:id="34" w:name="OLE_LINK197"/>
      <w:bookmarkStart w:id="35" w:name="OLE_LINK198"/>
      <w:r w:rsidRPr="00C41FDC">
        <w:rPr>
          <w:color w:val="000000" w:themeColor="text1"/>
        </w:rPr>
        <w:t xml:space="preserve">Dr </w:t>
      </w:r>
      <w:r w:rsidR="00B733A0" w:rsidRPr="00C41FDC">
        <w:rPr>
          <w:color w:val="000000" w:themeColor="text1"/>
        </w:rPr>
        <w:t xml:space="preserve">Hendrik W van </w:t>
      </w:r>
      <w:r w:rsidR="00017F1E" w:rsidRPr="00C41FDC">
        <w:rPr>
          <w:color w:val="000000" w:themeColor="text1"/>
        </w:rPr>
        <w:t>Es</w:t>
      </w:r>
      <w:r w:rsidR="00940946" w:rsidRPr="00C41FDC">
        <w:rPr>
          <w:color w:val="000000" w:themeColor="text1"/>
          <w:vertAlign w:val="superscript"/>
        </w:rPr>
        <w:t>7</w:t>
      </w:r>
      <w:r w:rsidR="00017F1E" w:rsidRPr="00C41FDC">
        <w:rPr>
          <w:color w:val="000000" w:themeColor="text1"/>
        </w:rPr>
        <w:t xml:space="preserve"> </w:t>
      </w:r>
      <w:r w:rsidR="001821CA" w:rsidRPr="00C41FDC">
        <w:rPr>
          <w:color w:val="000000" w:themeColor="text1"/>
        </w:rPr>
        <w:t xml:space="preserve">PhD </w:t>
      </w:r>
      <w:r w:rsidRPr="00C41FDC">
        <w:rPr>
          <w:color w:val="000000" w:themeColor="text1"/>
        </w:rPr>
        <w:t>(</w:t>
      </w:r>
      <w:bookmarkStart w:id="36" w:name="OLE_LINK390"/>
      <w:bookmarkStart w:id="37" w:name="OLE_LINK391"/>
      <w:bookmarkStart w:id="38" w:name="OLE_LINK45"/>
      <w:r w:rsidR="00BD684C" w:rsidRPr="00C41FDC">
        <w:rPr>
          <w:color w:val="000000" w:themeColor="text1"/>
        </w:rPr>
        <w:t>h.es@antoniusziekenhuis.nl</w:t>
      </w:r>
      <w:bookmarkEnd w:id="36"/>
      <w:bookmarkEnd w:id="37"/>
      <w:bookmarkEnd w:id="38"/>
      <w:r w:rsidRPr="00C41FDC">
        <w:rPr>
          <w:color w:val="000000" w:themeColor="text1"/>
        </w:rPr>
        <w:t>)</w:t>
      </w:r>
    </w:p>
    <w:p w14:paraId="01B8E08C" w14:textId="3E52420A" w:rsidR="009356A9" w:rsidRPr="00C41FDC" w:rsidRDefault="00B733A0" w:rsidP="009356A9">
      <w:pPr>
        <w:spacing w:line="360" w:lineRule="auto"/>
        <w:ind w:left="360"/>
        <w:jc w:val="center"/>
        <w:rPr>
          <w:color w:val="000000" w:themeColor="text1"/>
        </w:rPr>
      </w:pPr>
      <w:bookmarkStart w:id="39" w:name="OLE_LINK3"/>
      <w:bookmarkStart w:id="40" w:name="OLE_LINK4"/>
      <w:bookmarkEnd w:id="34"/>
      <w:bookmarkEnd w:id="35"/>
      <w:r w:rsidRPr="00C41FDC">
        <w:rPr>
          <w:color w:val="000000" w:themeColor="text1"/>
        </w:rPr>
        <w:t>Omer Unat</w:t>
      </w:r>
      <w:r w:rsidR="00C66B4B" w:rsidRPr="00C41FDC">
        <w:rPr>
          <w:color w:val="000000" w:themeColor="text1"/>
          <w:vertAlign w:val="superscript"/>
        </w:rPr>
        <w:t>2</w:t>
      </w:r>
      <w:r w:rsidR="009356A9" w:rsidRPr="00C41FDC">
        <w:rPr>
          <w:color w:val="000000" w:themeColor="text1"/>
        </w:rPr>
        <w:t xml:space="preserve"> </w:t>
      </w:r>
      <w:r w:rsidR="001821CA" w:rsidRPr="00C41FDC">
        <w:rPr>
          <w:color w:val="000000" w:themeColor="text1"/>
        </w:rPr>
        <w:t xml:space="preserve">MD </w:t>
      </w:r>
      <w:r w:rsidR="009356A9" w:rsidRPr="00C41FDC">
        <w:rPr>
          <w:color w:val="000000" w:themeColor="text1"/>
        </w:rPr>
        <w:t>(</w:t>
      </w:r>
      <w:bookmarkStart w:id="41" w:name="OLE_LINK392"/>
      <w:bookmarkStart w:id="42" w:name="OLE_LINK393"/>
      <w:bookmarkStart w:id="43" w:name="OLE_LINK417"/>
      <w:bookmarkStart w:id="44" w:name="OLE_LINK44"/>
      <w:r w:rsidR="00BD684C" w:rsidRPr="00C41FDC">
        <w:rPr>
          <w:color w:val="000000" w:themeColor="text1"/>
        </w:rPr>
        <w:t>omer.selim.unat@ege.edu.tr</w:t>
      </w:r>
      <w:bookmarkEnd w:id="41"/>
      <w:bookmarkEnd w:id="42"/>
      <w:bookmarkEnd w:id="43"/>
      <w:bookmarkEnd w:id="44"/>
      <w:r w:rsidR="009356A9" w:rsidRPr="00C41FDC">
        <w:rPr>
          <w:color w:val="000000" w:themeColor="text1"/>
        </w:rPr>
        <w:t>)</w:t>
      </w:r>
    </w:p>
    <w:bookmarkEnd w:id="39"/>
    <w:bookmarkEnd w:id="40"/>
    <w:p w14:paraId="0384C825" w14:textId="56506A13" w:rsidR="009356A9" w:rsidRPr="00C41FDC" w:rsidRDefault="009356A9" w:rsidP="009356A9">
      <w:pPr>
        <w:spacing w:line="360" w:lineRule="auto"/>
        <w:ind w:left="360"/>
        <w:jc w:val="center"/>
        <w:rPr>
          <w:color w:val="000000" w:themeColor="text1"/>
        </w:rPr>
      </w:pPr>
      <w:r w:rsidRPr="00C41FDC">
        <w:rPr>
          <w:color w:val="000000" w:themeColor="text1"/>
        </w:rPr>
        <w:t xml:space="preserve">Dr </w:t>
      </w:r>
      <w:r w:rsidR="00B733A0" w:rsidRPr="00C41FDC">
        <w:rPr>
          <w:color w:val="000000" w:themeColor="text1"/>
        </w:rPr>
        <w:t xml:space="preserve">Katarina </w:t>
      </w:r>
      <w:bookmarkStart w:id="45" w:name="OLE_LINK418"/>
      <w:bookmarkStart w:id="46" w:name="OLE_LINK419"/>
      <w:r w:rsidR="00B733A0" w:rsidRPr="00C41FDC">
        <w:rPr>
          <w:color w:val="000000" w:themeColor="text1"/>
        </w:rPr>
        <w:t>Pontoppidan</w:t>
      </w:r>
      <w:bookmarkEnd w:id="45"/>
      <w:bookmarkEnd w:id="46"/>
      <w:r w:rsidR="007D0EAB" w:rsidRPr="00C41FDC">
        <w:rPr>
          <w:color w:val="000000" w:themeColor="text1"/>
          <w:vertAlign w:val="superscript"/>
        </w:rPr>
        <w:t>4</w:t>
      </w:r>
      <w:r w:rsidRPr="00C41FDC">
        <w:rPr>
          <w:color w:val="000000" w:themeColor="text1"/>
        </w:rPr>
        <w:t xml:space="preserve"> </w:t>
      </w:r>
      <w:r w:rsidR="001821CA" w:rsidRPr="00C41FDC">
        <w:rPr>
          <w:color w:val="000000" w:themeColor="text1"/>
        </w:rPr>
        <w:t xml:space="preserve">MBBS </w:t>
      </w:r>
      <w:r w:rsidRPr="00C41FDC">
        <w:rPr>
          <w:color w:val="000000" w:themeColor="text1"/>
        </w:rPr>
        <w:t>(</w:t>
      </w:r>
      <w:bookmarkStart w:id="47" w:name="OLE_LINK394"/>
      <w:bookmarkStart w:id="48" w:name="OLE_LINK395"/>
      <w:bookmarkStart w:id="49" w:name="OLE_LINK420"/>
      <w:bookmarkStart w:id="50" w:name="OLE_LINK43"/>
      <w:r w:rsidR="007D0EAB" w:rsidRPr="00C41FDC">
        <w:rPr>
          <w:color w:val="000000" w:themeColor="text1"/>
        </w:rPr>
        <w:t>katarinapontoppidan@gmail.com</w:t>
      </w:r>
      <w:bookmarkEnd w:id="47"/>
      <w:bookmarkEnd w:id="48"/>
      <w:bookmarkEnd w:id="49"/>
      <w:bookmarkEnd w:id="50"/>
      <w:r w:rsidRPr="00C41FDC">
        <w:rPr>
          <w:color w:val="000000" w:themeColor="text1"/>
        </w:rPr>
        <w:t>)</w:t>
      </w:r>
    </w:p>
    <w:p w14:paraId="55EC0F62" w14:textId="08BE79E0" w:rsidR="009356A9" w:rsidRPr="00C41FDC" w:rsidRDefault="009356A9" w:rsidP="009356A9">
      <w:pPr>
        <w:spacing w:line="360" w:lineRule="auto"/>
        <w:ind w:left="360"/>
        <w:jc w:val="center"/>
        <w:rPr>
          <w:color w:val="000000" w:themeColor="text1"/>
        </w:rPr>
      </w:pPr>
      <w:bookmarkStart w:id="51" w:name="OLE_LINK202"/>
      <w:bookmarkStart w:id="52" w:name="OLE_LINK203"/>
      <w:bookmarkStart w:id="53" w:name="OLE_LINK204"/>
      <w:bookmarkStart w:id="54" w:name="OLE_LINK205"/>
      <w:r w:rsidRPr="00C41FDC">
        <w:rPr>
          <w:color w:val="000000" w:themeColor="text1"/>
        </w:rPr>
        <w:t xml:space="preserve">Dr </w:t>
      </w:r>
      <w:r w:rsidR="007D0EAB" w:rsidRPr="00C41FDC">
        <w:rPr>
          <w:color w:val="000000" w:themeColor="text1"/>
        </w:rPr>
        <w:t>Frouke van Beek</w:t>
      </w:r>
      <w:r w:rsidR="007D0EAB" w:rsidRPr="00C41FDC">
        <w:rPr>
          <w:color w:val="000000" w:themeColor="text1"/>
          <w:vertAlign w:val="superscript"/>
        </w:rPr>
        <w:t>5</w:t>
      </w:r>
      <w:r w:rsidRPr="00C41FDC">
        <w:rPr>
          <w:color w:val="000000" w:themeColor="text1"/>
        </w:rPr>
        <w:t xml:space="preserve"> </w:t>
      </w:r>
      <w:bookmarkEnd w:id="51"/>
      <w:bookmarkEnd w:id="52"/>
      <w:r w:rsidR="001821CA" w:rsidRPr="00C41FDC">
        <w:rPr>
          <w:color w:val="000000" w:themeColor="text1"/>
        </w:rPr>
        <w:t xml:space="preserve">PhD </w:t>
      </w:r>
      <w:bookmarkEnd w:id="53"/>
      <w:bookmarkEnd w:id="54"/>
      <w:r w:rsidRPr="00C41FDC">
        <w:rPr>
          <w:color w:val="000000" w:themeColor="text1"/>
        </w:rPr>
        <w:t>(</w:t>
      </w:r>
      <w:bookmarkStart w:id="55" w:name="OLE_LINK396"/>
      <w:bookmarkStart w:id="56" w:name="OLE_LINK397"/>
      <w:bookmarkStart w:id="57" w:name="OLE_LINK42"/>
      <w:r w:rsidR="007D0EAB" w:rsidRPr="00C41FDC">
        <w:rPr>
          <w:color w:val="000000" w:themeColor="text1"/>
        </w:rPr>
        <w:t>f.van.beek@antoniusziekenhuis.nl</w:t>
      </w:r>
      <w:bookmarkEnd w:id="55"/>
      <w:bookmarkEnd w:id="56"/>
      <w:bookmarkEnd w:id="57"/>
      <w:r w:rsidRPr="00C41FDC">
        <w:rPr>
          <w:color w:val="000000" w:themeColor="text1"/>
        </w:rPr>
        <w:t>)</w:t>
      </w:r>
    </w:p>
    <w:p w14:paraId="16A647F8" w14:textId="04D084BA" w:rsidR="009356A9" w:rsidRPr="00C41FDC" w:rsidRDefault="009356A9" w:rsidP="009356A9">
      <w:pPr>
        <w:spacing w:line="360" w:lineRule="auto"/>
        <w:ind w:left="360"/>
        <w:jc w:val="center"/>
        <w:rPr>
          <w:color w:val="000000" w:themeColor="text1"/>
        </w:rPr>
      </w:pPr>
      <w:bookmarkStart w:id="58" w:name="OLE_LINK206"/>
      <w:bookmarkStart w:id="59" w:name="OLE_LINK207"/>
      <w:r w:rsidRPr="00C41FDC">
        <w:rPr>
          <w:color w:val="000000" w:themeColor="text1"/>
        </w:rPr>
        <w:t xml:space="preserve">Dr </w:t>
      </w:r>
      <w:r w:rsidR="007D0EAB" w:rsidRPr="00C41FDC">
        <w:rPr>
          <w:color w:val="000000" w:themeColor="text1"/>
        </w:rPr>
        <w:t xml:space="preserve">Marcel </w:t>
      </w:r>
      <w:r w:rsidR="009063EC" w:rsidRPr="00C41FDC">
        <w:rPr>
          <w:color w:val="000000" w:themeColor="text1"/>
        </w:rPr>
        <w:t>Veltkamp</w:t>
      </w:r>
      <w:r w:rsidR="009063EC" w:rsidRPr="00C41FDC">
        <w:rPr>
          <w:color w:val="000000" w:themeColor="text1"/>
          <w:vertAlign w:val="superscript"/>
        </w:rPr>
        <w:t>5</w:t>
      </w:r>
      <w:r w:rsidR="00017F1E" w:rsidRPr="00C41FDC">
        <w:rPr>
          <w:color w:val="000000" w:themeColor="text1"/>
          <w:vertAlign w:val="superscript"/>
        </w:rPr>
        <w:t>,</w:t>
      </w:r>
      <w:r w:rsidR="00940946" w:rsidRPr="00C41FDC">
        <w:rPr>
          <w:color w:val="000000" w:themeColor="text1"/>
          <w:vertAlign w:val="superscript"/>
        </w:rPr>
        <w:t>8</w:t>
      </w:r>
      <w:r w:rsidR="009063EC" w:rsidRPr="00C41FDC">
        <w:rPr>
          <w:color w:val="000000" w:themeColor="text1"/>
        </w:rPr>
        <w:t xml:space="preserve"> </w:t>
      </w:r>
      <w:r w:rsidR="001821CA" w:rsidRPr="00C41FDC">
        <w:rPr>
          <w:color w:val="000000" w:themeColor="text1"/>
        </w:rPr>
        <w:t xml:space="preserve">PhD </w:t>
      </w:r>
      <w:bookmarkEnd w:id="58"/>
      <w:bookmarkEnd w:id="59"/>
      <w:r w:rsidRPr="00C41FDC">
        <w:rPr>
          <w:color w:val="000000" w:themeColor="text1"/>
        </w:rPr>
        <w:t>(</w:t>
      </w:r>
      <w:bookmarkStart w:id="60" w:name="OLE_LINK398"/>
      <w:bookmarkStart w:id="61" w:name="OLE_LINK399"/>
      <w:bookmarkStart w:id="62" w:name="OLE_LINK421"/>
      <w:bookmarkStart w:id="63" w:name="OLE_LINK41"/>
      <w:r w:rsidR="007D0EAB" w:rsidRPr="00C41FDC">
        <w:rPr>
          <w:color w:val="000000" w:themeColor="text1"/>
        </w:rPr>
        <w:t>m.veltkamp@antoniusziekenhuis.nl</w:t>
      </w:r>
      <w:bookmarkEnd w:id="60"/>
      <w:bookmarkEnd w:id="61"/>
      <w:bookmarkEnd w:id="62"/>
      <w:bookmarkEnd w:id="63"/>
      <w:r w:rsidRPr="00C41FDC">
        <w:rPr>
          <w:color w:val="000000" w:themeColor="text1"/>
        </w:rPr>
        <w:t>)</w:t>
      </w:r>
    </w:p>
    <w:p w14:paraId="4AF91592" w14:textId="4145571E" w:rsidR="009356A9" w:rsidRPr="00C41FDC" w:rsidRDefault="009356A9" w:rsidP="009356A9">
      <w:pPr>
        <w:spacing w:line="360" w:lineRule="auto"/>
        <w:ind w:left="360"/>
        <w:jc w:val="center"/>
        <w:rPr>
          <w:color w:val="000000" w:themeColor="text1"/>
        </w:rPr>
      </w:pPr>
      <w:r w:rsidRPr="00C41FDC">
        <w:rPr>
          <w:color w:val="000000" w:themeColor="text1"/>
        </w:rPr>
        <w:t xml:space="preserve">Dr </w:t>
      </w:r>
      <w:r w:rsidR="007D0EAB" w:rsidRPr="00C41FDC">
        <w:rPr>
          <w:color w:val="000000" w:themeColor="text1"/>
        </w:rPr>
        <w:t>Bahareh Gholipour</w:t>
      </w:r>
      <w:r w:rsidR="00940946" w:rsidRPr="00C41FDC">
        <w:rPr>
          <w:color w:val="000000" w:themeColor="text1"/>
          <w:vertAlign w:val="superscript"/>
        </w:rPr>
        <w:t>9</w:t>
      </w:r>
      <w:r w:rsidRPr="00C41FDC">
        <w:rPr>
          <w:color w:val="000000" w:themeColor="text1"/>
        </w:rPr>
        <w:t xml:space="preserve"> </w:t>
      </w:r>
      <w:r w:rsidR="001821CA" w:rsidRPr="00C41FDC">
        <w:rPr>
          <w:color w:val="000000" w:themeColor="text1"/>
        </w:rPr>
        <w:t xml:space="preserve">FRCR </w:t>
      </w:r>
      <w:r w:rsidRPr="00C41FDC">
        <w:rPr>
          <w:color w:val="000000" w:themeColor="text1"/>
        </w:rPr>
        <w:t>(</w:t>
      </w:r>
      <w:bookmarkStart w:id="64" w:name="OLE_LINK400"/>
      <w:bookmarkStart w:id="65" w:name="OLE_LINK401"/>
      <w:bookmarkStart w:id="66" w:name="OLE_LINK422"/>
      <w:bookmarkStart w:id="67" w:name="OLE_LINK34"/>
      <w:r w:rsidR="007D0EAB" w:rsidRPr="00C41FDC">
        <w:rPr>
          <w:color w:val="000000" w:themeColor="text1"/>
        </w:rPr>
        <w:t>bahareh.gholipour@nhs.net</w:t>
      </w:r>
      <w:bookmarkEnd w:id="64"/>
      <w:bookmarkEnd w:id="65"/>
      <w:bookmarkEnd w:id="66"/>
      <w:bookmarkEnd w:id="67"/>
      <w:r w:rsidRPr="00C41FDC">
        <w:rPr>
          <w:color w:val="000000" w:themeColor="text1"/>
        </w:rPr>
        <w:t>)</w:t>
      </w:r>
    </w:p>
    <w:p w14:paraId="0B770392" w14:textId="32CF77E4" w:rsidR="00BD684C" w:rsidRPr="00C41FDC" w:rsidRDefault="00BD684C" w:rsidP="009356A9">
      <w:pPr>
        <w:spacing w:line="360" w:lineRule="auto"/>
        <w:ind w:left="360"/>
        <w:jc w:val="center"/>
        <w:rPr>
          <w:color w:val="000000" w:themeColor="text1"/>
        </w:rPr>
      </w:pPr>
      <w:r w:rsidRPr="00C41FDC">
        <w:rPr>
          <w:color w:val="000000" w:themeColor="text1"/>
        </w:rPr>
        <w:t>Dr Arjun Nair</w:t>
      </w:r>
      <w:r w:rsidR="00940946" w:rsidRPr="00C41FDC">
        <w:rPr>
          <w:color w:val="000000" w:themeColor="text1"/>
          <w:vertAlign w:val="superscript"/>
        </w:rPr>
        <w:t>9</w:t>
      </w:r>
      <w:r w:rsidRPr="00C41FDC">
        <w:rPr>
          <w:color w:val="000000" w:themeColor="text1"/>
        </w:rPr>
        <w:t xml:space="preserve"> </w:t>
      </w:r>
      <w:r w:rsidR="001821CA" w:rsidRPr="00C41FDC">
        <w:rPr>
          <w:color w:val="000000" w:themeColor="text1"/>
        </w:rPr>
        <w:t xml:space="preserve">MD </w:t>
      </w:r>
      <w:r w:rsidRPr="00C41FDC">
        <w:rPr>
          <w:color w:val="000000" w:themeColor="text1"/>
        </w:rPr>
        <w:t>(</w:t>
      </w:r>
      <w:bookmarkStart w:id="68" w:name="OLE_LINK402"/>
      <w:bookmarkStart w:id="69" w:name="OLE_LINK403"/>
      <w:bookmarkStart w:id="70" w:name="OLE_LINK33"/>
      <w:r w:rsidR="00BF7D49" w:rsidRPr="00C41FDC">
        <w:rPr>
          <w:color w:val="000000" w:themeColor="text1"/>
        </w:rPr>
        <w:t>arjun.nair1@nhs.net</w:t>
      </w:r>
      <w:bookmarkEnd w:id="68"/>
      <w:bookmarkEnd w:id="69"/>
      <w:bookmarkEnd w:id="70"/>
      <w:r w:rsidRPr="00C41FDC">
        <w:rPr>
          <w:color w:val="000000" w:themeColor="text1"/>
        </w:rPr>
        <w:t>)</w:t>
      </w:r>
    </w:p>
    <w:p w14:paraId="07E2E74A" w14:textId="283B4A5E" w:rsidR="00BF7D49" w:rsidRPr="00C41FDC" w:rsidRDefault="00BF7D49" w:rsidP="009356A9">
      <w:pPr>
        <w:spacing w:line="360" w:lineRule="auto"/>
        <w:ind w:left="360"/>
        <w:jc w:val="center"/>
        <w:rPr>
          <w:color w:val="000000" w:themeColor="text1"/>
        </w:rPr>
      </w:pPr>
      <w:r w:rsidRPr="00C41FDC">
        <w:rPr>
          <w:color w:val="000000" w:themeColor="text1"/>
        </w:rPr>
        <w:t>Prof Athol U Wells</w:t>
      </w:r>
      <w:r w:rsidRPr="00C41FDC">
        <w:rPr>
          <w:color w:val="000000" w:themeColor="text1"/>
          <w:vertAlign w:val="superscript"/>
        </w:rPr>
        <w:t>1</w:t>
      </w:r>
      <w:r w:rsidR="00940946" w:rsidRPr="00C41FDC">
        <w:rPr>
          <w:color w:val="000000" w:themeColor="text1"/>
          <w:vertAlign w:val="superscript"/>
        </w:rPr>
        <w:t>0</w:t>
      </w:r>
      <w:r w:rsidR="001821CA" w:rsidRPr="00C41FDC">
        <w:rPr>
          <w:color w:val="000000" w:themeColor="text1"/>
          <w:vertAlign w:val="superscript"/>
        </w:rPr>
        <w:t xml:space="preserve"> </w:t>
      </w:r>
      <w:r w:rsidR="001821CA" w:rsidRPr="00C41FDC">
        <w:rPr>
          <w:color w:val="000000" w:themeColor="text1"/>
        </w:rPr>
        <w:t>PhD (</w:t>
      </w:r>
      <w:bookmarkStart w:id="71" w:name="OLE_LINK404"/>
      <w:bookmarkStart w:id="72" w:name="OLE_LINK405"/>
      <w:bookmarkStart w:id="73" w:name="OLE_LINK425"/>
      <w:bookmarkStart w:id="74" w:name="OLE_LINK87"/>
      <w:r w:rsidR="00C06351" w:rsidRPr="00C41FDC">
        <w:rPr>
          <w:color w:val="000000" w:themeColor="text1"/>
        </w:rPr>
        <w:t>rbhild</w:t>
      </w:r>
      <w:r w:rsidR="001821CA" w:rsidRPr="00C41FDC">
        <w:rPr>
          <w:color w:val="000000" w:themeColor="text1"/>
        </w:rPr>
        <w:t>@rbht.nhs.uk</w:t>
      </w:r>
      <w:bookmarkEnd w:id="71"/>
      <w:bookmarkEnd w:id="72"/>
      <w:bookmarkEnd w:id="73"/>
      <w:bookmarkEnd w:id="74"/>
      <w:r w:rsidR="001821CA" w:rsidRPr="00C41FDC">
        <w:rPr>
          <w:color w:val="000000" w:themeColor="text1"/>
        </w:rPr>
        <w:t>)</w:t>
      </w:r>
    </w:p>
    <w:p w14:paraId="274170E6" w14:textId="10940898" w:rsidR="00BD684C" w:rsidRPr="00C41FDC" w:rsidRDefault="00BD684C" w:rsidP="009356A9">
      <w:pPr>
        <w:spacing w:line="360" w:lineRule="auto"/>
        <w:ind w:left="360"/>
        <w:jc w:val="center"/>
        <w:rPr>
          <w:color w:val="000000" w:themeColor="text1"/>
        </w:rPr>
      </w:pPr>
      <w:r w:rsidRPr="00C41FDC">
        <w:rPr>
          <w:color w:val="000000" w:themeColor="text1"/>
        </w:rPr>
        <w:t>Prof Sam</w:t>
      </w:r>
      <w:r w:rsidR="002C4A96" w:rsidRPr="00C41FDC">
        <w:rPr>
          <w:color w:val="000000" w:themeColor="text1"/>
        </w:rPr>
        <w:t xml:space="preserve"> M</w:t>
      </w:r>
      <w:r w:rsidRPr="00C41FDC">
        <w:rPr>
          <w:color w:val="000000" w:themeColor="text1"/>
        </w:rPr>
        <w:t xml:space="preserve"> Janes</w:t>
      </w:r>
      <w:r w:rsidRPr="00C41FDC">
        <w:rPr>
          <w:color w:val="000000" w:themeColor="text1"/>
          <w:vertAlign w:val="superscript"/>
        </w:rPr>
        <w:t>1</w:t>
      </w:r>
      <w:r w:rsidR="00940946" w:rsidRPr="00C41FDC">
        <w:rPr>
          <w:color w:val="000000" w:themeColor="text1"/>
          <w:vertAlign w:val="superscript"/>
        </w:rPr>
        <w:t>1</w:t>
      </w:r>
      <w:r w:rsidRPr="00C41FDC">
        <w:rPr>
          <w:color w:val="000000" w:themeColor="text1"/>
        </w:rPr>
        <w:t xml:space="preserve"> </w:t>
      </w:r>
      <w:r w:rsidR="001821CA" w:rsidRPr="00C41FDC">
        <w:rPr>
          <w:color w:val="000000" w:themeColor="text1"/>
        </w:rPr>
        <w:t xml:space="preserve">PhD </w:t>
      </w:r>
      <w:r w:rsidRPr="00C41FDC">
        <w:rPr>
          <w:color w:val="000000" w:themeColor="text1"/>
        </w:rPr>
        <w:t>(</w:t>
      </w:r>
      <w:bookmarkStart w:id="75" w:name="OLE_LINK406"/>
      <w:bookmarkStart w:id="76" w:name="OLE_LINK407"/>
      <w:bookmarkStart w:id="77" w:name="OLE_LINK30"/>
      <w:bookmarkStart w:id="78" w:name="OLE_LINK65"/>
      <w:r w:rsidRPr="00C41FDC">
        <w:rPr>
          <w:color w:val="000000" w:themeColor="text1"/>
        </w:rPr>
        <w:t>s.janes@ucl.ac.uk</w:t>
      </w:r>
      <w:bookmarkEnd w:id="75"/>
      <w:bookmarkEnd w:id="76"/>
      <w:bookmarkEnd w:id="77"/>
      <w:bookmarkEnd w:id="78"/>
      <w:r w:rsidRPr="00C41FDC">
        <w:rPr>
          <w:color w:val="000000" w:themeColor="text1"/>
        </w:rPr>
        <w:t>)</w:t>
      </w:r>
      <w:r w:rsidRPr="00C41FDC">
        <w:rPr>
          <w:color w:val="000000" w:themeColor="text1"/>
        </w:rPr>
        <w:br/>
        <w:t>Prof Daniel C. Alexander</w:t>
      </w:r>
      <w:r w:rsidRPr="00C41FDC">
        <w:rPr>
          <w:color w:val="000000" w:themeColor="text1"/>
          <w:vertAlign w:val="superscript"/>
        </w:rPr>
        <w:t>1</w:t>
      </w:r>
      <w:r w:rsidRPr="00C41FDC">
        <w:rPr>
          <w:color w:val="000000" w:themeColor="text1"/>
        </w:rPr>
        <w:t xml:space="preserve"> </w:t>
      </w:r>
      <w:r w:rsidR="001821CA" w:rsidRPr="00C41FDC">
        <w:rPr>
          <w:color w:val="000000" w:themeColor="text1"/>
        </w:rPr>
        <w:t xml:space="preserve">PhD </w:t>
      </w:r>
      <w:r w:rsidRPr="00C41FDC">
        <w:rPr>
          <w:color w:val="000000" w:themeColor="text1"/>
        </w:rPr>
        <w:t>(</w:t>
      </w:r>
      <w:bookmarkStart w:id="79" w:name="OLE_LINK408"/>
      <w:bookmarkStart w:id="80" w:name="OLE_LINK409"/>
      <w:bookmarkStart w:id="81" w:name="OLE_LINK29"/>
      <w:bookmarkStart w:id="82" w:name="OLE_LINK64"/>
      <w:r w:rsidRPr="00C41FDC">
        <w:rPr>
          <w:color w:val="000000" w:themeColor="text1"/>
        </w:rPr>
        <w:t>d.alexander@ucl.ac.uk</w:t>
      </w:r>
      <w:bookmarkEnd w:id="79"/>
      <w:bookmarkEnd w:id="80"/>
      <w:bookmarkEnd w:id="81"/>
      <w:bookmarkEnd w:id="82"/>
      <w:r w:rsidRPr="00C41FDC">
        <w:rPr>
          <w:color w:val="000000" w:themeColor="text1"/>
        </w:rPr>
        <w:t>)</w:t>
      </w:r>
    </w:p>
    <w:p w14:paraId="44C7A743" w14:textId="3CA87540" w:rsidR="009356A9" w:rsidRPr="00C41FDC" w:rsidRDefault="009356A9" w:rsidP="007B1066">
      <w:pPr>
        <w:spacing w:line="360" w:lineRule="auto"/>
        <w:ind w:left="360"/>
        <w:jc w:val="center"/>
        <w:rPr>
          <w:color w:val="000000" w:themeColor="text1"/>
        </w:rPr>
      </w:pPr>
      <w:r w:rsidRPr="00C41FDC">
        <w:rPr>
          <w:color w:val="000000" w:themeColor="text1"/>
        </w:rPr>
        <w:t>Dr Joseph Jacob</w:t>
      </w:r>
      <w:r w:rsidRPr="00C41FDC">
        <w:rPr>
          <w:color w:val="000000" w:themeColor="text1"/>
          <w:vertAlign w:val="superscript"/>
        </w:rPr>
        <w:t>1</w:t>
      </w:r>
      <w:r w:rsidR="00EC4E2D" w:rsidRPr="00C41FDC">
        <w:rPr>
          <w:color w:val="000000" w:themeColor="text1"/>
          <w:vertAlign w:val="superscript"/>
        </w:rPr>
        <w:t>,11</w:t>
      </w:r>
      <w:r w:rsidRPr="00C41FDC">
        <w:rPr>
          <w:color w:val="000000" w:themeColor="text1"/>
        </w:rPr>
        <w:t xml:space="preserve"> </w:t>
      </w:r>
      <w:r w:rsidR="001821CA" w:rsidRPr="00C41FDC">
        <w:rPr>
          <w:color w:val="000000" w:themeColor="text1"/>
        </w:rPr>
        <w:t xml:space="preserve">MD (Res) </w:t>
      </w:r>
      <w:r w:rsidRPr="00C41FDC">
        <w:rPr>
          <w:color w:val="000000" w:themeColor="text1"/>
        </w:rPr>
        <w:t>(</w:t>
      </w:r>
      <w:bookmarkStart w:id="83" w:name="OLE_LINK410"/>
      <w:bookmarkStart w:id="84" w:name="OLE_LINK411"/>
      <w:r w:rsidR="007D0EAB" w:rsidRPr="00C41FDC">
        <w:rPr>
          <w:color w:val="000000" w:themeColor="text1"/>
        </w:rPr>
        <w:t>j.jacob@ucl.ac.uk</w:t>
      </w:r>
      <w:bookmarkEnd w:id="83"/>
      <w:bookmarkEnd w:id="84"/>
      <w:r w:rsidRPr="00C41FDC">
        <w:rPr>
          <w:color w:val="000000" w:themeColor="text1"/>
        </w:rPr>
        <w:t>)</w:t>
      </w:r>
    </w:p>
    <w:bookmarkEnd w:id="4"/>
    <w:bookmarkEnd w:id="5"/>
    <w:p w14:paraId="275136F9" w14:textId="77777777" w:rsidR="007D0EAB" w:rsidRPr="00C41FDC" w:rsidRDefault="007D0EAB" w:rsidP="007B1066">
      <w:pPr>
        <w:spacing w:line="360" w:lineRule="auto"/>
        <w:ind w:left="360"/>
        <w:jc w:val="center"/>
        <w:rPr>
          <w:color w:val="000000" w:themeColor="text1"/>
        </w:rPr>
      </w:pPr>
    </w:p>
    <w:bookmarkEnd w:id="17"/>
    <w:bookmarkEnd w:id="18"/>
    <w:p w14:paraId="02D02B50" w14:textId="77777777" w:rsidR="007D0EAB" w:rsidRPr="00C41FDC" w:rsidRDefault="007D0EAB" w:rsidP="007730BA">
      <w:pPr>
        <w:spacing w:line="360" w:lineRule="auto"/>
        <w:ind w:left="360"/>
        <w:rPr>
          <w:color w:val="000000" w:themeColor="text1"/>
        </w:rPr>
      </w:pPr>
      <w:r w:rsidRPr="00C41FDC">
        <w:rPr>
          <w:color w:val="000000" w:themeColor="text1"/>
          <w:vertAlign w:val="superscript"/>
        </w:rPr>
        <w:t>1</w:t>
      </w:r>
      <w:r w:rsidRPr="00C41FDC">
        <w:rPr>
          <w:color w:val="000000" w:themeColor="text1"/>
        </w:rPr>
        <w:t>Centre for Medical Image Computing, UCL, London, UK</w:t>
      </w:r>
    </w:p>
    <w:p w14:paraId="071A3DC9" w14:textId="35FD5419" w:rsidR="007D0EAB" w:rsidRPr="00C41FDC" w:rsidRDefault="00BD684C" w:rsidP="007730BA">
      <w:pPr>
        <w:spacing w:line="360" w:lineRule="auto"/>
        <w:ind w:left="360"/>
        <w:rPr>
          <w:color w:val="000000" w:themeColor="text1"/>
        </w:rPr>
      </w:pPr>
      <w:r w:rsidRPr="00C41FDC">
        <w:rPr>
          <w:color w:val="000000" w:themeColor="text1"/>
          <w:vertAlign w:val="superscript"/>
        </w:rPr>
        <w:t>2</w:t>
      </w:r>
      <w:r w:rsidR="007D0EAB" w:rsidRPr="00C41FDC">
        <w:rPr>
          <w:color w:val="000000" w:themeColor="text1"/>
        </w:rPr>
        <w:t>Department of Respiratory Medicine, Ege University Hospital, Izmir, Turkey</w:t>
      </w:r>
    </w:p>
    <w:p w14:paraId="52900877" w14:textId="4D094ADB" w:rsidR="00BD684C" w:rsidRPr="00C41FDC" w:rsidRDefault="00BD684C" w:rsidP="007730BA">
      <w:pPr>
        <w:spacing w:line="360" w:lineRule="auto"/>
        <w:ind w:left="360"/>
        <w:rPr>
          <w:color w:val="000000" w:themeColor="text1"/>
        </w:rPr>
      </w:pPr>
      <w:r w:rsidRPr="00C41FDC">
        <w:rPr>
          <w:color w:val="000000" w:themeColor="text1"/>
          <w:vertAlign w:val="superscript"/>
        </w:rPr>
        <w:t>3</w:t>
      </w:r>
      <w:r w:rsidR="002C4A96" w:rsidRPr="00C41FDC">
        <w:rPr>
          <w:color w:val="000000" w:themeColor="text1"/>
        </w:rPr>
        <w:t>National Heart &amp; Lung Institute, Imperial College London, London, United Kingdom</w:t>
      </w:r>
    </w:p>
    <w:p w14:paraId="269BF6F2" w14:textId="77777777" w:rsidR="0074129F" w:rsidRPr="00C41FDC" w:rsidRDefault="007D0EAB" w:rsidP="0074129F">
      <w:pPr>
        <w:spacing w:line="360" w:lineRule="auto"/>
        <w:ind w:left="360"/>
        <w:rPr>
          <w:color w:val="000000" w:themeColor="text1"/>
          <w:vertAlign w:val="superscript"/>
        </w:rPr>
      </w:pPr>
      <w:r w:rsidRPr="00C41FDC">
        <w:rPr>
          <w:color w:val="000000" w:themeColor="text1"/>
          <w:vertAlign w:val="superscript"/>
        </w:rPr>
        <w:t>4</w:t>
      </w:r>
      <w:r w:rsidR="0074129F" w:rsidRPr="00C41FDC">
        <w:rPr>
          <w:color w:val="000000" w:themeColor="text1"/>
          <w:vertAlign w:val="superscript"/>
        </w:rPr>
        <w:t xml:space="preserve"> </w:t>
      </w:r>
      <w:bookmarkStart w:id="85" w:name="OLE_LINK414"/>
      <w:bookmarkStart w:id="86" w:name="OLE_LINK415"/>
      <w:r w:rsidR="0074129F" w:rsidRPr="00C41FDC">
        <w:rPr>
          <w:color w:val="000000" w:themeColor="text1"/>
        </w:rPr>
        <w:t>NIHR Southampton Biomedical Research Centre and Clinical and Experimental Sciences</w:t>
      </w:r>
      <w:bookmarkEnd w:id="85"/>
      <w:bookmarkEnd w:id="86"/>
      <w:r w:rsidR="0074129F" w:rsidRPr="00C41FDC">
        <w:rPr>
          <w:color w:val="000000" w:themeColor="text1"/>
        </w:rPr>
        <w:t>, University</w:t>
      </w:r>
      <w:r w:rsidR="0074129F" w:rsidRPr="00C41FDC">
        <w:rPr>
          <w:color w:val="000000" w:themeColor="text1"/>
          <w:vertAlign w:val="superscript"/>
        </w:rPr>
        <w:t xml:space="preserve"> </w:t>
      </w:r>
      <w:r w:rsidR="0074129F" w:rsidRPr="00C41FDC">
        <w:rPr>
          <w:color w:val="000000" w:themeColor="text1"/>
        </w:rPr>
        <w:t>of Southampton, Southampton, UK</w:t>
      </w:r>
    </w:p>
    <w:p w14:paraId="48FBF122" w14:textId="7889A3DF" w:rsidR="007D0EAB" w:rsidRPr="00C41FDC" w:rsidRDefault="007D0EAB" w:rsidP="007730BA">
      <w:pPr>
        <w:spacing w:line="360" w:lineRule="auto"/>
        <w:ind w:left="360"/>
        <w:rPr>
          <w:color w:val="000000" w:themeColor="text1"/>
        </w:rPr>
      </w:pPr>
      <w:r w:rsidRPr="00C41FDC">
        <w:rPr>
          <w:color w:val="000000" w:themeColor="text1"/>
          <w:vertAlign w:val="superscript"/>
        </w:rPr>
        <w:t>5</w:t>
      </w:r>
      <w:r w:rsidR="002C4A96" w:rsidRPr="00C41FDC">
        <w:rPr>
          <w:color w:val="000000" w:themeColor="text1"/>
        </w:rPr>
        <w:t>Interstitial Lung Diseases Center of Excellence, Department of Pulmonology,</w:t>
      </w:r>
      <w:r w:rsidR="009063EC" w:rsidRPr="00C41FDC">
        <w:rPr>
          <w:color w:val="000000" w:themeColor="text1"/>
        </w:rPr>
        <w:t xml:space="preserve"> </w:t>
      </w:r>
      <w:r w:rsidR="002C4A96" w:rsidRPr="00C41FDC">
        <w:rPr>
          <w:color w:val="000000" w:themeColor="text1"/>
        </w:rPr>
        <w:t>St Antonius Hospital, Nieuwegein, Netherlands</w:t>
      </w:r>
    </w:p>
    <w:p w14:paraId="045E7591" w14:textId="73EB1A95" w:rsidR="007D0EAB" w:rsidRPr="00C41FDC" w:rsidRDefault="007D0EAB" w:rsidP="007730BA">
      <w:pPr>
        <w:spacing w:line="360" w:lineRule="auto"/>
        <w:ind w:left="360"/>
        <w:rPr>
          <w:color w:val="000000" w:themeColor="text1"/>
        </w:rPr>
      </w:pPr>
      <w:r w:rsidRPr="00C41FDC">
        <w:rPr>
          <w:color w:val="000000" w:themeColor="text1"/>
          <w:vertAlign w:val="superscript"/>
        </w:rPr>
        <w:lastRenderedPageBreak/>
        <w:t>6</w:t>
      </w:r>
      <w:r w:rsidRPr="00C41FDC">
        <w:rPr>
          <w:color w:val="000000" w:themeColor="text1"/>
        </w:rPr>
        <w:t>Department of Radiology, Ege University Hospital, Izmir, Turkey</w:t>
      </w:r>
    </w:p>
    <w:p w14:paraId="3B30E9E3" w14:textId="5FD7E028" w:rsidR="007D0EAB" w:rsidRPr="00C41FDC" w:rsidRDefault="00940946" w:rsidP="007730BA">
      <w:pPr>
        <w:spacing w:line="360" w:lineRule="auto"/>
        <w:ind w:left="360"/>
        <w:rPr>
          <w:color w:val="000000" w:themeColor="text1"/>
        </w:rPr>
      </w:pPr>
      <w:r w:rsidRPr="00C41FDC">
        <w:rPr>
          <w:color w:val="000000" w:themeColor="text1"/>
          <w:vertAlign w:val="superscript"/>
        </w:rPr>
        <w:t>7</w:t>
      </w:r>
      <w:r w:rsidR="007D0EAB" w:rsidRPr="00C41FDC">
        <w:rPr>
          <w:color w:val="000000" w:themeColor="text1"/>
        </w:rPr>
        <w:t xml:space="preserve">Department of </w:t>
      </w:r>
      <w:r w:rsidR="009063EC" w:rsidRPr="00C41FDC">
        <w:rPr>
          <w:color w:val="000000" w:themeColor="text1"/>
        </w:rPr>
        <w:t>Radiology</w:t>
      </w:r>
      <w:r w:rsidR="007D0EAB" w:rsidRPr="00C41FDC">
        <w:rPr>
          <w:color w:val="000000" w:themeColor="text1"/>
        </w:rPr>
        <w:t>, St Antonius Hospital, Nieuwegein, Netherlands</w:t>
      </w:r>
    </w:p>
    <w:p w14:paraId="27C8D699" w14:textId="07B31712" w:rsidR="00017F1E" w:rsidRPr="00C41FDC" w:rsidRDefault="00940946" w:rsidP="007730BA">
      <w:pPr>
        <w:spacing w:line="360" w:lineRule="auto"/>
        <w:ind w:left="360"/>
        <w:rPr>
          <w:color w:val="000000" w:themeColor="text1"/>
        </w:rPr>
      </w:pPr>
      <w:bookmarkStart w:id="87" w:name="OLE_LINK191"/>
      <w:bookmarkStart w:id="88" w:name="OLE_LINK192"/>
      <w:r w:rsidRPr="00C41FDC">
        <w:rPr>
          <w:color w:val="000000" w:themeColor="text1"/>
          <w:vertAlign w:val="superscript"/>
        </w:rPr>
        <w:t>8</w:t>
      </w:r>
      <w:r w:rsidR="00017F1E" w:rsidRPr="00C41FDC">
        <w:rPr>
          <w:color w:val="000000" w:themeColor="text1"/>
        </w:rPr>
        <w:t>Division of Heart and Lungs, University Medical Center, Utrecht, The Netherlands</w:t>
      </w:r>
      <w:bookmarkEnd w:id="87"/>
      <w:bookmarkEnd w:id="88"/>
    </w:p>
    <w:p w14:paraId="5E898793" w14:textId="2E05CFD7" w:rsidR="007D0EAB" w:rsidRPr="00C41FDC" w:rsidRDefault="00940946" w:rsidP="00BF7D49">
      <w:pPr>
        <w:spacing w:line="360" w:lineRule="auto"/>
        <w:ind w:left="360"/>
        <w:rPr>
          <w:color w:val="000000" w:themeColor="text1"/>
        </w:rPr>
      </w:pPr>
      <w:r w:rsidRPr="00C41FDC">
        <w:rPr>
          <w:color w:val="000000" w:themeColor="text1"/>
          <w:vertAlign w:val="superscript"/>
        </w:rPr>
        <w:t>9</w:t>
      </w:r>
      <w:r w:rsidR="007D0EAB" w:rsidRPr="00C41FDC">
        <w:rPr>
          <w:color w:val="000000" w:themeColor="text1"/>
        </w:rPr>
        <w:t xml:space="preserve">Department of Radiology, </w:t>
      </w:r>
      <w:bookmarkStart w:id="89" w:name="OLE_LINK423"/>
      <w:bookmarkStart w:id="90" w:name="OLE_LINK424"/>
      <w:r w:rsidR="007D0EAB" w:rsidRPr="00C41FDC">
        <w:rPr>
          <w:color w:val="000000" w:themeColor="text1"/>
        </w:rPr>
        <w:t>University College London Hospitals NHS Foundation Trust</w:t>
      </w:r>
      <w:bookmarkEnd w:id="89"/>
      <w:bookmarkEnd w:id="90"/>
      <w:r w:rsidR="007D0EAB" w:rsidRPr="00C41FDC">
        <w:rPr>
          <w:color w:val="000000" w:themeColor="text1"/>
        </w:rPr>
        <w:t>, London, UK</w:t>
      </w:r>
    </w:p>
    <w:p w14:paraId="2E972699" w14:textId="64607832" w:rsidR="00BF7D49" w:rsidRPr="00C41FDC" w:rsidRDefault="00BF7D49" w:rsidP="007730BA">
      <w:pPr>
        <w:spacing w:line="360" w:lineRule="auto"/>
        <w:ind w:left="360"/>
        <w:rPr>
          <w:color w:val="000000" w:themeColor="text1"/>
        </w:rPr>
      </w:pPr>
      <w:r w:rsidRPr="00C41FDC">
        <w:rPr>
          <w:color w:val="000000" w:themeColor="text1"/>
          <w:vertAlign w:val="superscript"/>
        </w:rPr>
        <w:t>1</w:t>
      </w:r>
      <w:r w:rsidR="00940946" w:rsidRPr="00C41FDC">
        <w:rPr>
          <w:color w:val="000000" w:themeColor="text1"/>
          <w:vertAlign w:val="superscript"/>
        </w:rPr>
        <w:t>0</w:t>
      </w:r>
      <w:r w:rsidRPr="00C41FDC">
        <w:rPr>
          <w:color w:val="000000" w:themeColor="text1"/>
        </w:rPr>
        <w:t>Interstitial Lung Disease Unit, Royal Brompton Hospital, Imperial College, London, UK</w:t>
      </w:r>
    </w:p>
    <w:p w14:paraId="1DC507C3" w14:textId="60D85CFA" w:rsidR="00BD684C" w:rsidRPr="00C41FDC" w:rsidRDefault="00BD684C" w:rsidP="007730BA">
      <w:pPr>
        <w:spacing w:line="360" w:lineRule="auto"/>
        <w:ind w:left="360"/>
        <w:rPr>
          <w:color w:val="000000" w:themeColor="text1"/>
        </w:rPr>
      </w:pPr>
      <w:r w:rsidRPr="00C41FDC">
        <w:rPr>
          <w:color w:val="000000" w:themeColor="text1"/>
          <w:vertAlign w:val="superscript"/>
        </w:rPr>
        <w:t>1</w:t>
      </w:r>
      <w:r w:rsidR="00940946" w:rsidRPr="00C41FDC">
        <w:rPr>
          <w:color w:val="000000" w:themeColor="text1"/>
          <w:vertAlign w:val="superscript"/>
        </w:rPr>
        <w:t>1</w:t>
      </w:r>
      <w:r w:rsidRPr="00C41FDC">
        <w:rPr>
          <w:color w:val="000000" w:themeColor="text1"/>
        </w:rPr>
        <w:t>Lungs for Living Research Centre, UCL, London, UK</w:t>
      </w:r>
    </w:p>
    <w:p w14:paraId="28B03920" w14:textId="77777777" w:rsidR="00902CFE" w:rsidRPr="00C41FDC" w:rsidRDefault="00902CFE" w:rsidP="007B1066">
      <w:pPr>
        <w:spacing w:line="360" w:lineRule="auto"/>
        <w:rPr>
          <w:color w:val="000000" w:themeColor="text1"/>
        </w:rPr>
      </w:pPr>
      <w:r w:rsidRPr="00C41FDC">
        <w:rPr>
          <w:color w:val="000000" w:themeColor="text1"/>
        </w:rPr>
        <w:br/>
        <w:t>Corresponding author:</w:t>
      </w:r>
    </w:p>
    <w:p w14:paraId="11BF73B2" w14:textId="32C43ABC" w:rsidR="00993834" w:rsidRPr="00C41FDC" w:rsidRDefault="007D0EAB" w:rsidP="007B1066">
      <w:pPr>
        <w:rPr>
          <w:color w:val="000000" w:themeColor="text1"/>
        </w:rPr>
      </w:pPr>
      <w:r w:rsidRPr="00C41FDC">
        <w:rPr>
          <w:color w:val="000000" w:themeColor="text1"/>
        </w:rPr>
        <w:t>Dr Joseph Jacob</w:t>
      </w:r>
      <w:r w:rsidR="00902CFE" w:rsidRPr="00C41FDC">
        <w:rPr>
          <w:color w:val="000000" w:themeColor="text1"/>
        </w:rPr>
        <w:br/>
      </w:r>
      <w:r w:rsidRPr="00C41FDC">
        <w:rPr>
          <w:color w:val="000000" w:themeColor="text1"/>
        </w:rPr>
        <w:t>UCL Centre for Medical Image Computing</w:t>
      </w:r>
      <w:r w:rsidRPr="00C41FDC">
        <w:rPr>
          <w:color w:val="000000" w:themeColor="text1"/>
        </w:rPr>
        <w:br/>
      </w:r>
      <w:r w:rsidR="00054D68" w:rsidRPr="00C41FDC">
        <w:rPr>
          <w:color w:val="000000" w:themeColor="text1"/>
        </w:rPr>
        <w:t>1</w:t>
      </w:r>
      <w:r w:rsidR="00054D68" w:rsidRPr="00C41FDC">
        <w:rPr>
          <w:color w:val="000000" w:themeColor="text1"/>
          <w:vertAlign w:val="superscript"/>
        </w:rPr>
        <w:t>st</w:t>
      </w:r>
      <w:r w:rsidR="00054D68" w:rsidRPr="00C41FDC">
        <w:rPr>
          <w:color w:val="000000" w:themeColor="text1"/>
        </w:rPr>
        <w:t xml:space="preserve"> Floor, </w:t>
      </w:r>
      <w:r w:rsidRPr="00C41FDC">
        <w:rPr>
          <w:color w:val="000000" w:themeColor="text1"/>
        </w:rPr>
        <w:t>90 High Holborn, London WC1V6LJ</w:t>
      </w:r>
      <w:r w:rsidR="00902CFE" w:rsidRPr="00C41FDC">
        <w:rPr>
          <w:color w:val="000000" w:themeColor="text1"/>
        </w:rPr>
        <w:br/>
      </w:r>
      <w:r w:rsidRPr="00C41FDC">
        <w:rPr>
          <w:color w:val="000000" w:themeColor="text1"/>
        </w:rPr>
        <w:t>j.jacob@ucl.ac.uk</w:t>
      </w:r>
    </w:p>
    <w:p w14:paraId="2D0E125E" w14:textId="6EC107D8" w:rsidR="0045032C" w:rsidRPr="00C41FDC" w:rsidRDefault="0045032C" w:rsidP="007B1066">
      <w:pPr>
        <w:rPr>
          <w:color w:val="000000" w:themeColor="text1"/>
        </w:rPr>
      </w:pPr>
    </w:p>
    <w:p w14:paraId="55ABA41E" w14:textId="18E2368B" w:rsidR="00902CFE" w:rsidRPr="00C41FDC" w:rsidRDefault="00096010" w:rsidP="00BF7D49">
      <w:pPr>
        <w:rPr>
          <w:rStyle w:val="ecbx-1095"/>
          <w:b/>
          <w:color w:val="000000" w:themeColor="text1"/>
          <w:sz w:val="28"/>
        </w:rPr>
      </w:pPr>
      <w:r w:rsidRPr="00C41FDC">
        <w:rPr>
          <w:color w:val="000000" w:themeColor="text1"/>
        </w:rPr>
        <w:br/>
      </w:r>
      <w:r w:rsidR="00902CFE" w:rsidRPr="00C41FDC">
        <w:rPr>
          <w:rStyle w:val="ecbx-1095"/>
          <w:b/>
          <w:color w:val="000000" w:themeColor="text1"/>
          <w:sz w:val="28"/>
        </w:rPr>
        <w:br w:type="page"/>
      </w:r>
    </w:p>
    <w:p w14:paraId="66BD0E69" w14:textId="2595CFA9" w:rsidR="00145A34" w:rsidRPr="00C41FDC" w:rsidRDefault="000D6213" w:rsidP="00145A34">
      <w:pPr>
        <w:pStyle w:val="Heading3"/>
        <w:tabs>
          <w:tab w:val="left" w:pos="2957"/>
        </w:tabs>
        <w:spacing w:before="360" w:beforeAutospacing="0" w:after="120" w:afterAutospacing="0" w:line="480" w:lineRule="auto"/>
        <w:rPr>
          <w:rStyle w:val="titlemark"/>
          <w:rFonts w:eastAsia="Times New Roman"/>
          <w:color w:val="000000" w:themeColor="text1"/>
          <w:sz w:val="28"/>
        </w:rPr>
      </w:pPr>
      <w:r w:rsidRPr="00C41FDC">
        <w:rPr>
          <w:rStyle w:val="titlemark"/>
          <w:rFonts w:eastAsia="Times New Roman"/>
          <w:color w:val="000000" w:themeColor="text1"/>
          <w:sz w:val="28"/>
        </w:rPr>
        <w:lastRenderedPageBreak/>
        <w:t>Research in context</w:t>
      </w:r>
    </w:p>
    <w:p w14:paraId="081CE0F8" w14:textId="4C6FDF5E" w:rsidR="001B0334" w:rsidRPr="00C41FDC" w:rsidRDefault="000D6213" w:rsidP="00145A34">
      <w:pPr>
        <w:pStyle w:val="Heading3"/>
        <w:tabs>
          <w:tab w:val="left" w:pos="2957"/>
        </w:tabs>
        <w:spacing w:before="360" w:beforeAutospacing="0" w:after="120" w:afterAutospacing="0" w:line="480" w:lineRule="auto"/>
        <w:rPr>
          <w:rStyle w:val="titlemark"/>
          <w:rFonts w:eastAsia="Times New Roman"/>
          <w:b w:val="0"/>
          <w:bCs w:val="0"/>
          <w:color w:val="000000" w:themeColor="text1"/>
          <w:sz w:val="24"/>
          <w:szCs w:val="24"/>
        </w:rPr>
      </w:pPr>
      <w:r w:rsidRPr="00C41FDC">
        <w:rPr>
          <w:rStyle w:val="titlemark"/>
          <w:rFonts w:eastAsia="Times New Roman"/>
          <w:color w:val="000000" w:themeColor="text1"/>
          <w:sz w:val="24"/>
          <w:szCs w:val="24"/>
        </w:rPr>
        <w:t>Evidence before this study</w:t>
      </w:r>
      <w:r w:rsidR="001B0334" w:rsidRPr="00C41FDC">
        <w:rPr>
          <w:rStyle w:val="titlemark"/>
          <w:rFonts w:eastAsia="Times New Roman"/>
          <w:b w:val="0"/>
          <w:bCs w:val="0"/>
          <w:color w:val="000000" w:themeColor="text1"/>
          <w:sz w:val="24"/>
          <w:szCs w:val="24"/>
        </w:rPr>
        <w:t xml:space="preserve">: </w:t>
      </w:r>
      <w:r w:rsidR="00A6594A" w:rsidRPr="00C41FDC">
        <w:rPr>
          <w:rStyle w:val="titlemark"/>
          <w:rFonts w:eastAsia="Times New Roman"/>
          <w:b w:val="0"/>
          <w:bCs w:val="0"/>
          <w:color w:val="000000" w:themeColor="text1"/>
          <w:sz w:val="24"/>
          <w:szCs w:val="24"/>
        </w:rPr>
        <w:t xml:space="preserve">Literature search was performed for the term "pleuroparenchymal fibroelastosis" </w:t>
      </w:r>
      <w:r w:rsidR="00384377" w:rsidRPr="00C41FDC">
        <w:rPr>
          <w:rStyle w:val="titlemark"/>
          <w:rFonts w:eastAsia="Times New Roman"/>
          <w:b w:val="0"/>
          <w:bCs w:val="0"/>
          <w:color w:val="000000" w:themeColor="text1"/>
          <w:sz w:val="24"/>
          <w:szCs w:val="24"/>
        </w:rPr>
        <w:t xml:space="preserve">and “idiopathic pulmonary fibrosis” </w:t>
      </w:r>
      <w:r w:rsidR="00A6594A" w:rsidRPr="00C41FDC">
        <w:rPr>
          <w:rStyle w:val="titlemark"/>
          <w:rFonts w:eastAsia="Times New Roman"/>
          <w:b w:val="0"/>
          <w:bCs w:val="0"/>
          <w:color w:val="000000" w:themeColor="text1"/>
          <w:sz w:val="24"/>
          <w:szCs w:val="24"/>
        </w:rPr>
        <w:t xml:space="preserve">in Google Scholar </w:t>
      </w:r>
      <w:r w:rsidR="00384377" w:rsidRPr="00C41FDC">
        <w:rPr>
          <w:rStyle w:val="titlemark"/>
          <w:rFonts w:eastAsia="Times New Roman"/>
          <w:b w:val="0"/>
          <w:bCs w:val="0"/>
          <w:color w:val="000000" w:themeColor="text1"/>
          <w:sz w:val="24"/>
          <w:szCs w:val="24"/>
        </w:rPr>
        <w:t xml:space="preserve">and Pubmed </w:t>
      </w:r>
      <w:r w:rsidR="00A6594A" w:rsidRPr="00C41FDC">
        <w:rPr>
          <w:rStyle w:val="titlemark"/>
          <w:rFonts w:eastAsia="Times New Roman"/>
          <w:b w:val="0"/>
          <w:bCs w:val="0"/>
          <w:color w:val="000000" w:themeColor="text1"/>
          <w:sz w:val="24"/>
          <w:szCs w:val="24"/>
        </w:rPr>
        <w:t>for studies published between January 1, 1990 and January 1, 2021.</w:t>
      </w:r>
      <w:r w:rsidR="001E3203" w:rsidRPr="00C41FDC">
        <w:rPr>
          <w:rStyle w:val="titlemark"/>
          <w:rFonts w:eastAsia="Times New Roman"/>
          <w:b w:val="0"/>
          <w:bCs w:val="0"/>
          <w:color w:val="000000" w:themeColor="text1"/>
          <w:sz w:val="24"/>
          <w:szCs w:val="24"/>
        </w:rPr>
        <w:t xml:space="preserve"> </w:t>
      </w:r>
      <w:bookmarkStart w:id="91" w:name="OLE_LINK97"/>
      <w:bookmarkStart w:id="92" w:name="OLE_LINK98"/>
      <w:r w:rsidR="001E3203" w:rsidRPr="00C41FDC">
        <w:rPr>
          <w:rStyle w:val="titlemark"/>
          <w:rFonts w:eastAsia="Times New Roman"/>
          <w:b w:val="0"/>
          <w:bCs w:val="0"/>
          <w:color w:val="000000" w:themeColor="text1"/>
          <w:sz w:val="24"/>
          <w:szCs w:val="24"/>
        </w:rPr>
        <w:t xml:space="preserve">Visually-scored pleuroparenchymal fibroelastosis (PPFE) has been linked with worsened survival in patients with co-existing fibrosing lung diseases. </w:t>
      </w:r>
      <w:r w:rsidR="006016BE" w:rsidRPr="00C41FDC">
        <w:rPr>
          <w:rStyle w:val="titlemark"/>
          <w:rFonts w:eastAsia="Times New Roman"/>
          <w:b w:val="0"/>
          <w:bCs w:val="0"/>
          <w:color w:val="000000" w:themeColor="text1"/>
          <w:sz w:val="24"/>
          <w:szCs w:val="24"/>
        </w:rPr>
        <w:t>A single peer-reviewed study was found investigating PPFE in IPF patients, which demonstrated poorer survival in PPFE patients when compared with non-PPFE patients in a single IPF cohort.</w:t>
      </w:r>
      <w:bookmarkEnd w:id="91"/>
      <w:bookmarkEnd w:id="92"/>
    </w:p>
    <w:p w14:paraId="39307F7D" w14:textId="54185165" w:rsidR="00732F12" w:rsidRPr="00C41FDC" w:rsidRDefault="000D6213" w:rsidP="00732F12">
      <w:pPr>
        <w:pStyle w:val="Heading3"/>
        <w:tabs>
          <w:tab w:val="left" w:pos="2957"/>
        </w:tabs>
        <w:spacing w:before="360" w:beforeAutospacing="0" w:after="120" w:afterAutospacing="0" w:line="480" w:lineRule="auto"/>
        <w:rPr>
          <w:rStyle w:val="titlemark"/>
          <w:rFonts w:eastAsia="Times New Roman"/>
          <w:b w:val="0"/>
          <w:bCs w:val="0"/>
          <w:color w:val="000000" w:themeColor="text1"/>
          <w:sz w:val="24"/>
          <w:szCs w:val="24"/>
        </w:rPr>
      </w:pPr>
      <w:r w:rsidRPr="00C41FDC">
        <w:rPr>
          <w:rStyle w:val="titlemark"/>
          <w:rFonts w:eastAsia="Times New Roman"/>
          <w:color w:val="000000" w:themeColor="text1"/>
          <w:sz w:val="24"/>
          <w:szCs w:val="24"/>
        </w:rPr>
        <w:t>Added value of this study</w:t>
      </w:r>
      <w:r w:rsidR="001B0334" w:rsidRPr="00C41FDC">
        <w:rPr>
          <w:rStyle w:val="titlemark"/>
          <w:rFonts w:eastAsia="Times New Roman"/>
          <w:b w:val="0"/>
          <w:bCs w:val="0"/>
          <w:color w:val="000000" w:themeColor="text1"/>
          <w:sz w:val="24"/>
          <w:szCs w:val="24"/>
        </w:rPr>
        <w:t xml:space="preserve">: </w:t>
      </w:r>
      <w:r w:rsidR="00732F12" w:rsidRPr="00C41FDC">
        <w:rPr>
          <w:rStyle w:val="titlemark"/>
          <w:rFonts w:eastAsia="Times New Roman"/>
          <w:b w:val="0"/>
          <w:bCs w:val="0"/>
          <w:color w:val="000000" w:themeColor="text1"/>
          <w:sz w:val="24"/>
          <w:szCs w:val="24"/>
        </w:rPr>
        <w:t xml:space="preserve">In this retrospective study of separate idiopathic pulmonary fibrosis </w:t>
      </w:r>
      <w:r w:rsidR="00A6594A" w:rsidRPr="00C41FDC">
        <w:rPr>
          <w:rStyle w:val="titlemark"/>
          <w:rFonts w:eastAsia="Times New Roman"/>
          <w:b w:val="0"/>
          <w:bCs w:val="0"/>
          <w:color w:val="000000" w:themeColor="text1"/>
          <w:sz w:val="24"/>
          <w:szCs w:val="24"/>
        </w:rPr>
        <w:t xml:space="preserve">(IPF) </w:t>
      </w:r>
      <w:r w:rsidR="00732F12" w:rsidRPr="00C41FDC">
        <w:rPr>
          <w:rStyle w:val="titlemark"/>
          <w:rFonts w:eastAsia="Times New Roman"/>
          <w:b w:val="0"/>
          <w:bCs w:val="0"/>
          <w:color w:val="000000" w:themeColor="text1"/>
          <w:sz w:val="24"/>
          <w:szCs w:val="24"/>
        </w:rPr>
        <w:t xml:space="preserve">cohorts, </w:t>
      </w:r>
      <w:bookmarkStart w:id="93" w:name="OLE_LINK55"/>
      <w:bookmarkStart w:id="94" w:name="OLE_LINK88"/>
      <w:r w:rsidR="00732F12" w:rsidRPr="00C41FDC">
        <w:rPr>
          <w:rStyle w:val="titlemark"/>
          <w:rFonts w:eastAsia="Times New Roman"/>
          <w:b w:val="0"/>
          <w:bCs w:val="0"/>
          <w:color w:val="000000" w:themeColor="text1"/>
          <w:sz w:val="24"/>
          <w:szCs w:val="24"/>
        </w:rPr>
        <w:t xml:space="preserve">patients with </w:t>
      </w:r>
      <w:r w:rsidR="00A6594A" w:rsidRPr="00C41FDC">
        <w:rPr>
          <w:rStyle w:val="titlemark"/>
          <w:rFonts w:eastAsia="Times New Roman"/>
          <w:b w:val="0"/>
          <w:bCs w:val="0"/>
          <w:color w:val="000000" w:themeColor="text1"/>
          <w:sz w:val="24"/>
          <w:szCs w:val="24"/>
        </w:rPr>
        <w:t>PPFE</w:t>
      </w:r>
      <w:bookmarkEnd w:id="93"/>
      <w:bookmarkEnd w:id="94"/>
      <w:r w:rsidR="00732F12" w:rsidRPr="00C41FDC">
        <w:rPr>
          <w:rStyle w:val="titlemark"/>
          <w:rFonts w:eastAsia="Times New Roman"/>
          <w:b w:val="0"/>
          <w:bCs w:val="0"/>
          <w:color w:val="000000" w:themeColor="text1"/>
          <w:sz w:val="24"/>
          <w:szCs w:val="24"/>
        </w:rPr>
        <w:t>, quantified visually and, separately, using a</w:t>
      </w:r>
      <w:r w:rsidR="006271B8" w:rsidRPr="00C41FDC">
        <w:rPr>
          <w:rStyle w:val="titlemark"/>
          <w:rFonts w:eastAsia="Times New Roman"/>
          <w:b w:val="0"/>
          <w:bCs w:val="0"/>
          <w:color w:val="000000" w:themeColor="text1"/>
          <w:sz w:val="24"/>
          <w:szCs w:val="24"/>
        </w:rPr>
        <w:t xml:space="preserve"> computer-based</w:t>
      </w:r>
      <w:r w:rsidR="00732F12" w:rsidRPr="00C41FDC">
        <w:rPr>
          <w:rStyle w:val="titlemark"/>
          <w:rFonts w:eastAsia="Times New Roman"/>
          <w:b w:val="0"/>
          <w:bCs w:val="0"/>
          <w:color w:val="000000" w:themeColor="text1"/>
          <w:sz w:val="24"/>
          <w:szCs w:val="24"/>
        </w:rPr>
        <w:t xml:space="preserve"> automated protocol, had more rapid lung function decline and increased mortality</w:t>
      </w:r>
      <w:r w:rsidR="00384377" w:rsidRPr="00C41FDC">
        <w:rPr>
          <w:rStyle w:val="titlemark"/>
          <w:rFonts w:eastAsia="Times New Roman"/>
          <w:b w:val="0"/>
          <w:bCs w:val="0"/>
          <w:color w:val="000000" w:themeColor="text1"/>
          <w:sz w:val="24"/>
          <w:szCs w:val="24"/>
        </w:rPr>
        <w:t xml:space="preserve"> than IPF patients without PPFE</w:t>
      </w:r>
      <w:r w:rsidR="00732F12" w:rsidRPr="00C41FDC">
        <w:rPr>
          <w:rStyle w:val="titlemark"/>
          <w:rFonts w:eastAsia="Times New Roman"/>
          <w:b w:val="0"/>
          <w:bCs w:val="0"/>
          <w:color w:val="000000" w:themeColor="text1"/>
          <w:sz w:val="24"/>
          <w:szCs w:val="24"/>
        </w:rPr>
        <w:t xml:space="preserve">. </w:t>
      </w:r>
      <w:r w:rsidR="00384377" w:rsidRPr="00C41FDC">
        <w:rPr>
          <w:rStyle w:val="titlemark"/>
          <w:rFonts w:eastAsia="Times New Roman"/>
          <w:b w:val="0"/>
          <w:bCs w:val="0"/>
          <w:color w:val="000000" w:themeColor="text1"/>
          <w:sz w:val="24"/>
          <w:szCs w:val="24"/>
        </w:rPr>
        <w:t xml:space="preserve">Computerised quantitation of PPFE identified more PPFE patients </w:t>
      </w:r>
      <w:r w:rsidR="002C10A9" w:rsidRPr="00C41FDC">
        <w:rPr>
          <w:rStyle w:val="titlemark"/>
          <w:rFonts w:eastAsia="Times New Roman"/>
          <w:b w:val="0"/>
          <w:bCs w:val="0"/>
          <w:color w:val="000000" w:themeColor="text1"/>
          <w:sz w:val="24"/>
          <w:szCs w:val="24"/>
        </w:rPr>
        <w:t>with the most severe prognosis</w:t>
      </w:r>
      <w:r w:rsidR="00384377" w:rsidRPr="00C41FDC">
        <w:rPr>
          <w:rStyle w:val="titlemark"/>
          <w:rFonts w:eastAsia="Times New Roman"/>
          <w:b w:val="0"/>
          <w:bCs w:val="0"/>
          <w:color w:val="000000" w:themeColor="text1"/>
          <w:sz w:val="24"/>
          <w:szCs w:val="24"/>
        </w:rPr>
        <w:t xml:space="preserve"> than radiologist-derived visual scores. </w:t>
      </w:r>
      <w:r w:rsidR="00A6594A" w:rsidRPr="00C41FDC">
        <w:rPr>
          <w:rStyle w:val="titlemark"/>
          <w:rFonts w:eastAsia="Times New Roman"/>
          <w:b w:val="0"/>
          <w:bCs w:val="0"/>
          <w:color w:val="000000" w:themeColor="text1"/>
          <w:sz w:val="24"/>
          <w:szCs w:val="24"/>
        </w:rPr>
        <w:t xml:space="preserve">PPFE </w:t>
      </w:r>
      <w:r w:rsidR="00384377" w:rsidRPr="00C41FDC">
        <w:rPr>
          <w:rStyle w:val="titlemark"/>
          <w:rFonts w:eastAsia="Times New Roman"/>
          <w:b w:val="0"/>
          <w:bCs w:val="0"/>
          <w:color w:val="000000" w:themeColor="text1"/>
          <w:sz w:val="24"/>
          <w:szCs w:val="24"/>
        </w:rPr>
        <w:t xml:space="preserve">extent did not independently correlate </w:t>
      </w:r>
      <w:r w:rsidR="00732F12" w:rsidRPr="00C41FDC">
        <w:rPr>
          <w:rStyle w:val="titlemark"/>
          <w:rFonts w:eastAsia="Times New Roman"/>
          <w:b w:val="0"/>
          <w:bCs w:val="0"/>
          <w:color w:val="000000" w:themeColor="text1"/>
          <w:sz w:val="24"/>
          <w:szCs w:val="24"/>
        </w:rPr>
        <w:t xml:space="preserve">with pulmonary function and CT variables used to quantify interstitial </w:t>
      </w:r>
      <w:r w:rsidR="008B568D" w:rsidRPr="00C41FDC">
        <w:rPr>
          <w:rStyle w:val="titlemark"/>
          <w:rFonts w:eastAsia="Times New Roman"/>
          <w:b w:val="0"/>
          <w:bCs w:val="0"/>
          <w:color w:val="000000" w:themeColor="text1"/>
          <w:sz w:val="24"/>
          <w:szCs w:val="24"/>
        </w:rPr>
        <w:t>disease severity</w:t>
      </w:r>
      <w:r w:rsidR="00A6594A" w:rsidRPr="00C41FDC">
        <w:rPr>
          <w:rStyle w:val="titlemark"/>
          <w:rFonts w:eastAsia="Times New Roman"/>
          <w:b w:val="0"/>
          <w:bCs w:val="0"/>
          <w:color w:val="000000" w:themeColor="text1"/>
          <w:sz w:val="24"/>
          <w:szCs w:val="24"/>
        </w:rPr>
        <w:t>, suggest</w:t>
      </w:r>
      <w:r w:rsidR="00384377" w:rsidRPr="00C41FDC">
        <w:rPr>
          <w:rStyle w:val="titlemark"/>
          <w:rFonts w:eastAsia="Times New Roman"/>
          <w:b w:val="0"/>
          <w:bCs w:val="0"/>
          <w:color w:val="000000" w:themeColor="text1"/>
          <w:sz w:val="24"/>
          <w:szCs w:val="24"/>
        </w:rPr>
        <w:t>ing that</w:t>
      </w:r>
      <w:r w:rsidR="00A6594A" w:rsidRPr="00C41FDC">
        <w:rPr>
          <w:rStyle w:val="titlemark"/>
          <w:rFonts w:eastAsia="Times New Roman"/>
          <w:b w:val="0"/>
          <w:bCs w:val="0"/>
          <w:color w:val="000000" w:themeColor="text1"/>
          <w:sz w:val="24"/>
          <w:szCs w:val="24"/>
        </w:rPr>
        <w:t xml:space="preserve"> PPFE </w:t>
      </w:r>
      <w:r w:rsidR="008B568D" w:rsidRPr="00C41FDC">
        <w:rPr>
          <w:rStyle w:val="titlemark"/>
          <w:rFonts w:eastAsia="Times New Roman"/>
          <w:b w:val="0"/>
          <w:bCs w:val="0"/>
          <w:color w:val="000000" w:themeColor="text1"/>
          <w:sz w:val="24"/>
          <w:szCs w:val="24"/>
        </w:rPr>
        <w:t>is</w:t>
      </w:r>
      <w:r w:rsidR="00A6594A" w:rsidRPr="00C41FDC">
        <w:rPr>
          <w:rStyle w:val="titlemark"/>
          <w:rFonts w:eastAsia="Times New Roman"/>
          <w:b w:val="0"/>
          <w:bCs w:val="0"/>
          <w:color w:val="000000" w:themeColor="text1"/>
          <w:sz w:val="24"/>
          <w:szCs w:val="24"/>
        </w:rPr>
        <w:t xml:space="preserve"> a distinct endotype of IPF patient </w:t>
      </w:r>
      <w:r w:rsidR="00384377" w:rsidRPr="00C41FDC">
        <w:rPr>
          <w:rStyle w:val="titlemark"/>
          <w:rFonts w:eastAsia="Times New Roman"/>
          <w:b w:val="0"/>
          <w:bCs w:val="0"/>
          <w:color w:val="000000" w:themeColor="text1"/>
          <w:sz w:val="24"/>
          <w:szCs w:val="24"/>
        </w:rPr>
        <w:t xml:space="preserve">where </w:t>
      </w:r>
      <w:r w:rsidR="008B568D" w:rsidRPr="00C41FDC">
        <w:rPr>
          <w:rStyle w:val="titlemark"/>
          <w:rFonts w:eastAsia="Times New Roman"/>
          <w:b w:val="0"/>
          <w:bCs w:val="0"/>
          <w:color w:val="000000" w:themeColor="text1"/>
          <w:sz w:val="24"/>
          <w:szCs w:val="24"/>
        </w:rPr>
        <w:t xml:space="preserve">reduced survival is mediated </w:t>
      </w:r>
      <w:r w:rsidR="00384377" w:rsidRPr="00C41FDC">
        <w:rPr>
          <w:rStyle w:val="titlemark"/>
          <w:rFonts w:eastAsia="Times New Roman"/>
          <w:b w:val="0"/>
          <w:bCs w:val="0"/>
          <w:color w:val="000000" w:themeColor="text1"/>
          <w:sz w:val="24"/>
          <w:szCs w:val="24"/>
        </w:rPr>
        <w:t>through p</w:t>
      </w:r>
      <w:r w:rsidR="008B568D" w:rsidRPr="00C41FDC">
        <w:rPr>
          <w:rStyle w:val="titlemark"/>
          <w:rFonts w:eastAsia="Times New Roman"/>
          <w:b w:val="0"/>
          <w:bCs w:val="0"/>
          <w:color w:val="000000" w:themeColor="text1"/>
          <w:sz w:val="24"/>
          <w:szCs w:val="24"/>
        </w:rPr>
        <w:t>a</w:t>
      </w:r>
      <w:r w:rsidR="00384377" w:rsidRPr="00C41FDC">
        <w:rPr>
          <w:rStyle w:val="titlemark"/>
          <w:rFonts w:eastAsia="Times New Roman"/>
          <w:b w:val="0"/>
          <w:bCs w:val="0"/>
          <w:color w:val="000000" w:themeColor="text1"/>
          <w:sz w:val="24"/>
          <w:szCs w:val="24"/>
        </w:rPr>
        <w:t xml:space="preserve">thways </w:t>
      </w:r>
      <w:r w:rsidR="008B568D" w:rsidRPr="00C41FDC">
        <w:rPr>
          <w:rStyle w:val="titlemark"/>
          <w:rFonts w:eastAsia="Times New Roman"/>
          <w:b w:val="0"/>
          <w:bCs w:val="0"/>
          <w:color w:val="000000" w:themeColor="text1"/>
          <w:sz w:val="24"/>
          <w:szCs w:val="24"/>
        </w:rPr>
        <w:t>unrelated</w:t>
      </w:r>
      <w:r w:rsidR="00384377" w:rsidRPr="00C41FDC">
        <w:rPr>
          <w:rStyle w:val="titlemark"/>
          <w:rFonts w:eastAsia="Times New Roman"/>
          <w:b w:val="0"/>
          <w:bCs w:val="0"/>
          <w:color w:val="000000" w:themeColor="text1"/>
          <w:sz w:val="24"/>
          <w:szCs w:val="24"/>
        </w:rPr>
        <w:t xml:space="preserve"> to interstitial </w:t>
      </w:r>
      <w:r w:rsidR="008B568D" w:rsidRPr="00C41FDC">
        <w:rPr>
          <w:rStyle w:val="titlemark"/>
          <w:rFonts w:eastAsia="Times New Roman"/>
          <w:b w:val="0"/>
          <w:bCs w:val="0"/>
          <w:color w:val="000000" w:themeColor="text1"/>
          <w:sz w:val="24"/>
          <w:szCs w:val="24"/>
        </w:rPr>
        <w:t>damage</w:t>
      </w:r>
      <w:r w:rsidR="00732F12" w:rsidRPr="00C41FDC">
        <w:rPr>
          <w:rStyle w:val="titlemark"/>
          <w:rFonts w:eastAsia="Times New Roman"/>
          <w:b w:val="0"/>
          <w:bCs w:val="0"/>
          <w:color w:val="000000" w:themeColor="text1"/>
          <w:sz w:val="24"/>
          <w:szCs w:val="24"/>
        </w:rPr>
        <w:t>.</w:t>
      </w:r>
      <w:r w:rsidR="00A6594A" w:rsidRPr="00C41FDC">
        <w:rPr>
          <w:rStyle w:val="titlemark"/>
          <w:rFonts w:eastAsia="Times New Roman"/>
          <w:b w:val="0"/>
          <w:bCs w:val="0"/>
          <w:color w:val="000000" w:themeColor="text1"/>
          <w:sz w:val="24"/>
          <w:szCs w:val="24"/>
        </w:rPr>
        <w:t xml:space="preserve"> </w:t>
      </w:r>
    </w:p>
    <w:p w14:paraId="507D279B" w14:textId="686BF541" w:rsidR="00732F12" w:rsidRPr="00C41FDC" w:rsidRDefault="000D6213" w:rsidP="00732F12">
      <w:pPr>
        <w:pStyle w:val="Heading3"/>
        <w:tabs>
          <w:tab w:val="left" w:pos="2957"/>
        </w:tabs>
        <w:spacing w:before="360" w:beforeAutospacing="0" w:after="120" w:afterAutospacing="0" w:line="480" w:lineRule="auto"/>
        <w:rPr>
          <w:rFonts w:eastAsia="Times New Roman"/>
          <w:b w:val="0"/>
          <w:bCs w:val="0"/>
          <w:color w:val="000000" w:themeColor="text1"/>
          <w:sz w:val="24"/>
          <w:szCs w:val="24"/>
        </w:rPr>
      </w:pPr>
      <w:r w:rsidRPr="00C41FDC">
        <w:rPr>
          <w:rStyle w:val="titlemark"/>
          <w:rFonts w:eastAsia="Times New Roman"/>
          <w:color w:val="000000" w:themeColor="text1"/>
          <w:sz w:val="24"/>
          <w:szCs w:val="24"/>
        </w:rPr>
        <w:t>Implications of all the available evidence</w:t>
      </w:r>
      <w:r w:rsidR="001B0334" w:rsidRPr="00C41FDC">
        <w:rPr>
          <w:rStyle w:val="titlemark"/>
          <w:rFonts w:eastAsia="Times New Roman"/>
          <w:b w:val="0"/>
          <w:bCs w:val="0"/>
          <w:color w:val="000000" w:themeColor="text1"/>
          <w:sz w:val="24"/>
          <w:szCs w:val="24"/>
        </w:rPr>
        <w:t xml:space="preserve">: </w:t>
      </w:r>
      <w:r w:rsidR="00614790" w:rsidRPr="00C41FDC">
        <w:rPr>
          <w:rStyle w:val="titlemark"/>
          <w:rFonts w:eastAsia="Times New Roman"/>
          <w:b w:val="0"/>
          <w:bCs w:val="0"/>
          <w:color w:val="000000" w:themeColor="text1"/>
          <w:sz w:val="24"/>
          <w:szCs w:val="24"/>
        </w:rPr>
        <w:t>The presence of p</w:t>
      </w:r>
      <w:r w:rsidR="001B0334" w:rsidRPr="00C41FDC">
        <w:rPr>
          <w:rStyle w:val="titlemark"/>
          <w:rFonts w:eastAsia="Times New Roman"/>
          <w:b w:val="0"/>
          <w:bCs w:val="0"/>
          <w:color w:val="000000" w:themeColor="text1"/>
          <w:sz w:val="24"/>
          <w:szCs w:val="24"/>
        </w:rPr>
        <w:t xml:space="preserve">leuroparenchymal fibroelastosis </w:t>
      </w:r>
      <w:r w:rsidR="00614790" w:rsidRPr="00C41FDC">
        <w:rPr>
          <w:rStyle w:val="titlemark"/>
          <w:rFonts w:eastAsia="Times New Roman"/>
          <w:b w:val="0"/>
          <w:bCs w:val="0"/>
          <w:color w:val="000000" w:themeColor="text1"/>
          <w:sz w:val="24"/>
          <w:szCs w:val="24"/>
        </w:rPr>
        <w:t>delineates a distinct endotype of IPF patient where a</w:t>
      </w:r>
      <w:r w:rsidR="003F5649" w:rsidRPr="00C41FDC">
        <w:rPr>
          <w:rStyle w:val="titlemark"/>
          <w:rFonts w:eastAsia="Times New Roman"/>
          <w:b w:val="0"/>
          <w:bCs w:val="0"/>
          <w:color w:val="000000" w:themeColor="text1"/>
          <w:sz w:val="24"/>
          <w:szCs w:val="24"/>
        </w:rPr>
        <w:t xml:space="preserve"> poor prognosis </w:t>
      </w:r>
      <w:r w:rsidR="00614790" w:rsidRPr="00C41FDC">
        <w:rPr>
          <w:rStyle w:val="titlemark"/>
          <w:rFonts w:eastAsia="Times New Roman"/>
          <w:b w:val="0"/>
          <w:bCs w:val="0"/>
          <w:color w:val="000000" w:themeColor="text1"/>
          <w:sz w:val="24"/>
          <w:szCs w:val="24"/>
        </w:rPr>
        <w:t xml:space="preserve">is </w:t>
      </w:r>
      <w:r w:rsidR="00732F12" w:rsidRPr="00C41FDC">
        <w:rPr>
          <w:rStyle w:val="titlemark"/>
          <w:rFonts w:eastAsia="Times New Roman"/>
          <w:b w:val="0"/>
          <w:bCs w:val="0"/>
          <w:color w:val="000000" w:themeColor="text1"/>
          <w:sz w:val="24"/>
          <w:szCs w:val="24"/>
        </w:rPr>
        <w:t xml:space="preserve">independent of the severity of </w:t>
      </w:r>
      <w:r w:rsidR="00614790" w:rsidRPr="00C41FDC">
        <w:rPr>
          <w:rStyle w:val="titlemark"/>
          <w:rFonts w:eastAsia="Times New Roman"/>
          <w:b w:val="0"/>
          <w:bCs w:val="0"/>
          <w:color w:val="000000" w:themeColor="text1"/>
          <w:sz w:val="24"/>
          <w:szCs w:val="24"/>
        </w:rPr>
        <w:t>interstitial damage</w:t>
      </w:r>
      <w:r w:rsidR="00732F12" w:rsidRPr="00C41FDC">
        <w:rPr>
          <w:rStyle w:val="titlemark"/>
          <w:rFonts w:eastAsia="Times New Roman"/>
          <w:b w:val="0"/>
          <w:bCs w:val="0"/>
          <w:color w:val="000000" w:themeColor="text1"/>
          <w:sz w:val="24"/>
          <w:szCs w:val="24"/>
        </w:rPr>
        <w:t>.</w:t>
      </w:r>
    </w:p>
    <w:p w14:paraId="409EF5AF" w14:textId="573CC3CC" w:rsidR="001D3DFE" w:rsidRPr="00C41FDC" w:rsidRDefault="001D3DFE" w:rsidP="00732F12">
      <w:pPr>
        <w:rPr>
          <w:rStyle w:val="ecbx-1095"/>
          <w:color w:val="000000" w:themeColor="text1"/>
        </w:rPr>
      </w:pPr>
    </w:p>
    <w:p w14:paraId="4C43BF1A" w14:textId="77777777" w:rsidR="001D3DFE" w:rsidRPr="00C41FDC" w:rsidRDefault="001D3DFE">
      <w:pPr>
        <w:rPr>
          <w:rStyle w:val="ecbx-1095"/>
          <w:b/>
          <w:color w:val="000000" w:themeColor="text1"/>
        </w:rPr>
      </w:pPr>
      <w:r w:rsidRPr="00C41FDC">
        <w:rPr>
          <w:rStyle w:val="ecbx-1095"/>
          <w:b/>
          <w:color w:val="000000" w:themeColor="text1"/>
        </w:rPr>
        <w:br w:type="page"/>
      </w:r>
    </w:p>
    <w:p w14:paraId="6F2CB7A3" w14:textId="35763155" w:rsidR="00725BED" w:rsidRPr="00C41FDC" w:rsidRDefault="00C04C87" w:rsidP="007B1066">
      <w:pPr>
        <w:pStyle w:val="noindent"/>
        <w:spacing w:before="0" w:beforeAutospacing="0" w:after="0" w:afterAutospacing="0" w:line="480" w:lineRule="auto"/>
        <w:jc w:val="center"/>
        <w:divId w:val="553583285"/>
        <w:rPr>
          <w:b/>
          <w:color w:val="000000" w:themeColor="text1"/>
          <w:sz w:val="28"/>
        </w:rPr>
      </w:pPr>
      <w:r w:rsidRPr="00C41FDC">
        <w:rPr>
          <w:rStyle w:val="ecbx-1095"/>
          <w:b/>
          <w:color w:val="000000" w:themeColor="text1"/>
          <w:sz w:val="28"/>
        </w:rPr>
        <w:lastRenderedPageBreak/>
        <w:t>ABSTRACT</w:t>
      </w:r>
    </w:p>
    <w:p w14:paraId="35322100" w14:textId="52D3E0AD" w:rsidR="00732F12" w:rsidRPr="00C41FDC" w:rsidRDefault="000D6213" w:rsidP="00732F12">
      <w:pPr>
        <w:pStyle w:val="noindent"/>
        <w:spacing w:before="0" w:beforeAutospacing="0" w:after="0" w:afterAutospacing="0" w:line="480" w:lineRule="auto"/>
        <w:divId w:val="1429691264"/>
        <w:rPr>
          <w:rStyle w:val="ecti-1000"/>
          <w:color w:val="000000" w:themeColor="text1"/>
        </w:rPr>
      </w:pPr>
      <w:bookmarkStart w:id="95" w:name="OLE_LINK374"/>
      <w:bookmarkStart w:id="96" w:name="OLE_LINK375"/>
      <w:bookmarkStart w:id="97" w:name="OLE_LINK62"/>
      <w:bookmarkStart w:id="98" w:name="OLE_LINK63"/>
      <w:bookmarkStart w:id="99" w:name="OLE_LINK23"/>
      <w:bookmarkStart w:id="100" w:name="OLE_LINK24"/>
      <w:r w:rsidRPr="00C41FDC">
        <w:rPr>
          <w:rStyle w:val="ecti-1000"/>
          <w:i/>
          <w:iCs/>
          <w:color w:val="000000" w:themeColor="text1"/>
        </w:rPr>
        <w:t>Background</w:t>
      </w:r>
      <w:r w:rsidR="00245C38" w:rsidRPr="00C41FDC">
        <w:rPr>
          <w:rStyle w:val="ecti-1000"/>
          <w:i/>
          <w:iCs/>
          <w:color w:val="000000" w:themeColor="text1"/>
        </w:rPr>
        <w:t>:</w:t>
      </w:r>
      <w:r w:rsidR="00AB19F2" w:rsidRPr="00C41FDC">
        <w:rPr>
          <w:rStyle w:val="ecti-1000"/>
          <w:i/>
          <w:iCs/>
          <w:color w:val="000000" w:themeColor="text1"/>
        </w:rPr>
        <w:t xml:space="preserve"> </w:t>
      </w:r>
      <w:bookmarkStart w:id="101" w:name="OLE_LINK25"/>
      <w:bookmarkStart w:id="102" w:name="OLE_LINK26"/>
      <w:r w:rsidR="00732F12" w:rsidRPr="00C41FDC">
        <w:rPr>
          <w:rStyle w:val="ecti-1000"/>
          <w:color w:val="000000" w:themeColor="text1"/>
        </w:rPr>
        <w:t xml:space="preserve">Idiopathic pulmonary fibrosis (IPF) and pleuroparenchymal fibroelastosis (PPFE) are known to have poor outcomes but detailed </w:t>
      </w:r>
      <w:r w:rsidR="009D5755" w:rsidRPr="00C41FDC">
        <w:rPr>
          <w:rStyle w:val="ecti-1000"/>
          <w:color w:val="000000" w:themeColor="text1"/>
        </w:rPr>
        <w:t xml:space="preserve">examinations of </w:t>
      </w:r>
      <w:r w:rsidR="00732F12" w:rsidRPr="00C41FDC">
        <w:rPr>
          <w:rStyle w:val="ecti-1000"/>
          <w:color w:val="000000" w:themeColor="text1"/>
        </w:rPr>
        <w:t xml:space="preserve">prognostic significance of an association between </w:t>
      </w:r>
      <w:r w:rsidR="006271B8" w:rsidRPr="00C41FDC">
        <w:rPr>
          <w:rStyle w:val="ecti-1000"/>
          <w:color w:val="000000" w:themeColor="text1"/>
        </w:rPr>
        <w:t>these</w:t>
      </w:r>
      <w:r w:rsidR="00732F12" w:rsidRPr="00C41FDC">
        <w:rPr>
          <w:rStyle w:val="ecti-1000"/>
          <w:color w:val="000000" w:themeColor="text1"/>
        </w:rPr>
        <w:t xml:space="preserve"> morphologic processes</w:t>
      </w:r>
      <w:r w:rsidR="009D5755" w:rsidRPr="00C41FDC">
        <w:rPr>
          <w:rStyle w:val="ecti-1000"/>
          <w:color w:val="000000" w:themeColor="text1"/>
        </w:rPr>
        <w:t xml:space="preserve"> are lacking</w:t>
      </w:r>
      <w:r w:rsidR="00732F12" w:rsidRPr="00C41FDC">
        <w:rPr>
          <w:rStyle w:val="ecti-1000"/>
          <w:color w:val="000000" w:themeColor="text1"/>
        </w:rPr>
        <w:t xml:space="preserve">. </w:t>
      </w:r>
      <w:bookmarkEnd w:id="101"/>
      <w:bookmarkEnd w:id="102"/>
    </w:p>
    <w:p w14:paraId="51FF46FD" w14:textId="77777777" w:rsidR="00276C7C" w:rsidRPr="00C41FDC" w:rsidRDefault="00276C7C" w:rsidP="007B1066">
      <w:pPr>
        <w:pStyle w:val="noindent"/>
        <w:spacing w:before="0" w:beforeAutospacing="0" w:after="0" w:afterAutospacing="0" w:line="480" w:lineRule="auto"/>
        <w:divId w:val="1429691264"/>
        <w:rPr>
          <w:rStyle w:val="ecti-1000"/>
          <w:color w:val="000000" w:themeColor="text1"/>
        </w:rPr>
      </w:pPr>
    </w:p>
    <w:p w14:paraId="0E590478" w14:textId="3B8A78E8" w:rsidR="00410DA8" w:rsidRPr="00C41FDC" w:rsidRDefault="000D6213" w:rsidP="00410DA8">
      <w:pPr>
        <w:pStyle w:val="noindent"/>
        <w:spacing w:before="0" w:beforeAutospacing="0" w:after="0" w:afterAutospacing="0" w:line="480" w:lineRule="auto"/>
        <w:divId w:val="1429691264"/>
        <w:rPr>
          <w:rStyle w:val="ecti-1000"/>
          <w:color w:val="000000" w:themeColor="text1"/>
        </w:rPr>
      </w:pPr>
      <w:r w:rsidRPr="00C41FDC">
        <w:rPr>
          <w:rStyle w:val="ecti-1000"/>
          <w:i/>
          <w:iCs/>
          <w:color w:val="000000" w:themeColor="text1"/>
        </w:rPr>
        <w:t>Methods</w:t>
      </w:r>
      <w:r w:rsidR="00F72A25" w:rsidRPr="00C41FDC">
        <w:rPr>
          <w:rStyle w:val="ecti-1000"/>
          <w:i/>
          <w:iCs/>
          <w:color w:val="000000" w:themeColor="text1"/>
        </w:rPr>
        <w:t xml:space="preserve">: </w:t>
      </w:r>
      <w:r w:rsidR="002C10A9" w:rsidRPr="00C41FDC">
        <w:rPr>
          <w:rStyle w:val="ecti-1000"/>
          <w:color w:val="000000" w:themeColor="text1"/>
        </w:rPr>
        <w:t>R</w:t>
      </w:r>
      <w:r w:rsidR="00410DA8" w:rsidRPr="00C41FDC">
        <w:rPr>
          <w:rStyle w:val="ecti-1000"/>
          <w:color w:val="000000" w:themeColor="text1"/>
        </w:rPr>
        <w:t xml:space="preserve">etrospective </w:t>
      </w:r>
      <w:r w:rsidR="002C10A9" w:rsidRPr="00C41FDC">
        <w:rPr>
          <w:rStyle w:val="ecti-1000"/>
          <w:color w:val="000000" w:themeColor="text1"/>
        </w:rPr>
        <w:t xml:space="preserve">observational </w:t>
      </w:r>
      <w:r w:rsidR="00410DA8" w:rsidRPr="00C41FDC">
        <w:rPr>
          <w:rStyle w:val="ecti-1000"/>
          <w:color w:val="000000" w:themeColor="text1"/>
        </w:rPr>
        <w:t>study</w:t>
      </w:r>
      <w:r w:rsidR="008B568D" w:rsidRPr="00C41FDC">
        <w:rPr>
          <w:rStyle w:val="ecti-1000"/>
          <w:color w:val="000000" w:themeColor="text1"/>
        </w:rPr>
        <w:t xml:space="preserve"> of </w:t>
      </w:r>
      <w:r w:rsidR="002C10A9" w:rsidRPr="00C41FDC">
        <w:rPr>
          <w:rStyle w:val="ecti-1000"/>
          <w:color w:val="000000" w:themeColor="text1"/>
        </w:rPr>
        <w:t xml:space="preserve">independent derivation and validation cohorts of </w:t>
      </w:r>
      <w:r w:rsidR="008B568D" w:rsidRPr="00C41FDC">
        <w:rPr>
          <w:rStyle w:val="ecti-1000"/>
          <w:color w:val="000000" w:themeColor="text1"/>
        </w:rPr>
        <w:t>IPF populations</w:t>
      </w:r>
      <w:r w:rsidR="002C10A9" w:rsidRPr="00C41FDC">
        <w:rPr>
          <w:rStyle w:val="ecti-1000"/>
          <w:color w:val="000000" w:themeColor="text1"/>
        </w:rPr>
        <w:t>.</w:t>
      </w:r>
      <w:r w:rsidR="00410DA8" w:rsidRPr="00C41FDC">
        <w:rPr>
          <w:rStyle w:val="ecti-1000"/>
          <w:color w:val="000000" w:themeColor="text1"/>
        </w:rPr>
        <w:t xml:space="preserve"> </w:t>
      </w:r>
      <w:r w:rsidR="002C10A9" w:rsidRPr="00C41FDC">
        <w:rPr>
          <w:rStyle w:val="ecti-1000"/>
          <w:color w:val="000000" w:themeColor="text1"/>
        </w:rPr>
        <w:t>Upper</w:t>
      </w:r>
      <w:r w:rsidR="00410DA8" w:rsidRPr="00C41FDC">
        <w:rPr>
          <w:rStyle w:val="ecti-1000"/>
          <w:color w:val="000000" w:themeColor="text1"/>
        </w:rPr>
        <w:t xml:space="preserve">-lobe PPFE extent </w:t>
      </w:r>
      <w:r w:rsidR="00C6350C" w:rsidRPr="00C41FDC">
        <w:rPr>
          <w:rStyle w:val="ecti-1000"/>
          <w:color w:val="000000" w:themeColor="text1"/>
        </w:rPr>
        <w:t xml:space="preserve">was </w:t>
      </w:r>
      <w:r w:rsidR="00410DA8" w:rsidRPr="00C41FDC">
        <w:rPr>
          <w:rStyle w:val="ecti-1000"/>
          <w:color w:val="000000" w:themeColor="text1"/>
        </w:rPr>
        <w:t xml:space="preserve">scored </w:t>
      </w:r>
      <w:r w:rsidR="00054D68" w:rsidRPr="00C41FDC">
        <w:rPr>
          <w:rStyle w:val="ecti-1000"/>
          <w:color w:val="000000" w:themeColor="text1"/>
        </w:rPr>
        <w:t xml:space="preserve">visually </w:t>
      </w:r>
      <w:r w:rsidR="00410DA8" w:rsidRPr="00C41FDC">
        <w:rPr>
          <w:rStyle w:val="ecti-1000"/>
          <w:color w:val="000000" w:themeColor="text1"/>
        </w:rPr>
        <w:t xml:space="preserve">(vPPFE) </w:t>
      </w:r>
      <w:r w:rsidR="002C10A9" w:rsidRPr="00C41FDC">
        <w:rPr>
          <w:rStyle w:val="ecti-1000"/>
          <w:color w:val="000000" w:themeColor="text1"/>
        </w:rPr>
        <w:t xml:space="preserve">as </w:t>
      </w:r>
      <w:r w:rsidR="00410DA8" w:rsidRPr="00C41FDC">
        <w:rPr>
          <w:rStyle w:val="ecti-1000"/>
          <w:color w:val="000000" w:themeColor="text1"/>
        </w:rPr>
        <w:t>categori</w:t>
      </w:r>
      <w:r w:rsidR="002C10A9" w:rsidRPr="00C41FDC">
        <w:rPr>
          <w:rStyle w:val="ecti-1000"/>
          <w:color w:val="000000" w:themeColor="text1"/>
        </w:rPr>
        <w:t>es</w:t>
      </w:r>
      <w:r w:rsidR="00410DA8" w:rsidRPr="00C41FDC">
        <w:rPr>
          <w:rStyle w:val="ecti-1000"/>
          <w:color w:val="000000" w:themeColor="text1"/>
        </w:rPr>
        <w:t xml:space="preserve"> </w:t>
      </w:r>
      <w:r w:rsidR="002C10A9" w:rsidRPr="00C41FDC">
        <w:rPr>
          <w:rStyle w:val="ecti-1000"/>
          <w:color w:val="000000" w:themeColor="text1"/>
        </w:rPr>
        <w:t xml:space="preserve">of </w:t>
      </w:r>
      <w:r w:rsidR="00410DA8" w:rsidRPr="00C41FDC">
        <w:rPr>
          <w:rStyle w:val="ecti-1000"/>
          <w:color w:val="000000" w:themeColor="text1"/>
        </w:rPr>
        <w:t xml:space="preserve">absent, moderate, marked. Computerised upper-zone PPFE extent (cPPFE) </w:t>
      </w:r>
      <w:r w:rsidR="00E06073" w:rsidRPr="00C41FDC">
        <w:rPr>
          <w:rStyle w:val="ecti-1000"/>
          <w:color w:val="000000" w:themeColor="text1"/>
        </w:rPr>
        <w:t xml:space="preserve">was </w:t>
      </w:r>
      <w:r w:rsidR="00410DA8" w:rsidRPr="00C41FDC">
        <w:rPr>
          <w:rStyle w:val="ecti-1000"/>
          <w:color w:val="000000" w:themeColor="text1"/>
        </w:rPr>
        <w:t xml:space="preserve">examined </w:t>
      </w:r>
      <w:r w:rsidR="002C10A9" w:rsidRPr="00C41FDC">
        <w:rPr>
          <w:rStyle w:val="ecti-1000"/>
          <w:color w:val="000000" w:themeColor="text1"/>
        </w:rPr>
        <w:t xml:space="preserve">continuously and </w:t>
      </w:r>
      <w:r w:rsidR="00410DA8" w:rsidRPr="00C41FDC">
        <w:rPr>
          <w:rStyle w:val="ecti-1000"/>
          <w:color w:val="000000" w:themeColor="text1"/>
        </w:rPr>
        <w:t xml:space="preserve">using </w:t>
      </w:r>
      <w:r w:rsidR="008B568D" w:rsidRPr="00C41FDC">
        <w:rPr>
          <w:rStyle w:val="ecti-1000"/>
          <w:color w:val="000000" w:themeColor="text1"/>
        </w:rPr>
        <w:t xml:space="preserve">a </w:t>
      </w:r>
      <w:r w:rsidR="00410DA8" w:rsidRPr="00C41FDC">
        <w:rPr>
          <w:rStyle w:val="ecti-1000"/>
          <w:color w:val="000000" w:themeColor="text1"/>
        </w:rPr>
        <w:t xml:space="preserve">threshold </w:t>
      </w:r>
      <w:r w:rsidR="008B568D" w:rsidRPr="00C41FDC">
        <w:rPr>
          <w:rStyle w:val="ecti-1000"/>
          <w:color w:val="000000" w:themeColor="text1"/>
        </w:rPr>
        <w:t xml:space="preserve">of </w:t>
      </w:r>
      <w:r w:rsidR="001E455A" w:rsidRPr="00C41FDC">
        <w:rPr>
          <w:rStyle w:val="ecti-1000"/>
          <w:color w:val="000000" w:themeColor="text1"/>
        </w:rPr>
        <w:t>2·</w:t>
      </w:r>
      <w:r w:rsidR="00410DA8" w:rsidRPr="00C41FDC">
        <w:rPr>
          <w:rStyle w:val="ecti-1000"/>
          <w:color w:val="000000" w:themeColor="text1"/>
        </w:rPr>
        <w:t xml:space="preserve">5% pleural surface area. vPPFE and cPPFE </w:t>
      </w:r>
      <w:r w:rsidR="002844C2" w:rsidRPr="00C41FDC">
        <w:rPr>
          <w:rStyle w:val="ecti-1000"/>
          <w:color w:val="000000" w:themeColor="text1"/>
        </w:rPr>
        <w:t xml:space="preserve">were </w:t>
      </w:r>
      <w:r w:rsidR="00410DA8" w:rsidRPr="00C41FDC">
        <w:rPr>
          <w:rStyle w:val="ecti-1000"/>
          <w:color w:val="000000" w:themeColor="text1"/>
        </w:rPr>
        <w:t xml:space="preserve">evaluated against 1-year FVC decline (estimated using mixed-effects models) and mortality. Multivariable models </w:t>
      </w:r>
      <w:r w:rsidR="00E06073" w:rsidRPr="00C41FDC">
        <w:rPr>
          <w:rStyle w:val="ecti-1000"/>
          <w:color w:val="000000" w:themeColor="text1"/>
        </w:rPr>
        <w:t xml:space="preserve">were </w:t>
      </w:r>
      <w:r w:rsidR="00410DA8" w:rsidRPr="00C41FDC">
        <w:rPr>
          <w:rStyle w:val="ecti-1000"/>
          <w:color w:val="000000" w:themeColor="text1"/>
        </w:rPr>
        <w:t>adjusted for age, gender, smoking history, antifibrotic treatment and diffusion capacity for carbon monoxide.</w:t>
      </w:r>
    </w:p>
    <w:p w14:paraId="453A37CB" w14:textId="77777777" w:rsidR="00276C7C" w:rsidRPr="00C41FDC" w:rsidRDefault="00276C7C" w:rsidP="007B1066">
      <w:pPr>
        <w:pStyle w:val="noindent"/>
        <w:spacing w:before="0" w:beforeAutospacing="0" w:after="0" w:afterAutospacing="0" w:line="480" w:lineRule="auto"/>
        <w:divId w:val="1429691264"/>
        <w:rPr>
          <w:rStyle w:val="ecti-1000"/>
          <w:color w:val="000000" w:themeColor="text1"/>
        </w:rPr>
      </w:pPr>
    </w:p>
    <w:p w14:paraId="2CFFC660" w14:textId="6C1367F8" w:rsidR="00276C7C" w:rsidRPr="00C41FDC" w:rsidRDefault="000D6213" w:rsidP="00776834">
      <w:pPr>
        <w:pStyle w:val="noindent"/>
        <w:spacing w:before="0" w:beforeAutospacing="0" w:after="0" w:afterAutospacing="0" w:line="480" w:lineRule="auto"/>
        <w:divId w:val="1429691264"/>
        <w:rPr>
          <w:rStyle w:val="ecti-1000"/>
          <w:color w:val="000000" w:themeColor="text1"/>
        </w:rPr>
      </w:pPr>
      <w:r w:rsidRPr="00C41FDC">
        <w:rPr>
          <w:rStyle w:val="ecti-1000"/>
          <w:i/>
          <w:iCs/>
          <w:color w:val="000000" w:themeColor="text1"/>
        </w:rPr>
        <w:t>Findings</w:t>
      </w:r>
      <w:r w:rsidR="00245C38" w:rsidRPr="00C41FDC">
        <w:rPr>
          <w:rStyle w:val="ecti-1000"/>
          <w:i/>
          <w:iCs/>
          <w:color w:val="000000" w:themeColor="text1"/>
        </w:rPr>
        <w:t>:</w:t>
      </w:r>
      <w:r w:rsidR="00E96CDB" w:rsidRPr="00C41FDC">
        <w:rPr>
          <w:rStyle w:val="ecti-1000"/>
          <w:i/>
          <w:iCs/>
          <w:color w:val="000000" w:themeColor="text1"/>
        </w:rPr>
        <w:t xml:space="preserve"> </w:t>
      </w:r>
      <w:r w:rsidR="00412FE1" w:rsidRPr="00C41FDC">
        <w:rPr>
          <w:rStyle w:val="ecti-1000"/>
          <w:color w:val="000000" w:themeColor="text1"/>
        </w:rPr>
        <w:t xml:space="preserve">PPFE </w:t>
      </w:r>
      <w:r w:rsidR="00873918" w:rsidRPr="00C41FDC">
        <w:rPr>
          <w:rStyle w:val="ecti-1000"/>
          <w:color w:val="000000" w:themeColor="text1"/>
        </w:rPr>
        <w:t>prevalence</w:t>
      </w:r>
      <w:r w:rsidR="00BE0B58" w:rsidRPr="00C41FDC">
        <w:rPr>
          <w:rStyle w:val="ecti-1000"/>
          <w:color w:val="000000" w:themeColor="text1"/>
        </w:rPr>
        <w:t xml:space="preserve"> was </w:t>
      </w:r>
      <w:r w:rsidR="002844C2" w:rsidRPr="00C41FDC">
        <w:rPr>
          <w:rStyle w:val="ecti-1000"/>
          <w:color w:val="000000" w:themeColor="text1"/>
        </w:rPr>
        <w:t>49</w:t>
      </w:r>
      <w:r w:rsidR="00412FE1" w:rsidRPr="00C41FDC">
        <w:rPr>
          <w:rStyle w:val="ecti-1000"/>
          <w:color w:val="000000" w:themeColor="text1"/>
        </w:rPr>
        <w:t>%</w:t>
      </w:r>
      <w:r w:rsidR="00BE0B58" w:rsidRPr="00C41FDC">
        <w:rPr>
          <w:rStyle w:val="ecti-1000"/>
          <w:color w:val="000000" w:themeColor="text1"/>
        </w:rPr>
        <w:t xml:space="preserve"> </w:t>
      </w:r>
      <w:r w:rsidR="00CE4101" w:rsidRPr="00C41FDC">
        <w:rPr>
          <w:rStyle w:val="ecti-1000"/>
          <w:color w:val="000000" w:themeColor="text1"/>
        </w:rPr>
        <w:t>(derivation</w:t>
      </w:r>
      <w:r w:rsidR="002C10A9" w:rsidRPr="00C41FDC">
        <w:rPr>
          <w:rStyle w:val="ecti-1000"/>
          <w:color w:val="000000" w:themeColor="text1"/>
        </w:rPr>
        <w:t xml:space="preserve"> </w:t>
      </w:r>
      <w:r w:rsidR="004D6391" w:rsidRPr="00C41FDC">
        <w:rPr>
          <w:rStyle w:val="ecti-1000"/>
          <w:color w:val="000000" w:themeColor="text1"/>
        </w:rPr>
        <w:t>cohort, n</w:t>
      </w:r>
      <w:r w:rsidR="002C10A9" w:rsidRPr="00C41FDC">
        <w:rPr>
          <w:rStyle w:val="ecti-1000"/>
          <w:color w:val="000000" w:themeColor="text1"/>
        </w:rPr>
        <w:t>=142</w:t>
      </w:r>
      <w:r w:rsidR="00CE4101" w:rsidRPr="00C41FDC">
        <w:rPr>
          <w:rStyle w:val="ecti-1000"/>
          <w:color w:val="000000" w:themeColor="text1"/>
        </w:rPr>
        <w:t xml:space="preserve">) </w:t>
      </w:r>
      <w:r w:rsidR="00BE0B58" w:rsidRPr="00C41FDC">
        <w:rPr>
          <w:rStyle w:val="ecti-1000"/>
          <w:color w:val="000000" w:themeColor="text1"/>
        </w:rPr>
        <w:t xml:space="preserve">and 72% </w:t>
      </w:r>
      <w:r w:rsidR="00CE4101" w:rsidRPr="00C41FDC">
        <w:rPr>
          <w:rStyle w:val="ecti-1000"/>
          <w:color w:val="000000" w:themeColor="text1"/>
        </w:rPr>
        <w:t>(</w:t>
      </w:r>
      <w:r w:rsidR="00BE0B58" w:rsidRPr="00C41FDC">
        <w:rPr>
          <w:rStyle w:val="ecti-1000"/>
          <w:color w:val="000000" w:themeColor="text1"/>
        </w:rPr>
        <w:t>validation</w:t>
      </w:r>
      <w:r w:rsidR="002C10A9" w:rsidRPr="00C41FDC">
        <w:rPr>
          <w:rStyle w:val="ecti-1000"/>
          <w:color w:val="000000" w:themeColor="text1"/>
        </w:rPr>
        <w:t xml:space="preserve"> </w:t>
      </w:r>
      <w:r w:rsidR="004D6391" w:rsidRPr="00C41FDC">
        <w:rPr>
          <w:rStyle w:val="ecti-1000"/>
          <w:color w:val="000000" w:themeColor="text1"/>
        </w:rPr>
        <w:t>cohort, n</w:t>
      </w:r>
      <w:r w:rsidR="002C10A9" w:rsidRPr="00C41FDC">
        <w:rPr>
          <w:rStyle w:val="ecti-1000"/>
          <w:color w:val="000000" w:themeColor="text1"/>
        </w:rPr>
        <w:t>=145</w:t>
      </w:r>
      <w:r w:rsidR="00CE4101" w:rsidRPr="00C41FDC">
        <w:rPr>
          <w:rStyle w:val="ecti-1000"/>
          <w:color w:val="000000" w:themeColor="text1"/>
        </w:rPr>
        <w:t>)</w:t>
      </w:r>
      <w:r w:rsidR="00DD7271" w:rsidRPr="00C41FDC">
        <w:rPr>
          <w:rStyle w:val="ecti-1000"/>
          <w:color w:val="000000" w:themeColor="text1"/>
        </w:rPr>
        <w:t>.</w:t>
      </w:r>
      <w:r w:rsidR="00412FE1" w:rsidRPr="00C41FDC">
        <w:rPr>
          <w:rStyle w:val="ecti-1000"/>
          <w:color w:val="000000" w:themeColor="text1"/>
        </w:rPr>
        <w:t xml:space="preserve"> </w:t>
      </w:r>
      <w:r w:rsidR="00410DA8" w:rsidRPr="00C41FDC">
        <w:rPr>
          <w:rStyle w:val="ecti-1000"/>
          <w:color w:val="000000" w:themeColor="text1"/>
        </w:rPr>
        <w:t>v</w:t>
      </w:r>
      <w:r w:rsidR="00410DA8" w:rsidRPr="00C41FDC">
        <w:rPr>
          <w:color w:val="000000" w:themeColor="text1"/>
        </w:rPr>
        <w:t>PPFE marginally contributed 3</w:t>
      </w:r>
      <w:r w:rsidR="005C3F6B" w:rsidRPr="00C41FDC">
        <w:rPr>
          <w:color w:val="000000" w:themeColor="text1"/>
        </w:rPr>
        <w:t>-</w:t>
      </w:r>
      <w:r w:rsidR="00410DA8" w:rsidRPr="00C41FDC">
        <w:rPr>
          <w:color w:val="000000" w:themeColor="text1"/>
        </w:rPr>
        <w:t xml:space="preserve">14% to variance in </w:t>
      </w:r>
      <w:r w:rsidR="00CE4101" w:rsidRPr="00C41FDC">
        <w:rPr>
          <w:color w:val="000000" w:themeColor="text1"/>
        </w:rPr>
        <w:t xml:space="preserve">interstitial lung disease (ILD) severity </w:t>
      </w:r>
      <w:r w:rsidR="00410DA8" w:rsidRPr="00C41FDC">
        <w:rPr>
          <w:color w:val="000000" w:themeColor="text1"/>
        </w:rPr>
        <w:t xml:space="preserve">across </w:t>
      </w:r>
      <w:r w:rsidR="00CE4101" w:rsidRPr="00C41FDC">
        <w:rPr>
          <w:color w:val="000000" w:themeColor="text1"/>
        </w:rPr>
        <w:t>both</w:t>
      </w:r>
      <w:r w:rsidR="00410DA8" w:rsidRPr="00C41FDC">
        <w:rPr>
          <w:color w:val="000000" w:themeColor="text1"/>
        </w:rPr>
        <w:t xml:space="preserve"> cohorts.</w:t>
      </w:r>
    </w:p>
    <w:p w14:paraId="354BD9F0" w14:textId="77777777" w:rsidR="00276C7C" w:rsidRPr="00C41FDC" w:rsidRDefault="00276C7C" w:rsidP="00776834">
      <w:pPr>
        <w:pStyle w:val="noindent"/>
        <w:spacing w:before="0" w:beforeAutospacing="0" w:after="0" w:afterAutospacing="0" w:line="480" w:lineRule="auto"/>
        <w:divId w:val="1429691264"/>
        <w:rPr>
          <w:rStyle w:val="ecti-1000"/>
          <w:color w:val="000000" w:themeColor="text1"/>
        </w:rPr>
      </w:pPr>
    </w:p>
    <w:p w14:paraId="21E8FF02" w14:textId="6271208A" w:rsidR="00410DA8" w:rsidRPr="00C41FDC" w:rsidRDefault="00410DA8" w:rsidP="00410DA8">
      <w:pPr>
        <w:pStyle w:val="noindent"/>
        <w:spacing w:before="0" w:beforeAutospacing="0" w:after="0" w:afterAutospacing="0" w:line="480" w:lineRule="auto"/>
        <w:divId w:val="1429691264"/>
        <w:rPr>
          <w:rStyle w:val="ecti-1000"/>
          <w:color w:val="000000" w:themeColor="text1"/>
        </w:rPr>
      </w:pPr>
      <w:bookmarkStart w:id="103" w:name="OLE_LINK173"/>
      <w:bookmarkStart w:id="104" w:name="OLE_LINK174"/>
      <w:r w:rsidRPr="00C41FDC">
        <w:rPr>
          <w:rStyle w:val="ecti-1000"/>
          <w:color w:val="000000" w:themeColor="text1"/>
        </w:rPr>
        <w:t xml:space="preserve">In multivariable models, </w:t>
      </w:r>
      <w:r w:rsidR="00A81A25" w:rsidRPr="00C41FDC">
        <w:rPr>
          <w:rStyle w:val="ecti-1000"/>
          <w:color w:val="000000" w:themeColor="text1"/>
        </w:rPr>
        <w:t xml:space="preserve">marked </w:t>
      </w:r>
      <w:r w:rsidRPr="00C41FDC">
        <w:rPr>
          <w:rStyle w:val="ecti-1000"/>
          <w:color w:val="000000" w:themeColor="text1"/>
        </w:rPr>
        <w:t xml:space="preserve">vPPFE </w:t>
      </w:r>
      <w:r w:rsidR="005534DA" w:rsidRPr="00C41FDC">
        <w:rPr>
          <w:rStyle w:val="ecti-1000"/>
          <w:color w:val="000000" w:themeColor="text1"/>
        </w:rPr>
        <w:t xml:space="preserve">was </w:t>
      </w:r>
      <w:r w:rsidRPr="00C41FDC">
        <w:rPr>
          <w:rStyle w:val="ecti-1000"/>
          <w:color w:val="000000" w:themeColor="text1"/>
        </w:rPr>
        <w:t>independently associated with 1-year FVC decline (</w:t>
      </w:r>
      <w:r w:rsidR="00005AF0" w:rsidRPr="00C41FDC">
        <w:rPr>
          <w:rStyle w:val="ecti-1000"/>
          <w:color w:val="000000" w:themeColor="text1"/>
        </w:rPr>
        <w:t>derivation</w:t>
      </w:r>
      <w:r w:rsidRPr="00C41FDC">
        <w:rPr>
          <w:rStyle w:val="ecti-1000"/>
          <w:color w:val="000000" w:themeColor="text1"/>
        </w:rPr>
        <w:t xml:space="preserve">: </w:t>
      </w:r>
      <w:bookmarkStart w:id="105" w:name="OLE_LINK99"/>
      <w:bookmarkStart w:id="106" w:name="OLE_LINK100"/>
      <w:r w:rsidR="006016BE" w:rsidRPr="00C41FDC">
        <w:rPr>
          <w:rStyle w:val="ecti-1000"/>
          <w:color w:val="000000" w:themeColor="text1"/>
        </w:rPr>
        <w:t xml:space="preserve">regression coefficient </w:t>
      </w:r>
      <w:bookmarkEnd w:id="105"/>
      <w:bookmarkEnd w:id="106"/>
      <w:r w:rsidRPr="00C41FDC">
        <w:rPr>
          <w:rStyle w:val="ecti-1000"/>
          <w:color w:val="000000" w:themeColor="text1"/>
        </w:rPr>
        <w:t>1</w:t>
      </w:r>
      <w:r w:rsidR="001E455A" w:rsidRPr="00C41FDC">
        <w:rPr>
          <w:rStyle w:val="ecti-1000"/>
          <w:color w:val="000000" w:themeColor="text1"/>
        </w:rPr>
        <w:t>8·</w:t>
      </w:r>
      <w:r w:rsidR="006A6F06" w:rsidRPr="00C41FDC">
        <w:rPr>
          <w:rStyle w:val="ecti-1000"/>
          <w:color w:val="000000" w:themeColor="text1"/>
        </w:rPr>
        <w:t>3</w:t>
      </w:r>
      <w:r w:rsidR="008B4F49" w:rsidRPr="00C41FDC">
        <w:rPr>
          <w:rStyle w:val="ecti-1000"/>
          <w:color w:val="000000" w:themeColor="text1"/>
        </w:rPr>
        <w:t>%</w:t>
      </w:r>
      <w:r w:rsidRPr="00C41FDC">
        <w:rPr>
          <w:rStyle w:val="ecti-1000"/>
          <w:color w:val="000000" w:themeColor="text1"/>
        </w:rPr>
        <w:t xml:space="preserve">, 95% CI </w:t>
      </w:r>
      <w:r w:rsidR="001E455A" w:rsidRPr="00C41FDC">
        <w:rPr>
          <w:rStyle w:val="ecti-1000"/>
          <w:color w:val="000000" w:themeColor="text1"/>
        </w:rPr>
        <w:t>8·</w:t>
      </w:r>
      <w:r w:rsidR="006A6F06" w:rsidRPr="00C41FDC">
        <w:rPr>
          <w:rStyle w:val="ecti-1000"/>
          <w:color w:val="000000" w:themeColor="text1"/>
        </w:rPr>
        <w:t>47</w:t>
      </w:r>
      <w:r w:rsidRPr="00C41FDC">
        <w:rPr>
          <w:rStyle w:val="ecti-1000"/>
          <w:color w:val="000000" w:themeColor="text1"/>
        </w:rPr>
        <w:t>-2</w:t>
      </w:r>
      <w:r w:rsidR="001E455A" w:rsidRPr="00C41FDC">
        <w:rPr>
          <w:rStyle w:val="ecti-1000"/>
          <w:color w:val="000000" w:themeColor="text1"/>
        </w:rPr>
        <w:t>8·</w:t>
      </w:r>
      <w:r w:rsidR="006A6F06" w:rsidRPr="00C41FDC">
        <w:rPr>
          <w:rStyle w:val="ecti-1000"/>
          <w:color w:val="000000" w:themeColor="text1"/>
        </w:rPr>
        <w:t>2</w:t>
      </w:r>
      <w:r w:rsidR="008B4F49" w:rsidRPr="00C41FDC">
        <w:rPr>
          <w:rStyle w:val="ecti-1000"/>
          <w:color w:val="000000" w:themeColor="text1"/>
        </w:rPr>
        <w:t>%</w:t>
      </w:r>
      <w:r w:rsidRPr="00C41FDC">
        <w:rPr>
          <w:rStyle w:val="ecti-1000"/>
          <w:color w:val="000000" w:themeColor="text1"/>
        </w:rPr>
        <w:t xml:space="preserve">; validation: </w:t>
      </w:r>
      <w:r w:rsidR="001E455A" w:rsidRPr="00C41FDC">
        <w:rPr>
          <w:rStyle w:val="ecti-1000"/>
          <w:color w:val="000000" w:themeColor="text1"/>
        </w:rPr>
        <w:t>7·</w:t>
      </w:r>
      <w:r w:rsidRPr="00C41FDC">
        <w:rPr>
          <w:rStyle w:val="ecti-1000"/>
          <w:color w:val="000000" w:themeColor="text1"/>
        </w:rPr>
        <w:t>51</w:t>
      </w:r>
      <w:r w:rsidR="008B4F49" w:rsidRPr="00C41FDC">
        <w:rPr>
          <w:rStyle w:val="ecti-1000"/>
          <w:color w:val="000000" w:themeColor="text1"/>
        </w:rPr>
        <w:t>%</w:t>
      </w:r>
      <w:r w:rsidRPr="00C41FDC">
        <w:rPr>
          <w:rStyle w:val="ecti-1000"/>
          <w:color w:val="000000" w:themeColor="text1"/>
        </w:rPr>
        <w:t xml:space="preserve">, </w:t>
      </w:r>
      <w:r w:rsidR="001E455A" w:rsidRPr="00C41FDC">
        <w:rPr>
          <w:rStyle w:val="ecti-1000"/>
          <w:color w:val="000000" w:themeColor="text1"/>
        </w:rPr>
        <w:t>1·</w:t>
      </w:r>
      <w:r w:rsidRPr="00C41FDC">
        <w:rPr>
          <w:rStyle w:val="ecti-1000"/>
          <w:color w:val="000000" w:themeColor="text1"/>
        </w:rPr>
        <w:t>85-1</w:t>
      </w:r>
      <w:r w:rsidR="001E455A" w:rsidRPr="00C41FDC">
        <w:rPr>
          <w:rStyle w:val="ecti-1000"/>
          <w:color w:val="000000" w:themeColor="text1"/>
        </w:rPr>
        <w:t>3·</w:t>
      </w:r>
      <w:r w:rsidRPr="00C41FDC">
        <w:rPr>
          <w:rStyle w:val="ecti-1000"/>
          <w:color w:val="000000" w:themeColor="text1"/>
        </w:rPr>
        <w:t>2</w:t>
      </w:r>
      <w:r w:rsidR="008B4F49" w:rsidRPr="00C41FDC">
        <w:rPr>
          <w:rStyle w:val="ecti-1000"/>
          <w:color w:val="000000" w:themeColor="text1"/>
        </w:rPr>
        <w:t>%</w:t>
      </w:r>
      <w:r w:rsidRPr="00C41FDC">
        <w:rPr>
          <w:rStyle w:val="ecti-1000"/>
          <w:color w:val="000000" w:themeColor="text1"/>
        </w:rPr>
        <w:t>)</w:t>
      </w:r>
      <w:bookmarkEnd w:id="103"/>
      <w:bookmarkEnd w:id="104"/>
      <w:r w:rsidR="002C10A9" w:rsidRPr="00C41FDC">
        <w:rPr>
          <w:rStyle w:val="ecti-1000"/>
          <w:color w:val="000000" w:themeColor="text1"/>
        </w:rPr>
        <w:t xml:space="preserve"> and </w:t>
      </w:r>
      <w:r w:rsidRPr="00C41FDC">
        <w:rPr>
          <w:rStyle w:val="ecti-1000"/>
          <w:color w:val="000000" w:themeColor="text1"/>
        </w:rPr>
        <w:t>mortality (</w:t>
      </w:r>
      <w:r w:rsidR="00005AF0" w:rsidRPr="00C41FDC">
        <w:rPr>
          <w:rStyle w:val="ecti-1000"/>
          <w:color w:val="000000" w:themeColor="text1"/>
        </w:rPr>
        <w:t>derivation</w:t>
      </w:r>
      <w:r w:rsidRPr="00C41FDC">
        <w:rPr>
          <w:rStyle w:val="ecti-1000"/>
          <w:color w:val="000000" w:themeColor="text1"/>
        </w:rPr>
        <w:t xml:space="preserve">: </w:t>
      </w:r>
      <w:r w:rsidR="00C96729" w:rsidRPr="00C41FDC">
        <w:rPr>
          <w:rStyle w:val="ecti-1000"/>
          <w:color w:val="000000" w:themeColor="text1"/>
        </w:rPr>
        <w:t>hazard ratio [HR]</w:t>
      </w:r>
      <w:r w:rsidR="00D34490" w:rsidRPr="00C41FDC">
        <w:rPr>
          <w:rStyle w:val="ecti-1000"/>
          <w:color w:val="000000" w:themeColor="text1"/>
        </w:rPr>
        <w:t xml:space="preserve"> </w:t>
      </w:r>
      <w:r w:rsidR="001E455A" w:rsidRPr="00C41FDC">
        <w:rPr>
          <w:rStyle w:val="ecti-1000"/>
          <w:color w:val="000000" w:themeColor="text1"/>
        </w:rPr>
        <w:t>4·</w:t>
      </w:r>
      <w:r w:rsidR="004B3D11" w:rsidRPr="00C41FDC">
        <w:rPr>
          <w:rStyle w:val="ecti-1000"/>
          <w:color w:val="000000" w:themeColor="text1"/>
        </w:rPr>
        <w:t>90</w:t>
      </w:r>
      <w:r w:rsidRPr="00C41FDC">
        <w:rPr>
          <w:rStyle w:val="ecti-1000"/>
          <w:color w:val="000000" w:themeColor="text1"/>
        </w:rPr>
        <w:t xml:space="preserve">, 95% CI </w:t>
      </w:r>
      <w:r w:rsidR="001E455A" w:rsidRPr="00C41FDC">
        <w:rPr>
          <w:rStyle w:val="ecti-1000"/>
          <w:color w:val="000000" w:themeColor="text1"/>
        </w:rPr>
        <w:t>2·</w:t>
      </w:r>
      <w:r w:rsidR="004B3D11" w:rsidRPr="00C41FDC">
        <w:rPr>
          <w:rStyle w:val="ecti-1000"/>
          <w:color w:val="000000" w:themeColor="text1"/>
        </w:rPr>
        <w:t>33</w:t>
      </w:r>
      <w:r w:rsidRPr="00C41FDC">
        <w:rPr>
          <w:rStyle w:val="ecti-1000"/>
          <w:color w:val="000000" w:themeColor="text1"/>
        </w:rPr>
        <w:t>-</w:t>
      </w:r>
      <w:r w:rsidR="004B3D11" w:rsidRPr="00C41FDC">
        <w:rPr>
          <w:rStyle w:val="ecti-1000"/>
          <w:color w:val="000000" w:themeColor="text1"/>
        </w:rPr>
        <w:t>1</w:t>
      </w:r>
      <w:r w:rsidR="001E455A" w:rsidRPr="00C41FDC">
        <w:rPr>
          <w:rStyle w:val="ecti-1000"/>
          <w:color w:val="000000" w:themeColor="text1"/>
        </w:rPr>
        <w:t>0·</w:t>
      </w:r>
      <w:r w:rsidR="004B3D11" w:rsidRPr="00C41FDC">
        <w:rPr>
          <w:rStyle w:val="ecti-1000"/>
          <w:color w:val="000000" w:themeColor="text1"/>
        </w:rPr>
        <w:t>3</w:t>
      </w:r>
      <w:r w:rsidRPr="00C41FDC">
        <w:rPr>
          <w:rStyle w:val="ecti-1000"/>
          <w:color w:val="000000" w:themeColor="text1"/>
        </w:rPr>
        <w:t>; validation: HR</w:t>
      </w:r>
      <w:r w:rsidR="00D34490" w:rsidRPr="00C41FDC">
        <w:rPr>
          <w:rStyle w:val="ecti-1000"/>
          <w:color w:val="000000" w:themeColor="text1"/>
        </w:rPr>
        <w:t xml:space="preserve"> </w:t>
      </w:r>
      <w:r w:rsidR="001E455A" w:rsidRPr="00C41FDC">
        <w:rPr>
          <w:rStyle w:val="ecti-1000"/>
          <w:color w:val="000000" w:themeColor="text1"/>
        </w:rPr>
        <w:t>3·</w:t>
      </w:r>
      <w:r w:rsidRPr="00C41FDC">
        <w:rPr>
          <w:rStyle w:val="ecti-1000"/>
          <w:color w:val="000000" w:themeColor="text1"/>
        </w:rPr>
        <w:t xml:space="preserve">01, </w:t>
      </w:r>
      <w:r w:rsidR="001E455A" w:rsidRPr="00C41FDC">
        <w:rPr>
          <w:rStyle w:val="ecti-1000"/>
          <w:color w:val="000000" w:themeColor="text1"/>
        </w:rPr>
        <w:t>1·</w:t>
      </w:r>
      <w:r w:rsidRPr="00C41FDC">
        <w:rPr>
          <w:rStyle w:val="ecti-1000"/>
          <w:color w:val="000000" w:themeColor="text1"/>
        </w:rPr>
        <w:t>33-</w:t>
      </w:r>
      <w:r w:rsidR="001E455A" w:rsidRPr="00C41FDC">
        <w:rPr>
          <w:rStyle w:val="ecti-1000"/>
          <w:color w:val="000000" w:themeColor="text1"/>
        </w:rPr>
        <w:t>6</w:t>
      </w:r>
      <w:bookmarkStart w:id="107" w:name="OLE_LINK7"/>
      <w:bookmarkStart w:id="108" w:name="OLE_LINK8"/>
      <w:r w:rsidR="001E455A" w:rsidRPr="00C41FDC">
        <w:rPr>
          <w:rStyle w:val="ecti-1000"/>
          <w:color w:val="000000" w:themeColor="text1"/>
        </w:rPr>
        <w:t>·</w:t>
      </w:r>
      <w:bookmarkEnd w:id="107"/>
      <w:bookmarkEnd w:id="108"/>
      <w:r w:rsidRPr="00C41FDC">
        <w:rPr>
          <w:rStyle w:val="ecti-1000"/>
          <w:color w:val="000000" w:themeColor="text1"/>
        </w:rPr>
        <w:t>81)</w:t>
      </w:r>
      <w:r w:rsidR="002C10A9" w:rsidRPr="00C41FDC">
        <w:rPr>
          <w:rStyle w:val="ecti-1000"/>
          <w:color w:val="000000" w:themeColor="text1"/>
        </w:rPr>
        <w:t>.</w:t>
      </w:r>
      <w:r w:rsidRPr="00C41FDC">
        <w:rPr>
          <w:rStyle w:val="ecti-1000"/>
          <w:color w:val="000000" w:themeColor="text1"/>
        </w:rPr>
        <w:t xml:space="preserve"> </w:t>
      </w:r>
      <w:r w:rsidR="002C10A9" w:rsidRPr="00C41FDC">
        <w:rPr>
          <w:rStyle w:val="ecti-1000"/>
          <w:color w:val="000000" w:themeColor="text1"/>
        </w:rPr>
        <w:t xml:space="preserve">Similarly, continuous and dichotomised cPPFE were associated with </w:t>
      </w:r>
      <w:r w:rsidR="003B616C" w:rsidRPr="00C41FDC">
        <w:rPr>
          <w:rStyle w:val="ecti-1000"/>
          <w:color w:val="000000" w:themeColor="text1"/>
        </w:rPr>
        <w:t xml:space="preserve">1-year </w:t>
      </w:r>
      <w:r w:rsidR="002C10A9" w:rsidRPr="00C41FDC">
        <w:rPr>
          <w:rStyle w:val="ecti-1000"/>
          <w:color w:val="000000" w:themeColor="text1"/>
        </w:rPr>
        <w:t>FVC decline and mortality (</w:t>
      </w:r>
      <w:r w:rsidR="003B616C" w:rsidRPr="00C41FDC">
        <w:rPr>
          <w:rStyle w:val="ecti-1000"/>
          <w:color w:val="000000" w:themeColor="text1"/>
        </w:rPr>
        <w:t xml:space="preserve">cPPFE </w:t>
      </w:r>
      <w:r w:rsidR="002C10A9" w:rsidRPr="00C41FDC">
        <w:rPr>
          <w:rFonts w:eastAsia="Times New Roman"/>
          <w:color w:val="000000" w:themeColor="text1"/>
        </w:rPr>
        <w:sym w:font="Symbol" w:char="F0B3"/>
      </w:r>
      <w:r w:rsidR="002C10A9" w:rsidRPr="00C41FDC">
        <w:rPr>
          <w:rStyle w:val="ecti-1000"/>
          <w:color w:val="000000" w:themeColor="text1"/>
        </w:rPr>
        <w:t xml:space="preserve">2·5% derivation: HR 4·25, 2·48-7·29; validation: HR 2·06, 1·28-3·31). Individuals with cPPFE </w:t>
      </w:r>
      <w:r w:rsidR="002C10A9" w:rsidRPr="00C41FDC">
        <w:rPr>
          <w:rFonts w:eastAsia="Times New Roman"/>
          <w:color w:val="000000" w:themeColor="text1"/>
        </w:rPr>
        <w:sym w:font="Symbol" w:char="F0B3"/>
      </w:r>
      <w:r w:rsidR="002C10A9" w:rsidRPr="00C41FDC">
        <w:rPr>
          <w:rStyle w:val="ecti-1000"/>
          <w:color w:val="000000" w:themeColor="text1"/>
        </w:rPr>
        <w:t xml:space="preserve">2·5% or marked vPPFE had the lowest median survival, the cPPFE </w:t>
      </w:r>
      <w:r w:rsidR="002C10A9" w:rsidRPr="00C41FDC">
        <w:rPr>
          <w:rStyle w:val="ecti-1000"/>
          <w:color w:val="000000" w:themeColor="text1"/>
        </w:rPr>
        <w:lastRenderedPageBreak/>
        <w:t>threshold demonstrated greater discrimination of poor outcomes at two and three years than marked vPPFE.</w:t>
      </w:r>
    </w:p>
    <w:p w14:paraId="1836B764" w14:textId="77777777" w:rsidR="00276C7C" w:rsidRPr="00C41FDC" w:rsidRDefault="00276C7C" w:rsidP="00276C7C">
      <w:pPr>
        <w:pStyle w:val="noindent"/>
        <w:spacing w:before="0" w:beforeAutospacing="0" w:after="0" w:afterAutospacing="0" w:line="480" w:lineRule="auto"/>
        <w:divId w:val="1429691264"/>
        <w:rPr>
          <w:rStyle w:val="ecti-1000"/>
          <w:color w:val="000000" w:themeColor="text1"/>
        </w:rPr>
      </w:pPr>
    </w:p>
    <w:p w14:paraId="77383C33" w14:textId="09199FD8" w:rsidR="005C3F6B" w:rsidRPr="00C41FDC" w:rsidRDefault="000D6213" w:rsidP="005C3F6B">
      <w:pPr>
        <w:pStyle w:val="CommentText"/>
        <w:spacing w:line="480" w:lineRule="auto"/>
        <w:divId w:val="1429691264"/>
        <w:rPr>
          <w:color w:val="000000" w:themeColor="text1"/>
          <w:sz w:val="24"/>
          <w:szCs w:val="24"/>
        </w:rPr>
      </w:pPr>
      <w:r w:rsidRPr="00C41FDC">
        <w:rPr>
          <w:rStyle w:val="ecti-1000"/>
          <w:i/>
          <w:iCs/>
          <w:color w:val="000000" w:themeColor="text1"/>
          <w:sz w:val="24"/>
          <w:szCs w:val="24"/>
        </w:rPr>
        <w:t>Interpretation</w:t>
      </w:r>
      <w:r w:rsidR="002B6421" w:rsidRPr="00C41FDC">
        <w:rPr>
          <w:rStyle w:val="ecti-1000"/>
          <w:i/>
          <w:iCs/>
          <w:color w:val="000000" w:themeColor="text1"/>
          <w:sz w:val="24"/>
          <w:szCs w:val="24"/>
        </w:rPr>
        <w:t>:</w:t>
      </w:r>
      <w:r w:rsidR="00410DA8" w:rsidRPr="00C41FDC">
        <w:rPr>
          <w:rStyle w:val="ecti-1000"/>
          <w:color w:val="000000" w:themeColor="text1"/>
          <w:sz w:val="24"/>
          <w:szCs w:val="24"/>
        </w:rPr>
        <w:t xml:space="preserve"> </w:t>
      </w:r>
      <w:r w:rsidR="002C10A9" w:rsidRPr="00C41FDC">
        <w:rPr>
          <w:rStyle w:val="ecti-1000"/>
          <w:color w:val="000000" w:themeColor="text1"/>
          <w:sz w:val="24"/>
          <w:szCs w:val="24"/>
        </w:rPr>
        <w:t xml:space="preserve">PPFE quantitation supports distinction of IPF patients with a worse outcome independent of </w:t>
      </w:r>
      <w:r w:rsidR="002C10A9" w:rsidRPr="00C41FDC">
        <w:rPr>
          <w:color w:val="000000" w:themeColor="text1"/>
          <w:sz w:val="24"/>
          <w:szCs w:val="24"/>
        </w:rPr>
        <w:t>established ILD severity measures. This has the potential to improve prognostic management and elucidate separate pathways of disease progression.</w:t>
      </w:r>
    </w:p>
    <w:bookmarkEnd w:id="95"/>
    <w:bookmarkEnd w:id="96"/>
    <w:p w14:paraId="204BAE07" w14:textId="77777777" w:rsidR="00E86A3D" w:rsidRPr="00C41FDC" w:rsidRDefault="00E86A3D" w:rsidP="00C6350C">
      <w:pPr>
        <w:spacing w:line="480" w:lineRule="auto"/>
        <w:rPr>
          <w:rStyle w:val="ecti-1000"/>
          <w:i/>
          <w:iCs/>
          <w:color w:val="000000" w:themeColor="text1"/>
        </w:rPr>
      </w:pPr>
    </w:p>
    <w:p w14:paraId="28F495C3" w14:textId="29E48696" w:rsidR="00245C38" w:rsidRPr="00C41FDC" w:rsidRDefault="00245C38" w:rsidP="00C6350C">
      <w:pPr>
        <w:spacing w:line="480" w:lineRule="auto"/>
        <w:rPr>
          <w:i/>
          <w:iCs/>
          <w:color w:val="000000" w:themeColor="text1"/>
        </w:rPr>
      </w:pPr>
      <w:r w:rsidRPr="00C41FDC">
        <w:rPr>
          <w:rStyle w:val="ecti-1000"/>
          <w:i/>
          <w:iCs/>
          <w:color w:val="000000" w:themeColor="text1"/>
        </w:rPr>
        <w:t xml:space="preserve">Funding: </w:t>
      </w:r>
      <w:r w:rsidR="001E2137" w:rsidRPr="00C41FDC">
        <w:rPr>
          <w:rFonts w:eastAsia="Times New Roman"/>
          <w:color w:val="000000" w:themeColor="text1"/>
        </w:rPr>
        <w:t>This research was funded in whole or in part by the Wellcome Trust [</w:t>
      </w:r>
      <w:r w:rsidR="000E04BA" w:rsidRPr="00C41FDC">
        <w:rPr>
          <w:rFonts w:eastAsia="Times New Roman"/>
          <w:color w:val="000000" w:themeColor="text1"/>
        </w:rPr>
        <w:t>209553/Z/17/Z</w:t>
      </w:r>
      <w:r w:rsidR="001E2137" w:rsidRPr="00C41FDC">
        <w:rPr>
          <w:rFonts w:eastAsia="Times New Roman"/>
          <w:color w:val="000000" w:themeColor="text1"/>
        </w:rPr>
        <w:t>]</w:t>
      </w:r>
      <w:r w:rsidR="00CE4101" w:rsidRPr="00C41FDC">
        <w:rPr>
          <w:rFonts w:eastAsia="Times New Roman"/>
          <w:color w:val="000000" w:themeColor="text1"/>
        </w:rPr>
        <w:t xml:space="preserve"> and</w:t>
      </w:r>
      <w:r w:rsidRPr="00C41FDC">
        <w:rPr>
          <w:rStyle w:val="ecti-1000"/>
          <w:color w:val="000000" w:themeColor="text1"/>
        </w:rPr>
        <w:t xml:space="preserve"> </w:t>
      </w:r>
      <w:r w:rsidRPr="00C41FDC">
        <w:rPr>
          <w:color w:val="000000" w:themeColor="text1"/>
        </w:rPr>
        <w:t>the NIHR UCLH Biomedical Research Centre, UK.</w:t>
      </w:r>
      <w:bookmarkEnd w:id="97"/>
      <w:bookmarkEnd w:id="98"/>
    </w:p>
    <w:bookmarkEnd w:id="99"/>
    <w:bookmarkEnd w:id="100"/>
    <w:p w14:paraId="1721CC36" w14:textId="5C9A234B" w:rsidR="002C7CD1" w:rsidRPr="00C41FDC" w:rsidRDefault="002C7CD1" w:rsidP="007B1066">
      <w:pPr>
        <w:pStyle w:val="noindent"/>
        <w:spacing w:before="0" w:beforeAutospacing="0" w:after="0" w:afterAutospacing="0" w:line="480" w:lineRule="auto"/>
        <w:divId w:val="1429691264"/>
        <w:rPr>
          <w:color w:val="000000" w:themeColor="text1"/>
        </w:rPr>
      </w:pPr>
    </w:p>
    <w:p w14:paraId="05A99600" w14:textId="5D690750" w:rsidR="00272A3F" w:rsidRPr="00C41FDC" w:rsidRDefault="00272A3F" w:rsidP="007B1066">
      <w:pPr>
        <w:pStyle w:val="noindent"/>
        <w:spacing w:before="0" w:beforeAutospacing="0" w:after="0" w:afterAutospacing="0" w:line="480" w:lineRule="auto"/>
        <w:divId w:val="1429691264"/>
        <w:rPr>
          <w:color w:val="000000" w:themeColor="text1"/>
        </w:rPr>
      </w:pPr>
      <w:r w:rsidRPr="00C41FDC">
        <w:rPr>
          <w:b/>
          <w:color w:val="000000" w:themeColor="text1"/>
        </w:rPr>
        <w:t xml:space="preserve">KEYWORDS: </w:t>
      </w:r>
      <w:r w:rsidR="004904CB" w:rsidRPr="00C41FDC">
        <w:rPr>
          <w:bCs/>
          <w:color w:val="000000" w:themeColor="text1"/>
        </w:rPr>
        <w:t xml:space="preserve">Pleuroparenchymal fibroelastosis, PPFE, idiopathic pulmonary fibrosis, IPF, </w:t>
      </w:r>
      <w:r w:rsidR="004904CB" w:rsidRPr="00C41FDC">
        <w:rPr>
          <w:color w:val="000000" w:themeColor="text1"/>
        </w:rPr>
        <w:t>c</w:t>
      </w:r>
      <w:r w:rsidR="00235AF9" w:rsidRPr="00C41FDC">
        <w:rPr>
          <w:color w:val="000000" w:themeColor="text1"/>
        </w:rPr>
        <w:t>omputed tomography</w:t>
      </w:r>
      <w:r w:rsidR="004904CB" w:rsidRPr="00C41FDC">
        <w:rPr>
          <w:color w:val="000000" w:themeColor="text1"/>
        </w:rPr>
        <w:t>, quantitative analysis</w:t>
      </w:r>
    </w:p>
    <w:p w14:paraId="5C15A5E5" w14:textId="77777777" w:rsidR="0035605C" w:rsidRPr="00C41FDC" w:rsidRDefault="0035605C">
      <w:pPr>
        <w:rPr>
          <w:rStyle w:val="titlemark"/>
          <w:rFonts w:eastAsia="Times New Roman"/>
          <w:b/>
          <w:bCs/>
          <w:color w:val="000000" w:themeColor="text1"/>
          <w:sz w:val="28"/>
          <w:szCs w:val="27"/>
        </w:rPr>
      </w:pPr>
      <w:r w:rsidRPr="00C41FDC">
        <w:rPr>
          <w:rStyle w:val="titlemark"/>
          <w:rFonts w:eastAsia="Times New Roman"/>
          <w:color w:val="000000" w:themeColor="text1"/>
          <w:sz w:val="28"/>
        </w:rPr>
        <w:br w:type="page"/>
      </w:r>
    </w:p>
    <w:p w14:paraId="5D4A5A50" w14:textId="17189A0A" w:rsidR="00725BED" w:rsidRPr="00C41FDC" w:rsidRDefault="00725BED" w:rsidP="007B1066">
      <w:pPr>
        <w:pStyle w:val="Heading3"/>
        <w:tabs>
          <w:tab w:val="left" w:pos="2957"/>
        </w:tabs>
        <w:spacing w:before="360" w:beforeAutospacing="0" w:after="120" w:afterAutospacing="0" w:line="480" w:lineRule="auto"/>
        <w:rPr>
          <w:rFonts w:eastAsia="Times New Roman"/>
          <w:color w:val="000000" w:themeColor="text1"/>
          <w:sz w:val="28"/>
        </w:rPr>
      </w:pPr>
      <w:r w:rsidRPr="00C41FDC">
        <w:rPr>
          <w:rFonts w:eastAsia="Times New Roman"/>
          <w:color w:val="000000" w:themeColor="text1"/>
          <w:sz w:val="28"/>
        </w:rPr>
        <w:lastRenderedPageBreak/>
        <w:t>Introduction</w:t>
      </w:r>
      <w:r w:rsidR="00057474" w:rsidRPr="00C41FDC">
        <w:rPr>
          <w:rFonts w:eastAsia="Times New Roman"/>
          <w:color w:val="000000" w:themeColor="text1"/>
          <w:sz w:val="28"/>
        </w:rPr>
        <w:t xml:space="preserve"> </w:t>
      </w:r>
    </w:p>
    <w:p w14:paraId="6F0590D3" w14:textId="1D7EDF62" w:rsidR="00EB7884" w:rsidRPr="00C41FDC" w:rsidRDefault="00E853A4" w:rsidP="004770BB">
      <w:pPr>
        <w:pStyle w:val="noindent"/>
        <w:spacing w:before="0" w:beforeAutospacing="0" w:after="0" w:afterAutospacing="0" w:line="480" w:lineRule="auto"/>
        <w:rPr>
          <w:color w:val="000000" w:themeColor="text1"/>
        </w:rPr>
      </w:pPr>
      <w:bookmarkStart w:id="109" w:name="OLE_LINK127"/>
      <w:bookmarkStart w:id="110" w:name="OLE_LINK128"/>
      <w:bookmarkStart w:id="111" w:name="OLE_LINK80"/>
      <w:bookmarkStart w:id="112" w:name="OLE_LINK81"/>
      <w:r w:rsidRPr="00C41FDC">
        <w:rPr>
          <w:color w:val="000000" w:themeColor="text1"/>
        </w:rPr>
        <w:t xml:space="preserve">Pleuroparenchymal fibroelastosis (PPFE) </w:t>
      </w:r>
      <w:r w:rsidR="00BD5698" w:rsidRPr="00C41FDC">
        <w:rPr>
          <w:color w:val="000000" w:themeColor="text1"/>
        </w:rPr>
        <w:t xml:space="preserve">is a rare idiopathic interstitial pneumonia </w:t>
      </w:r>
      <w:r w:rsidR="005368CF" w:rsidRPr="00C41FDC">
        <w:rPr>
          <w:color w:val="000000" w:themeColor="text1"/>
        </w:rPr>
        <w:t>demonstrating</w:t>
      </w:r>
      <w:r w:rsidR="00BD5698" w:rsidRPr="00C41FDC">
        <w:rPr>
          <w:color w:val="000000" w:themeColor="text1"/>
        </w:rPr>
        <w:t xml:space="preserve"> upper-lobe predominant fibrosis involving the </w:t>
      </w:r>
      <w:r w:rsidR="0035605C" w:rsidRPr="00C41FDC">
        <w:rPr>
          <w:color w:val="000000" w:themeColor="text1"/>
        </w:rPr>
        <w:t xml:space="preserve">visceral </w:t>
      </w:r>
      <w:r w:rsidR="00BD5698" w:rsidRPr="00C41FDC">
        <w:rPr>
          <w:color w:val="000000" w:themeColor="text1"/>
        </w:rPr>
        <w:t>pleura and subpleural lung</w:t>
      </w:r>
      <w:r w:rsidR="00951AD3" w:rsidRPr="00C41FDC">
        <w:rPr>
          <w:color w:val="000000" w:themeColor="text1"/>
        </w:rPr>
        <w:t>.</w:t>
      </w:r>
      <w:r w:rsidR="00BD5698" w:rsidRPr="00C41FDC">
        <w:rPr>
          <w:color w:val="000000" w:themeColor="text1"/>
        </w:rPr>
        <w:fldChar w:fldCharType="begin" w:fldLock="1"/>
      </w:r>
      <w:r w:rsidR="00C564FA" w:rsidRPr="00C41FDC">
        <w:rPr>
          <w:color w:val="000000" w:themeColor="text1"/>
        </w:rPr>
        <w:instrText>ADDIN CSL_CITATION {"citationItems":[{"id":"ITEM-1","itemData":{"DOI":"10.1164/rccm.201308-1483ST","ISSN":"1073449X","PMID":"24032382","abstract":"Background: In 2002 the American Thoracic Society/European Respiratory Society (ATS/ERS) classification of idiopathic interstitial pneumonias (IIPs)definedseven specific entities, andprovided standardized terminology anddiagnosticcriteria. Inaddition, thehistorical \"gold standard\" of histologic diagnosiswas replaced by amultidisciplinary approach. Since 2002 many publications have provided newinformation about IIPs. Purpose: The objective of this statement is to update the 2002 ATS/ ERS classification of IIPs. Methods: An international multidisciplinary panel was formed and developed key questions that were addressed through a review of the literature published between 2000 and 2011. Results: Substantial progress has been made in IIPs since the previous classification. Nonspecific interstitial pneumonia is now better defined. Respiratory bronchiolitis-interstitial lung disease is now commonly diagnosed without surgical biopsy. The clinical course of idiopathic pulmonary fibrosis and nonspecific interstitial pneumonia is recognized to be heterogeneous. Acute exacerbation of IIPs is now well defined. A substantial percentage of patients with IIP are difficult to classify, often due to mixed patterns of lung injury. A classification based on observed disease behavior is proposed for patients who are difficult to classify or for entities with heterogeneity in clinical course. A group of rare entities, including pleuroparenchymal fibroelastosis and rare histologic patterns, is introduced. The rapidly evolving field of molecular markers is reviewed with the intent of promoting additional investigations that may help in determining diagnosis, and potentially prognosis and treatment. Conclusions: This update is a supplement to the previous 2002 IIP classification document. It outlines advances in the past decade and potential areas for future investigation. Copyright © 2013 by the American Thoracic Society.","author":[{"dropping-particle":"","family":"Travis","given":"William D.","non-dropping-particle":"","parse-names":false,"suffix":""},{"dropping-particle":"","family":"Costabel","given":"Ulrich","non-dropping-particle":"","parse-names":false,"suffix":""},{"dropping-particle":"","family":"Hansell","given":"David M.","non-dropping-particle":"","parse-names":false,"suffix":""},{"dropping-particle":"","family":"King","given":"Talmadge E.","non-dropping-particle":"","parse-names":false,"suffix":""},{"dropping-particle":"","family":"Lynch","given":"David A.","non-dropping-particle":"","parse-names":false,"suffix":""},{"dropping-particle":"","family":"Nicholson","given":"Andrew G.","non-dropping-particle":"","parse-names":false,"suffix":""},{"dropping-particle":"","family":"Ryerson","given":"Christopher J.","non-dropping-particle":"","parse-names":false,"suffix":""},{"dropping-particle":"","family":"Ryu","given":"Jay H.","non-dropping-particle":"","parse-names":false,"suffix":""},{"dropping-particle":"","family":"Selman","given":"Moisés","non-dropping-particle":"","parse-names":false,"suffix":""},{"dropping-particle":"","family":"Wells","given":"Athol U.","non-dropping-particle":"","parse-names":false,"suffix":""},{"dropping-particle":"","family":"Behr","given":"Jurgen","non-dropping-particle":"","parse-names":false,"suffix":""},{"dropping-particle":"","family":"Bouros","given":"Demosthenes","non-dropping-particle":"","parse-names":false,"suffix":""},{"dropping-particle":"","family":"Brown","given":"Kevin K.","non-dropping-particle":"","parse-names":false,"suffix":""},{"dropping-particle":"V.","family":"Colby","given":"Thomas","non-dropping-particle":"","parse-names":false,"suffix":""},{"dropping-particle":"","family":"Collard","given":"Harold R.","non-dropping-particle":"","parse-names":false,"suffix":""},{"dropping-particle":"","family":"Cordeiro","given":"Carlos Robalo","non-dropping-particle":"","parse-names":false,"suffix":""},{"dropping-particle":"","family":"Cottin","given":"Vincent","non-dropping-particle":"","parse-names":false,"suffix":""},{"dropping-particle":"","family":"Crestani","given":"Bruno","non-dropping-particle":"","parse-names":false,"suffix":""},{"dropping-particle":"","family":"Drent","given":"Marjolein","non-dropping-particle":"","parse-names":false,"suffix":""},{"dropping-particle":"","family":"Dudden","given":"Rosalind F.","non-dropping-particle":"","parse-names":false,"suffix":""},{"dropping-particle":"","family":"Egan","given":"Jim","non-dropping-particle":"","parse-names":false,"suffix":""},{"dropping-particle":"","family":"Flaherty","given":"Kevin","non-dropping-particle":"","parse-names":false,"suffix":""},{"dropping-particle":"","family":"Hogaboam","given":"Cory","non-dropping-particle":"","parse-names":false,"suffix":""},{"dropping-particle":"","family":"Inoue","given":"Yoshikazu","non-dropping-particle":"","parse-names":false,"suffix":""},{"dropping-particle":"","family":"Johkoh","given":"Takeshi","non-dropping-particle":"","parse-names":false,"suffix":""},{"dropping-particle":"","family":"Kim","given":"Dong Soon","non-dropping-particle":"","parse-names":false,"suffix":""},{"dropping-particle":"","family":"Kitaichi","given":"Masanori","non-dropping-particle":"","parse-names":false,"suffix":""},{"dropping-particle":"","family":"Loyd","given":"James","non-dropping-particle":"","parse-names":false,"suffix":""},{"dropping-particle":"","family":"Martinez","given":"Fernando J.","non-dropping-particle":"","parse-names":false,"suffix":""},{"dropping-particle":"","family":"Myers","given":"Jeffrey","non-dropping-particle":"","parse-names":false,"suffix":""},{"dropping-particle":"","family":"Protzko","given":"Shandra","non-dropping-particle":"","parse-names":false,"suffix":""},{"dropping-particle":"","family":"Raghu","given":"Ganesh","non-dropping-particle":"","parse-names":false,"suffix":""},{"dropping-particle":"","family":"Richeldi","given":"Luca","non-dropping-particle":"","parse-names":false,"suffix":""},{"dropping-particle":"","family":"Sverzellati","given":"Nicola","non-dropping-particle":"","parse-names":false,"suffix":""},{"dropping-particle":"","family":"Swigris","given":"Jeffrey","non-dropping-particle":"","parse-names":false,"suffix":""},{"dropping-particle":"","family":"Valeyre","given":"Dominique","non-dropping-particle":"","parse-names":false,"suffix":""}],"container-title":"American Journal of Respiratory and Critical Care Medicine","id":"ITEM-1","issue":"6","issued":{"date-parts":[["2013"]]},"page":"733–748","title":"An official American Thoracic Society/European Respiratory Society statement: Update of the international multidisciplinary classification of the idiopathic interstitial pneumonias","type":"article-journal","volume":"188"},"uris":["http://www.mendeley.com/documents/?uuid=52ac78aa-206e-4823-a065-39b3f490bee4"]},{"id":"ITEM-2","itemData":{"DOI":"10.1513/AnnalsATS.201902-181CME","ISSN":"23256621","PMID":"31425665","abstract":"Pleuroparenchymal fibroelastosis (PPFE) is an unusual pulmonary disease with unique clinical, radiological, and pathological characteristics. Designated a rare idiopathic interstitial pneumonia in 2013, its name refers to a combination of fibrosis involving the visceral pleura and fibroelastotic changes predominating in the subpleural lung parenchyma. Although a number of disease associations have been described, no single cause of PPFE has been unequivocally identified. A diagnosis of PPFE is most commonly achieved by identifying characteristic abnormalities on computed tomographic scans. The earliest changes are consistently located in the upper lobes close to the lung apices, the same locations where subsequent disease progression is also most conspicuous. When sufficiently severe, the disease leads to progressive volume loss of the upper lobes, which, in combination with decreased body mass, produces platythorax. Once regarded as a slowly progressing entity, it is now acknowledged that some patients with PPFE follow an inexorably progressive course that culminates in irreversible respiratory failure and early death. In the absence of effective medical drug treatment, lung transplant remains the only therapeutic option for this disorder. This review focuses on improving early disease recognition and evaluating its pathophysiological impact and discusses working approaches for its management.","author":[{"dropping-particle":"","family":"Chua","given":"Felix","non-dropping-particle":"","parse-names":false,"suffix":""},{"dropping-particle":"","family":"Desai","given":"Sujal R.","non-dropping-particle":"","parse-names":false,"suffix":""},{"dropping-particle":"","family":"Nicholson","given":"Andrew G.","non-dropping-particle":"","parse-names":false,"suffix":""},{"dropping-particle":"","family":"Devaraj","given":"Anand","non-dropping-particle":"","parse-names":false,"suffix":""},{"dropping-particle":"","family":"Renzoni","given":"Elisabetta","non-dropping-particle":"","parse-names":false,"suffix":""},{"dropping-particle":"","family":"Rice","given":"Alexandra","non-dropping-particle":"","parse-names":false,"suffix":""},{"dropping-particle":"","family":"Wells","given":"Athol U.","non-dropping-particle":"","parse-names":false,"suffix":""}],"container-title":"Annals of the American Thoracic Society","id":"ITEM-2","issue":"11","issued":{"date-parts":[["2019"]]},"page":"1351–1359","title":"Pleuroparenchymal fibroelastosis a review of clinical, radiological, and pathological characteristics","type":"article-journal","volume":"16"},"uris":["http://www.mendeley.com/documents/?uuid=c95822ef-d974-4e1d-8eeb-3cb257cb38a4"]}],"mendeley":{"formattedCitation":"&lt;sup&gt;1,2&lt;/sup&gt;","plainTextFormattedCitation":"1,2","previouslyFormattedCitation":"&lt;sup&gt;1,2&lt;/sup&gt;"},"properties":{"noteIndex":0},"schema":"https://github.com/citation-style-language/schema/raw/master/csl-citation.json"}</w:instrText>
      </w:r>
      <w:r w:rsidR="00BD5698" w:rsidRPr="00C41FDC">
        <w:rPr>
          <w:color w:val="000000" w:themeColor="text1"/>
        </w:rPr>
        <w:fldChar w:fldCharType="separate"/>
      </w:r>
      <w:r w:rsidR="00C564FA" w:rsidRPr="00C41FDC">
        <w:rPr>
          <w:noProof/>
          <w:color w:val="000000" w:themeColor="text1"/>
          <w:vertAlign w:val="superscript"/>
        </w:rPr>
        <w:t>1,2</w:t>
      </w:r>
      <w:r w:rsidR="00BD5698" w:rsidRPr="00C41FDC">
        <w:rPr>
          <w:color w:val="000000" w:themeColor="text1"/>
        </w:rPr>
        <w:fldChar w:fldCharType="end"/>
      </w:r>
      <w:r w:rsidR="00C564FA" w:rsidRPr="00C41FDC">
        <w:rPr>
          <w:color w:val="000000" w:themeColor="text1"/>
        </w:rPr>
        <w:t xml:space="preserve"> </w:t>
      </w:r>
      <w:r w:rsidR="00054D68" w:rsidRPr="00C41FDC">
        <w:rPr>
          <w:color w:val="000000" w:themeColor="text1"/>
        </w:rPr>
        <w:t>W</w:t>
      </w:r>
      <w:r w:rsidR="00971236" w:rsidRPr="00C41FDC">
        <w:rPr>
          <w:color w:val="000000" w:themeColor="text1"/>
        </w:rPr>
        <w:t>hen occurring in isolation</w:t>
      </w:r>
      <w:r w:rsidR="00054D68" w:rsidRPr="00C41FDC">
        <w:rPr>
          <w:color w:val="000000" w:themeColor="text1"/>
        </w:rPr>
        <w:t>, PPFE</w:t>
      </w:r>
      <w:r w:rsidR="00304EA6" w:rsidRPr="00C41FDC">
        <w:rPr>
          <w:color w:val="000000" w:themeColor="text1"/>
        </w:rPr>
        <w:t xml:space="preserve"> is</w:t>
      </w:r>
      <w:r w:rsidR="00971236" w:rsidRPr="00C41FDC">
        <w:rPr>
          <w:color w:val="000000" w:themeColor="text1"/>
        </w:rPr>
        <w:t xml:space="preserve"> associated with increased mortality</w:t>
      </w:r>
      <w:r w:rsidR="00951AD3" w:rsidRPr="00C41FDC">
        <w:rPr>
          <w:color w:val="000000" w:themeColor="text1"/>
        </w:rPr>
        <w:t>.</w:t>
      </w:r>
      <w:r w:rsidR="00C564FA" w:rsidRPr="00C41FDC">
        <w:rPr>
          <w:color w:val="000000" w:themeColor="text1"/>
        </w:rPr>
        <w:fldChar w:fldCharType="begin" w:fldLock="1"/>
      </w:r>
      <w:r w:rsidR="00C564FA" w:rsidRPr="00C41FDC">
        <w:rPr>
          <w:color w:val="000000" w:themeColor="text1"/>
        </w:rPr>
        <w:instrText>ADDIN CSL_CITATION {"citationItems":[{"id":"ITEM-1","itemData":{"DOI":"10.1155/2018/6043053","ISSN":"19167245","PMID":"30186537","abstract":"Objective. Idiopathic pleuroparenchymal fibroelastosis (IPPFE) is a rare disease characterized by predominant upper lobe pulmonary fibrosis of unknown etiology. However, the prognosis of IPPFE has not been discussed. We investigated the clinical characteristics and prognostic factors of IPPFE and idiopathic pulmonary fibrosis (IPF). Methods. We performed a retrospective cohort study on 375 consecutive idiopathic interstitial pneumonia patients between April 2004 and December 2014. Among them, we diagnosed IPPFE and IPF patients using high-resolution computed tomography radiological criteria. Results. Twenty-nine IPPFE patients (9 males, 20 females) and 67 IPF patients (54 males, 13 females) were enrolled. IPPFE patients were significantly more likely to be females and nonsmokers and had lower body mass index, lower values of predicted percentage of forced vital capacity (%FVC), and a higher residual volume-to-total lung capacity ratio than IPF patients. Survival analysis revealed that they had significantly poorer prognosis than IPF patients in GAP (gender, age, and physiology) stages II + III. %FVC and GAP index independently predict mortality in patients with IPPFE. Conclusions. Patients with IPPFE showed poorer prognosis in the advanced stage than patients with IPF. %FVC and GAP index are independent predictors of survival in patients with IPPFE.","author":[{"dropping-particle":"","family":"Shioya","given":"Makoto","non-dropping-particle":"","parse-names":false,"suffix":""},{"dropping-particle":"","family":"Otsuka","given":"Mitsuo","non-dropping-particle":"","parse-names":false,"suffix":""},{"dropping-particle":"","family":"Yamada","given":"Gen","non-dropping-particle":"","parse-names":false,"suffix":""},{"dropping-particle":"","family":"Umeda","given":"Yasuaki","non-dropping-particle":"","parse-names":false,"suffix":""},{"dropping-particle":"","family":"Ikeda","given":"Kimiyuki","non-dropping-particle":"","parse-names":false,"suffix":""},{"dropping-particle":"","family":"Nishikiori","given":"Hirotaka","non-dropping-particle":"","parse-names":false,"suffix":""},{"dropping-particle":"","family":"Kuronuma","given":"Koji","non-dropping-particle":"","parse-names":false,"suffix":""},{"dropping-particle":"","family":"Chiba","given":"Hirofumi","non-dropping-particle":"","parse-names":false,"suffix":""},{"dropping-particle":"","family":"Takahashi","given":"Hiroki","non-dropping-particle":"","parse-names":false,"suffix":""}],"container-title":"Canadian Respiratory Journal","id":"ITEM-1","issued":{"date-parts":[["2018"]]},"title":"Poorer Prognosis of Idiopathic Pleuroparenchymal Fibroelastosis Compared with Idiopathic Pulmonary Fibrosis in Advanced Stage","type":"article-journal"},"uris":["http://www.mendeley.com/documents/?uuid=2b2c9b6d-262a-4da7-a514-6d443cb12844"]},{"id":"ITEM-2","itemData":{"DOI":"10.1186/s12931-018-0860-6","ISSN":"1465993X","PMID":"30165854","abstract":"Background: Radiological pleuroparenchymal fibroelastosis (PPFE) lesion is characterized by pleural thickening with associated signs of subpleural fibrosis on high-resolution computed tomography (HRCT). This study evaluated the clinical significance of radiological PPFE as an isolated finding or associated with other interstitial lung diseases (ILDs) in patients having fibrotic ILDs and registered for cadaveric lung transplantation (LT). Methods: This retrospective study included 118 fibrotic ILD patients registered for LT. Radiological PPFE on HRCT was assessed. The impact of radiological PPFE on clinical features and transplantation-censored survival were evaluated. Results: Radiological PPFE was observed in 30/118 cases (25%): definite PPFE (PPFE concentrated in the upper lobes, with involvement of lower lobes being less marked) in 12 (10%) and consistent PPFE (PPFE not concentrated in the upper lobes, or PPFE with features of coexistent disease present elsewhere) in 18 (15%). Of these, 12 had late-onset non-infectious pulmonary complications after hematopoietic stem-cell transplantation and/or chemotherapy (LONIPCs), 9 idiopathic PPFE, and 9 other fibrotic ILDs (idiopathic pulmonary fibrosis, IPF; other idiopathic interstitial pneumonias, other IIPs; connective tissue disease-associated ILD, CTD-ILD, and hypersensitivity pneumonia, HP). Radiological PPFE was associated with previous history of pneumothorax, lower body mass index, lower percentage of predicted forced vital capacity (%FVC), higher percentage of predicted diffusion capacity of carbon monoxide, less desaturation on six-minute walk test, and hypercapnia. The median survival time of all study cases was 449days. Thirty-seven (28%) received LTs: cadaveric in 31 and living-donor lobar in six. Of 93 patients who did not receive LT, 66 (71%) died. Radiological PPFE was marginally associated with better survival after adjustment for age, sex, %FVC, and six-minute walk distance &lt;250m (hazard ratio 0.51 [0.25-1.05], p=0.07). After adjustment for covariates, idiopathic PPFE and LONIPC with radiological PPFE was associated with better survival than fibrotic ILDs without radiological PPFE (hazard ratio 0.38 [0.16-0.90], p=0.03), and marginally better survival than other fibrotic ILDs with radiological PPFE (hazard ratio, 0.20 [0.04-1.11], p=0.07). Conclusions: idiopathic PPFE and LONIPC with radiological PPFE has better survival on the wait list for LT than fibrotic ILDs without radiological PPFE, a…","author":[{"dropping-particle":"","family":"Tanizawa","given":"Kiminobu","non-dropping-particle":"","parse-names":false,"suffix":""},{"dropping-particle":"","family":"Handa","given":"Tomohiro","non-dropping-particle":"","parse-names":false,"suffix":""},{"dropping-particle":"","family":"Kubo","given":"Takeshi","non-dropping-particle":"","parse-names":false,"suffix":""},{"dropping-particle":"","family":"Chen-Yoshikawa","given":"Toyofumi F.","non-dropping-particle":"","parse-names":false,"suffix":""},{"dropping-particle":"","family":"Aoyama","given":"Akihiro","non-dropping-particle":"","parse-names":false,"suffix":""},{"dropping-particle":"","family":"Motoyama","given":"Hideki","non-dropping-particle":"","parse-names":false,"suffix":""},{"dropping-particle":"","family":"Hijiya","given":"Kyoko","non-dropping-particle":"","parse-names":false,"suffix":""},{"dropping-particle":"","family":"Yoshizawa","given":"Akihiko","non-dropping-particle":"","parse-names":false,"suffix":""},{"dropping-particle":"","family":"Oshima","given":"Yohei","non-dropping-particle":"","parse-names":false,"suffix":""},{"dropping-particle":"","family":"Ikezoe","given":"Kohei","non-dropping-particle":"","parse-names":false,"suffix":""},{"dropping-particle":"","family":"Tokuda","given":"Shinsaku","non-dropping-particle":"","parse-names":false,"suffix":""},{"dropping-particle":"","family":"Nakatsuka","given":"Yoshinari","non-dropping-particle":"","parse-names":false,"suffix":""},{"dropping-particle":"","family":"Murase","given":"Yuko","non-dropping-particle":"","parse-names":false,"suffix":""},{"dropping-particle":"","family":"Nagai","given":"Sonoko","non-dropping-particle":"","parse-names":false,"suffix":""},{"dropping-particle":"","family":"Muro","given":"Shigeo","non-dropping-particle":"","parse-names":false,"suffix":""},{"dropping-particle":"","family":"Oga","given":"Toru","non-dropping-particle":"","parse-names":false,"suffix":""},{"dropping-particle":"","family":"Chin","given":"Kazuo","non-dropping-particle":"","parse-names":false,"suffix":""},{"dropping-particle":"","family":"Hirai","given":"Toyohiro","non-dropping-particle":"","parse-names":false,"suffix":""},{"dropping-particle":"","family":"Date","given":"Hiroshi","non-dropping-particle":"","parse-names":false,"suffix":""}],"container-title":"Respiratory Research","id":"ITEM-2","issue":"1","issued":{"date-parts":[["2018"]]},"page":"162","title":"Clinical significance of radiological pleuroparenchymal fibroelastosis pattern in interstitial lung disease patients registered for lung transplantation: A retrospective cohort study","type":"article-journal","volume":"19"},"uris":["http://www.mendeley.com/documents/?uuid=b494bb65-06db-48f7-ad0f-44542f8f65a0"]}],"mendeley":{"formattedCitation":"&lt;sup&gt;3,4&lt;/sup&gt;","plainTextFormattedCitation":"3,4","previouslyFormattedCitation":"&lt;sup&gt;3,4&lt;/sup&gt;"},"properties":{"noteIndex":0},"schema":"https://github.com/citation-style-language/schema/raw/master/csl-citation.json"}</w:instrText>
      </w:r>
      <w:r w:rsidR="00C564FA" w:rsidRPr="00C41FDC">
        <w:rPr>
          <w:color w:val="000000" w:themeColor="text1"/>
        </w:rPr>
        <w:fldChar w:fldCharType="separate"/>
      </w:r>
      <w:r w:rsidR="00C564FA" w:rsidRPr="00C41FDC">
        <w:rPr>
          <w:noProof/>
          <w:color w:val="000000" w:themeColor="text1"/>
          <w:vertAlign w:val="superscript"/>
        </w:rPr>
        <w:t>3,4</w:t>
      </w:r>
      <w:r w:rsidR="00C564FA" w:rsidRPr="00C41FDC">
        <w:rPr>
          <w:color w:val="000000" w:themeColor="text1"/>
        </w:rPr>
        <w:fldChar w:fldCharType="end"/>
      </w:r>
      <w:r w:rsidR="00971236" w:rsidRPr="00C41FDC">
        <w:rPr>
          <w:color w:val="000000" w:themeColor="text1"/>
        </w:rPr>
        <w:t xml:space="preserve"> PPFE </w:t>
      </w:r>
      <w:r w:rsidR="005B1292" w:rsidRPr="00C41FDC">
        <w:rPr>
          <w:color w:val="000000" w:themeColor="text1"/>
        </w:rPr>
        <w:t xml:space="preserve">has been </w:t>
      </w:r>
      <w:r w:rsidR="00971236" w:rsidRPr="00C41FDC">
        <w:rPr>
          <w:color w:val="000000" w:themeColor="text1"/>
        </w:rPr>
        <w:t xml:space="preserve">increasingly </w:t>
      </w:r>
      <w:r w:rsidR="005B1292" w:rsidRPr="00C41FDC">
        <w:rPr>
          <w:color w:val="000000" w:themeColor="text1"/>
        </w:rPr>
        <w:t xml:space="preserve">reported in association with </w:t>
      </w:r>
      <w:r w:rsidR="00EB7884" w:rsidRPr="00C41FDC">
        <w:rPr>
          <w:color w:val="000000" w:themeColor="text1"/>
        </w:rPr>
        <w:t>IPF in limited series from single centres</w:t>
      </w:r>
      <w:r w:rsidR="00B05865" w:rsidRPr="00C41FDC">
        <w:rPr>
          <w:color w:val="000000" w:themeColor="text1"/>
        </w:rPr>
        <w:t>. G</w:t>
      </w:r>
      <w:r w:rsidR="004770BB" w:rsidRPr="00C41FDC">
        <w:rPr>
          <w:color w:val="000000" w:themeColor="text1"/>
        </w:rPr>
        <w:t xml:space="preserve">reater extents of visually-scored PPFE have </w:t>
      </w:r>
      <w:r w:rsidR="00EB7884" w:rsidRPr="00C41FDC">
        <w:rPr>
          <w:color w:val="000000" w:themeColor="text1"/>
        </w:rPr>
        <w:t>been associated with worsened prognosis</w:t>
      </w:r>
      <w:r w:rsidR="00951AD3" w:rsidRPr="00C41FDC">
        <w:rPr>
          <w:color w:val="000000" w:themeColor="text1"/>
        </w:rPr>
        <w:t>.</w:t>
      </w:r>
      <w:r w:rsidR="000E3C60" w:rsidRPr="00C41FDC">
        <w:rPr>
          <w:color w:val="000000" w:themeColor="text1"/>
        </w:rPr>
        <w:fldChar w:fldCharType="begin" w:fldLock="1"/>
      </w:r>
      <w:r w:rsidR="00C564FA" w:rsidRPr="00C41FDC">
        <w:rPr>
          <w:color w:val="000000" w:themeColor="text1"/>
        </w:rPr>
        <w:instrText>ADDIN CSL_CITATION {"citationItems":[{"id":"ITEM-1","itemData":{"DOI":"10.1111/resp.13796","ISSN":"14401843","PMID":"32147954","abstract":"Background and objective: PPFE is characterized by fibrosis in the pleura and subpleural lung parenchyma in the upper lobes, while other types of ILD, mainly UIP, can be observed in about half of the patients in their lower lobes. The aim of this study was to evaluate the clinical significance of the radiologically defined PPFE in patients with IPF. Methods: Clinical data and chest CT images were retrospectively analysed in 445 patients with IPF (biopsy-proven cases, n = 165). The radiological criteria of PPFE were defined as follows: (i) bilateral subpleural dense fibrosis with or without pleural thickening in the upper lobes, (ii) evidence of disease progression and (iii) no clinical evidence of identifiable aetiologies. Results: The median follow-up period was 43.0 months. The mean age of the patients was 66.4 years and 76.4% were male. PPFE was identified in 28 patients (6.3%). The PPFE group showed lower BMI and lung function (FVC and TLC) at baseline, more frequent pneumothorax and pneumomediastinum, higher decline rates in lung function and poorer prognosis during follow-up than the no-PPFE group. PPFE was an independent risk factor (HR = 2.953, 95% CI: 1.350–6.460, P = 0.007) for pneumothorax or pneumomediastinum, but not for mortality in patients with IPF. Conclusion: Among patients with IPF, the PPFE group, when compared to the no-PPFE group, showed lower BMI and lung function and showed more frequent complications and poorer survival during follow-up.","author":[{"dropping-particle":"","family":"Lee","given":"Song I.","non-dropping-particle":"","parse-names":false,"suffix":""},{"dropping-particle":"","family":"Chae","given":"Eun Jin","non-dropping-particle":"","parse-names":false,"suffix":""},{"dropping-particle":"","family":"Song","given":"Joon Seon","non-dropping-particle":"","parse-names":false,"suffix":""},{"dropping-particle":"","family":"Lee","given":"Jae Ha","non-dropping-particle":"","parse-names":false,"suffix":""},{"dropping-particle":"","family":"Song","given":"Jin Woo","non-dropping-particle":"","parse-names":false,"suffix":""}],"container-title":"Respirology","id":"ITEM-1","issue":"10","issued":{"date-parts":[["2020"]]},"page":"1046–1052","title":"Pleuroparenchymal fibroelastosis in patients with idiopathic pulmonary fibrosis","type":"article-journal","volume":"25"},"uris":["http://www.mendeley.com/documents/?uuid=163b6fd3-be89-4b1b-808d-56729d23605e"]},{"id":"ITEM-2","itemData":{"DOI":"10.1186/s12931-018-0860-6","ISSN":"1465993X","PMID":"30165854","abstract":"Background: Radiological pleuroparenchymal fibroelastosis (PPFE) lesion is characterized by pleural thickening with associated signs of subpleural fibrosis on high-resolution computed tomography (HRCT). This study evaluated the clinical significance of radiological PPFE as an isolated finding or associated with other interstitial lung diseases (ILDs) in patients having fibrotic ILDs and registered for cadaveric lung transplantation (LT). Methods: This retrospective study included 118 fibrotic ILD patients registered for LT. Radiological PPFE on HRCT was assessed. The impact of radiological PPFE on clinical features and transplantation-censored survival were evaluated. Results: Radiological PPFE was observed in 30/118 cases (25%): definite PPFE (PPFE concentrated in the upper lobes, with involvement of lower lobes being less marked) in 12 (10%) and consistent PPFE (PPFE not concentrated in the upper lobes, or PPFE with features of coexistent disease present elsewhere) in 18 (15%). Of these, 12 had late-onset non-infectious pulmonary complications after hematopoietic stem-cell transplantation and/or chemotherapy (LONIPCs), 9 idiopathic PPFE, and 9 other fibrotic ILDs (idiopathic pulmonary fibrosis, IPF; other idiopathic interstitial pneumonias, other IIPs; connective tissue disease-associated ILD, CTD-ILD, and hypersensitivity pneumonia, HP). Radiological PPFE was associated with previous history of pneumothorax, lower body mass index, lower percentage of predicted forced vital capacity (%FVC), higher percentage of predicted diffusion capacity of carbon monoxide, less desaturation on six-minute walk test, and hypercapnia. The median survival time of all study cases was 449days. Thirty-seven (28%) received LTs: cadaveric in 31 and living-donor lobar in six. Of 93 patients who did not receive LT, 66 (71%) died. Radiological PPFE was marginally associated with better survival after adjustment for age, sex, %FVC, and six-minute walk distance &lt;250m (hazard ratio 0.51 [0.25-1.05], p=0.07). After adjustment for covariates, idiopathic PPFE and LONIPC with radiological PPFE was associated with better survival than fibrotic ILDs without radiological PPFE (hazard ratio 0.38 [0.16-0.90], p=0.03), and marginally better survival than other fibrotic ILDs with radiological PPFE (hazard ratio, 0.20 [0.04-1.11], p=0.07). Conclusions: idiopathic PPFE and LONIPC with radiological PPFE has better survival on the wait list for LT than fibrotic ILDs without radiological PPFE, a…","author":[{"dropping-particle":"","family":"Tanizawa","given":"Kiminobu","non-dropping-particle":"","parse-names":false,"suffix":""},{"dropping-particle":"","family":"Handa","given":"Tomohiro","non-dropping-particle":"","parse-names":false,"suffix":""},{"dropping-particle":"","family":"Kubo","given":"Takeshi","non-dropping-particle":"","parse-names":false,"suffix":""},{"dropping-particle":"","family":"Chen-Yoshikawa","given":"Toyofumi F.","non-dropping-particle":"","parse-names":false,"suffix":""},{"dropping-particle":"","family":"Aoyama","given":"Akihiro","non-dropping-particle":"","parse-names":false,"suffix":""},{"dropping-particle":"","family":"Motoyama","given":"Hideki","non-dropping-particle":"","parse-names":false,"suffix":""},{"dropping-particle":"","family":"Hijiya","given":"Kyoko","non-dropping-particle":"","parse-names":false,"suffix":""},{"dropping-particle":"","family":"Yoshizawa","given":"Akihiko","non-dropping-particle":"","parse-names":false,"suffix":""},{"dropping-particle":"","family":"Oshima","given":"Yohei","non-dropping-particle":"","parse-names":false,"suffix":""},{"dropping-particle":"","family":"Ikezoe","given":"Kohei","non-dropping-particle":"","parse-names":false,"suffix":""},{"dropping-particle":"","family":"Tokuda","given":"Shinsaku","non-dropping-particle":"","parse-names":false,"suffix":""},{"dropping-particle":"","family":"Nakatsuka","given":"Yoshinari","non-dropping-particle":"","parse-names":false,"suffix":""},{"dropping-particle":"","family":"Murase","given":"Yuko","non-dropping-particle":"","parse-names":false,"suffix":""},{"dropping-particle":"","family":"Nagai","given":"Sonoko","non-dropping-particle":"","parse-names":false,"suffix":""},{"dropping-particle":"","family":"Muro","given":"Shigeo","non-dropping-particle":"","parse-names":false,"suffix":""},{"dropping-particle":"","family":"Oga","given":"Toru","non-dropping-particle":"","parse-names":false,"suffix":""},{"dropping-particle":"","family":"Chin","given":"Kazuo","non-dropping-particle":"","parse-names":false,"suffix":""},{"dropping-particle":"","family":"Hirai","given":"Toyohiro","non-dropping-particle":"","parse-names":false,"suffix":""},{"dropping-particle":"","family":"Date","given":"Hiroshi","non-dropping-particle":"","parse-names":false,"suffix":""}],"container-title":"Respiratory Research","id":"ITEM-2","issue":"1","issued":{"date-parts":[["2018"]]},"page":"162","title":"Clinical significance of radiological pleuroparenchymal fibroelastosis pattern in interstitial lung disease patients registered for lung transplantation: A retrospective cohort study","type":"article-journal","volume":"19"},"uris":["http://www.mendeley.com/documents/?uuid=b494bb65-06db-48f7-ad0f-44542f8f65a0"]}],"mendeley":{"formattedCitation":"&lt;sup&gt;4,5&lt;/sup&gt;","plainTextFormattedCitation":"4,5","previouslyFormattedCitation":"&lt;sup&gt;4,5&lt;/sup&gt;"},"properties":{"noteIndex":0},"schema":"https://github.com/citation-style-language/schema/raw/master/csl-citation.json"}</w:instrText>
      </w:r>
      <w:r w:rsidR="000E3C60" w:rsidRPr="00C41FDC">
        <w:rPr>
          <w:color w:val="000000" w:themeColor="text1"/>
        </w:rPr>
        <w:fldChar w:fldCharType="separate"/>
      </w:r>
      <w:r w:rsidR="00C564FA" w:rsidRPr="00C41FDC">
        <w:rPr>
          <w:noProof/>
          <w:color w:val="000000" w:themeColor="text1"/>
          <w:vertAlign w:val="superscript"/>
        </w:rPr>
        <w:t>4,5</w:t>
      </w:r>
      <w:r w:rsidR="000E3C60" w:rsidRPr="00C41FDC">
        <w:rPr>
          <w:color w:val="000000" w:themeColor="text1"/>
        </w:rPr>
        <w:fldChar w:fldCharType="end"/>
      </w:r>
      <w:r w:rsidR="004770BB" w:rsidRPr="00C41FDC">
        <w:rPr>
          <w:color w:val="000000" w:themeColor="text1"/>
        </w:rPr>
        <w:t xml:space="preserve"> </w:t>
      </w:r>
      <w:r w:rsidR="000E6EE9" w:rsidRPr="00C41FDC">
        <w:rPr>
          <w:color w:val="000000" w:themeColor="text1"/>
        </w:rPr>
        <w:t xml:space="preserve">An increase in visually-scored PPFE was associated with </w:t>
      </w:r>
      <w:r w:rsidR="00B05865" w:rsidRPr="00C41FDC">
        <w:rPr>
          <w:color w:val="000000" w:themeColor="text1"/>
        </w:rPr>
        <w:t xml:space="preserve">greater </w:t>
      </w:r>
      <w:r w:rsidR="000E6EE9" w:rsidRPr="00C41FDC">
        <w:rPr>
          <w:color w:val="000000" w:themeColor="text1"/>
        </w:rPr>
        <w:t>rapid forced vital capacity (FVC) decline i</w:t>
      </w:r>
      <w:r w:rsidR="004770BB" w:rsidRPr="00C41FDC">
        <w:rPr>
          <w:color w:val="000000" w:themeColor="text1"/>
        </w:rPr>
        <w:t>n a single report in a large</w:t>
      </w:r>
      <w:r w:rsidR="00B05865" w:rsidRPr="00C41FDC">
        <w:rPr>
          <w:color w:val="000000" w:themeColor="text1"/>
        </w:rPr>
        <w:t xml:space="preserve"> IPF</w:t>
      </w:r>
      <w:r w:rsidR="004770BB" w:rsidRPr="00C41FDC">
        <w:rPr>
          <w:color w:val="000000" w:themeColor="text1"/>
        </w:rPr>
        <w:t xml:space="preserve"> series</w:t>
      </w:r>
      <w:r w:rsidR="00951AD3" w:rsidRPr="00C41FDC">
        <w:rPr>
          <w:color w:val="000000" w:themeColor="text1"/>
        </w:rPr>
        <w:t>.</w:t>
      </w:r>
      <w:r w:rsidR="000E3C60" w:rsidRPr="00C41FDC">
        <w:rPr>
          <w:color w:val="000000" w:themeColor="text1"/>
        </w:rPr>
        <w:fldChar w:fldCharType="begin" w:fldLock="1"/>
      </w:r>
      <w:r w:rsidR="00C564FA" w:rsidRPr="00C41FDC">
        <w:rPr>
          <w:color w:val="000000" w:themeColor="text1"/>
        </w:rPr>
        <w:instrText>ADDIN CSL_CITATION {"citationItems":[{"id":"ITEM-1","itemData":{"DOI":"10.1164/ajrccm-conference.2016.193.1_MeetingAbstracts.A1142","author":[{"dropping-particle":"","family":"Lauretis","given":"Angelo","non-dropping-particle":"De","parse-names":false,"suffix":""},{"dropping-particle":"","family":"Basra","given":"Hersehnpal","non-dropping-particle":"","parse-names":false,"suffix":""},{"dropping-particle":"","family":"Hakim","given":"Wasim","non-dropping-particle":"","parse-names":false,"suffix":""},{"dropping-particle":"","family":"Jacob","given":"Joe","non-dropping-particle":"","parse-names":false,"suffix":""},{"dropping-particle":"","family":"Visca","given":"Dina","non-dropping-particle":"","parse-names":false,"suffix":""},{"dropping-particle":"","family":"Kokosi","given":"Maria","non-dropping-particle":"","parse-names":false,"suffix":""},{"dropping-particle":"","family":"Bonifazi","given":"Martina","non-dropping-particle":"","parse-names":false,"suffix":""},{"dropping-particle":"","family":"Renzoni","given":"Elisabetta","non-dropping-particle":"","parse-names":false,"suffix":""},{"dropping-particle":"","family":"Hansell","given":"David M","non-dropping-particle":"","parse-names":false,"suffix":""},{"dropping-particle":"","family":"Wells","given":"Athol U","non-dropping-particle":"","parse-names":false,"suffix":""}],"container-title":"A24. AUTOIMMUNE INTERSTITIAL LUNG DISEASE","id":"ITEM-1","issued":{"date-parts":[["0"]]},"page":"A1142-A1142","title":"Pleuroparenchymal Fibroelastosis (PPFE) Predicts Survival in Idiopathic Pulmonary Fibrosis (IPF)","type":"chapter"},"uris":["http://www.mendeley.com/documents/?uuid=c11d45af-73f6-468c-94f2-2db9ecfba572"]}],"mendeley":{"formattedCitation":"&lt;sup&gt;6&lt;/sup&gt;","plainTextFormattedCitation":"6","previouslyFormattedCitation":"&lt;sup&gt;6&lt;/sup&gt;"},"properties":{"noteIndex":0},"schema":"https://github.com/citation-style-language/schema/raw/master/csl-citation.json"}</w:instrText>
      </w:r>
      <w:r w:rsidR="000E3C60" w:rsidRPr="00C41FDC">
        <w:rPr>
          <w:color w:val="000000" w:themeColor="text1"/>
        </w:rPr>
        <w:fldChar w:fldCharType="separate"/>
      </w:r>
      <w:r w:rsidR="00C564FA" w:rsidRPr="00C41FDC">
        <w:rPr>
          <w:noProof/>
          <w:color w:val="000000" w:themeColor="text1"/>
          <w:vertAlign w:val="superscript"/>
        </w:rPr>
        <w:t>6</w:t>
      </w:r>
      <w:r w:rsidR="000E3C60" w:rsidRPr="00C41FDC">
        <w:rPr>
          <w:color w:val="000000" w:themeColor="text1"/>
        </w:rPr>
        <w:fldChar w:fldCharType="end"/>
      </w:r>
      <w:r w:rsidR="004770BB" w:rsidRPr="00C41FDC">
        <w:rPr>
          <w:color w:val="000000" w:themeColor="text1"/>
        </w:rPr>
        <w:t xml:space="preserve"> PPFE </w:t>
      </w:r>
      <w:r w:rsidR="005B1292" w:rsidRPr="00C41FDC">
        <w:rPr>
          <w:color w:val="000000" w:themeColor="text1"/>
        </w:rPr>
        <w:t xml:space="preserve">has </w:t>
      </w:r>
      <w:r w:rsidR="004770BB" w:rsidRPr="00C41FDC">
        <w:rPr>
          <w:color w:val="000000" w:themeColor="text1"/>
        </w:rPr>
        <w:t xml:space="preserve">also </w:t>
      </w:r>
      <w:r w:rsidR="005B1292" w:rsidRPr="00C41FDC">
        <w:rPr>
          <w:color w:val="000000" w:themeColor="text1"/>
        </w:rPr>
        <w:t xml:space="preserve">been </w:t>
      </w:r>
      <w:r w:rsidR="00B2529F" w:rsidRPr="00C41FDC">
        <w:rPr>
          <w:color w:val="000000" w:themeColor="text1"/>
        </w:rPr>
        <w:t>linked with worse</w:t>
      </w:r>
      <w:r w:rsidR="0035605C" w:rsidRPr="00C41FDC">
        <w:rPr>
          <w:color w:val="000000" w:themeColor="text1"/>
        </w:rPr>
        <w:t>ned</w:t>
      </w:r>
      <w:r w:rsidR="00B2529F" w:rsidRPr="00C41FDC">
        <w:rPr>
          <w:color w:val="000000" w:themeColor="text1"/>
        </w:rPr>
        <w:t xml:space="preserve"> survival </w:t>
      </w:r>
      <w:r w:rsidR="00194148" w:rsidRPr="00C41FDC">
        <w:rPr>
          <w:color w:val="000000" w:themeColor="text1"/>
        </w:rPr>
        <w:t>in</w:t>
      </w:r>
      <w:r w:rsidR="00160EF9" w:rsidRPr="00C41FDC">
        <w:rPr>
          <w:color w:val="000000" w:themeColor="text1"/>
        </w:rPr>
        <w:t xml:space="preserve"> patients with</w:t>
      </w:r>
      <w:r w:rsidR="00194148" w:rsidRPr="00C41FDC">
        <w:rPr>
          <w:color w:val="000000" w:themeColor="text1"/>
        </w:rPr>
        <w:t xml:space="preserve"> </w:t>
      </w:r>
      <w:r w:rsidR="004770BB" w:rsidRPr="00C41FDC">
        <w:rPr>
          <w:color w:val="000000" w:themeColor="text1"/>
        </w:rPr>
        <w:t xml:space="preserve">co-existing fibrosing lung diseases including </w:t>
      </w:r>
      <w:r w:rsidR="00194148" w:rsidRPr="00C41FDC">
        <w:rPr>
          <w:color w:val="000000" w:themeColor="text1"/>
        </w:rPr>
        <w:t>hypersensitivity pneumonitis</w:t>
      </w:r>
      <w:r w:rsidR="001153F7" w:rsidRPr="00C41FDC">
        <w:rPr>
          <w:color w:val="000000" w:themeColor="text1"/>
        </w:rPr>
        <w:t xml:space="preserve"> (HP)</w:t>
      </w:r>
      <w:r w:rsidR="00194148" w:rsidRPr="00C41FDC">
        <w:rPr>
          <w:color w:val="000000" w:themeColor="text1"/>
        </w:rPr>
        <w:t xml:space="preserve"> </w:t>
      </w:r>
      <w:r w:rsidR="00160EF9" w:rsidRPr="00C41FDC">
        <w:rPr>
          <w:color w:val="000000" w:themeColor="text1"/>
        </w:rPr>
        <w:t xml:space="preserve">and </w:t>
      </w:r>
      <w:r w:rsidR="00194148" w:rsidRPr="00C41FDC">
        <w:rPr>
          <w:color w:val="000000" w:themeColor="text1"/>
        </w:rPr>
        <w:t>systemic sclerosis</w:t>
      </w:r>
      <w:r w:rsidR="00EF4F76" w:rsidRPr="00C41FDC">
        <w:rPr>
          <w:color w:val="000000" w:themeColor="text1"/>
        </w:rPr>
        <w:t>, and chronic interstitial pneumonia patients</w:t>
      </w:r>
      <w:r w:rsidR="00951AD3" w:rsidRPr="00C41FDC">
        <w:rPr>
          <w:color w:val="000000" w:themeColor="text1"/>
        </w:rPr>
        <w:t>.</w:t>
      </w:r>
      <w:r w:rsidR="00B2529F" w:rsidRPr="00C41FDC">
        <w:rPr>
          <w:color w:val="000000" w:themeColor="text1"/>
        </w:rPr>
        <w:fldChar w:fldCharType="begin" w:fldLock="1"/>
      </w:r>
      <w:r w:rsidR="00C564FA" w:rsidRPr="00C41FDC">
        <w:rPr>
          <w:color w:val="000000" w:themeColor="text1"/>
        </w:rPr>
        <w:instrText>ADDIN CSL_CITATION {"citationItems":[{"id":"ITEM-1","itemData":{"DOI":"10.1016/j.rmed.2018.03.031","ISSN":"15323064","PMID":"29724400","abstract":"BACKGROUND: Pleuroparenchymal fibroelastosis (PPFE) has been described in hypersensitivity pneumonitis (HP) yet its functional implications are unclear. Combined pulmonary fibrosis and emphysema (CPFE) has occasionally been described in never-smokers with HP, but epidemiological data regarding its prevalence is sparse. CTs in a large HP cohort were therefore examined to identify the prevalence and effects of PPFE and emphysema. Methods: 233 HP patients had CT extents of interstitial lung disease (ILD) and emphysema quantified to the nearest 5%. Lobar percentage pleural involvement of PPFE was quantified on a 4-point categorical scale: 0 = absent, 1 = affecting &lt;10%, 2 = affecting 10–33%, 3 = affecting &gt;33%. Marked PPFE reflected a total lung score of ≥3/18. Results were evaluated against FVC, DLco and mortality. RESULTS: Marked PPFE prevalence was 23% whilst 23% of never-smokers had emphysema. Following adjustment for patient age, gender, smoking status, and ILD and emphysema extents, marked PPFE independently linked to reduced baseline FVC (p = 0.0002) and DLco (p = 0.002) and when examined alongside the same covariates, independently linked to worsened survival (p = 0.01). CPFE in HP demonstrated a characteristic functional profile of artificial lung volume preservation and disproportionate DLco reduction. CPFE did not demonstrate a worsened outcome when compared to HP patients without emphysema beyond that explained by CT extents of ILD and emphysema. CONCLUSIONS: PPFE is not uncommon in HP, and is independently associated with impaired lung function and increased mortality. Emphysema was identified in 23% of HP never-smokers. CPFE appears not to link to a malignant microvascular phenotype as outcome is explained by ILD and emphysema extents.","author":[{"dropping-particle":"","family":"Jacob","given":"Joseph","non-dropping-particle":"","parse-names":false,"suffix":""},{"dropping-particle":"","family":"Odink","given":"Arlette","non-dropping-particle":"","parse-names":false,"suffix":""},{"dropping-particle":"","family":"Brun","given":"Anne Laure","non-dropping-particle":"","parse-names":false,"suffix":""},{"dropping-particle":"","family":"Macaluso","given":"Claudio","non-dropping-particle":"","parse-names":false,"suffix":""},{"dropping-particle":"","family":"Lauretis","given":"Angelo","non-dropping-particle":"de","parse-names":false,"suffix":""},{"dropping-particle":"","family":"Kokosi","given":"Maria","non-dropping-particle":"","parse-names":false,"suffix":""},{"dropping-particle":"","family":"Devaraj","given":"Anand","non-dropping-particle":"","parse-names":false,"suffix":""},{"dropping-particle":"","family":"Desai","given":"Sujal","non-dropping-particle":"","parse-names":false,"suffix":""},{"dropping-particle":"","family":"Renzoni","given":"Elisabetta","non-dropping-particle":"","parse-names":false,"suffix":""},{"dropping-particle":"","family":"Wells","given":"Athol U.","non-dropping-particle":"","parse-names":false,"suffix":""}],"container-title":"Respiratory Medicine","id":"ITEM-1","issue":"5","issued":{"date-parts":[["2018"]]},"page":"95–101","title":"Functional associations of pleuroparenchymal fibroelastosis and emphysema with hypersensitivity pneumonitis","type":"article-journal","volume":"138"},"uris":["http://www.mendeley.com/documents/?uuid=1e601dc0-48de-4ac9-a90e-4b08a7006ce9"]},{"id":"ITEM-2","itemData":{"DOI":"10.1183/13993003.02135-2019","ISSN":"13993003","PMID":"32299855","abstract":"Interstitial lung disease (ILD) in systemic sclerosis (SSc) is a major cause of morbidity and mortality, mostly presenting as non-specific interstitial pneumonia. Little is known about the prevalence of pleuroparenchymal fibroelastosis (PPFE), a specific entity affecting the visceral pleura and subpleural parenchyma. We set out to estimate PPFE prevalence in two large cohorts of SSc patients and to assess its impact on survival and functional decline. A total of 359 SSc patients, derived from two referral centres in two different countries (UK and Italy), were included. The first available high-resolution computed tomography scan was independently evaluated by two radiologists blind to clinical information, to quantify ILD extent, freestanding bronchial abnormalities, and lobar percentage involvement of PPFE on a four-point categorical scale. Discordant scores were adjudicated by a third scorer. PPFE extent was further classified as limited (≤2/18) or extensive (&gt;2/18). Results were evaluated against functional decline and mortality. The overall prevalence of PPFE in the combined SSc population was 18% (11% with extensive PPFE), with no substantial difference between the two cohorts. PPFE was significantly linked to free-standing bronchial abnormalities (61% versus 25% in PPFE versus no PPFE; p&lt;0.0001) and to worse survival, independently of ILD severity or short-term lung function changes (HR 1.89, 95% CI 1.10.3.25; p=0.005). In the current study, we provide an exhaustive description of PPFE prevalence and clinical impact in the largest cohort of SSc subjects published so far. PPFE presence should be carefully considered, due to its significant prognostic implications.","author":[{"dropping-particle":"","family":"Bonifazi","given":"Martina","non-dropping-particle":"","parse-names":false,"suffix":""},{"dropping-particle":"","family":"Sverzellati","given":"Nicola","non-dropping-particle":"","parse-names":false,"suffix":""},{"dropping-particle":"","family":"Negri","given":"Eva","non-dropping-particle":"","parse-names":false,"suffix":""},{"dropping-particle":"","family":"Jacob","given":"Joseph","non-dropping-particle":"","parse-names":false,"suffix":""},{"dropping-particle":"","family":"Egashira","given":"Ryoko","non-dropping-particle":"","parse-names":false,"suffix":""},{"dropping-particle":"","family":"Moser","given":"Joanna","non-dropping-particle":"","parse-names":false,"suffix":""},{"dropping-particle":"","family":"Piciucchi","given":"Sara","non-dropping-particle":"","parse-names":false,"suffix":""},{"dropping-particle":"","family":"Mei","given":"Federico","non-dropping-particle":"","parse-names":false,"suffix":""},{"dropping-particle":"","family":"Lauretis","given":"Angelo","non-dropping-particle":"De","parse-names":false,"suffix":""},{"dropping-particle":"","family":"Visca","given":"Dina","non-dropping-particle":"","parse-names":false,"suffix":""},{"dropping-particle":"","family":"Goh","given":"Nicole","non-dropping-particle":"","parse-names":false,"suffix":""},{"dropping-particle":"","family":"Bonini","given":"Matteo","non-dropping-particle":"","parse-names":false,"suffix":""},{"dropping-particle":"","family":"Cirilli","given":"Laura","non-dropping-particle":"","parse-names":false,"suffix":""},{"dropping-particle":"","family":"Vecchia","given":"Carlo","non-dropping-particle":"La","parse-names":false,"suffix":""},{"dropping-particle":"","family":"Chua","given":"Felix","non-dropping-particle":"","parse-names":false,"suffix":""},{"dropping-particle":"","family":"Kouranos","given":"Vasileios","non-dropping-particle":"","parse-names":false,"suffix":""},{"dropping-particle":"","family":"Margaritopoulos","given":"George","non-dropping-particle":"","parse-names":false,"suffix":""},{"dropping-particle":"","family":"Kokosi","given":"Maria","non-dropping-particle":"","parse-names":false,"suffix":""},{"dropping-particle":"","family":"Maher","given":"Toby M.","non-dropping-particle":"","parse-names":false,"suffix":""},{"dropping-particle":"","family":"Gasparini","given":"Stefano","non-dropping-particle":"","parse-names":false,"suffix":""},{"dropping-particle":"","family":"Gabrielli","given":"Armando","non-dropping-particle":"","parse-names":false,"suffix":""},{"dropping-particle":"","family":"Wells","given":"Athol U.","non-dropping-particle":"","parse-names":false,"suffix":""},{"dropping-particle":"","family":"Renzoni","given":"Elisabetta A.","non-dropping-particle":"","parse-names":false,"suffix":""}],"container-title":"European Respiratory Journal","id":"ITEM-2","issued":{"date-parts":[["2020"]]},"title":"Pleuroparenchymal fibroelastosis in systemic sclerosis: Prevalence and prognostic impact","type":"article-journal"},"uris":["http://www.mendeley.com/documents/?uuid=87772415-dda4-4067-abc4-fe9b2cbe4592"]},{"id":"ITEM-3","itemData":{"DOI":"10.1016/j.ejro.2020.100298","ISSN":"23520477","abstract":"Purpose: The present study aimed to evaluate the significance of Pleuroparenchymal fibroelastosis (PPFE)-like lesions in predicting prognosis in patients with chronic interstitial pneumonia (IP). Method: The present study enrolled 207 patients with IP in whom surgical lung biopsy was performed. Among the patients enrolled in the present study, 77 had idiopathic pulmonary fibrosis (IPF), 15 had nonspecific interstitial pneumonia (NSIP), 13 had chronic hypersensitivity pneumonitis (CHP), 41 had connective tissue disease (CTD), three had PPFE, and 58 had unclassifiable diagnosis. The incidence, characteristics, and thickness of PPFE-like lesions were evaluated in each patient with IP. Additionally, the influence of PPFE-like lesions on the prognosis was also determined. Results: Of 207 patients, 160 (77.3 %) showed PPFE-like lesions. The frequency of PPFE-like lesions was similar in patients with IPF, NSIP, CHP, CTD, and unclassifiable diagnosis (79.5 %, 79.5 %, 73.2 %, 65.9 %, and 81 %, respectively); however, PPFE-like lesions were present in all patients with PPFE (p = 0.42). Consequently, there was no significant difference in the characteristics of PPFE-like lesions among patients with all forms of IP, except PPFE. PPFE-like lesions were not a significant predictor of prognosis (hazard ratio [HR], 1.16; 95 % confidence interval [CI], 0.64–2.10, p = 0.62); however, patients with PPFE-like lesions under the aortic arch had significantly poorer prognoses (HR, 2.70; 95 % CI, 1.66–4.39, p &lt; 0.001). For craniocaudal extent comparison, patients with IPF with PPFE-like lesions below the level of the carina had significantly poorer prognoses than those without PPFE-like lesions (p = 0.001, overall survival 53.1 and 80.6, respectively). Conclusion: PPFE-like lesions are common in patients with IP, and their characteristics were not significantly different among all forms of IP, except idiopathic PPFE. The broad extent of PPFE-like lesions is an important predictor of prognosis in patients with IPF.","author":[{"dropping-particle":"","family":"Sumikawa","given":"Hiromitsu","non-dropping-particle":"","parse-names":false,"suffix":""},{"dropping-particle":"","family":"Johkoh","given":"Takeshi","non-dropping-particle":"","parse-names":false,"suffix":""},{"dropping-particle":"","family":"Egashira","given":"Ryoko","non-dropping-particle":"","parse-names":false,"suffix":""},{"dropping-particle":"","family":"Sugiura","given":"Hiroaki","non-dropping-particle":"","parse-names":false,"suffix":""},{"dropping-particle":"","family":"Yamano","given":"Yasuhiko","non-dropping-particle":"","parse-names":false,"suffix":""},{"dropping-particle":"","family":"Kataoka","given":"Kensuke","non-dropping-particle":"","parse-names":false,"suffix":""},{"dropping-particle":"","family":"Kondoh","given":"Yasuhiro","non-dropping-particle":"","parse-names":false,"suffix":""},{"dropping-particle":"","family":"Arakawa","given":"Hiroaki","non-dropping-particle":"","parse-names":false,"suffix":""},{"dropping-particle":"","family":"Nakamura","given":"Masahisa","non-dropping-particle":"","parse-names":false,"suffix":""},{"dropping-particle":"","family":"Kuriu","given":"Akihiro","non-dropping-particle":"","parse-names":false,"suffix":""},{"dropping-particle":"","family":"Nakanishi","given":"Katsuyuki","non-dropping-particle":"","parse-names":false,"suffix":""},{"dropping-particle":"","family":"Tomiyama","given":"Noriyuki","non-dropping-particle":"","parse-names":false,"suffix":""}],"container-title":"European Journal of Radiology Open","id":"ITEM-3","issued":{"date-parts":[["2020"]]},"title":"Pleuroparenchymal fibroelastosis-like lesions in patients with interstitial pneumonia diagnosed by multidisciplinary discussion with surgical lung biopsy","type":"article-journal","volume":"7"},"uris":["http://www.mendeley.com/documents/?uuid=6b1807c4-d512-4667-8903-63264f76015f"]}],"mendeley":{"formattedCitation":"&lt;sup&gt;7–9&lt;/sup&gt;","plainTextFormattedCitation":"7–9","previouslyFormattedCitation":"&lt;sup&gt;7–9&lt;/sup&gt;"},"properties":{"noteIndex":0},"schema":"https://github.com/citation-style-language/schema/raw/master/csl-citation.json"}</w:instrText>
      </w:r>
      <w:r w:rsidR="00B2529F" w:rsidRPr="00C41FDC">
        <w:rPr>
          <w:color w:val="000000" w:themeColor="text1"/>
        </w:rPr>
        <w:fldChar w:fldCharType="separate"/>
      </w:r>
      <w:r w:rsidR="00C564FA" w:rsidRPr="00C41FDC">
        <w:rPr>
          <w:noProof/>
          <w:color w:val="000000" w:themeColor="text1"/>
          <w:vertAlign w:val="superscript"/>
        </w:rPr>
        <w:t>7–9</w:t>
      </w:r>
      <w:r w:rsidR="00B2529F" w:rsidRPr="00C41FDC">
        <w:rPr>
          <w:color w:val="000000" w:themeColor="text1"/>
        </w:rPr>
        <w:fldChar w:fldCharType="end"/>
      </w:r>
    </w:p>
    <w:p w14:paraId="1B7FFBD9" w14:textId="1A888E87" w:rsidR="00EB7884" w:rsidRPr="00C41FDC" w:rsidRDefault="00EB7884" w:rsidP="00EB7884">
      <w:pPr>
        <w:pStyle w:val="noindent"/>
        <w:spacing w:before="0" w:beforeAutospacing="0" w:after="0" w:afterAutospacing="0" w:line="480" w:lineRule="auto"/>
        <w:rPr>
          <w:color w:val="000000" w:themeColor="text1"/>
        </w:rPr>
      </w:pPr>
    </w:p>
    <w:p w14:paraId="041EBAB5" w14:textId="2DDF2411" w:rsidR="00B05865" w:rsidRPr="00C41FDC" w:rsidRDefault="00F744F1" w:rsidP="00EB7884">
      <w:pPr>
        <w:pStyle w:val="noindent"/>
        <w:spacing w:before="0" w:beforeAutospacing="0" w:after="0" w:afterAutospacing="0" w:line="480" w:lineRule="auto"/>
        <w:rPr>
          <w:color w:val="000000" w:themeColor="text1"/>
        </w:rPr>
      </w:pPr>
      <w:r w:rsidRPr="00C41FDC">
        <w:rPr>
          <w:color w:val="000000" w:themeColor="text1"/>
        </w:rPr>
        <w:t xml:space="preserve">Though </w:t>
      </w:r>
      <w:r w:rsidR="004770BB" w:rsidRPr="00C41FDC">
        <w:rPr>
          <w:color w:val="000000" w:themeColor="text1"/>
        </w:rPr>
        <w:t xml:space="preserve">PPFE </w:t>
      </w:r>
      <w:r w:rsidR="00863C2D" w:rsidRPr="00C41FDC">
        <w:rPr>
          <w:color w:val="000000" w:themeColor="text1"/>
        </w:rPr>
        <w:t xml:space="preserve">occurring in </w:t>
      </w:r>
      <w:r w:rsidR="004770BB" w:rsidRPr="00C41FDC">
        <w:rPr>
          <w:color w:val="000000" w:themeColor="text1"/>
        </w:rPr>
        <w:t>IPF represent</w:t>
      </w:r>
      <w:r w:rsidR="005F5DE8" w:rsidRPr="00C41FDC">
        <w:rPr>
          <w:color w:val="000000" w:themeColor="text1"/>
        </w:rPr>
        <w:t>s</w:t>
      </w:r>
      <w:r w:rsidR="004770BB" w:rsidRPr="00C41FDC">
        <w:rPr>
          <w:color w:val="000000" w:themeColor="text1"/>
        </w:rPr>
        <w:t xml:space="preserve"> a distinct imaging phenotype of IPF</w:t>
      </w:r>
      <w:r w:rsidR="00DD5711" w:rsidRPr="00C41FDC">
        <w:rPr>
          <w:color w:val="000000" w:themeColor="text1"/>
        </w:rPr>
        <w:t>,</w:t>
      </w:r>
      <w:r w:rsidR="00C564FA" w:rsidRPr="00C41FDC">
        <w:rPr>
          <w:color w:val="000000" w:themeColor="text1"/>
        </w:rPr>
        <w:fldChar w:fldCharType="begin" w:fldLock="1"/>
      </w:r>
      <w:r w:rsidR="001E3203" w:rsidRPr="00C41FDC">
        <w:rPr>
          <w:color w:val="000000" w:themeColor="text1"/>
        </w:rPr>
        <w:instrText>ADDIN CSL_CITATION {"citationItems":[{"id":"ITEM-1","itemData":{"DOI":"10.1016/j.ejro.2020.100298","ISSN":"23520477","abstract":"Purpose: The present study aimed to evaluate the significance of Pleuroparenchymal fibroelastosis (PPFE)-like lesions in predicting prognosis in patients with chronic interstitial pneumonia (IP). Method: The present study enrolled 207 patients with IP in whom surgical lung biopsy was performed. Among the patients enrolled in the present study, 77 had idiopathic pulmonary fibrosis (IPF), 15 had nonspecific interstitial pneumonia (NSIP), 13 had chronic hypersensitivity pneumonitis (CHP), 41 had connective tissue disease (CTD), three had PPFE, and 58 had unclassifiable diagnosis. The incidence, characteristics, and thickness of PPFE-like lesions were evaluated in each patient with IP. Additionally, the influence of PPFE-like lesions on the prognosis was also determined. Results: Of 207 patients, 160 (77.3 %) showed PPFE-like lesions. The frequency of PPFE-like lesions was similar in patients with IPF, NSIP, CHP, CTD, and unclassifiable diagnosis (79.5 %, 79.5 %, 73.2 %, 65.9 %, and 81 %, respectively); however, PPFE-like lesions were present in all patients with PPFE (p = 0.42). Consequently, there was no significant difference in the characteristics of PPFE-like lesions among patients with all forms of IP, except PPFE. PPFE-like lesions were not a significant predictor of prognosis (hazard ratio [HR], 1.16; 95 % confidence interval [CI], 0.64–2.10, p = 0.62); however, patients with PPFE-like lesions under the aortic arch had significantly poorer prognoses (HR, 2.70; 95 % CI, 1.66–4.39, p &lt; 0.001). For craniocaudal extent comparison, patients with IPF with PPFE-like lesions below the level of the carina had significantly poorer prognoses than those without PPFE-like lesions (p = 0.001, overall survival 53.1 and 80.6, respectively). Conclusion: PPFE-like lesions are common in patients with IP, and their characteristics were not significantly different among all forms of IP, except idiopathic PPFE. The broad extent of PPFE-like lesions is an important predictor of prognosis in patients with IPF.","author":[{"dropping-particle":"","family":"Sumikawa","given":"Hiromitsu","non-dropping-particle":"","parse-names":false,"suffix":""},{"dropping-particle":"","family":"Johkoh","given":"Takeshi","non-dropping-particle":"","parse-names":false,"suffix":""},{"dropping-particle":"","family":"Egashira","given":"Ryoko","non-dropping-particle":"","parse-names":false,"suffix":""},{"dropping-particle":"","family":"Sugiura","given":"Hiroaki","non-dropping-particle":"","parse-names":false,"suffix":""},{"dropping-particle":"","family":"Yamano","given":"Yasuhiko","non-dropping-particle":"","parse-names":false,"suffix":""},{"dropping-particle":"","family":"Kataoka","given":"Kensuke","non-dropping-particle":"","parse-names":false,"suffix":""},{"dropping-particle":"","family":"Kondoh","given":"Yasuhiro","non-dropping-particle":"","parse-names":false,"suffix":""},{"dropping-particle":"","family":"Arakawa","given":"Hiroaki","non-dropping-particle":"","parse-names":false,"suffix":""},{"dropping-particle":"","family":"Nakamura","given":"Masahisa","non-dropping-particle":"","parse-names":false,"suffix":""},{"dropping-particle":"","family":"Kuriu","given":"Akihiro","non-dropping-particle":"","parse-names":false,"suffix":""},{"dropping-particle":"","family":"Nakanishi","given":"Katsuyuki","non-dropping-particle":"","parse-names":false,"suffix":""},{"dropping-particle":"","family":"Tomiyama","given":"Noriyuki","non-dropping-particle":"","parse-names":false,"suffix":""}],"container-title":"European Journal of Radiology Open","id":"ITEM-1","issued":{"date-parts":[["2020"]]},"title":"Pleuroparenchymal fibroelastosis-like lesions in patients with interstitial pneumonia diagnosed by multidisciplinary discussion with surgical lung biopsy","type":"article-journal","volume":"7"},"uris":["http://www.mendeley.com/documents/?uuid=6b1807c4-d512-4667-8903-63264f76015f"]},{"id":"ITEM-2","itemData":{"DOI":"10.1183/13993003.00379-2017","ISSN":"13993003","PMID":"28679612","abstract":"This study aimed to investigate whether the combination of fibrosis and emphysema has a greater effect than the sum of its parts on functional indices and outcome in idiopathic pulmonary fibrosis (IPF), using visual and computer-based (CALIPER) computed tomography (CT) analysis. Consecutive patients (n=272) with a multidisciplinary IPF diagnosis had the extent of interstitial lung disease (ILD) scored visually and by CALIPER. Visually scored emphysema was subcategorised as isolated or mixed with fibrotic lung. The CT scores were evaluated against functional indices forced vital capacity (FVC), diffusing capacity of the lungs for carbon monoxide (DLCO), transfer coefficient of the lung for carbon monoxide (KCO), composite physiologic index (CPI)) and mortality. The presence and extent of emphysema had no impact on survival. Results were maintained following correction for age, gender, smoking status and baseline severity using DLCO, and combined visual emphysema and ILD extent. Visual emphysema quantitation indicated that relative preservation of lung volumes (FVC) resulted from tractionally dilated airways within fibrotic lung, ventilating areas of admixed emphysema (p&lt;0.0001), with no independent effect on FVC from isolated emphysema. Conversely, only isolated emphysema (p&lt;0.0001) reduced gas transfer (DLCO). There is no prognostic impact of emphysema in IPF, beyond that explained by the additive extents of both fibrosis and emphysema. With respect to the location of pulmonary fibrosis, emphysema distribution determines the functional effects of emphysema.","author":[{"dropping-particle":"","family":"Jacob","given":"Joseph","non-dropping-particle":"","parse-names":false,"suffix":""},{"dropping-particle":"","family":"Bartholmai","given":"Brian J.","non-dropping-particle":"","parse-names":false,"suffix":""},{"dropping-particle":"","family":"Rajagopalan","given":"Srinivasan","non-dropping-particle":"","parse-names":false,"suffix":""},{"dropping-particle":"","family":"Kokosi","given":"Maria","non-dropping-particle":"","parse-names":false,"suffix":""},{"dropping-particle":"","family":"Maher","given":"Toby M.","non-dropping-particle":"","parse-names":false,"suffix":""},{"dropping-particle":"","family":"Nair","given":"Arjun","non-dropping-particle":"","parse-names":false,"suffix":""},{"dropping-particle":"","family":"Karwoski","given":"Ronald","non-dropping-particle":"","parse-names":false,"suffix":""},{"dropping-particle":"","family":"Renzoni","given":"Elisabetta","non-dropping-particle":"","parse-names":false,"suffix":""},{"dropping-particle":"","family":"Walsh","given":"Simon L.F.","non-dropping-particle":"","parse-names":false,"suffix":""},{"dropping-particle":"","family":"Hansell","given":"David M.","non-dropping-particle":"","parse-names":false,"suffix":""},{"dropping-particle":"","family":"Wells","given":"Athol U.","non-dropping-particle":"","parse-names":false,"suffix":""}],"container-title":"European Respiratory Journal","id":"ITEM-2","issue":"1","issued":{"date-parts":[["2017"]]},"title":"Functional and prognostic effects when emphysema complicates idiopathic pulmonary fibrosis","type":"article-journal","volume":"50"},"uris":["http://www.mendeley.com/documents/?uuid=e71f9b21-0703-4898-bd3a-3611288f1d05"]},{"id":"ITEM-3","itemData":{"DOI":"10.1183/09031936.00165111","ISSN":"09031936","PMID":"22441748","abstract":"Pleuroparenchymal fibroelastosis (PPFE) is a rare condition characterised by predominantly upper lobe pleural and subjacent parenchymal fibrosis, the latter being intraalveolar with accompanying elastosis of the alveolar walls. The aim of this study was to review cases fulfilling published imaging and histological criteria, and identify any common clinical features that may suggest an underlying aetiology for a condition that has previously been regarded as idiopathic. Of 12 patients (seven females, median age 57 yrs), the presenting symptoms were shortness of breath (11 out of 12 patients) and dry cough (six out of 12 patients). Seven patients reported recurrent infections during the course of their disease. Five demonstrated nonspecific autoantibody positivity. Two patients had a family history of interstitial lung disease (ILD). High-resolution computed tomography features of lung disease remote from the pleuroparenchymal changes were present in six out of 12 patients (coexistent fibrosis, n=5; bronchiectasis, n=1). Of seven patients with tissue sampled from the lower lobes, four patients showed less intense PPFE changes (one with additional features of hypersensitivity pneumonitis) and three showed usual interstitial pneumonia. PPFE is a distinct clinicopathological entity, with clinical data suggesting a link to recurrent pulmonary infection. Genetic and autoimmune mechanisms may also contribute to the development of these changes. PPFE may also present with more diffuse involvement than previously reported, and coexist with different patterns of ILD. Copyright©ERS 2012.","author":[{"dropping-particle":"","family":"Reddy","given":"Taryn L.","non-dropping-particle":"","parse-names":false,"suffix":""},{"dropping-particle":"","family":"Tominaga","given":"Masaki","non-dropping-particle":"","parse-names":false,"suffix":""},{"dropping-particle":"","family":"Hansell","given":"David M.","non-dropping-particle":"","parse-names":false,"suffix":""},{"dropping-particle":"","family":"Thusen","given":"Jan","non-dropping-particle":"Von Der","parse-names":false,"suffix":""},{"dropping-particle":"","family":"Rassl","given":"Doris","non-dropping-particle":"","parse-names":false,"suffix":""},{"dropping-particle":"","family":"Parfrey","given":"Helen","non-dropping-particle":"","parse-names":false,"suffix":""},{"dropping-particle":"","family":"Guy","given":"Suzy","non-dropping-particle":"","parse-names":false,"suffix":""},{"dropping-particle":"","family":"Twentyman","given":"Orion","non-dropping-particle":"","parse-names":false,"suffix":""},{"dropping-particle":"","family":"Rice","given":"Alexandra","non-dropping-particle":"","parse-names":false,"suffix":""},{"dropping-particle":"","family":"Maher","given":"Toby M.","non-dropping-particle":"","parse-names":false,"suffix":""},{"dropping-particle":"","family":"Renzoni","given":"Elisabetta A.","non-dropping-particle":"","parse-names":false,"suffix":""},{"dropping-particle":"","family":"Wells","given":"Athol U.","non-dropping-particle":"","parse-names":false,"suffix":""},{"dropping-particle":"","family":"Nicholson","given":"Andrew G.","non-dropping-particle":"","parse-names":false,"suffix":""}],"container-title":"European Respiratory Journal","id":"ITEM-3","issue":"2","issued":{"date-parts":[["2012"]]},"page":"377–385","title":"Pleuroparenchymal fibroelastosis: A spectrum of histopathological and imaging phenotypes","type":"article-journal","volume":"40"},"uris":["http://www.mendeley.com/documents/?uuid=fc29a4b4-2b0b-455a-a585-e64d980bc80b"]}],"mendeley":{"formattedCitation":"&lt;sup&gt;9–11&lt;/sup&gt;","plainTextFormattedCitation":"9–11","previouslyFormattedCitation":"&lt;sup&gt;9–11&lt;/sup&gt;"},"properties":{"noteIndex":0},"schema":"https://github.com/citation-style-language/schema/raw/master/csl-citation.json"}</w:instrText>
      </w:r>
      <w:r w:rsidR="00C564FA" w:rsidRPr="00C41FDC">
        <w:rPr>
          <w:color w:val="000000" w:themeColor="text1"/>
        </w:rPr>
        <w:fldChar w:fldCharType="separate"/>
      </w:r>
      <w:r w:rsidR="00C564FA" w:rsidRPr="00C41FDC">
        <w:rPr>
          <w:noProof/>
          <w:color w:val="000000" w:themeColor="text1"/>
          <w:vertAlign w:val="superscript"/>
        </w:rPr>
        <w:t>9–11</w:t>
      </w:r>
      <w:r w:rsidR="00C564FA" w:rsidRPr="00C41FDC">
        <w:rPr>
          <w:color w:val="000000" w:themeColor="text1"/>
        </w:rPr>
        <w:fldChar w:fldCharType="end"/>
      </w:r>
      <w:r w:rsidR="005F5DE8" w:rsidRPr="00C41FDC">
        <w:rPr>
          <w:color w:val="000000" w:themeColor="text1"/>
        </w:rPr>
        <w:t xml:space="preserve"> </w:t>
      </w:r>
      <w:r w:rsidR="00732F12" w:rsidRPr="00C41FDC">
        <w:rPr>
          <w:color w:val="000000" w:themeColor="text1"/>
        </w:rPr>
        <w:t xml:space="preserve">there has been </w:t>
      </w:r>
      <w:r w:rsidR="00732F12" w:rsidRPr="00C41FDC">
        <w:rPr>
          <w:rStyle w:val="ecti-1000"/>
          <w:color w:val="000000" w:themeColor="text1"/>
        </w:rPr>
        <w:t>no detailed attempt to examine the prognostic significance of an association between the two morphologic processes</w:t>
      </w:r>
      <w:r w:rsidR="004770BB" w:rsidRPr="00C41FDC">
        <w:rPr>
          <w:color w:val="000000" w:themeColor="text1"/>
        </w:rPr>
        <w:t>. Identifying</w:t>
      </w:r>
      <w:r w:rsidR="00EB7884" w:rsidRPr="00C41FDC">
        <w:rPr>
          <w:color w:val="000000" w:themeColor="text1"/>
        </w:rPr>
        <w:t xml:space="preserve"> novel IPF phenotypes</w:t>
      </w:r>
      <w:r w:rsidR="004770BB" w:rsidRPr="00C41FDC">
        <w:rPr>
          <w:color w:val="000000" w:themeColor="text1"/>
        </w:rPr>
        <w:t xml:space="preserve"> </w:t>
      </w:r>
      <w:r w:rsidR="00863C2D" w:rsidRPr="00C41FDC">
        <w:rPr>
          <w:color w:val="000000" w:themeColor="text1"/>
        </w:rPr>
        <w:t xml:space="preserve">and </w:t>
      </w:r>
      <w:r w:rsidR="004770BB" w:rsidRPr="00C41FDC">
        <w:rPr>
          <w:color w:val="000000" w:themeColor="text1"/>
        </w:rPr>
        <w:t>their clinical course should allow more personalised</w:t>
      </w:r>
      <w:r w:rsidR="00EB7884" w:rsidRPr="00C41FDC">
        <w:rPr>
          <w:color w:val="000000" w:themeColor="text1"/>
        </w:rPr>
        <w:t xml:space="preserve"> patient management and</w:t>
      </w:r>
      <w:r w:rsidR="004770BB" w:rsidRPr="00C41FDC">
        <w:rPr>
          <w:color w:val="000000" w:themeColor="text1"/>
        </w:rPr>
        <w:t xml:space="preserve"> has relevance to recruitment of patients to</w:t>
      </w:r>
      <w:r w:rsidR="00EB7884" w:rsidRPr="00C41FDC">
        <w:rPr>
          <w:color w:val="000000" w:themeColor="text1"/>
        </w:rPr>
        <w:t xml:space="preserve"> therapeutic trials.</w:t>
      </w:r>
      <w:r w:rsidR="004770BB" w:rsidRPr="00C41FDC">
        <w:rPr>
          <w:color w:val="000000" w:themeColor="text1"/>
        </w:rPr>
        <w:t xml:space="preserve"> </w:t>
      </w:r>
      <w:r w:rsidR="000D5778" w:rsidRPr="00C41FDC">
        <w:rPr>
          <w:color w:val="000000" w:themeColor="text1"/>
        </w:rPr>
        <w:t xml:space="preserve">To delineate whether PPFE complicating IPF identifies a subgroup with poor prognosis, we implemented a simple subjective visual lobar score of PPFE extent on CT imaging in two independent IPF populations. </w:t>
      </w:r>
      <w:r w:rsidR="006D4286" w:rsidRPr="00C41FDC">
        <w:rPr>
          <w:color w:val="000000" w:themeColor="text1"/>
        </w:rPr>
        <w:t xml:space="preserve">Given the interobserver variation associated with visual CT scores, an objective computer-based score </w:t>
      </w:r>
      <w:r w:rsidRPr="00C41FDC">
        <w:rPr>
          <w:color w:val="000000" w:themeColor="text1"/>
        </w:rPr>
        <w:t xml:space="preserve">was developed </w:t>
      </w:r>
      <w:r w:rsidR="00FC2264" w:rsidRPr="00C41FDC">
        <w:rPr>
          <w:color w:val="000000" w:themeColor="text1"/>
        </w:rPr>
        <w:t xml:space="preserve">to </w:t>
      </w:r>
      <w:r w:rsidRPr="00C41FDC">
        <w:rPr>
          <w:color w:val="000000" w:themeColor="text1"/>
        </w:rPr>
        <w:t>quantif</w:t>
      </w:r>
      <w:r w:rsidR="00FC2264" w:rsidRPr="00C41FDC">
        <w:rPr>
          <w:color w:val="000000" w:themeColor="text1"/>
        </w:rPr>
        <w:t>y</w:t>
      </w:r>
      <w:r w:rsidRPr="00C41FDC">
        <w:rPr>
          <w:color w:val="000000" w:themeColor="text1"/>
        </w:rPr>
        <w:t xml:space="preserve"> </w:t>
      </w:r>
      <w:r w:rsidR="006D4286" w:rsidRPr="00C41FDC">
        <w:rPr>
          <w:color w:val="000000" w:themeColor="text1"/>
        </w:rPr>
        <w:t>the percentage surface area of the visceral pleura contain</w:t>
      </w:r>
      <w:r w:rsidR="00FC2264" w:rsidRPr="00C41FDC">
        <w:rPr>
          <w:color w:val="000000" w:themeColor="text1"/>
        </w:rPr>
        <w:t>ing</w:t>
      </w:r>
      <w:r w:rsidR="006D4286" w:rsidRPr="00C41FDC">
        <w:rPr>
          <w:color w:val="000000" w:themeColor="text1"/>
        </w:rPr>
        <w:t xml:space="preserve"> PPFE</w:t>
      </w:r>
      <w:r w:rsidR="00FC2264" w:rsidRPr="00C41FDC">
        <w:rPr>
          <w:color w:val="000000" w:themeColor="text1"/>
        </w:rPr>
        <w:t xml:space="preserve"> in the upper zones</w:t>
      </w:r>
      <w:r w:rsidR="006D4286" w:rsidRPr="00C41FDC">
        <w:rPr>
          <w:color w:val="000000" w:themeColor="text1"/>
        </w:rPr>
        <w:t>.</w:t>
      </w:r>
      <w:r w:rsidR="000D5778" w:rsidRPr="00C41FDC">
        <w:rPr>
          <w:color w:val="000000" w:themeColor="text1"/>
        </w:rPr>
        <w:t xml:space="preserve"> </w:t>
      </w:r>
    </w:p>
    <w:p w14:paraId="007CAB35" w14:textId="77777777" w:rsidR="00B05865" w:rsidRPr="00C41FDC" w:rsidRDefault="00B05865" w:rsidP="00EB7884">
      <w:pPr>
        <w:pStyle w:val="noindent"/>
        <w:spacing w:before="0" w:beforeAutospacing="0" w:after="0" w:afterAutospacing="0" w:line="480" w:lineRule="auto"/>
        <w:rPr>
          <w:color w:val="000000" w:themeColor="text1"/>
        </w:rPr>
      </w:pPr>
    </w:p>
    <w:p w14:paraId="4DA33A8C" w14:textId="1F2A19FD" w:rsidR="000D5778" w:rsidRPr="00C41FDC" w:rsidRDefault="006D4286" w:rsidP="00EB7884">
      <w:pPr>
        <w:pStyle w:val="noindent"/>
        <w:spacing w:before="0" w:beforeAutospacing="0" w:after="0" w:afterAutospacing="0" w:line="480" w:lineRule="auto"/>
        <w:rPr>
          <w:color w:val="000000" w:themeColor="text1"/>
        </w:rPr>
      </w:pPr>
      <w:r w:rsidRPr="00C41FDC">
        <w:rPr>
          <w:color w:val="000000" w:themeColor="text1"/>
        </w:rPr>
        <w:t>Our aims were to determine the prevalence of PPFE in IPF patients, and to see whether PPFE reflect</w:t>
      </w:r>
      <w:r w:rsidR="00054D68" w:rsidRPr="00C41FDC">
        <w:rPr>
          <w:color w:val="000000" w:themeColor="text1"/>
        </w:rPr>
        <w:t>ed</w:t>
      </w:r>
      <w:r w:rsidRPr="00C41FDC">
        <w:rPr>
          <w:color w:val="000000" w:themeColor="text1"/>
        </w:rPr>
        <w:t xml:space="preserve"> structural (interstitial lung disease [ILD] extent) and functional (diffusion capacity of </w:t>
      </w:r>
      <w:r w:rsidRPr="00C41FDC">
        <w:rPr>
          <w:color w:val="000000" w:themeColor="text1"/>
        </w:rPr>
        <w:lastRenderedPageBreak/>
        <w:t>carbon monoxide</w:t>
      </w:r>
      <w:r w:rsidR="00C64C1D" w:rsidRPr="00C41FDC">
        <w:rPr>
          <w:color w:val="000000" w:themeColor="text1"/>
        </w:rPr>
        <w:t xml:space="preserve"> [DLco]</w:t>
      </w:r>
      <w:r w:rsidRPr="00C41FDC">
        <w:rPr>
          <w:color w:val="000000" w:themeColor="text1"/>
        </w:rPr>
        <w:t>) interstitial damage.</w:t>
      </w:r>
      <w:r w:rsidR="00D26026" w:rsidRPr="00C41FDC">
        <w:rPr>
          <w:color w:val="000000" w:themeColor="text1"/>
        </w:rPr>
        <w:t xml:space="preserve"> </w:t>
      </w:r>
      <w:bookmarkStart w:id="113" w:name="OLE_LINK101"/>
      <w:bookmarkStart w:id="114" w:name="OLE_LINK102"/>
      <w:r w:rsidR="00D26026" w:rsidRPr="00C41FDC">
        <w:rPr>
          <w:color w:val="000000" w:themeColor="text1"/>
        </w:rPr>
        <w:t>The primary analysis of our study was to determine the association of PPFE with FVC decline and mortality, with a secondary analysis to compare visual and computational metrics in determining number of people with worse outcomes</w:t>
      </w:r>
      <w:bookmarkEnd w:id="113"/>
      <w:bookmarkEnd w:id="114"/>
      <w:r w:rsidRPr="00C41FDC">
        <w:rPr>
          <w:color w:val="000000" w:themeColor="text1"/>
        </w:rPr>
        <w:t xml:space="preserve">. </w:t>
      </w:r>
    </w:p>
    <w:bookmarkEnd w:id="109"/>
    <w:bookmarkEnd w:id="110"/>
    <w:p w14:paraId="54B42C5C" w14:textId="77777777" w:rsidR="00EB7884" w:rsidRPr="00C41FDC" w:rsidRDefault="00EB7884" w:rsidP="00EB7884">
      <w:pPr>
        <w:pStyle w:val="noindent"/>
        <w:spacing w:before="0" w:beforeAutospacing="0" w:after="0" w:afterAutospacing="0" w:line="480" w:lineRule="auto"/>
        <w:rPr>
          <w:color w:val="000000" w:themeColor="text1"/>
        </w:rPr>
      </w:pPr>
    </w:p>
    <w:p w14:paraId="1CB1D973" w14:textId="5A255E86" w:rsidR="006D4286" w:rsidRPr="00C41FDC" w:rsidRDefault="006D4286">
      <w:pPr>
        <w:rPr>
          <w:b/>
          <w:bCs/>
          <w:color w:val="000000" w:themeColor="text1"/>
          <w:sz w:val="27"/>
          <w:szCs w:val="27"/>
        </w:rPr>
      </w:pPr>
      <w:r w:rsidRPr="00C41FDC">
        <w:rPr>
          <w:color w:val="000000" w:themeColor="text1"/>
        </w:rPr>
        <w:br w:type="page"/>
      </w:r>
    </w:p>
    <w:bookmarkEnd w:id="111"/>
    <w:bookmarkEnd w:id="112"/>
    <w:p w14:paraId="63848AEB" w14:textId="50F00AFF" w:rsidR="00725BED" w:rsidRPr="00C41FDC" w:rsidRDefault="00725BED" w:rsidP="007B1066">
      <w:pPr>
        <w:pStyle w:val="Heading3"/>
        <w:spacing w:before="360" w:beforeAutospacing="0" w:after="120" w:afterAutospacing="0" w:line="480" w:lineRule="auto"/>
        <w:rPr>
          <w:rFonts w:eastAsia="Times New Roman"/>
          <w:color w:val="000000" w:themeColor="text1"/>
          <w:sz w:val="28"/>
        </w:rPr>
      </w:pPr>
      <w:r w:rsidRPr="00C41FDC">
        <w:rPr>
          <w:rFonts w:eastAsia="Times New Roman"/>
          <w:color w:val="000000" w:themeColor="text1"/>
          <w:sz w:val="28"/>
        </w:rPr>
        <w:lastRenderedPageBreak/>
        <w:t>M</w:t>
      </w:r>
      <w:r w:rsidR="000541A7" w:rsidRPr="00C41FDC">
        <w:rPr>
          <w:rFonts w:eastAsia="Times New Roman"/>
          <w:color w:val="000000" w:themeColor="text1"/>
          <w:sz w:val="28"/>
        </w:rPr>
        <w:t>aterial</w:t>
      </w:r>
      <w:r w:rsidR="00437DE6" w:rsidRPr="00C41FDC">
        <w:rPr>
          <w:rFonts w:eastAsia="Times New Roman"/>
          <w:color w:val="000000" w:themeColor="text1"/>
          <w:sz w:val="28"/>
        </w:rPr>
        <w:t xml:space="preserve"> and M</w:t>
      </w:r>
      <w:r w:rsidRPr="00C41FDC">
        <w:rPr>
          <w:rFonts w:eastAsia="Times New Roman"/>
          <w:color w:val="000000" w:themeColor="text1"/>
          <w:sz w:val="28"/>
        </w:rPr>
        <w:t>ethods</w:t>
      </w:r>
    </w:p>
    <w:p w14:paraId="6ED23502" w14:textId="23E2C7E8" w:rsidR="00725BED" w:rsidRPr="00C41FDC" w:rsidRDefault="00C13AB4" w:rsidP="007B1066">
      <w:pPr>
        <w:pStyle w:val="Heading4"/>
        <w:spacing w:before="0" w:beforeAutospacing="0" w:after="0" w:afterAutospacing="0" w:line="480" w:lineRule="auto"/>
        <w:rPr>
          <w:rFonts w:eastAsia="Times New Roman"/>
          <w:color w:val="000000" w:themeColor="text1"/>
        </w:rPr>
      </w:pPr>
      <w:r w:rsidRPr="00C41FDC">
        <w:rPr>
          <w:rFonts w:eastAsia="Times New Roman"/>
          <w:color w:val="000000" w:themeColor="text1"/>
        </w:rPr>
        <w:t xml:space="preserve">Study </w:t>
      </w:r>
      <w:r w:rsidR="001F25FA" w:rsidRPr="00C41FDC">
        <w:rPr>
          <w:rFonts w:eastAsia="Times New Roman"/>
          <w:color w:val="000000" w:themeColor="text1"/>
        </w:rPr>
        <w:t>subjects</w:t>
      </w:r>
      <w:r w:rsidR="005E0B26" w:rsidRPr="00C41FDC">
        <w:rPr>
          <w:rFonts w:eastAsia="Times New Roman"/>
          <w:color w:val="000000" w:themeColor="text1"/>
        </w:rPr>
        <w:t xml:space="preserve"> and clinical information</w:t>
      </w:r>
    </w:p>
    <w:p w14:paraId="43F1765F" w14:textId="1B734973" w:rsidR="003A4753" w:rsidRPr="003A4753" w:rsidRDefault="00725BED" w:rsidP="006C1A80">
      <w:pPr>
        <w:pStyle w:val="noindent"/>
        <w:spacing w:before="0" w:beforeAutospacing="0" w:after="0" w:afterAutospacing="0" w:line="480" w:lineRule="auto"/>
        <w:rPr>
          <w:rStyle w:val="id"/>
          <w:color w:val="000000" w:themeColor="text1"/>
        </w:rPr>
      </w:pPr>
      <w:bookmarkStart w:id="115" w:name="OLE_LINK78"/>
      <w:bookmarkStart w:id="116" w:name="OLE_LINK79"/>
      <w:r w:rsidRPr="00C41FDC">
        <w:rPr>
          <w:color w:val="000000" w:themeColor="text1"/>
        </w:rPr>
        <w:t xml:space="preserve">Patients </w:t>
      </w:r>
      <w:r w:rsidR="007450F7" w:rsidRPr="00C41FDC">
        <w:rPr>
          <w:color w:val="000000" w:themeColor="text1"/>
        </w:rPr>
        <w:t xml:space="preserve">with a </w:t>
      </w:r>
      <w:r w:rsidR="0035605C" w:rsidRPr="00C41FDC">
        <w:rPr>
          <w:color w:val="000000" w:themeColor="text1"/>
        </w:rPr>
        <w:t xml:space="preserve">multidisciplinary team </w:t>
      </w:r>
      <w:r w:rsidR="007450F7" w:rsidRPr="00C41FDC">
        <w:rPr>
          <w:color w:val="000000" w:themeColor="text1"/>
        </w:rPr>
        <w:t>diagnosis of IPF</w:t>
      </w:r>
      <w:r w:rsidR="00BC2BC0" w:rsidRPr="00C41FDC">
        <w:rPr>
          <w:color w:val="000000" w:themeColor="text1"/>
        </w:rPr>
        <w:t xml:space="preserve"> with volumetric</w:t>
      </w:r>
      <w:r w:rsidR="0084334F" w:rsidRPr="00C41FDC">
        <w:rPr>
          <w:color w:val="000000" w:themeColor="text1"/>
        </w:rPr>
        <w:t xml:space="preserve"> inspiratory</w:t>
      </w:r>
      <w:r w:rsidR="00BC2BC0" w:rsidRPr="00C41FDC">
        <w:rPr>
          <w:color w:val="000000" w:themeColor="text1"/>
        </w:rPr>
        <w:t xml:space="preserve"> CT examinations were identified from </w:t>
      </w:r>
      <w:r w:rsidR="00F16BC0" w:rsidRPr="00C41FDC">
        <w:rPr>
          <w:color w:val="000000" w:themeColor="text1"/>
        </w:rPr>
        <w:t xml:space="preserve">three </w:t>
      </w:r>
      <w:r w:rsidR="00BC2BC0" w:rsidRPr="00C41FDC">
        <w:rPr>
          <w:color w:val="000000" w:themeColor="text1"/>
        </w:rPr>
        <w:t>medical centres</w:t>
      </w:r>
      <w:r w:rsidR="00732F12" w:rsidRPr="00C41FDC">
        <w:rPr>
          <w:color w:val="000000" w:themeColor="text1"/>
        </w:rPr>
        <w:t xml:space="preserve">: </w:t>
      </w:r>
      <w:r w:rsidR="00005AF0" w:rsidRPr="00C41FDC">
        <w:rPr>
          <w:color w:val="000000" w:themeColor="text1"/>
        </w:rPr>
        <w:t xml:space="preserve">derivation </w:t>
      </w:r>
      <w:r w:rsidR="00F16BC0" w:rsidRPr="00C41FDC">
        <w:rPr>
          <w:color w:val="000000" w:themeColor="text1"/>
        </w:rPr>
        <w:t>cohort</w:t>
      </w:r>
      <w:r w:rsidR="00863C2D" w:rsidRPr="00C41FDC">
        <w:rPr>
          <w:color w:val="000000" w:themeColor="text1"/>
        </w:rPr>
        <w:t>:</w:t>
      </w:r>
      <w:r w:rsidR="00732F12" w:rsidRPr="00C41FDC">
        <w:rPr>
          <w:color w:val="000000" w:themeColor="text1"/>
        </w:rPr>
        <w:t xml:space="preserve"> </w:t>
      </w:r>
      <w:r w:rsidR="00F16BC0" w:rsidRPr="00C41FDC">
        <w:rPr>
          <w:color w:val="000000" w:themeColor="text1"/>
        </w:rPr>
        <w:t xml:space="preserve">patients </w:t>
      </w:r>
      <w:r w:rsidR="00936FFC" w:rsidRPr="00C41FDC">
        <w:rPr>
          <w:color w:val="000000" w:themeColor="text1"/>
        </w:rPr>
        <w:t xml:space="preserve">presenting to </w:t>
      </w:r>
      <w:r w:rsidR="00BC2BC0" w:rsidRPr="00C41FDC">
        <w:rPr>
          <w:color w:val="000000" w:themeColor="text1"/>
        </w:rPr>
        <w:t>Eg</w:t>
      </w:r>
      <w:r w:rsidR="0035605C" w:rsidRPr="00C41FDC">
        <w:rPr>
          <w:color w:val="000000" w:themeColor="text1"/>
        </w:rPr>
        <w:t>e</w:t>
      </w:r>
      <w:r w:rsidR="00BC2BC0" w:rsidRPr="00C41FDC">
        <w:rPr>
          <w:color w:val="000000" w:themeColor="text1"/>
        </w:rPr>
        <w:t xml:space="preserve"> University Hospital, Izmir, Turkey</w:t>
      </w:r>
      <w:r w:rsidR="00F96DFA" w:rsidRPr="00C41FDC">
        <w:rPr>
          <w:color w:val="000000" w:themeColor="text1"/>
        </w:rPr>
        <w:t xml:space="preserve"> (Centre A)</w:t>
      </w:r>
      <w:r w:rsidR="00936FFC" w:rsidRPr="00C41FDC">
        <w:rPr>
          <w:color w:val="000000" w:themeColor="text1"/>
        </w:rPr>
        <w:t xml:space="preserve"> between 2008</w:t>
      </w:r>
      <w:r w:rsidR="00732F12" w:rsidRPr="00C41FDC">
        <w:rPr>
          <w:color w:val="000000" w:themeColor="text1"/>
        </w:rPr>
        <w:t>-</w:t>
      </w:r>
      <w:r w:rsidR="00936FFC" w:rsidRPr="00C41FDC">
        <w:rPr>
          <w:color w:val="000000" w:themeColor="text1"/>
        </w:rPr>
        <w:t>2015</w:t>
      </w:r>
      <w:r w:rsidR="00732F12" w:rsidRPr="00C41FDC">
        <w:rPr>
          <w:color w:val="000000" w:themeColor="text1"/>
        </w:rPr>
        <w:t>;</w:t>
      </w:r>
      <w:r w:rsidR="00936FFC" w:rsidRPr="00C41FDC">
        <w:rPr>
          <w:color w:val="000000" w:themeColor="text1"/>
        </w:rPr>
        <w:t xml:space="preserve"> </w:t>
      </w:r>
      <w:r w:rsidR="00F16BC0" w:rsidRPr="00C41FDC">
        <w:rPr>
          <w:color w:val="000000" w:themeColor="text1"/>
        </w:rPr>
        <w:t>validation cohort</w:t>
      </w:r>
      <w:r w:rsidR="00863C2D" w:rsidRPr="00C41FDC">
        <w:rPr>
          <w:color w:val="000000" w:themeColor="text1"/>
        </w:rPr>
        <w:t>:</w:t>
      </w:r>
      <w:r w:rsidR="00F16BC0" w:rsidRPr="00C41FDC">
        <w:rPr>
          <w:color w:val="000000" w:themeColor="text1"/>
        </w:rPr>
        <w:t xml:space="preserve"> patients </w:t>
      </w:r>
      <w:r w:rsidR="00936FFC" w:rsidRPr="00C41FDC">
        <w:rPr>
          <w:color w:val="000000" w:themeColor="text1"/>
        </w:rPr>
        <w:t xml:space="preserve">presenting to </w:t>
      </w:r>
      <w:r w:rsidR="00BC2BC0" w:rsidRPr="00C41FDC">
        <w:rPr>
          <w:color w:val="000000" w:themeColor="text1"/>
        </w:rPr>
        <w:t xml:space="preserve">St Antonius Hospital, </w:t>
      </w:r>
      <w:r w:rsidR="002E2FC9" w:rsidRPr="00C41FDC">
        <w:rPr>
          <w:color w:val="000000" w:themeColor="text1"/>
        </w:rPr>
        <w:t>Nieuwegein</w:t>
      </w:r>
      <w:r w:rsidR="00BC2BC0" w:rsidRPr="00C41FDC">
        <w:rPr>
          <w:color w:val="000000" w:themeColor="text1"/>
        </w:rPr>
        <w:t>, Netherlands</w:t>
      </w:r>
      <w:r w:rsidR="00510367" w:rsidRPr="00C41FDC">
        <w:rPr>
          <w:color w:val="000000" w:themeColor="text1"/>
        </w:rPr>
        <w:t xml:space="preserve"> (Centre B)</w:t>
      </w:r>
      <w:r w:rsidR="00936FFC" w:rsidRPr="00C41FDC">
        <w:rPr>
          <w:color w:val="000000" w:themeColor="text1"/>
        </w:rPr>
        <w:t xml:space="preserve"> between 2004</w:t>
      </w:r>
      <w:r w:rsidR="00732F12" w:rsidRPr="00C41FDC">
        <w:rPr>
          <w:color w:val="000000" w:themeColor="text1"/>
        </w:rPr>
        <w:t>-</w:t>
      </w:r>
      <w:r w:rsidR="00936FFC" w:rsidRPr="00C41FDC">
        <w:rPr>
          <w:color w:val="000000" w:themeColor="text1"/>
        </w:rPr>
        <w:t>2015</w:t>
      </w:r>
      <w:r w:rsidR="00BC2BC0" w:rsidRPr="00C41FDC">
        <w:rPr>
          <w:color w:val="000000" w:themeColor="text1"/>
        </w:rPr>
        <w:t xml:space="preserve"> and University Hospital Southampton NHS Foundation Trust, Southampton, UK</w:t>
      </w:r>
      <w:r w:rsidR="00510367" w:rsidRPr="00C41FDC">
        <w:rPr>
          <w:color w:val="000000" w:themeColor="text1"/>
        </w:rPr>
        <w:t xml:space="preserve"> (Centre C)</w:t>
      </w:r>
      <w:r w:rsidR="005B04C1" w:rsidRPr="00C41FDC">
        <w:rPr>
          <w:color w:val="000000" w:themeColor="text1"/>
        </w:rPr>
        <w:t xml:space="preserve"> </w:t>
      </w:r>
      <w:r w:rsidR="00936FFC" w:rsidRPr="00C41FDC">
        <w:rPr>
          <w:color w:val="000000" w:themeColor="text1"/>
        </w:rPr>
        <w:t>between 2013</w:t>
      </w:r>
      <w:r w:rsidR="00732F12" w:rsidRPr="00C41FDC">
        <w:rPr>
          <w:color w:val="000000" w:themeColor="text1"/>
        </w:rPr>
        <w:t>-</w:t>
      </w:r>
      <w:r w:rsidR="00936FFC" w:rsidRPr="00C41FDC">
        <w:rPr>
          <w:color w:val="000000" w:themeColor="text1"/>
        </w:rPr>
        <w:t>2015</w:t>
      </w:r>
      <w:r w:rsidR="002272CC" w:rsidRPr="00C41FDC">
        <w:rPr>
          <w:color w:val="000000" w:themeColor="text1"/>
        </w:rPr>
        <w:t xml:space="preserve">. </w:t>
      </w:r>
      <w:bookmarkStart w:id="117" w:name="OLE_LINK237"/>
      <w:bookmarkStart w:id="118" w:name="OLE_LINK238"/>
      <w:r w:rsidR="00EA41F0" w:rsidRPr="00C41FDC">
        <w:rPr>
          <w:color w:val="000000" w:themeColor="text1"/>
          <w:lang w:val="en-US"/>
        </w:rPr>
        <w:t xml:space="preserve">Patient exclusion criteria included: radiologic evidence of lung infection, lung cancer, and/or likely acute exacerbation on CT; CT scan quality precluding visual assessment; missing lung function measurement within 3 months of baseline visual assessment; less than 3 months of follow-up after baseline visual assessment; missing information on antifibrotic treatment. </w:t>
      </w:r>
      <w:bookmarkStart w:id="119" w:name="OLE_LINK175"/>
      <w:bookmarkStart w:id="120" w:name="OLE_LINK176"/>
      <w:r w:rsidR="00EA41F0" w:rsidRPr="00C41FDC">
        <w:rPr>
          <w:color w:val="000000" w:themeColor="text1"/>
          <w:lang w:val="en-US"/>
        </w:rPr>
        <w:t xml:space="preserve">In </w:t>
      </w:r>
      <w:r w:rsidR="00484314" w:rsidRPr="00C41FDC">
        <w:rPr>
          <w:color w:val="000000" w:themeColor="text1"/>
          <w:lang w:val="en-US"/>
        </w:rPr>
        <w:t xml:space="preserve">a </w:t>
      </w:r>
      <w:r w:rsidR="00EA41F0" w:rsidRPr="00C41FDC">
        <w:rPr>
          <w:color w:val="000000" w:themeColor="text1"/>
          <w:lang w:val="en-US"/>
        </w:rPr>
        <w:t>subanalys</w:t>
      </w:r>
      <w:r w:rsidR="00484314" w:rsidRPr="00C41FDC">
        <w:rPr>
          <w:color w:val="000000" w:themeColor="text1"/>
          <w:lang w:val="en-US"/>
        </w:rPr>
        <w:t>is</w:t>
      </w:r>
      <w:r w:rsidR="00EA41F0" w:rsidRPr="00C41FDC">
        <w:rPr>
          <w:color w:val="000000" w:themeColor="text1"/>
          <w:lang w:val="en-US"/>
        </w:rPr>
        <w:t xml:space="preserve"> of the patient</w:t>
      </w:r>
      <w:r w:rsidR="00484314" w:rsidRPr="00C41FDC">
        <w:rPr>
          <w:color w:val="000000" w:themeColor="text1"/>
          <w:lang w:val="en-US"/>
        </w:rPr>
        <w:t>s</w:t>
      </w:r>
      <w:r w:rsidR="00EA41F0" w:rsidRPr="00C41FDC">
        <w:rPr>
          <w:color w:val="000000" w:themeColor="text1"/>
          <w:lang w:val="en-US"/>
        </w:rPr>
        <w:t xml:space="preserve"> </w:t>
      </w:r>
      <w:r w:rsidR="00484314" w:rsidRPr="00C41FDC">
        <w:rPr>
          <w:color w:val="000000" w:themeColor="text1"/>
          <w:lang w:val="en-US"/>
        </w:rPr>
        <w:t xml:space="preserve">who would be approved by regulators </w:t>
      </w:r>
      <w:r w:rsidR="00EA41F0" w:rsidRPr="00C41FDC">
        <w:rPr>
          <w:color w:val="000000" w:themeColor="text1"/>
          <w:lang w:val="en-US"/>
        </w:rPr>
        <w:t xml:space="preserve">for </w:t>
      </w:r>
      <w:r w:rsidR="00484314" w:rsidRPr="00C41FDC">
        <w:rPr>
          <w:color w:val="000000" w:themeColor="text1"/>
          <w:lang w:val="en-US"/>
        </w:rPr>
        <w:t>receiving antifibrotic medication</w:t>
      </w:r>
      <w:r w:rsidR="00EA41F0" w:rsidRPr="00C41FDC">
        <w:rPr>
          <w:color w:val="000000" w:themeColor="text1"/>
          <w:lang w:val="en-US"/>
        </w:rPr>
        <w:t xml:space="preserve">, the </w:t>
      </w:r>
      <w:r w:rsidR="00C64C1D" w:rsidRPr="00C41FDC">
        <w:rPr>
          <w:color w:val="000000" w:themeColor="text1"/>
          <w:lang w:val="en-US"/>
        </w:rPr>
        <w:t xml:space="preserve">additional eligibility criteria of FVC that was 50% or more of the predicted value and DLco that was 30 to 79% of the predicted value was applied, in </w:t>
      </w:r>
      <w:r w:rsidR="00E23EE7" w:rsidRPr="00C41FDC">
        <w:rPr>
          <w:color w:val="000000" w:themeColor="text1"/>
          <w:lang w:val="en-US"/>
        </w:rPr>
        <w:t>agreement</w:t>
      </w:r>
      <w:r w:rsidR="00C64C1D" w:rsidRPr="00C41FDC">
        <w:rPr>
          <w:color w:val="000000" w:themeColor="text1"/>
          <w:lang w:val="en-US"/>
        </w:rPr>
        <w:t xml:space="preserve"> with clinical drug trials in IPF</w:t>
      </w:r>
      <w:bookmarkEnd w:id="119"/>
      <w:bookmarkEnd w:id="120"/>
      <w:r w:rsidR="00C64C1D" w:rsidRPr="00C41FDC">
        <w:rPr>
          <w:color w:val="000000" w:themeColor="text1"/>
          <w:lang w:val="en-US"/>
        </w:rPr>
        <w:t>.</w:t>
      </w:r>
      <w:r w:rsidR="00261724" w:rsidRPr="00C41FDC">
        <w:rPr>
          <w:color w:val="000000" w:themeColor="text1"/>
          <w:lang w:val="en-US"/>
        </w:rPr>
        <w:fldChar w:fldCharType="begin" w:fldLock="1"/>
      </w:r>
      <w:r w:rsidR="00757678" w:rsidRPr="00C41FDC">
        <w:rPr>
          <w:color w:val="000000" w:themeColor="text1"/>
          <w:lang w:val="en-US"/>
        </w:rPr>
        <w:instrText>ADDIN CSL_CITATION {"citationItems":[{"id":"ITEM-1","itemData":{"DOI":"10.1056/nejmoa1402584","ISSN":"0028-4793","PMID":"24836310","abstract":"BACKGROUND Nintedanib (formerly known as BIBF 1120) is an intracellular inhibitor that targets multiple tyrosine kinases. A phase 2 trial suggested that treatment with 150 mg of nintedanib twice daily reduced lung-function decline and acute exacerbations in patients with idiopathic pulmonary fibrosis. METHODS We conducted two replicate 52-week, randomized, double-blind, phase 3 trials (INPULSIS-1 and INPULSIS-2) to evaluate the efficacy and safety of 150 mg of nintedanib twice daily as compared with placebo in patients with idiopathic pulmonary fibrosis. The primary end point was the annual rate of decline in forced vital capacity (FVC). Key secondary end points were the time to the first acute exacerbation and the change from baseline in the total score on the St. George's Respiratory Questionnaire, both assessed over a 52-week period. RESULTS A total of 1066 patients were randomly assigned in a 3:2 ratio to receive nintedanib or placebo. The adjusted annual rate of change in FVC was -114.7 ml with nintedanib versus -239.9 ml with placebo (difference, 125.3 ml; 95% confidence interval [CI], 77.7 to 172.8; P&lt;0.001) in INPULSIS-1 and -113.6 ml with nintedanib versus -207.3 ml with placebo (difference, 93.7 ml; 95% CI, 44.8 to 142.7; P&lt;0.001) in INPULSIS-2. In INPULSIS-1, there was no significant difference between the nintedanib and placebo groups in the time to the first acute exacerbation (hazard ratio with nintedanib, 1.15; 95% CI, 0.54 to 2.42; P=0.67); in INPULSIS-2, there was a significant benefit with nintedanib versus placebo (hazard ratio, 0.38; 95% CI, 0.19 to 0.77; P=0.005). The most frequent adverse event in the nintedanib groups was diarrhea, with rates of 61.5% and 18.6% in the nintedanib and placebo groups, respectively, in INPULSIS-1 and 63.2% and 18.3% in the two groups, respectively, in INPULSIS-2. CONCLUSIONS In patients with idiopathic pulmonary fibrosis, nintedanib reduced the decline in FVC, which is consistent with a slowing of disease progression; nintedanib was frequently associated with diarrhea, which led to discontinuation of the study medication in less than 5% of patients. (Funded by Boehringer Ingelheim; INPULSIS-1 and INPULSIS-2 ClinicalTrials.gov numbers, NCT01335464 and NCT01335477.).","author":[{"dropping-particle":"","family":"Richeldi","given":"Luca","non-dropping-particle":"","parse-names":false,"suffix":""},{"dropping-particle":"","family":"Bois","given":"Roland M.","non-dropping-particle":"du","parse-names":false,"suffix":""},{"dropping-particle":"","family":"Raghu","given":"Ganesh","non-dropping-particle":"","parse-names":false,"suffix":""},{"dropping-particle":"","family":"Azuma","given":"Arata","non-dropping-particle":"","parse-names":false,"suffix":""},{"dropping-particle":"","family":"Brown","given":"Kevin K.","non-dropping-particle":"","parse-names":false,"suffix":""},{"dropping-particle":"","family":"Costabel","given":"Ulrich","non-dropping-particle":"","parse-names":false,"suffix":""},{"dropping-particle":"","family":"Cottin","given":"Vincent","non-dropping-particle":"","parse-names":false,"suffix":""},{"dropping-particle":"","family":"Flaherty","given":"Kevin R.","non-dropping-particle":"","parse-names":false,"suffix":""},{"dropping-particle":"","family":"Hansell","given":"David M.","non-dropping-particle":"","parse-names":false,"suffix":""},{"dropping-particle":"","family":"Inoue","given":"Yoshikazu","non-dropping-particle":"","parse-names":false,"suffix":""},{"dropping-particle":"","family":"Kim","given":"Dong Soon","non-dropping-particle":"","parse-names":false,"suffix":""},{"dropping-particle":"","family":"Kolb","given":"Martin","non-dropping-particle":"","parse-names":false,"suffix":""},{"dropping-particle":"","family":"Nicholson","given":"Andrew G.","non-dropping-particle":"","parse-names":false,"suffix":""},{"dropping-particle":"","family":"Noble","given":"Paul W.","non-dropping-particle":"","parse-names":false,"suffix":""},{"dropping-particle":"","family":"Selman","given":"Moisés","non-dropping-particle":"","parse-names":false,"suffix":""},{"dropping-particle":"","family":"Taniguchi","given":"Hiroyuki","non-dropping-particle":"","parse-names":false,"suffix":""},{"dropping-particle":"","family":"Brun","given":"Michèle","non-dropping-particle":"","parse-names":false,"suffix":""},{"dropping-particle":"","family":"Maulf","given":"Florence","non-dropping-particle":"Le","parse-names":false,"suffix":""},{"dropping-particle":"","family":"Girard","given":"Mannaïg","non-dropping-particle":"","parse-names":false,"suffix":""},{"dropping-particle":"","family":"Stowasser","given":"Susanne","non-dropping-particle":"","parse-names":false,"suffix":""},{"dropping-particle":"","family":"Schlenker-Herceg","given":"Rozsa","non-dropping-particle":"","parse-names":false,"suffix":""},{"dropping-particle":"","family":"Disse","given":"Bernd","non-dropping-particle":"","parse-names":false,"suffix":""},{"dropping-particle":"","family":"Collard","given":"Harold R.","non-dropping-particle":"","parse-names":false,"suffix":""}],"container-title":"New England Journal of Medicine","id":"ITEM-1","issued":{"date-parts":[["2014"]]},"page":"2071–2082","title":"Efficacy and Safety of Nintedanib in Idiopathic Pulmonary Fibrosis","type":"article-journal","volume":"370"},"uris":["http://www.mendeley.com/documents/?uuid=249e77f1-7334-4f08-a856-d475acbda9f8"]}],"mendeley":{"formattedCitation":"&lt;sup&gt;12&lt;/sup&gt;","plainTextFormattedCitation":"12","previouslyFormattedCitation":"&lt;sup&gt;12&lt;/sup&gt;"},"properties":{"noteIndex":0},"schema":"https://github.com/citation-style-language/schema/raw/master/csl-citation.json"}</w:instrText>
      </w:r>
      <w:r w:rsidR="00261724" w:rsidRPr="00C41FDC">
        <w:rPr>
          <w:color w:val="000000" w:themeColor="text1"/>
          <w:lang w:val="en-US"/>
        </w:rPr>
        <w:fldChar w:fldCharType="separate"/>
      </w:r>
      <w:r w:rsidR="00261724" w:rsidRPr="00C41FDC">
        <w:rPr>
          <w:noProof/>
          <w:color w:val="000000" w:themeColor="text1"/>
          <w:vertAlign w:val="superscript"/>
          <w:lang w:val="en-US"/>
        </w:rPr>
        <w:t>12</w:t>
      </w:r>
      <w:r w:rsidR="00261724" w:rsidRPr="00C41FDC">
        <w:rPr>
          <w:color w:val="000000" w:themeColor="text1"/>
          <w:lang w:val="en-US"/>
        </w:rPr>
        <w:fldChar w:fldCharType="end"/>
      </w:r>
      <w:r w:rsidR="00C64C1D" w:rsidRPr="00C41FDC">
        <w:rPr>
          <w:color w:val="000000" w:themeColor="text1"/>
          <w:lang w:val="en-US"/>
        </w:rPr>
        <w:t xml:space="preserve"> </w:t>
      </w:r>
      <w:r w:rsidR="00787E4A" w:rsidRPr="00C41FDC">
        <w:rPr>
          <w:color w:val="000000" w:themeColor="text1"/>
        </w:rPr>
        <w:t xml:space="preserve">CONSORT flow diagrams for patient </w:t>
      </w:r>
      <w:r w:rsidR="00030D54" w:rsidRPr="00C41FDC">
        <w:rPr>
          <w:color w:val="000000" w:themeColor="text1"/>
        </w:rPr>
        <w:t xml:space="preserve">exclusion criteria </w:t>
      </w:r>
      <w:r w:rsidR="00D20B78" w:rsidRPr="00C41FDC">
        <w:rPr>
          <w:color w:val="000000" w:themeColor="text1"/>
        </w:rPr>
        <w:t xml:space="preserve">are shown in </w:t>
      </w:r>
      <w:r w:rsidR="008D24C9" w:rsidRPr="00C41FDC">
        <w:rPr>
          <w:color w:val="000000" w:themeColor="text1"/>
        </w:rPr>
        <w:t>Figure</w:t>
      </w:r>
      <w:r w:rsidR="00732F12" w:rsidRPr="00C41FDC">
        <w:rPr>
          <w:color w:val="000000" w:themeColor="text1"/>
        </w:rPr>
        <w:t xml:space="preserve"> 1</w:t>
      </w:r>
      <w:r w:rsidR="00D20B78" w:rsidRPr="00C41FDC">
        <w:rPr>
          <w:color w:val="000000" w:themeColor="text1"/>
        </w:rPr>
        <w:t>.</w:t>
      </w:r>
      <w:bookmarkEnd w:id="117"/>
      <w:bookmarkEnd w:id="118"/>
      <w:r w:rsidR="00D20B78" w:rsidRPr="00C41FDC">
        <w:rPr>
          <w:color w:val="000000" w:themeColor="text1"/>
        </w:rPr>
        <w:t xml:space="preserve"> </w:t>
      </w:r>
      <w:r w:rsidR="002272CC" w:rsidRPr="00C41FDC">
        <w:rPr>
          <w:color w:val="000000" w:themeColor="text1"/>
        </w:rPr>
        <w:t xml:space="preserve">Approval </w:t>
      </w:r>
      <w:r w:rsidR="00F744F1" w:rsidRPr="00C41FDC">
        <w:rPr>
          <w:color w:val="000000" w:themeColor="text1"/>
        </w:rPr>
        <w:t xml:space="preserve">for </w:t>
      </w:r>
      <w:r w:rsidR="00C664D3" w:rsidRPr="00C41FDC">
        <w:rPr>
          <w:color w:val="000000" w:themeColor="text1"/>
        </w:rPr>
        <w:t xml:space="preserve">this retrospective study of </w:t>
      </w:r>
      <w:r w:rsidR="006271B8" w:rsidRPr="003A4753">
        <w:rPr>
          <w:color w:val="000000" w:themeColor="text1"/>
        </w:rPr>
        <w:t>clinically indicated</w:t>
      </w:r>
      <w:r w:rsidR="00C664D3" w:rsidRPr="003A4753">
        <w:rPr>
          <w:color w:val="000000" w:themeColor="text1"/>
        </w:rPr>
        <w:t xml:space="preserve"> </w:t>
      </w:r>
      <w:r w:rsidR="002272CC" w:rsidRPr="003A4753">
        <w:rPr>
          <w:color w:val="000000" w:themeColor="text1"/>
        </w:rPr>
        <w:t xml:space="preserve">pulmonary function and CT data was obtained from </w:t>
      </w:r>
      <w:r w:rsidR="00A358DA" w:rsidRPr="003A4753">
        <w:rPr>
          <w:color w:val="000000" w:themeColor="text1"/>
        </w:rPr>
        <w:t>the local research ethics committees and Leeds East Research Ethics Committee: 20/YH/0120</w:t>
      </w:r>
      <w:r w:rsidR="002272CC" w:rsidRPr="003A4753">
        <w:rPr>
          <w:color w:val="000000" w:themeColor="text1"/>
        </w:rPr>
        <w:t xml:space="preserve">. </w:t>
      </w:r>
      <w:r w:rsidR="003A4753" w:rsidRPr="003A4753">
        <w:rPr>
          <w:color w:val="000000" w:themeColor="text1"/>
        </w:rPr>
        <w:t xml:space="preserve">Data statement: </w:t>
      </w:r>
      <w:r w:rsidR="003A4753" w:rsidRPr="003A4753">
        <w:rPr>
          <w:rFonts w:eastAsia="Times New Roman"/>
          <w:color w:val="000000"/>
        </w:rPr>
        <w:t xml:space="preserve">Ethical approval for </w:t>
      </w:r>
      <w:r w:rsidR="003A4753" w:rsidRPr="00E05E8C">
        <w:rPr>
          <w:rFonts w:eastAsia="Times New Roman"/>
          <w:color w:val="000000" w:themeColor="text1"/>
        </w:rPr>
        <w:t>sharing of the data for this study is not available.</w:t>
      </w:r>
      <w:r w:rsidR="00E05E8C" w:rsidRPr="00E05E8C">
        <w:rPr>
          <w:rFonts w:eastAsia="Times New Roman"/>
          <w:color w:val="000000" w:themeColor="text1"/>
        </w:rPr>
        <w:t xml:space="preserve"> </w:t>
      </w:r>
      <w:r w:rsidR="00E05E8C" w:rsidRPr="00E05E8C">
        <w:rPr>
          <w:color w:val="000000" w:themeColor="text1"/>
        </w:rPr>
        <w:t>The STROBE guidelines were adhered to in the design and analysis of this study (see STROBE checklist in online supplement).</w:t>
      </w:r>
    </w:p>
    <w:bookmarkEnd w:id="115"/>
    <w:bookmarkEnd w:id="116"/>
    <w:p w14:paraId="6D85CF38" w14:textId="77777777" w:rsidR="006C1A80" w:rsidRPr="00C41FDC" w:rsidRDefault="006C1A80" w:rsidP="006C1A80">
      <w:pPr>
        <w:pStyle w:val="noindent"/>
        <w:spacing w:before="0" w:beforeAutospacing="0" w:after="0" w:afterAutospacing="0" w:line="480" w:lineRule="auto"/>
        <w:rPr>
          <w:color w:val="000000" w:themeColor="text1"/>
        </w:rPr>
      </w:pPr>
    </w:p>
    <w:p w14:paraId="7684B7F0" w14:textId="571B76B9" w:rsidR="00725BED" w:rsidRPr="00C41FDC" w:rsidRDefault="007C5415" w:rsidP="007B1066">
      <w:pPr>
        <w:pStyle w:val="Heading4"/>
        <w:spacing w:before="0" w:beforeAutospacing="0" w:after="0" w:afterAutospacing="0" w:line="480" w:lineRule="auto"/>
        <w:rPr>
          <w:rFonts w:eastAsia="Times New Roman"/>
          <w:color w:val="000000" w:themeColor="text1"/>
        </w:rPr>
      </w:pPr>
      <w:r w:rsidRPr="00C41FDC">
        <w:rPr>
          <w:rFonts w:eastAsia="Times New Roman"/>
          <w:color w:val="000000" w:themeColor="text1"/>
        </w:rPr>
        <w:t>Visual CT Evaluation</w:t>
      </w:r>
    </w:p>
    <w:p w14:paraId="3B7F3A90" w14:textId="027E8A49" w:rsidR="00C763C7" w:rsidRPr="00C41FDC" w:rsidRDefault="00CD02FD" w:rsidP="00C763C7">
      <w:pPr>
        <w:pStyle w:val="noindent"/>
        <w:spacing w:before="0" w:beforeAutospacing="0" w:after="0" w:afterAutospacing="0" w:line="480" w:lineRule="auto"/>
        <w:rPr>
          <w:color w:val="000000" w:themeColor="text1"/>
        </w:rPr>
      </w:pPr>
      <w:bookmarkStart w:id="121" w:name="OLE_LINK76"/>
      <w:bookmarkStart w:id="122" w:name="OLE_LINK77"/>
      <w:r w:rsidRPr="00C41FDC">
        <w:rPr>
          <w:color w:val="000000" w:themeColor="text1"/>
        </w:rPr>
        <w:lastRenderedPageBreak/>
        <w:t>CT</w:t>
      </w:r>
      <w:r w:rsidR="00F744F1" w:rsidRPr="00C41FDC">
        <w:rPr>
          <w:color w:val="000000" w:themeColor="text1"/>
        </w:rPr>
        <w:t>s</w:t>
      </w:r>
      <w:r w:rsidRPr="00C41FDC">
        <w:rPr>
          <w:color w:val="000000" w:themeColor="text1"/>
        </w:rPr>
        <w:t xml:space="preserve"> </w:t>
      </w:r>
      <w:r w:rsidR="00F744F1" w:rsidRPr="00C41FDC">
        <w:rPr>
          <w:color w:val="000000" w:themeColor="text1"/>
        </w:rPr>
        <w:t xml:space="preserve">had lobar </w:t>
      </w:r>
      <w:r w:rsidR="009B0882" w:rsidRPr="00C41FDC">
        <w:rPr>
          <w:color w:val="000000" w:themeColor="text1"/>
        </w:rPr>
        <w:t xml:space="preserve">percentages </w:t>
      </w:r>
      <w:r w:rsidR="00F744F1" w:rsidRPr="00C41FDC">
        <w:rPr>
          <w:color w:val="000000" w:themeColor="text1"/>
        </w:rPr>
        <w:t xml:space="preserve">of emphysema and ILD visually determined to the nearest 5% </w:t>
      </w:r>
      <w:r w:rsidR="00A358DA" w:rsidRPr="00C41FDC">
        <w:rPr>
          <w:color w:val="000000" w:themeColor="text1"/>
        </w:rPr>
        <w:t>(lingula character</w:t>
      </w:r>
      <w:r w:rsidR="00CF7203" w:rsidRPr="00C41FDC">
        <w:rPr>
          <w:color w:val="000000" w:themeColor="text1"/>
        </w:rPr>
        <w:t>ise</w:t>
      </w:r>
      <w:r w:rsidR="00A358DA" w:rsidRPr="00C41FDC">
        <w:rPr>
          <w:color w:val="000000" w:themeColor="text1"/>
        </w:rPr>
        <w:t xml:space="preserve">d as a sixth lobe) </w:t>
      </w:r>
      <w:r w:rsidRPr="00C41FDC">
        <w:rPr>
          <w:color w:val="000000" w:themeColor="text1"/>
        </w:rPr>
        <w:t xml:space="preserve">by a </w:t>
      </w:r>
      <w:r w:rsidR="00F744F1" w:rsidRPr="00C41FDC">
        <w:rPr>
          <w:color w:val="000000" w:themeColor="text1"/>
        </w:rPr>
        <w:t xml:space="preserve">subspecialist </w:t>
      </w:r>
      <w:r w:rsidRPr="00C41FDC">
        <w:rPr>
          <w:color w:val="000000" w:themeColor="text1"/>
        </w:rPr>
        <w:t xml:space="preserve">radiologist (JJ) with </w:t>
      </w:r>
      <w:r w:rsidR="00A358DA" w:rsidRPr="00C41FDC">
        <w:rPr>
          <w:color w:val="000000" w:themeColor="text1"/>
        </w:rPr>
        <w:t>13</w:t>
      </w:r>
      <w:r w:rsidR="007043A2" w:rsidRPr="00C41FDC">
        <w:rPr>
          <w:color w:val="000000" w:themeColor="text1"/>
        </w:rPr>
        <w:t>-</w:t>
      </w:r>
      <w:r w:rsidRPr="00C41FDC">
        <w:rPr>
          <w:color w:val="000000" w:themeColor="text1"/>
        </w:rPr>
        <w:t xml:space="preserve">years thoracic imaging experience. </w:t>
      </w:r>
      <w:r w:rsidR="00A60545" w:rsidRPr="00C41FDC">
        <w:rPr>
          <w:color w:val="000000" w:themeColor="text1"/>
        </w:rPr>
        <w:t>B</w:t>
      </w:r>
      <w:r w:rsidR="00C763C7" w:rsidRPr="00C41FDC">
        <w:rPr>
          <w:color w:val="000000" w:themeColor="text1"/>
        </w:rPr>
        <w:t xml:space="preserve">aseline average </w:t>
      </w:r>
      <w:r w:rsidR="009B0882" w:rsidRPr="00C41FDC">
        <w:rPr>
          <w:color w:val="000000" w:themeColor="text1"/>
        </w:rPr>
        <w:t xml:space="preserve">percentages </w:t>
      </w:r>
      <w:r w:rsidR="00C763C7" w:rsidRPr="00C41FDC">
        <w:rPr>
          <w:color w:val="000000" w:themeColor="text1"/>
        </w:rPr>
        <w:t xml:space="preserve">of </w:t>
      </w:r>
      <w:r w:rsidR="00F744F1" w:rsidRPr="00C41FDC">
        <w:rPr>
          <w:color w:val="000000" w:themeColor="text1"/>
        </w:rPr>
        <w:t xml:space="preserve">emphysema and ILD </w:t>
      </w:r>
      <w:r w:rsidR="004C49C1" w:rsidRPr="00C41FDC">
        <w:rPr>
          <w:color w:val="000000" w:themeColor="text1"/>
        </w:rPr>
        <w:t xml:space="preserve">across the six lobes </w:t>
      </w:r>
      <w:r w:rsidR="00C763C7" w:rsidRPr="00C41FDC">
        <w:rPr>
          <w:color w:val="000000" w:themeColor="text1"/>
        </w:rPr>
        <w:t>were summed as a morphological measure of baseline disease severity as previously described</w:t>
      </w:r>
      <w:r w:rsidR="00DD5711" w:rsidRPr="00C41FDC">
        <w:rPr>
          <w:color w:val="000000" w:themeColor="text1"/>
        </w:rPr>
        <w:t>.</w:t>
      </w:r>
      <w:r w:rsidR="00C763C7" w:rsidRPr="00C41FDC">
        <w:rPr>
          <w:color w:val="000000" w:themeColor="text1"/>
        </w:rPr>
        <w:fldChar w:fldCharType="begin" w:fldLock="1"/>
      </w:r>
      <w:r w:rsidR="00C564FA" w:rsidRPr="00C41FDC">
        <w:rPr>
          <w:color w:val="000000" w:themeColor="text1"/>
        </w:rPr>
        <w:instrText>ADDIN CSL_CITATION {"citationItems":[{"id":"ITEM-1","itemData":{"DOI":"10.1183/13993003.00379-2017","ISSN":"13993003","PMID":"28679612","abstract":"This study aimed to investigate whether the combination of fibrosis and emphysema has a greater effect than the sum of its parts on functional indices and outcome in idiopathic pulmonary fibrosis (IPF), using visual and computer-based (CALIPER) computed tomography (CT) analysis. Consecutive patients (n=272) with a multidisciplinary IPF diagnosis had the extent of interstitial lung disease (ILD) scored visually and by CALIPER. Visually scored emphysema was subcategorised as isolated or mixed with fibrotic lung. The CT scores were evaluated against functional indices forced vital capacity (FVC), diffusing capacity of the lungs for carbon monoxide (DLCO), transfer coefficient of the lung for carbon monoxide (KCO), composite physiologic index (CPI)) and mortality. The presence and extent of emphysema had no impact on survival. Results were maintained following correction for age, gender, smoking status and baseline severity using DLCO, and combined visual emphysema and ILD extent. Visual emphysema quantitation indicated that relative preservation of lung volumes (FVC) resulted from tractionally dilated airways within fibrotic lung, ventilating areas of admixed emphysema (p&lt;0.0001), with no independent effect on FVC from isolated emphysema. Conversely, only isolated emphysema (p&lt;0.0001) reduced gas transfer (DLCO). There is no prognostic impact of emphysema in IPF, beyond that explained by the additive extents of both fibrosis and emphysema. With respect to the location of pulmonary fibrosis, emphysema distribution determines the functional effects of emphysema.","author":[{"dropping-particle":"","family":"Jacob","given":"Joseph","non-dropping-particle":"","parse-names":false,"suffix":""},{"dropping-particle":"","family":"Bartholmai","given":"Brian J.","non-dropping-particle":"","parse-names":false,"suffix":""},{"dropping-particle":"","family":"Rajagopalan","given":"Srinivasan","non-dropping-particle":"","parse-names":false,"suffix":""},{"dropping-particle":"","family":"Kokosi","given":"Maria","non-dropping-particle":"","parse-names":false,"suffix":""},{"dropping-particle":"","family":"Maher","given":"Toby M.","non-dropping-particle":"","parse-names":false,"suffix":""},{"dropping-particle":"","family":"Nair","given":"Arjun","non-dropping-particle":"","parse-names":false,"suffix":""},{"dropping-particle":"","family":"Karwoski","given":"Ronald","non-dropping-particle":"","parse-names":false,"suffix":""},{"dropping-particle":"","family":"Renzoni","given":"Elisabetta","non-dropping-particle":"","parse-names":false,"suffix":""},{"dropping-particle":"","family":"Walsh","given":"Simon L.F.","non-dropping-particle":"","parse-names":false,"suffix":""},{"dropping-particle":"","family":"Hansell","given":"David M.","non-dropping-particle":"","parse-names":false,"suffix":""},{"dropping-particle":"","family":"Wells","given":"Athol U.","non-dropping-particle":"","parse-names":false,"suffix":""}],"container-title":"European Respiratory Journal","id":"ITEM-1","issue":"1","issued":{"date-parts":[["2017"]]},"title":"Functional and prognostic effects when emphysema complicates idiopathic pulmonary fibrosis","type":"article-journal","volume":"50"},"uris":["http://www.mendeley.com/documents/?uuid=e71f9b21-0703-4898-bd3a-3611288f1d05"]}],"mendeley":{"formattedCitation":"&lt;sup&gt;10&lt;/sup&gt;","plainTextFormattedCitation":"10","previouslyFormattedCitation":"&lt;sup&gt;10&lt;/sup&gt;"},"properties":{"noteIndex":0},"schema":"https://github.com/citation-style-language/schema/raw/master/csl-citation.json"}</w:instrText>
      </w:r>
      <w:r w:rsidR="00C763C7" w:rsidRPr="00C41FDC">
        <w:rPr>
          <w:color w:val="000000" w:themeColor="text1"/>
        </w:rPr>
        <w:fldChar w:fldCharType="separate"/>
      </w:r>
      <w:r w:rsidR="00C564FA" w:rsidRPr="00C41FDC">
        <w:rPr>
          <w:noProof/>
          <w:color w:val="000000" w:themeColor="text1"/>
          <w:vertAlign w:val="superscript"/>
        </w:rPr>
        <w:t>10</w:t>
      </w:r>
      <w:r w:rsidR="00C763C7" w:rsidRPr="00C41FDC">
        <w:rPr>
          <w:color w:val="000000" w:themeColor="text1"/>
        </w:rPr>
        <w:fldChar w:fldCharType="end"/>
      </w:r>
    </w:p>
    <w:p w14:paraId="6F420D74" w14:textId="00B940AC" w:rsidR="00D20B78" w:rsidRPr="00C41FDC" w:rsidRDefault="00D20B78" w:rsidP="00235AF9">
      <w:pPr>
        <w:pStyle w:val="noindent"/>
        <w:spacing w:before="0" w:beforeAutospacing="0" w:after="0" w:afterAutospacing="0" w:line="480" w:lineRule="auto"/>
        <w:rPr>
          <w:color w:val="000000" w:themeColor="text1"/>
        </w:rPr>
      </w:pPr>
      <w:r w:rsidRPr="00C41FDC">
        <w:rPr>
          <w:color w:val="000000" w:themeColor="text1"/>
        </w:rPr>
        <w:t xml:space="preserve"> </w:t>
      </w:r>
    </w:p>
    <w:p w14:paraId="5DF2BC22" w14:textId="4C38E635" w:rsidR="00751822" w:rsidRPr="00C41FDC" w:rsidRDefault="00751822" w:rsidP="00235AF9">
      <w:pPr>
        <w:pStyle w:val="noindent"/>
        <w:spacing w:before="0" w:beforeAutospacing="0" w:after="0" w:afterAutospacing="0" w:line="480" w:lineRule="auto"/>
        <w:rPr>
          <w:b/>
          <w:bCs/>
          <w:color w:val="000000" w:themeColor="text1"/>
        </w:rPr>
      </w:pPr>
      <w:r w:rsidRPr="00C41FDC">
        <w:rPr>
          <w:b/>
          <w:bCs/>
          <w:color w:val="000000" w:themeColor="text1"/>
        </w:rPr>
        <w:t>PPFE Evaluation on CT</w:t>
      </w:r>
    </w:p>
    <w:p w14:paraId="327488B6" w14:textId="623BF8EE" w:rsidR="00725BED" w:rsidRPr="00C41FDC" w:rsidRDefault="00751822" w:rsidP="00235AF9">
      <w:pPr>
        <w:pStyle w:val="noindent"/>
        <w:spacing w:before="0" w:beforeAutospacing="0" w:after="0" w:afterAutospacing="0" w:line="480" w:lineRule="auto"/>
        <w:rPr>
          <w:color w:val="000000" w:themeColor="text1"/>
        </w:rPr>
      </w:pPr>
      <w:r w:rsidRPr="00C41FDC">
        <w:rPr>
          <w:rFonts w:eastAsia="Times New Roman"/>
          <w:color w:val="000000" w:themeColor="text1"/>
        </w:rPr>
        <w:t xml:space="preserve">The PPFE described on CT imaging in this study is radiological PPFE and will henceforth be referred to as PPFE throughout the manuscript. </w:t>
      </w:r>
      <w:r w:rsidRPr="00C41FDC">
        <w:rPr>
          <w:color w:val="000000" w:themeColor="text1"/>
        </w:rPr>
        <w:t>Visual PPFE was defined as pleurally-based triangular dense opacities (</w:t>
      </w:r>
      <w:r w:rsidR="006B126A" w:rsidRPr="00C41FDC">
        <w:rPr>
          <w:color w:val="000000" w:themeColor="text1"/>
        </w:rPr>
        <w:t>Figure 2</w:t>
      </w:r>
      <w:r w:rsidRPr="00C41FDC">
        <w:rPr>
          <w:color w:val="000000" w:themeColor="text1"/>
        </w:rPr>
        <w:t>), occurring caudal to the upper 0.5cm of the lung apices as per previous definitions.</w:t>
      </w:r>
      <w:r w:rsidR="0091233E" w:rsidRPr="00C41FDC">
        <w:rPr>
          <w:color w:val="000000" w:themeColor="text1"/>
        </w:rPr>
        <w:fldChar w:fldCharType="begin" w:fldLock="1"/>
      </w:r>
      <w:r w:rsidR="00933BDC" w:rsidRPr="00C41FDC">
        <w:rPr>
          <w:color w:val="000000" w:themeColor="text1"/>
        </w:rPr>
        <w:instrText>ADDIN CSL_CITATION {"citationItems":[{"id":"ITEM-1","itemData":{"DOI":"10.1183/13993003.02135-2019","ISSN":"13993003","PMID":"32299855","abstract":"Interstitial lung disease (ILD) in systemic sclerosis (SSc) is a major cause of morbidity and mortality, mostly presenting as non-specific interstitial pneumonia. Little is known about the prevalence of pleuroparenchymal fibroelastosis (PPFE), a specific entity affecting the visceral pleura and subpleural parenchyma. We set out to estimate PPFE prevalence in two large cohorts of SSc patients and to assess its impact on survival and functional decline. A total of 359 SSc patients, derived from two referral centres in two different countries (UK and Italy), were included. The first available high-resolution computed tomography scan was independently evaluated by two radiologists blind to clinical information, to quantify ILD extent, freestanding bronchial abnormalities, and lobar percentage involvement of PPFE on a four-point categorical scale. Discordant scores were adjudicated by a third scorer. PPFE extent was further classified as limited (≤2/18) or extensive (&gt;2/18). Results were evaluated against functional decline and mortality. The overall prevalence of PPFE in the combined SSc population was 18% (11% with extensive PPFE), with no substantial difference between the two cohorts. PPFE was significantly linked to free-standing bronchial abnormalities (61% versus 25% in PPFE versus no PPFE; p&lt;0.0001) and to worse survival, independently of ILD severity or short-term lung function changes (HR 1.89, 95% CI 1.10.3.25; p=0.005). In the current study, we provide an exhaustive description of PPFE prevalence and clinical impact in the largest cohort of SSc subjects published so far. PPFE presence should be carefully considered, due to its significant prognostic implications.","author":[{"dropping-particle":"","family":"Bonifazi","given":"Martina","non-dropping-particle":"","parse-names":false,"suffix":""},{"dropping-particle":"","family":"Sverzellati","given":"Nicola","non-dropping-particle":"","parse-names":false,"suffix":""},{"dropping-particle":"","family":"Negri","given":"Eva","non-dropping-particle":"","parse-names":false,"suffix":""},{"dropping-particle":"","family":"Jacob","given":"Joseph","non-dropping-particle":"","parse-names":false,"suffix":""},{"dropping-particle":"","family":"Egashira","given":"Ryoko","non-dropping-particle":"","parse-names":false,"suffix":""},{"dropping-particle":"","family":"Moser","given":"Joanna","non-dropping-particle":"","parse-names":false,"suffix":""},{"dropping-particle":"","family":"Piciucchi","given":"Sara","non-dropping-particle":"","parse-names":false,"suffix":""},{"dropping-particle":"","family":"Mei","given":"Federico","non-dropping-particle":"","parse-names":false,"suffix":""},{"dropping-particle":"","family":"Lauretis","given":"Angelo","non-dropping-particle":"De","parse-names":false,"suffix":""},{"dropping-particle":"","family":"Visca","given":"Dina","non-dropping-particle":"","parse-names":false,"suffix":""},{"dropping-particle":"","family":"Goh","given":"Nicole","non-dropping-particle":"","parse-names":false,"suffix":""},{"dropping-particle":"","family":"Bonini","given":"Matteo","non-dropping-particle":"","parse-names":false,"suffix":""},{"dropping-particle":"","family":"Cirilli","given":"Laura","non-dropping-particle":"","parse-names":false,"suffix":""},{"dropping-particle":"","family":"Vecchia","given":"Carlo","non-dropping-particle":"La","parse-names":false,"suffix":""},{"dropping-particle":"","family":"Chua","given":"Felix","non-dropping-particle":"","parse-names":false,"suffix":""},{"dropping-particle":"","family":"Kouranos","given":"Vasileios","non-dropping-particle":"","parse-names":false,"suffix":""},{"dropping-particle":"","family":"Margaritopoulos","given":"George","non-dropping-particle":"","parse-names":false,"suffix":""},{"dropping-particle":"","family":"Kokosi","given":"Maria","non-dropping-particle":"","parse-names":false,"suffix":""},{"dropping-particle":"","family":"Maher","given":"Toby M.","non-dropping-particle":"","parse-names":false,"suffix":""},{"dropping-particle":"","family":"Gasparini","given":"Stefano","non-dropping-particle":"","parse-names":false,"suffix":""},{"dropping-particle":"","family":"Gabrielli","given":"Armando","non-dropping-particle":"","parse-names":false,"suffix":""},{"dropping-particle":"","family":"Wells","given":"Athol U.","non-dropping-particle":"","parse-names":false,"suffix":""},{"dropping-particle":"","family":"Renzoni","given":"Elisabetta A.","non-dropping-particle":"","parse-names":false,"suffix":""}],"container-title":"European Respiratory Journal","id":"ITEM-1","issued":{"date-parts":[["2020"]]},"title":"Pleuroparenchymal fibroelastosis in systemic sclerosis: Prevalence and prognostic impact","type":"article-journal"},"uris":["http://www.mendeley.com/documents/?uuid=87772415-dda4-4067-abc4-fe9b2cbe4592"]},{"id":"ITEM-2","itemData":{"DOI":"10.1016/j.rmed.2018.03.031","ISSN":"15323064","PMID":"29724400","abstract":"BACKGROUND: Pleuroparenchymal fibroelastosis (PPFE) has been described in hypersensitivity pneumonitis (HP) yet its functional implications are unclear. Combined pulmonary fibrosis and emphysema (CPFE) has occasionally been described in never-smokers with HP, but epidemiological data regarding its prevalence is sparse. CTs in a large HP cohort were therefore examined to identify the prevalence and effects of PPFE and emphysema. Methods: 233 HP patients had CT extents of interstitial lung disease (ILD) and emphysema quantified to the nearest 5%. Lobar percentage pleural involvement of PPFE was quantified on a 4-point categorical scale: 0 = absent, 1 = affecting &lt;10%, 2 = affecting 10–33%, 3 = affecting &gt;33%. Marked PPFE reflected a total lung score of ≥3/18. Results were evaluated against FVC, DLco and mortality. RESULTS: Marked PPFE prevalence was 23% whilst 23% of never-smokers had emphysema. Following adjustment for patient age, gender, smoking status, and ILD and emphysema extents, marked PPFE independently linked to reduced baseline FVC (p = 0.0002) and DLco (p = 0.002) and when examined alongside the same covariates, independently linked to worsened survival (p = 0.01). CPFE in HP demonstrated a characteristic functional profile of artificial lung volume preservation and disproportionate DLco reduction. CPFE did not demonstrate a worsened outcome when compared to HP patients without emphysema beyond that explained by CT extents of ILD and emphysema. CONCLUSIONS: PPFE is not uncommon in HP, and is independently associated with impaired lung function and increased mortality. Emphysema was identified in 23% of HP never-smokers. CPFE appears not to link to a malignant microvascular phenotype as outcome is explained by ILD and emphysema extents.","author":[{"dropping-particle":"","family":"Jacob","given":"Joseph","non-dropping-particle":"","parse-names":false,"suffix":""},{"dropping-particle":"","family":"Odink","given":"Arlette","non-dropping-particle":"","parse-names":false,"suffix":""},{"dropping-particle":"","family":"Brun","given":"Anne Laure","non-dropping-particle":"","parse-names":false,"suffix":""},{"dropping-particle":"","family":"Macaluso","given":"Claudio","non-dropping-particle":"","parse-names":false,"suffix":""},{"dropping-particle":"","family":"Lauretis","given":"Angelo","non-dropping-particle":"de","parse-names":false,"suffix":""},{"dropping-particle":"","family":"Kokosi","given":"Maria","non-dropping-particle":"","parse-names":false,"suffix":""},{"dropping-particle":"","family":"Devaraj","given":"Anand","non-dropping-particle":"","parse-names":false,"suffix":""},{"dropping-particle":"","family":"Desai","given":"Sujal","non-dropping-particle":"","parse-names":false,"suffix":""},{"dropping-particle":"","family":"Renzoni","given":"Elisabetta","non-dropping-particle":"","parse-names":false,"suffix":""},{"dropping-particle":"","family":"Wells","given":"Athol U.","non-dropping-particle":"","parse-names":false,"suffix":""}],"container-title":"Respiratory Medicine","id":"ITEM-2","issue":"5","issued":{"date-parts":[["2018"]]},"page":"95–101","title":"Functional associations of pleuroparenchymal fibroelastosis and emphysema with hypersensitivity pneumonitis","type":"article-journal","volume":"138"},"uris":["http://www.mendeley.com/documents/?uuid=1e601dc0-48de-4ac9-a90e-4b08a7006ce9"]}],"mendeley":{"formattedCitation":"&lt;sup&gt;7,8&lt;/sup&gt;","plainTextFormattedCitation":"7,8","previouslyFormattedCitation":"&lt;sup&gt;7,8&lt;/sup&gt;"},"properties":{"noteIndex":0},"schema":"https://github.com/citation-style-language/schema/raw/master/csl-citation.json"}</w:instrText>
      </w:r>
      <w:r w:rsidR="0091233E" w:rsidRPr="00C41FDC">
        <w:rPr>
          <w:color w:val="000000" w:themeColor="text1"/>
        </w:rPr>
        <w:fldChar w:fldCharType="separate"/>
      </w:r>
      <w:r w:rsidR="0091233E" w:rsidRPr="00C41FDC">
        <w:rPr>
          <w:noProof/>
          <w:color w:val="000000" w:themeColor="text1"/>
          <w:vertAlign w:val="superscript"/>
        </w:rPr>
        <w:t>7,8</w:t>
      </w:r>
      <w:r w:rsidR="0091233E" w:rsidRPr="00C41FDC">
        <w:rPr>
          <w:color w:val="000000" w:themeColor="text1"/>
        </w:rPr>
        <w:fldChar w:fldCharType="end"/>
      </w:r>
      <w:r w:rsidRPr="00C41FDC">
        <w:rPr>
          <w:color w:val="000000" w:themeColor="text1"/>
        </w:rPr>
        <w:t xml:space="preserve"> Visual PPFE</w:t>
      </w:r>
      <w:r w:rsidR="00F744F1" w:rsidRPr="00C41FDC">
        <w:rPr>
          <w:color w:val="000000" w:themeColor="text1"/>
        </w:rPr>
        <w:t xml:space="preserve"> </w:t>
      </w:r>
      <w:r w:rsidR="00202CBE" w:rsidRPr="00C41FDC">
        <w:rPr>
          <w:color w:val="000000" w:themeColor="text1"/>
        </w:rPr>
        <w:t xml:space="preserve">was </w:t>
      </w:r>
      <w:r w:rsidR="00A60545" w:rsidRPr="00C41FDC">
        <w:rPr>
          <w:color w:val="000000" w:themeColor="text1"/>
        </w:rPr>
        <w:t xml:space="preserve">quantified </w:t>
      </w:r>
      <w:r w:rsidR="00CD02FD" w:rsidRPr="00C41FDC">
        <w:rPr>
          <w:color w:val="000000" w:themeColor="text1"/>
        </w:rPr>
        <w:t xml:space="preserve">on a lobar basis </w:t>
      </w:r>
      <w:r w:rsidR="00F744F1" w:rsidRPr="00C41FDC">
        <w:rPr>
          <w:color w:val="000000" w:themeColor="text1"/>
        </w:rPr>
        <w:t>us</w:t>
      </w:r>
      <w:r w:rsidR="00202CBE" w:rsidRPr="00C41FDC">
        <w:rPr>
          <w:color w:val="000000" w:themeColor="text1"/>
        </w:rPr>
        <w:t>ing</w:t>
      </w:r>
      <w:r w:rsidR="00F744F1" w:rsidRPr="00C41FDC">
        <w:rPr>
          <w:color w:val="000000" w:themeColor="text1"/>
        </w:rPr>
        <w:t xml:space="preserve"> </w:t>
      </w:r>
      <w:r w:rsidR="00CD02FD" w:rsidRPr="00C41FDC">
        <w:rPr>
          <w:color w:val="000000" w:themeColor="text1"/>
        </w:rPr>
        <w:t>previously defined CT criteria</w:t>
      </w:r>
      <w:r w:rsidR="00064940" w:rsidRPr="00C41FDC">
        <w:rPr>
          <w:color w:val="000000" w:themeColor="text1"/>
        </w:rPr>
        <w:t>:</w:t>
      </w:r>
      <w:r w:rsidR="00CD02FD" w:rsidRPr="00C41FDC">
        <w:rPr>
          <w:color w:val="000000" w:themeColor="text1"/>
        </w:rPr>
        <w:fldChar w:fldCharType="begin" w:fldLock="1"/>
      </w:r>
      <w:r w:rsidR="002C459D">
        <w:rPr>
          <w:color w:val="000000" w:themeColor="text1"/>
        </w:rPr>
        <w:instrText>ADDIN CSL_CITATION {"citationItems":[{"id":"ITEM-1","itemData":{"DOI":"10.1378/chest.126.6.2007","ISSN":"00123692","PMID":"15596706","abstract":"Between 1996 and 2001, we identified five cases of a unique idiopathic pleuroparenchymal lung disease characterized by a clinical presentation suggestive of a chronic idiopathic interstitial pneumonia, marked pleural and parenchymal radiographic involvement with an upper lobe predominance, and surgical lung biopsy findings that did not fit with any of the currently defined interstitial pneumonias. The pathologic findings included the following: (1) intense fibrosis of the visceral pleura; (2) prominent, homogenous, subpleural fibroelastosis; (3) sparing of the parenchyma distant from the pleura; (4) mild, patchy lymphoplasmacytic infiltrates; and (5) small numbers of fibroblastic foci present at the leading edge of the fibrosis. In this report, we characterize the clinical, radiographic, physiologic, and pathologic findings of this entity, which we term idiopathic pleuroparenchymal fibroelastosis.","author":[{"dropping-particle":"","family":"Frankel","given":"Stephen K.","non-dropping-particle":"","parse-names":false,"suffix":""},{"dropping-particle":"","family":"Cool","given":"Carlyne D.","non-dropping-particle":"","parse-names":false,"suffix":""},{"dropping-particle":"","family":"Lynch","given":"David A.","non-dropping-particle":"","parse-names":false,"suffix":""},{"dropping-particle":"","family":"Brown","given":"Kevin K.","non-dropping-particle":"","parse-names":false,"suffix":""}],"container-title":"Chest","id":"ITEM-1","issue":"6","issued":{"date-parts":[["2004"]]},"page":"2007–2013","title":"Idiopathic pleuroparenchymal fibroelastosis: Description of a novel clinicopathologic entity","type":"article-journal","volume":"126"},"uris":["http://www.mendeley.com/documents/?uuid=18f5eede-00ea-42eb-8251-e562ebe2fd42"]},{"id":"ITEM-2","itemData":{"DOI":"10.1038/modpathol.2008.56","ISSN":"15300285","PMID":"18408658","abstract":"Idiopathic pleuroparenchymal fibroelastosis is a rare recently described entity likely to be under- and misdiagnosed, as awareness of this entity is not yet widespread. We report two cases that show the need to include this disease in the differential diagnosis of patients with predominantly pleural and subpleural fibrotic processes. The condition is a fibrotic thickening of the pleura and subpleural parenchyma due to elastic fiber proliferation predominantly in the upper lobes. Performing elastic fiber stains routinely in patients with fibrosis of this distribution may, therefore, aid in establishing the diagnosis and differentiating it from usual interstitial pneumonia/idiopathic pulmonary fibrosis. These patients may be prone to the development of secondary spontaneous pneumothoraces and persistent postoperative bronchopleural fistulae. Continued study of newly diagnosed cases may uncover shared characteristics or features helpful in generating an etiologic hypothesis. Only with better understanding of this disease can we hope in the future to be able to offer treatments other than supportive care and ultimately lung transplantation, which are the only therapeutic options available today. © 2008 USCAP, Inc All rights reserved.","author":[{"dropping-particle":"","family":"Becker","given":"Christian D.","non-dropping-particle":"","parse-names":false,"suffix":""},{"dropping-particle":"","family":"Gil","given":"Joan","non-dropping-particle":"","parse-names":false,"suffix":""},{"dropping-particle":"","family":"Padilla","given":"Maria L.","non-dropping-particle":"","parse-names":false,"suffix":""}],"container-title":"Modern Pathology","id":"ITEM-2","issued":{"date-parts":[["2008"]]},"page":"784–787","title":"Idiopathic pleuroparenchymal fibroelastosis: An unrecognized or misdiagnosed entity?","type":"article-journal","volume":"21"},"uris":["http://www.mendeley.com/documents/?uuid=e9826948-f258-4b25-95cb-bbfd7bae41ff"]}],"mendeley":{"formattedCitation":"&lt;sup&gt;13,14&lt;/sup&gt;","plainTextFormattedCitation":"13,14","previouslyFormattedCitation":"&lt;sup&gt;13,14&lt;/sup&gt;"},"properties":{"noteIndex":0},"schema":"https://github.com/citation-style-language/schema/raw/master/csl-citation.json"}</w:instrText>
      </w:r>
      <w:r w:rsidR="00CD02FD" w:rsidRPr="00C41FDC">
        <w:rPr>
          <w:color w:val="000000" w:themeColor="text1"/>
        </w:rPr>
        <w:fldChar w:fldCharType="separate"/>
      </w:r>
      <w:r w:rsidR="00933BDC" w:rsidRPr="00C41FDC">
        <w:rPr>
          <w:noProof/>
          <w:color w:val="000000" w:themeColor="text1"/>
          <w:vertAlign w:val="superscript"/>
        </w:rPr>
        <w:t>13,14</w:t>
      </w:r>
      <w:r w:rsidR="00CD02FD" w:rsidRPr="00C41FDC">
        <w:rPr>
          <w:color w:val="000000" w:themeColor="text1"/>
        </w:rPr>
        <w:fldChar w:fldCharType="end"/>
      </w:r>
      <w:r w:rsidR="005C10AE" w:rsidRPr="00C41FDC">
        <w:rPr>
          <w:color w:val="000000" w:themeColor="text1"/>
        </w:rPr>
        <w:t xml:space="preserve"> 0=absent, 1=PPFE affecting &lt;10% of lobe’s pleural surface, 2=</w:t>
      </w:r>
      <w:r w:rsidR="00B52199" w:rsidRPr="00C41FDC">
        <w:rPr>
          <w:color w:val="000000" w:themeColor="text1"/>
        </w:rPr>
        <w:t xml:space="preserve">PPFE </w:t>
      </w:r>
      <w:r w:rsidR="005C10AE" w:rsidRPr="00C41FDC">
        <w:rPr>
          <w:color w:val="000000" w:themeColor="text1"/>
        </w:rPr>
        <w:t>affecting 10–33% of lobe’s pleural surface, 3=</w:t>
      </w:r>
      <w:r w:rsidR="00B52199" w:rsidRPr="00C41FDC">
        <w:rPr>
          <w:color w:val="000000" w:themeColor="text1"/>
        </w:rPr>
        <w:t xml:space="preserve">PPFE </w:t>
      </w:r>
      <w:r w:rsidR="005C10AE" w:rsidRPr="00C41FDC">
        <w:rPr>
          <w:color w:val="000000" w:themeColor="text1"/>
        </w:rPr>
        <w:t>affecting &gt;33% of lobe’s pleural surface</w:t>
      </w:r>
      <w:r w:rsidR="00E2493A" w:rsidRPr="00C41FDC">
        <w:rPr>
          <w:color w:val="000000" w:themeColor="text1"/>
        </w:rPr>
        <w:t>.</w:t>
      </w:r>
      <w:r w:rsidR="005C10AE" w:rsidRPr="00C41FDC">
        <w:rPr>
          <w:color w:val="000000" w:themeColor="text1"/>
        </w:rPr>
        <w:fldChar w:fldCharType="begin" w:fldLock="1"/>
      </w:r>
      <w:r w:rsidR="00C564FA" w:rsidRPr="00C41FDC">
        <w:rPr>
          <w:color w:val="000000" w:themeColor="text1"/>
        </w:rPr>
        <w:instrText>ADDIN CSL_CITATION {"citationItems":[{"id":"ITEM-1","itemData":{"DOI":"10.1016/j.rmed.2018.03.031","ISSN":"15323064","PMID":"29724400","abstract":"BACKGROUND: Pleuroparenchymal fibroelastosis (PPFE) has been described in hypersensitivity pneumonitis (HP) yet its functional implications are unclear. Combined pulmonary fibrosis and emphysema (CPFE) has occasionally been described in never-smokers with HP, but epidemiological data regarding its prevalence is sparse. CTs in a large HP cohort were therefore examined to identify the prevalence and effects of PPFE and emphysema. Methods: 233 HP patients had CT extents of interstitial lung disease (ILD) and emphysema quantified to the nearest 5%. Lobar percentage pleural involvement of PPFE was quantified on a 4-point categorical scale: 0 = absent, 1 = affecting &lt;10%, 2 = affecting 10–33%, 3 = affecting &gt;33%. Marked PPFE reflected a total lung score of ≥3/18. Results were evaluated against FVC, DLco and mortality. RESULTS: Marked PPFE prevalence was 23% whilst 23% of never-smokers had emphysema. Following adjustment for patient age, gender, smoking status, and ILD and emphysema extents, marked PPFE independently linked to reduced baseline FVC (p = 0.0002) and DLco (p = 0.002) and when examined alongside the same covariates, independently linked to worsened survival (p = 0.01). CPFE in HP demonstrated a characteristic functional profile of artificial lung volume preservation and disproportionate DLco reduction. CPFE did not demonstrate a worsened outcome when compared to HP patients without emphysema beyond that explained by CT extents of ILD and emphysema. CONCLUSIONS: PPFE is not uncommon in HP, and is independently associated with impaired lung function and increased mortality. Emphysema was identified in 23% of HP never-smokers. CPFE appears not to link to a malignant microvascular phenotype as outcome is explained by ILD and emphysema extents.","author":[{"dropping-particle":"","family":"Jacob","given":"Joseph","non-dropping-particle":"","parse-names":false,"suffix":""},{"dropping-particle":"","family":"Odink","given":"Arlette","non-dropping-particle":"","parse-names":false,"suffix":""},{"dropping-particle":"","family":"Brun","given":"Anne Laure","non-dropping-particle":"","parse-names":false,"suffix":""},{"dropping-particle":"","family":"Macaluso","given":"Claudio","non-dropping-particle":"","parse-names":false,"suffix":""},{"dropping-particle":"","family":"Lauretis","given":"Angelo","non-dropping-particle":"de","parse-names":false,"suffix":""},{"dropping-particle":"","family":"Kokosi","given":"Maria","non-dropping-particle":"","parse-names":false,"suffix":""},{"dropping-particle":"","family":"Devaraj","given":"Anand","non-dropping-particle":"","parse-names":false,"suffix":""},{"dropping-particle":"","family":"Desai","given":"Sujal","non-dropping-particle":"","parse-names":false,"suffix":""},{"dropping-particle":"","family":"Renzoni","given":"Elisabetta","non-dropping-particle":"","parse-names":false,"suffix":""},{"dropping-particle":"","family":"Wells","given":"Athol U.","non-dropping-particle":"","parse-names":false,"suffix":""}],"container-title":"Respiratory Medicine","id":"ITEM-1","issue":"5","issued":{"date-parts":[["2018"]]},"page":"95–101","title":"Functional associations of pleuroparenchymal fibroelastosis and emphysema with hypersensitivity pneumonitis","type":"article-journal","volume":"138"},"uris":["http://www.mendeley.com/documents/?uuid=1e601dc0-48de-4ac9-a90e-4b08a7006ce9"]}],"mendeley":{"formattedCitation":"&lt;sup&gt;7&lt;/sup&gt;","plainTextFormattedCitation":"7","previouslyFormattedCitation":"&lt;sup&gt;7&lt;/sup&gt;"},"properties":{"noteIndex":0},"schema":"https://github.com/citation-style-language/schema/raw/master/csl-citation.json"}</w:instrText>
      </w:r>
      <w:r w:rsidR="005C10AE" w:rsidRPr="00C41FDC">
        <w:rPr>
          <w:color w:val="000000" w:themeColor="text1"/>
        </w:rPr>
        <w:fldChar w:fldCharType="separate"/>
      </w:r>
      <w:r w:rsidR="00C564FA" w:rsidRPr="00C41FDC">
        <w:rPr>
          <w:noProof/>
          <w:color w:val="000000" w:themeColor="text1"/>
          <w:vertAlign w:val="superscript"/>
        </w:rPr>
        <w:t>7</w:t>
      </w:r>
      <w:r w:rsidR="005C10AE" w:rsidRPr="00C41FDC">
        <w:rPr>
          <w:color w:val="000000" w:themeColor="text1"/>
        </w:rPr>
        <w:fldChar w:fldCharType="end"/>
      </w:r>
      <w:r w:rsidR="005C10AE" w:rsidRPr="00C41FDC">
        <w:rPr>
          <w:color w:val="000000" w:themeColor="text1"/>
        </w:rPr>
        <w:t xml:space="preserve"> </w:t>
      </w:r>
      <w:r w:rsidR="00E33620" w:rsidRPr="00C41FDC">
        <w:rPr>
          <w:color w:val="000000" w:themeColor="text1"/>
        </w:rPr>
        <w:t xml:space="preserve">The most cranial </w:t>
      </w:r>
      <w:r w:rsidR="001E455A" w:rsidRPr="00C41FDC">
        <w:rPr>
          <w:color w:val="000000" w:themeColor="text1"/>
        </w:rPr>
        <w:t>0·</w:t>
      </w:r>
      <w:r w:rsidR="00FC2264" w:rsidRPr="00C41FDC">
        <w:rPr>
          <w:color w:val="000000" w:themeColor="text1"/>
        </w:rPr>
        <w:t>5</w:t>
      </w:r>
      <w:r w:rsidR="00E33620" w:rsidRPr="00C41FDC">
        <w:rPr>
          <w:color w:val="000000" w:themeColor="text1"/>
        </w:rPr>
        <w:t xml:space="preserve">cm of the lung was omitted from PPFE scoring to eliminate confounding from apical scarring consequent to previous tuberculous infection. </w:t>
      </w:r>
      <w:r w:rsidR="009D0972" w:rsidRPr="00C41FDC">
        <w:rPr>
          <w:color w:val="000000" w:themeColor="text1"/>
        </w:rPr>
        <w:t xml:space="preserve">PPFE was </w:t>
      </w:r>
      <w:r w:rsidR="00D20B78" w:rsidRPr="00C41FDC">
        <w:rPr>
          <w:color w:val="000000" w:themeColor="text1"/>
        </w:rPr>
        <w:t xml:space="preserve">expressed </w:t>
      </w:r>
      <w:r w:rsidR="009D0972" w:rsidRPr="00C41FDC">
        <w:rPr>
          <w:color w:val="000000" w:themeColor="text1"/>
        </w:rPr>
        <w:t xml:space="preserve">as </w:t>
      </w:r>
      <w:r w:rsidR="00D20B78" w:rsidRPr="00C41FDC">
        <w:rPr>
          <w:color w:val="000000" w:themeColor="text1"/>
        </w:rPr>
        <w:t xml:space="preserve">1) a </w:t>
      </w:r>
      <w:r w:rsidR="009D0972" w:rsidRPr="00C41FDC">
        <w:rPr>
          <w:color w:val="000000" w:themeColor="text1"/>
        </w:rPr>
        <w:t>binary presence score</w:t>
      </w:r>
      <w:r w:rsidR="0057508E" w:rsidRPr="00C41FDC">
        <w:rPr>
          <w:color w:val="000000" w:themeColor="text1"/>
        </w:rPr>
        <w:t xml:space="preserve"> ("vPPFE</w:t>
      </w:r>
      <w:r w:rsidR="00B05865" w:rsidRPr="00C41FDC">
        <w:rPr>
          <w:color w:val="000000" w:themeColor="text1"/>
        </w:rPr>
        <w:t>-</w:t>
      </w:r>
      <w:r w:rsidR="0057508E" w:rsidRPr="00C41FDC">
        <w:rPr>
          <w:color w:val="000000" w:themeColor="text1"/>
        </w:rPr>
        <w:t>presence")</w:t>
      </w:r>
      <w:r w:rsidR="00D20B78" w:rsidRPr="00C41FDC">
        <w:rPr>
          <w:color w:val="000000" w:themeColor="text1"/>
        </w:rPr>
        <w:t xml:space="preserve">, 2) </w:t>
      </w:r>
      <w:r w:rsidR="0057508E" w:rsidRPr="00C41FDC">
        <w:rPr>
          <w:color w:val="000000" w:themeColor="text1"/>
        </w:rPr>
        <w:t xml:space="preserve">upper-lobe 3-point scale score ("vPPFE"): (absent=0, moderate upper-lobe PPFE=1–2, marked upper-lobe PPFE &gt;2), </w:t>
      </w:r>
      <w:r w:rsidR="0018485B" w:rsidRPr="00C41FDC">
        <w:rPr>
          <w:color w:val="000000" w:themeColor="text1"/>
        </w:rPr>
        <w:t xml:space="preserve">and </w:t>
      </w:r>
      <w:r w:rsidR="0057508E" w:rsidRPr="00C41FDC">
        <w:rPr>
          <w:color w:val="000000" w:themeColor="text1"/>
        </w:rPr>
        <w:t xml:space="preserve">3) </w:t>
      </w:r>
      <w:r w:rsidR="005368CF" w:rsidRPr="00C41FDC">
        <w:rPr>
          <w:color w:val="000000" w:themeColor="text1"/>
        </w:rPr>
        <w:t>the sum of</w:t>
      </w:r>
      <w:r w:rsidR="00A44FFD" w:rsidRPr="00C41FDC">
        <w:rPr>
          <w:color w:val="000000" w:themeColor="text1"/>
        </w:rPr>
        <w:t xml:space="preserve"> both upper lobe PPFE scores </w:t>
      </w:r>
      <w:r w:rsidR="0057508E" w:rsidRPr="00C41FDC">
        <w:rPr>
          <w:color w:val="000000" w:themeColor="text1"/>
        </w:rPr>
        <w:t xml:space="preserve">used </w:t>
      </w:r>
      <w:r w:rsidR="00B05865" w:rsidRPr="00C41FDC">
        <w:rPr>
          <w:color w:val="000000" w:themeColor="text1"/>
        </w:rPr>
        <w:t xml:space="preserve">to </w:t>
      </w:r>
      <w:r w:rsidR="0057508E" w:rsidRPr="00C41FDC">
        <w:rPr>
          <w:color w:val="000000" w:themeColor="text1"/>
        </w:rPr>
        <w:t xml:space="preserve">analyse 2-year and 3-year mortality </w:t>
      </w:r>
      <w:r w:rsidR="00A44FFD" w:rsidRPr="00C41FDC">
        <w:rPr>
          <w:color w:val="000000" w:themeColor="text1"/>
        </w:rPr>
        <w:t>(scale=0-6</w:t>
      </w:r>
      <w:r w:rsidR="0057508E" w:rsidRPr="00C41FDC">
        <w:rPr>
          <w:color w:val="000000" w:themeColor="text1"/>
        </w:rPr>
        <w:t>; "vPPFE</w:t>
      </w:r>
      <w:r w:rsidR="00B05865" w:rsidRPr="00C41FDC">
        <w:rPr>
          <w:color w:val="000000" w:themeColor="text1"/>
        </w:rPr>
        <w:t>-</w:t>
      </w:r>
      <w:r w:rsidR="0057508E" w:rsidRPr="00C41FDC">
        <w:rPr>
          <w:color w:val="000000" w:themeColor="text1"/>
        </w:rPr>
        <w:t>7-point"</w:t>
      </w:r>
      <w:r w:rsidR="00A44FFD" w:rsidRPr="00C41FDC">
        <w:rPr>
          <w:color w:val="000000" w:themeColor="text1"/>
        </w:rPr>
        <w:t>)</w:t>
      </w:r>
      <w:r w:rsidR="009D0972" w:rsidRPr="00C41FDC">
        <w:rPr>
          <w:color w:val="000000" w:themeColor="text1"/>
        </w:rPr>
        <w:t>.</w:t>
      </w:r>
    </w:p>
    <w:bookmarkEnd w:id="121"/>
    <w:bookmarkEnd w:id="122"/>
    <w:p w14:paraId="7EFA3558" w14:textId="4BF2EFE9" w:rsidR="006C1A80" w:rsidRPr="00C41FDC" w:rsidRDefault="006C1A80" w:rsidP="00235AF9">
      <w:pPr>
        <w:pStyle w:val="noindent"/>
        <w:spacing w:before="0" w:beforeAutospacing="0" w:after="0" w:afterAutospacing="0" w:line="480" w:lineRule="auto"/>
        <w:rPr>
          <w:color w:val="000000" w:themeColor="text1"/>
        </w:rPr>
      </w:pPr>
    </w:p>
    <w:p w14:paraId="3BAD8004" w14:textId="5A059822" w:rsidR="00725BED" w:rsidRPr="00C41FDC" w:rsidRDefault="007C5415" w:rsidP="007B1066">
      <w:pPr>
        <w:pStyle w:val="Heading4"/>
        <w:spacing w:before="0" w:beforeAutospacing="0" w:after="0" w:afterAutospacing="0" w:line="480" w:lineRule="auto"/>
        <w:rPr>
          <w:rFonts w:eastAsia="Times New Roman"/>
          <w:color w:val="000000" w:themeColor="text1"/>
        </w:rPr>
      </w:pPr>
      <w:r w:rsidRPr="00C41FDC">
        <w:rPr>
          <w:rFonts w:eastAsia="Times New Roman"/>
          <w:color w:val="000000" w:themeColor="text1"/>
        </w:rPr>
        <w:t>Computer-Based CT Evaluation</w:t>
      </w:r>
    </w:p>
    <w:p w14:paraId="4E7626FC" w14:textId="3C2F8009" w:rsidR="001B42E7" w:rsidRPr="00C41FDC" w:rsidRDefault="002935E4" w:rsidP="00796141">
      <w:pPr>
        <w:pStyle w:val="indent"/>
        <w:spacing w:before="0" w:beforeAutospacing="0" w:after="0" w:afterAutospacing="0" w:line="480" w:lineRule="auto"/>
        <w:rPr>
          <w:color w:val="000000" w:themeColor="text1"/>
        </w:rPr>
      </w:pPr>
      <w:bookmarkStart w:id="123" w:name="OLE_LINK74"/>
      <w:bookmarkStart w:id="124" w:name="OLE_LINK75"/>
      <w:r w:rsidRPr="00C41FDC">
        <w:rPr>
          <w:color w:val="000000" w:themeColor="text1"/>
        </w:rPr>
        <w:t>An automated quantif</w:t>
      </w:r>
      <w:r w:rsidR="00863C2D" w:rsidRPr="00C41FDC">
        <w:rPr>
          <w:color w:val="000000" w:themeColor="text1"/>
        </w:rPr>
        <w:t>ication of</w:t>
      </w:r>
      <w:r w:rsidRPr="00C41FDC">
        <w:rPr>
          <w:color w:val="000000" w:themeColor="text1"/>
        </w:rPr>
        <w:t xml:space="preserve"> </w:t>
      </w:r>
      <w:r w:rsidR="00A73E91" w:rsidRPr="00C41FDC">
        <w:rPr>
          <w:color w:val="000000" w:themeColor="text1"/>
        </w:rPr>
        <w:t xml:space="preserve">the percentage of </w:t>
      </w:r>
      <w:r w:rsidR="005C10AE" w:rsidRPr="00C41FDC">
        <w:rPr>
          <w:color w:val="000000" w:themeColor="text1"/>
        </w:rPr>
        <w:t xml:space="preserve">visceral </w:t>
      </w:r>
      <w:r w:rsidR="00A73E91" w:rsidRPr="00C41FDC">
        <w:rPr>
          <w:color w:val="000000" w:themeColor="text1"/>
        </w:rPr>
        <w:t>pleural surface</w:t>
      </w:r>
      <w:r w:rsidR="00BD4D02" w:rsidRPr="00C41FDC">
        <w:rPr>
          <w:color w:val="000000" w:themeColor="text1"/>
        </w:rPr>
        <w:t xml:space="preserve"> affected by PPFE (cPPFE),</w:t>
      </w:r>
      <w:r w:rsidR="00A73E91" w:rsidRPr="00C41FDC">
        <w:rPr>
          <w:color w:val="000000" w:themeColor="text1"/>
        </w:rPr>
        <w:t xml:space="preserve"> </w:t>
      </w:r>
      <w:r w:rsidR="00BD4D02" w:rsidRPr="00C41FDC">
        <w:rPr>
          <w:color w:val="000000" w:themeColor="text1"/>
        </w:rPr>
        <w:t xml:space="preserve">where the pleural surface represented the most peripheral 3 pixels of the lung surface, </w:t>
      </w:r>
      <w:r w:rsidRPr="00C41FDC">
        <w:rPr>
          <w:color w:val="000000" w:themeColor="text1"/>
        </w:rPr>
        <w:t xml:space="preserve">was developed </w:t>
      </w:r>
      <w:r w:rsidR="005C10AE" w:rsidRPr="00C41FDC">
        <w:rPr>
          <w:color w:val="000000" w:themeColor="text1"/>
        </w:rPr>
        <w:t xml:space="preserve">on CTs in </w:t>
      </w:r>
      <w:r w:rsidR="00F8269B" w:rsidRPr="00C41FDC">
        <w:rPr>
          <w:color w:val="000000" w:themeColor="text1"/>
        </w:rPr>
        <w:t>a</w:t>
      </w:r>
      <w:r w:rsidR="005C10AE" w:rsidRPr="00C41FDC">
        <w:rPr>
          <w:color w:val="000000" w:themeColor="text1"/>
        </w:rPr>
        <w:t xml:space="preserve"> proportion of the </w:t>
      </w:r>
      <w:r w:rsidR="00005AF0" w:rsidRPr="00C41FDC">
        <w:rPr>
          <w:color w:val="000000" w:themeColor="text1"/>
        </w:rPr>
        <w:t xml:space="preserve">derivation </w:t>
      </w:r>
      <w:r w:rsidR="005C10AE" w:rsidRPr="00C41FDC">
        <w:rPr>
          <w:color w:val="000000" w:themeColor="text1"/>
        </w:rPr>
        <w:t>IPF population.</w:t>
      </w:r>
      <w:r w:rsidR="005944BF" w:rsidRPr="00C41FDC">
        <w:rPr>
          <w:color w:val="000000" w:themeColor="text1"/>
        </w:rPr>
        <w:t xml:space="preserve"> The computerised</w:t>
      </w:r>
      <w:r w:rsidR="007043A2" w:rsidRPr="00C41FDC">
        <w:rPr>
          <w:color w:val="000000" w:themeColor="text1"/>
        </w:rPr>
        <w:t xml:space="preserve"> </w:t>
      </w:r>
      <w:r w:rsidR="005944BF" w:rsidRPr="00C41FDC">
        <w:rPr>
          <w:color w:val="000000" w:themeColor="text1"/>
        </w:rPr>
        <w:t xml:space="preserve">method consisted of </w:t>
      </w:r>
      <w:r w:rsidR="008D74A1" w:rsidRPr="00C41FDC">
        <w:rPr>
          <w:color w:val="000000" w:themeColor="text1"/>
        </w:rPr>
        <w:t xml:space="preserve">an automated </w:t>
      </w:r>
      <w:r w:rsidR="005944BF" w:rsidRPr="00C41FDC">
        <w:rPr>
          <w:color w:val="000000" w:themeColor="text1"/>
        </w:rPr>
        <w:t xml:space="preserve">lung segmentation </w:t>
      </w:r>
      <w:r w:rsidR="008D74A1" w:rsidRPr="00C41FDC">
        <w:rPr>
          <w:color w:val="000000" w:themeColor="text1"/>
        </w:rPr>
        <w:t xml:space="preserve">method </w:t>
      </w:r>
      <w:r w:rsidR="005944BF" w:rsidRPr="00C41FDC">
        <w:rPr>
          <w:color w:val="000000" w:themeColor="text1"/>
        </w:rPr>
        <w:t xml:space="preserve">developed by an imaging scientist </w:t>
      </w:r>
      <w:r w:rsidR="005944BF" w:rsidRPr="00C41FDC">
        <w:rPr>
          <w:color w:val="000000" w:themeColor="text1"/>
        </w:rPr>
        <w:lastRenderedPageBreak/>
        <w:t>trained in thoracic anatomy (E.G.), with initial segmentations acquired using publicly available segmentation tools</w:t>
      </w:r>
      <w:r w:rsidR="00D56E29" w:rsidRPr="00C41FDC">
        <w:rPr>
          <w:color w:val="000000" w:themeColor="text1"/>
        </w:rPr>
        <w:t xml:space="preserve">, followed by automated threshold-based isolation of </w:t>
      </w:r>
      <w:r w:rsidR="00B03F84" w:rsidRPr="00C41FDC">
        <w:rPr>
          <w:color w:val="000000" w:themeColor="text1"/>
        </w:rPr>
        <w:t>peripheral PPFE</w:t>
      </w:r>
      <w:r w:rsidR="0079199F" w:rsidRPr="00C41FDC">
        <w:rPr>
          <w:color w:val="000000" w:themeColor="text1"/>
        </w:rPr>
        <w:t xml:space="preserve"> (see Supplementary Methods)</w:t>
      </w:r>
      <w:r w:rsidR="005944BF" w:rsidRPr="00C41FDC">
        <w:rPr>
          <w:color w:val="000000" w:themeColor="text1"/>
        </w:rPr>
        <w:t>.</w:t>
      </w:r>
      <w:r w:rsidR="0079199F" w:rsidRPr="00C41FDC">
        <w:rPr>
          <w:color w:val="000000" w:themeColor="text1"/>
        </w:rPr>
        <w:fldChar w:fldCharType="begin" w:fldLock="1"/>
      </w:r>
      <w:r w:rsidR="002C459D">
        <w:rPr>
          <w:color w:val="000000" w:themeColor="text1"/>
        </w:rPr>
        <w:instrText>ADDIN CSL_CITATION {"citationItems":[{"id":"ITEM-1","itemData":{"DOI":"10.1007/978-3-319-66179-7_71","ISBN":"9783319661780","ISSN":"16113349","abstract":"Pathological lung segmentation (PLS) is an important, yet challenging, medical image application due to the wide variability of pathological lung appearance and shape. Because PLS is often a pre-requisite for other imaging analytics, methodological simplicity and generality are key factors in usability. Along those lines, we present a bottom-up deep-learning based approach that is expressive enough to handle variations in appearance, while remaining unaffected by any variations in shape. We incorporate the deeply supervised learning framework, but enhance it with a simple, yet effective, progressive multi-path scheme, which more reliably merges outputs from different network stages. The result is a deep model able to produce finer detailed masks, which we call progressive holistically-nested networks (P-HNNs). Using extensive cross-validation, our method is tested on multi-institutional datasets comprising 929 CT scans (848 publicly available), of pathological lungs, reporting mean dice scores of 0.985 and demonstrating significant qualitative and quantitative improvements over state-of-the art approaches.","author":[{"dropping-particle":"","family":"Harrison","given":"Adam P.","non-dropping-particle":"","parse-names":false,"suffix":""},{"dropping-particle":"","family":"Xu","given":"Ziyue","non-dropping-particle":"","parse-names":false,"suffix":""},{"dropping-particle":"","family":"George","given":"Kevin","non-dropping-particle":"","parse-names":false,"suffix":""},{"dropping-particle":"","family":"Lu","given":"Le","non-dropping-particle":"","parse-names":false,"suffix":""},{"dropping-particle":"","family":"Summers","given":"Ronald M.","non-dropping-particle":"","parse-names":false,"suffix":""},{"dropping-particle":"","family":"Mollura","given":"Daniel J.","non-dropping-particle":"","parse-names":false,"suffix":""}],"container-title":"Lecture Notes in Computer Science (including subseries Lecture Notes in Artificial Intelligence and Lecture Notes in Bioinformatics)","id":"ITEM-1","issued":{"date-parts":[["2017"]]},"page":"621-629","title":"Progressive and Multi-path Holistically Nested Neural Networks for Pathological Lung Segmentation from CT Images","type":"article-journal"},"uris":["http://www.mendeley.com/documents/?uuid=3e2f583c-ee5b-46d1-89f6-15d9e0c8e66a"]},{"id":"ITEM-2","itemData":{"DOI":"10.1186/s41747-020-00173-2","ISSN":"25099280","PMID":"32814998","abstract":"Background: Automated segmentation of anatomical structures is a crucial step in image analysis. For lung segmentation in computed tomography, a variety of approaches exists, involving sophisticated pipelines trained and validated on different datasets. However, the clinical applicability of these approaches across diseases remains limited. Methods: We compared four generic deep learning approaches trained on various datasets and two readily available lung segmentation algorithms. We performed evaluation on routine imaging data with more than six different disease patterns and three published data sets. Results: Using different deep learning approaches, mean Dice similarity coefficients (DSCs) on test datasets varied not over 0.02. When trained on a diverse routine dataset (n = 36), a standard approach (U-net) yields a higher DSC (0.97 ± 0.05) compared to training on public datasets such as the Lung Tissue Research Consortium (0.94 ± 0.13, p = 0.024) or Anatomy 3 (0.92 ± 0.15, p = 0.001). Trained on routine data (n = 231) covering multiple diseases, U-net compared to reference methods yields a DSC of 0.98 ± 0.03 versus 0.94 ± 0.12 (p = 0.024). Conclusions: The accuracy and reliability of lung segmentation algorithms on demanding cases primarily relies on the diversity of the training data, highlighting the importance of data diversity compared to model choice. Efforts in developing new datasets and providing trained models to the public are critical. By releasing the trained model under General Public License 3.0, we aim to foster research on lung diseases by providing a readily available tool for segmentation of pathological lungs.","author":[{"dropping-particle":"","family":"Hofmanninger","given":"Johannes","non-dropping-particle":"","parse-names":false,"suffix":""},{"dropping-particle":"","family":"Prayer","given":"Forian","non-dropping-particle":"","parse-names":false,"suffix":""},{"dropping-particle":"","family":"Pan","given":"Jeanny","non-dropping-particle":"","parse-names":false,"suffix":""},{"dropping-particle":"","family":"Röhrich","given":"Sebastian","non-dropping-particle":"","parse-names":false,"suffix":""},{"dropping-particle":"","family":"Prosch","given":"Helmut","non-dropping-particle":"","parse-names":false,"suffix":""},{"dropping-particle":"","family":"Langs","given":"Georg","non-dropping-particle":"","parse-names":false,"suffix":""}],"container-title":"European Radiology Experimental","id":"ITEM-2","issue":"1","issued":{"date-parts":[["2020"]]},"page":"1–13","title":"Automatic lung segmentation in routine imaging is primarily a data diversity problem, not a methodology problem","type":"article-journal","volume":"4"},"uris":["http://www.mendeley.com/documents/?uuid=3628369f-c4e9-4ead-98fc-d8ccb2727b95"]}],"mendeley":{"formattedCitation":"&lt;sup&gt;15,16&lt;/sup&gt;","plainTextFormattedCitation":"15,16","previouslyFormattedCitation":"&lt;sup&gt;15,16&lt;/sup&gt;"},"properties":{"noteIndex":0},"schema":"https://github.com/citation-style-language/schema/raw/master/csl-citation.json"}</w:instrText>
      </w:r>
      <w:r w:rsidR="0079199F" w:rsidRPr="00C41FDC">
        <w:rPr>
          <w:color w:val="000000" w:themeColor="text1"/>
        </w:rPr>
        <w:fldChar w:fldCharType="separate"/>
      </w:r>
      <w:r w:rsidR="00933BDC" w:rsidRPr="00C41FDC">
        <w:rPr>
          <w:noProof/>
          <w:color w:val="000000" w:themeColor="text1"/>
          <w:vertAlign w:val="superscript"/>
        </w:rPr>
        <w:t>15,16</w:t>
      </w:r>
      <w:r w:rsidR="0079199F" w:rsidRPr="00C41FDC">
        <w:rPr>
          <w:color w:val="000000" w:themeColor="text1"/>
        </w:rPr>
        <w:fldChar w:fldCharType="end"/>
      </w:r>
      <w:r w:rsidR="005944BF" w:rsidRPr="00C41FDC">
        <w:rPr>
          <w:color w:val="000000" w:themeColor="text1"/>
        </w:rPr>
        <w:t xml:space="preserve"> </w:t>
      </w:r>
      <w:bookmarkStart w:id="125" w:name="OLE_LINK190"/>
      <w:bookmarkStart w:id="126" w:name="OLE_LINK193"/>
      <w:r w:rsidR="00890EEB" w:rsidRPr="00C41FDC">
        <w:rPr>
          <w:color w:val="000000" w:themeColor="text1"/>
        </w:rPr>
        <w:t>cPPFE</w:t>
      </w:r>
      <w:r w:rsidR="007C183B" w:rsidRPr="00C41FDC">
        <w:rPr>
          <w:color w:val="000000" w:themeColor="text1"/>
        </w:rPr>
        <w:t xml:space="preserve"> was set to 0% for patients </w:t>
      </w:r>
      <w:r w:rsidR="007043A2" w:rsidRPr="00C41FDC">
        <w:rPr>
          <w:color w:val="000000" w:themeColor="text1"/>
        </w:rPr>
        <w:t>where</w:t>
      </w:r>
      <w:r w:rsidR="004758C6" w:rsidRPr="00C41FDC">
        <w:rPr>
          <w:color w:val="000000" w:themeColor="text1"/>
        </w:rPr>
        <w:t xml:space="preserve"> a radiologist (JJ) </w:t>
      </w:r>
      <w:r w:rsidR="007043A2" w:rsidRPr="00C41FDC">
        <w:rPr>
          <w:color w:val="000000" w:themeColor="text1"/>
        </w:rPr>
        <w:t>scored</w:t>
      </w:r>
      <w:r w:rsidR="007C183B" w:rsidRPr="00C41FDC">
        <w:rPr>
          <w:color w:val="000000" w:themeColor="text1"/>
        </w:rPr>
        <w:t xml:space="preserve"> no PPFE.</w:t>
      </w:r>
      <w:r w:rsidR="00A95B16" w:rsidRPr="00C41FDC">
        <w:rPr>
          <w:color w:val="000000" w:themeColor="text1"/>
        </w:rPr>
        <w:t xml:space="preserve"> </w:t>
      </w:r>
      <w:bookmarkStart w:id="127" w:name="OLE_LINK200"/>
      <w:bookmarkStart w:id="128" w:name="OLE_LINK201"/>
      <w:bookmarkEnd w:id="125"/>
      <w:bookmarkEnd w:id="126"/>
      <w:r w:rsidR="00BD4D02" w:rsidRPr="00C41FDC">
        <w:rPr>
          <w:color w:val="000000" w:themeColor="text1"/>
        </w:rPr>
        <w:t xml:space="preserve">cPPFE was only quantified in the </w:t>
      </w:r>
      <w:r w:rsidR="008F2608" w:rsidRPr="00C41FDC">
        <w:rPr>
          <w:color w:val="000000" w:themeColor="text1"/>
        </w:rPr>
        <w:t>"</w:t>
      </w:r>
      <w:r w:rsidR="00BD4D02" w:rsidRPr="00C41FDC">
        <w:rPr>
          <w:color w:val="000000" w:themeColor="text1"/>
        </w:rPr>
        <w:t>upper zone</w:t>
      </w:r>
      <w:r w:rsidR="008F2608" w:rsidRPr="00C41FDC">
        <w:rPr>
          <w:color w:val="000000" w:themeColor="text1"/>
        </w:rPr>
        <w:t xml:space="preserve">" of each </w:t>
      </w:r>
      <w:bookmarkStart w:id="129" w:name="OLE_LINK210"/>
      <w:bookmarkStart w:id="130" w:name="OLE_LINK211"/>
      <w:r w:rsidR="008F2608" w:rsidRPr="00C41FDC">
        <w:rPr>
          <w:color w:val="000000" w:themeColor="text1"/>
        </w:rPr>
        <w:t xml:space="preserve">lung, </w:t>
      </w:r>
      <w:r w:rsidR="00814BF2" w:rsidRPr="00C41FDC">
        <w:rPr>
          <w:color w:val="000000" w:themeColor="text1"/>
        </w:rPr>
        <w:t xml:space="preserve">which approximated the upper lung lobe and was </w:t>
      </w:r>
      <w:bookmarkStart w:id="131" w:name="OLE_LINK208"/>
      <w:bookmarkStart w:id="132" w:name="OLE_LINK209"/>
      <w:r w:rsidR="008F2608" w:rsidRPr="00C41FDC">
        <w:rPr>
          <w:color w:val="000000" w:themeColor="text1"/>
        </w:rPr>
        <w:t>defined as the region</w:t>
      </w:r>
      <w:r w:rsidR="00A34DB7" w:rsidRPr="00C41FDC">
        <w:rPr>
          <w:color w:val="000000" w:themeColor="text1"/>
        </w:rPr>
        <w:t xml:space="preserve"> </w:t>
      </w:r>
      <w:r w:rsidR="00414E78" w:rsidRPr="00C41FDC">
        <w:rPr>
          <w:color w:val="000000" w:themeColor="text1"/>
        </w:rPr>
        <w:t>extend</w:t>
      </w:r>
      <w:r w:rsidR="008F2608" w:rsidRPr="00C41FDC">
        <w:rPr>
          <w:color w:val="000000" w:themeColor="text1"/>
        </w:rPr>
        <w:t>ing</w:t>
      </w:r>
      <w:r w:rsidR="00414E78" w:rsidRPr="00C41FDC">
        <w:rPr>
          <w:color w:val="000000" w:themeColor="text1"/>
        </w:rPr>
        <w:t xml:space="preserve"> from</w:t>
      </w:r>
      <w:r w:rsidR="00AB3D55" w:rsidRPr="00C41FDC">
        <w:rPr>
          <w:color w:val="000000" w:themeColor="text1"/>
        </w:rPr>
        <w:t xml:space="preserve"> the carina </w:t>
      </w:r>
      <w:r w:rsidR="00414E78" w:rsidRPr="00C41FDC">
        <w:rPr>
          <w:color w:val="000000" w:themeColor="text1"/>
        </w:rPr>
        <w:t xml:space="preserve">to </w:t>
      </w:r>
      <w:r w:rsidR="00AB3D55" w:rsidRPr="00C41FDC">
        <w:rPr>
          <w:color w:val="000000" w:themeColor="text1"/>
        </w:rPr>
        <w:t xml:space="preserve">5 mm below the </w:t>
      </w:r>
      <w:r w:rsidR="00414E78" w:rsidRPr="00C41FDC">
        <w:rPr>
          <w:color w:val="000000" w:themeColor="text1"/>
        </w:rPr>
        <w:t xml:space="preserve">lung </w:t>
      </w:r>
      <w:r w:rsidR="00814BF2" w:rsidRPr="00C41FDC">
        <w:rPr>
          <w:color w:val="000000" w:themeColor="text1"/>
        </w:rPr>
        <w:t xml:space="preserve">apex, </w:t>
      </w:r>
      <w:r w:rsidR="008F2608" w:rsidRPr="00C41FDC">
        <w:rPr>
          <w:color w:val="000000" w:themeColor="text1"/>
        </w:rPr>
        <w:t xml:space="preserve">as </w:t>
      </w:r>
      <w:r w:rsidR="00814BF2" w:rsidRPr="00C41FDC">
        <w:rPr>
          <w:color w:val="000000" w:themeColor="text1"/>
        </w:rPr>
        <w:t xml:space="preserve">established </w:t>
      </w:r>
      <w:r w:rsidR="008F2608" w:rsidRPr="00C41FDC">
        <w:rPr>
          <w:color w:val="000000" w:themeColor="text1"/>
        </w:rPr>
        <w:t>in a previously published study on quantitative CT in ILD</w:t>
      </w:r>
      <w:bookmarkEnd w:id="129"/>
      <w:bookmarkEnd w:id="130"/>
      <w:bookmarkEnd w:id="131"/>
      <w:bookmarkEnd w:id="132"/>
      <w:r w:rsidR="00AD0D0F" w:rsidRPr="00C41FDC">
        <w:rPr>
          <w:color w:val="000000" w:themeColor="text1"/>
        </w:rPr>
        <w:t>.</w:t>
      </w:r>
      <w:r w:rsidR="008F2608" w:rsidRPr="00C41FDC">
        <w:rPr>
          <w:color w:val="000000" w:themeColor="text1"/>
        </w:rPr>
        <w:fldChar w:fldCharType="begin" w:fldLock="1"/>
      </w:r>
      <w:r w:rsidR="002C459D">
        <w:rPr>
          <w:color w:val="000000" w:themeColor="text1"/>
        </w:rPr>
        <w:instrText>ADDIN CSL_CITATION {"citationItems":[{"id":"ITEM-1","itemData":{"DOI":"10.1097/RTI.0b013e3182a21969","ISSN":"08835993","PMID":"23966094","abstract":"PURPOSE:: High-resolution chest computed tomography (HRCT) is essential in the characterization of interstitial lung disease. The HRCT features of some diseases can be diagnostic. Longitudinal monitoring with HRCT can assess progression of interstitial lung disease; however, subtle changes in the volume and character of abnormalities can be difficult to assess. Accuracy of diagnosis can be dependent on expertise and experience of the radiologist, pathologist, or clinician. Quantitative analysis of thoracic HRCT has the potential to determine the extent of disease reproducibly, classify the types of abnormalities, and automate the diagnostic process. MATERIALS AND METHODS:: Novel software that utilizes histogram signatures to characterize pulmonary parenchyma was used to analyze chest HRCT data, including retrospective processing of clinical CT scans and research data from the Lung Tissue Research Consortium. Additional information including physiological, pathologic, and semiquantitative radiologist assessment was available to allow comparison of quantitative results, with visual estimates of the disease, physiological parameters, and measures of disease outcome. RESULTS:: Quantitative analysis results were provided in regional volumetric quantities for statistical analysis and a graphical representation. These results suggest that quantitative HRCT analysis can serve as a biomarker with physiological, pathologic, and prognostic significance. CONCLUSIONS:: It is likely that quantitative analysis of HRCT can be used in clinical practice as a means to aid in identifying a probable diagnosis, stratifying prognosis in early disease, and consistently determining progression of the disease or response to therapy. Further optimization of quantitative techniques and longitudinal analysis of well-characterized subjects would be helpful in validating these methods. © 2013 by Lippincott Williams &amp; Wilkins.","author":[{"dropping-particle":"","family":"Bartholmai","given":"Brian J.","non-dropping-particle":"","parse-names":false,"suffix":""},{"dropping-particle":"","family":"Raghunath","given":"Sushravya","non-dropping-particle":"","parse-names":false,"suffix":""},{"dropping-particle":"","family":"Karwoski","given":"Ronald A.","non-dropping-particle":"","parse-names":false,"suffix":""},{"dropping-particle":"","family":"Moua","given":"Teng","non-dropping-particle":"","parse-names":false,"suffix":""},{"dropping-particle":"","family":"Rajagopalan","given":"Srinivasan","non-dropping-particle":"","parse-names":false,"suffix":""},{"dropping-particle":"","family":"Maldonado","given":"Fabien","non-dropping-particle":"","parse-names":false,"suffix":""},{"dropping-particle":"","family":"Decker","given":"Paul A.","non-dropping-particle":"","parse-names":false,"suffix":""},{"dropping-particle":"","family":"Robb","given":"Richard A.","non-dropping-particle":"","parse-names":false,"suffix":""}],"container-title":"Journal of Thoracic Imaging","id":"ITEM-1","issue":"5","issued":{"date-parts":[["2013"]]},"page":"298–307","title":"Quantitative computed tomography imaging of interstitial lung diseases","type":"article-journal","volume":"28"},"uris":["http://www.mendeley.com/documents/?uuid=d4221596-5c55-43b7-b6ff-5116eff9094f"]}],"mendeley":{"formattedCitation":"&lt;sup&gt;17&lt;/sup&gt;","plainTextFormattedCitation":"17","previouslyFormattedCitation":"&lt;sup&gt;17&lt;/sup&gt;"},"properties":{"noteIndex":0},"schema":"https://github.com/citation-style-language/schema/raw/master/csl-citation.json"}</w:instrText>
      </w:r>
      <w:r w:rsidR="008F2608" w:rsidRPr="00C41FDC">
        <w:rPr>
          <w:color w:val="000000" w:themeColor="text1"/>
        </w:rPr>
        <w:fldChar w:fldCharType="separate"/>
      </w:r>
      <w:r w:rsidR="00933BDC" w:rsidRPr="00C41FDC">
        <w:rPr>
          <w:noProof/>
          <w:color w:val="000000" w:themeColor="text1"/>
          <w:vertAlign w:val="superscript"/>
        </w:rPr>
        <w:t>17</w:t>
      </w:r>
      <w:r w:rsidR="008F2608" w:rsidRPr="00C41FDC">
        <w:rPr>
          <w:color w:val="000000" w:themeColor="text1"/>
        </w:rPr>
        <w:fldChar w:fldCharType="end"/>
      </w:r>
      <w:r w:rsidR="009F7EA3" w:rsidRPr="00C41FDC">
        <w:rPr>
          <w:color w:val="000000" w:themeColor="text1"/>
        </w:rPr>
        <w:t xml:space="preserve"> </w:t>
      </w:r>
      <w:r w:rsidR="008F2608" w:rsidRPr="00C41FDC">
        <w:rPr>
          <w:color w:val="000000" w:themeColor="text1"/>
        </w:rPr>
        <w:t xml:space="preserve">The </w:t>
      </w:r>
      <w:r w:rsidR="00814BF2" w:rsidRPr="00C41FDC">
        <w:rPr>
          <w:color w:val="000000" w:themeColor="text1"/>
        </w:rPr>
        <w:t xml:space="preserve">axial location of the </w:t>
      </w:r>
      <w:r w:rsidR="008F2608" w:rsidRPr="00C41FDC">
        <w:rPr>
          <w:color w:val="000000" w:themeColor="text1"/>
        </w:rPr>
        <w:t xml:space="preserve">carina was </w:t>
      </w:r>
      <w:r w:rsidR="00814BF2" w:rsidRPr="00C41FDC">
        <w:rPr>
          <w:color w:val="000000" w:themeColor="text1"/>
        </w:rPr>
        <w:t xml:space="preserve">manually </w:t>
      </w:r>
      <w:r w:rsidR="008F2608" w:rsidRPr="00C41FDC">
        <w:rPr>
          <w:color w:val="000000" w:themeColor="text1"/>
        </w:rPr>
        <w:t>identified as the CT slice on which the trachea was seen to have bifurcated into the left and right bronchi.</w:t>
      </w:r>
      <w:bookmarkEnd w:id="127"/>
      <w:bookmarkEnd w:id="128"/>
      <w:r w:rsidR="008F2608" w:rsidRPr="00C41FDC">
        <w:rPr>
          <w:color w:val="000000" w:themeColor="text1"/>
        </w:rPr>
        <w:t xml:space="preserve"> </w:t>
      </w:r>
      <w:r w:rsidR="00414E78" w:rsidRPr="00C41FDC">
        <w:rPr>
          <w:color w:val="000000" w:themeColor="text1"/>
        </w:rPr>
        <w:t>The apices were excluded to avoid pleural capping/scarring being spuriously quantified as PPFE.</w:t>
      </w:r>
      <w:r w:rsidR="00A34DB7" w:rsidRPr="00C41FDC">
        <w:rPr>
          <w:color w:val="000000" w:themeColor="text1"/>
        </w:rPr>
        <w:t xml:space="preserve"> </w:t>
      </w:r>
      <w:bookmarkStart w:id="133" w:name="OLE_LINK9"/>
      <w:bookmarkStart w:id="134" w:name="OLE_LINK12"/>
      <w:r w:rsidR="009D0972" w:rsidRPr="00C41FDC">
        <w:rPr>
          <w:color w:val="000000" w:themeColor="text1"/>
        </w:rPr>
        <w:t xml:space="preserve">Given the upper-lung predominance of PPFE and the lower-lung predominance of IPF-related fibrosis, </w:t>
      </w:r>
      <w:r w:rsidR="00BD4D02" w:rsidRPr="00C41FDC">
        <w:rPr>
          <w:color w:val="000000" w:themeColor="text1"/>
        </w:rPr>
        <w:t xml:space="preserve">cPPFE quantification </w:t>
      </w:r>
      <w:r w:rsidR="005C10AE" w:rsidRPr="00C41FDC">
        <w:rPr>
          <w:color w:val="000000" w:themeColor="text1"/>
        </w:rPr>
        <w:t>avoided</w:t>
      </w:r>
      <w:r w:rsidR="009D0972" w:rsidRPr="00C41FDC">
        <w:rPr>
          <w:color w:val="000000" w:themeColor="text1"/>
        </w:rPr>
        <w:t xml:space="preserve"> conflation of IPF-related fibrosis with </w:t>
      </w:r>
      <w:r w:rsidR="00EA54DB" w:rsidRPr="00C41FDC">
        <w:rPr>
          <w:color w:val="000000" w:themeColor="text1"/>
        </w:rPr>
        <w:t xml:space="preserve">peripheral </w:t>
      </w:r>
      <w:r w:rsidR="009D0972" w:rsidRPr="00C41FDC">
        <w:rPr>
          <w:color w:val="000000" w:themeColor="text1"/>
        </w:rPr>
        <w:t xml:space="preserve">PPFE. </w:t>
      </w:r>
    </w:p>
    <w:p w14:paraId="719CBDEF" w14:textId="77777777" w:rsidR="001B42E7" w:rsidRPr="00C41FDC" w:rsidRDefault="001B42E7" w:rsidP="009D0972">
      <w:pPr>
        <w:pStyle w:val="noindent"/>
        <w:spacing w:before="0" w:beforeAutospacing="0" w:after="0" w:afterAutospacing="0" w:line="480" w:lineRule="auto"/>
        <w:rPr>
          <w:color w:val="000000" w:themeColor="text1"/>
        </w:rPr>
      </w:pPr>
    </w:p>
    <w:p w14:paraId="79DE2913" w14:textId="2C709BF0" w:rsidR="009D0972" w:rsidRPr="00C41FDC" w:rsidRDefault="00890EEB" w:rsidP="00CC4147">
      <w:pPr>
        <w:pStyle w:val="indent"/>
        <w:spacing w:before="0" w:beforeAutospacing="0" w:after="0" w:afterAutospacing="0" w:line="480" w:lineRule="auto"/>
        <w:rPr>
          <w:b/>
          <w:bCs/>
          <w:color w:val="000000" w:themeColor="text1"/>
        </w:rPr>
      </w:pPr>
      <w:r w:rsidRPr="00C41FDC">
        <w:rPr>
          <w:color w:val="000000" w:themeColor="text1"/>
        </w:rPr>
        <w:t>cPPFE</w:t>
      </w:r>
      <w:r w:rsidR="009D0972" w:rsidRPr="00C41FDC">
        <w:rPr>
          <w:color w:val="000000" w:themeColor="text1"/>
        </w:rPr>
        <w:t xml:space="preserve"> was </w:t>
      </w:r>
      <w:r w:rsidR="00CF7203" w:rsidRPr="00C41FDC">
        <w:rPr>
          <w:color w:val="000000" w:themeColor="text1"/>
        </w:rPr>
        <w:t>dichotomised</w:t>
      </w:r>
      <w:r w:rsidR="009D0972" w:rsidRPr="00C41FDC">
        <w:rPr>
          <w:color w:val="000000" w:themeColor="text1"/>
        </w:rPr>
        <w:t xml:space="preserve"> in lung function and survival analyses</w:t>
      </w:r>
      <w:r w:rsidR="00414E78" w:rsidRPr="00C41FDC">
        <w:rPr>
          <w:color w:val="000000" w:themeColor="text1"/>
        </w:rPr>
        <w:t xml:space="preserve"> to </w:t>
      </w:r>
      <w:bookmarkStart w:id="135" w:name="OLE_LINK140"/>
      <w:bookmarkStart w:id="136" w:name="OLE_LINK141"/>
      <w:r w:rsidR="00414E78" w:rsidRPr="00C41FDC">
        <w:rPr>
          <w:color w:val="000000" w:themeColor="text1"/>
        </w:rPr>
        <w:t xml:space="preserve">1%, </w:t>
      </w:r>
      <w:r w:rsidR="001E455A" w:rsidRPr="00C41FDC">
        <w:rPr>
          <w:color w:val="000000" w:themeColor="text1"/>
        </w:rPr>
        <w:t>2</w:t>
      </w:r>
      <w:bookmarkStart w:id="137" w:name="OLE_LINK137"/>
      <w:bookmarkStart w:id="138" w:name="OLE_LINK138"/>
      <w:bookmarkStart w:id="139" w:name="OLE_LINK139"/>
      <w:bookmarkStart w:id="140" w:name="OLE_LINK142"/>
      <w:r w:rsidR="001E455A" w:rsidRPr="00C41FDC">
        <w:rPr>
          <w:color w:val="000000" w:themeColor="text1"/>
        </w:rPr>
        <w:t>·</w:t>
      </w:r>
      <w:bookmarkEnd w:id="137"/>
      <w:bookmarkEnd w:id="138"/>
      <w:bookmarkEnd w:id="139"/>
      <w:bookmarkEnd w:id="140"/>
      <w:r w:rsidR="00414E78" w:rsidRPr="00C41FDC">
        <w:rPr>
          <w:color w:val="000000" w:themeColor="text1"/>
        </w:rPr>
        <w:t xml:space="preserve">5% </w:t>
      </w:r>
      <w:bookmarkEnd w:id="135"/>
      <w:bookmarkEnd w:id="136"/>
      <w:r w:rsidR="00414E78" w:rsidRPr="00C41FDC">
        <w:rPr>
          <w:color w:val="000000" w:themeColor="text1"/>
        </w:rPr>
        <w:t xml:space="preserve">and 5% pleural surface area on the </w:t>
      </w:r>
      <w:r w:rsidR="009063EC" w:rsidRPr="00C41FDC">
        <w:rPr>
          <w:color w:val="000000" w:themeColor="text1"/>
        </w:rPr>
        <w:t xml:space="preserve">derivation </w:t>
      </w:r>
      <w:r w:rsidR="00414E78" w:rsidRPr="00C41FDC">
        <w:rPr>
          <w:color w:val="000000" w:themeColor="text1"/>
        </w:rPr>
        <w:t xml:space="preserve">cohort only, </w:t>
      </w:r>
      <w:r w:rsidR="005F5DE8" w:rsidRPr="00C41FDC">
        <w:rPr>
          <w:color w:val="000000" w:themeColor="text1"/>
        </w:rPr>
        <w:t xml:space="preserve">following guidance on </w:t>
      </w:r>
      <w:r w:rsidR="00414E78" w:rsidRPr="00C41FDC">
        <w:rPr>
          <w:color w:val="000000" w:themeColor="text1"/>
        </w:rPr>
        <w:t>avoid</w:t>
      </w:r>
      <w:r w:rsidR="005F5DE8" w:rsidRPr="00C41FDC">
        <w:rPr>
          <w:color w:val="000000" w:themeColor="text1"/>
        </w:rPr>
        <w:t>ing</w:t>
      </w:r>
      <w:r w:rsidR="00414E78" w:rsidRPr="00C41FDC">
        <w:rPr>
          <w:color w:val="000000" w:themeColor="text1"/>
        </w:rPr>
        <w:t xml:space="preserve"> overfitting of </w:t>
      </w:r>
      <w:r w:rsidR="005F5DE8" w:rsidRPr="00C41FDC">
        <w:rPr>
          <w:color w:val="000000" w:themeColor="text1"/>
        </w:rPr>
        <w:t xml:space="preserve">cutpoints to clinical </w:t>
      </w:r>
      <w:r w:rsidR="00414E78" w:rsidRPr="00C41FDC">
        <w:rPr>
          <w:color w:val="000000" w:themeColor="text1"/>
        </w:rPr>
        <w:t>data</w:t>
      </w:r>
      <w:r w:rsidR="00951AD3" w:rsidRPr="00C41FDC">
        <w:rPr>
          <w:color w:val="000000" w:themeColor="text1"/>
        </w:rPr>
        <w:t>.</w:t>
      </w:r>
      <w:r w:rsidR="00B026C8" w:rsidRPr="00C41FDC">
        <w:rPr>
          <w:color w:val="000000" w:themeColor="text1"/>
        </w:rPr>
        <w:fldChar w:fldCharType="begin" w:fldLock="1"/>
      </w:r>
      <w:r w:rsidR="002C459D">
        <w:rPr>
          <w:color w:val="000000" w:themeColor="text1"/>
        </w:rPr>
        <w:instrText>ADDIN CSL_CITATION {"citationItems":[{"id":"ITEM-1","itemData":{"DOI":"10.1093/jnci/86.11.829","ISSN":"00278874","PMID":"8182763","author":[{"dropping-particle":"","family":"Altman","given":"Douglas G.","non-dropping-particle":"","parse-names":false,"suffix":""},{"dropping-particle":"","family":"Lausen","given":"Berthold","non-dropping-particle":"","parse-names":false,"suffix":""},{"dropping-particle":"","family":"Sauerbrei","given":"Willi","non-dropping-particle":"","parse-names":false,"suffix":""},{"dropping-particle":"","family":"Schumacher","given":"Martin","non-dropping-particle":"","parse-names":false,"suffix":""}],"container-title":"Journal of the National Cancer Institute","id":"ITEM-1","issue":"11","issued":{"date-parts":[["1994"]]},"page":"829–835","title":"Dangers of using \"optimal\" cutpoints in the evaluation of prognostic factors","type":"article-journal","volume":"86"},"uris":["http://www.mendeley.com/documents/?uuid=3735812f-bf31-4f6b-bdb6-4f396a0bd207"]}],"mendeley":{"formattedCitation":"&lt;sup&gt;18&lt;/sup&gt;","plainTextFormattedCitation":"18","previouslyFormattedCitation":"&lt;sup&gt;18&lt;/sup&gt;"},"properties":{"noteIndex":0},"schema":"https://github.com/citation-style-language/schema/raw/master/csl-citation.json"}</w:instrText>
      </w:r>
      <w:r w:rsidR="00B026C8" w:rsidRPr="00C41FDC">
        <w:rPr>
          <w:color w:val="000000" w:themeColor="text1"/>
        </w:rPr>
        <w:fldChar w:fldCharType="separate"/>
      </w:r>
      <w:r w:rsidR="00933BDC" w:rsidRPr="00C41FDC">
        <w:rPr>
          <w:noProof/>
          <w:color w:val="000000" w:themeColor="text1"/>
          <w:vertAlign w:val="superscript"/>
        </w:rPr>
        <w:t>18</w:t>
      </w:r>
      <w:r w:rsidR="00B026C8" w:rsidRPr="00C41FDC">
        <w:rPr>
          <w:color w:val="000000" w:themeColor="text1"/>
        </w:rPr>
        <w:fldChar w:fldCharType="end"/>
      </w:r>
      <w:r w:rsidR="00414E78" w:rsidRPr="00C41FDC">
        <w:rPr>
          <w:color w:val="000000" w:themeColor="text1"/>
        </w:rPr>
        <w:t xml:space="preserve"> </w:t>
      </w:r>
      <w:r w:rsidR="009D0972" w:rsidRPr="00C41FDC">
        <w:rPr>
          <w:color w:val="000000" w:themeColor="text1"/>
        </w:rPr>
        <w:t xml:space="preserve">The optimal cutpoint </w:t>
      </w:r>
      <w:r w:rsidR="00B37F8D" w:rsidRPr="00C41FDC">
        <w:rPr>
          <w:color w:val="000000" w:themeColor="text1"/>
        </w:rPr>
        <w:t xml:space="preserve">in the </w:t>
      </w:r>
      <w:r w:rsidR="009063EC" w:rsidRPr="00C41FDC">
        <w:rPr>
          <w:color w:val="000000" w:themeColor="text1"/>
        </w:rPr>
        <w:t xml:space="preserve">derivation </w:t>
      </w:r>
      <w:r w:rsidR="00B37F8D" w:rsidRPr="00C41FDC">
        <w:rPr>
          <w:color w:val="000000" w:themeColor="text1"/>
        </w:rPr>
        <w:t xml:space="preserve">cohort </w:t>
      </w:r>
      <w:r w:rsidR="009D0972" w:rsidRPr="00C41FDC">
        <w:rPr>
          <w:color w:val="000000" w:themeColor="text1"/>
        </w:rPr>
        <w:t xml:space="preserve">(based on </w:t>
      </w:r>
      <w:r w:rsidR="005C10AE" w:rsidRPr="00C41FDC">
        <w:rPr>
          <w:color w:val="000000" w:themeColor="text1"/>
        </w:rPr>
        <w:t xml:space="preserve">median </w:t>
      </w:r>
      <w:r w:rsidR="00BD4D02" w:rsidRPr="00C41FDC">
        <w:rPr>
          <w:color w:val="000000" w:themeColor="text1"/>
        </w:rPr>
        <w:t>cPPFE value</w:t>
      </w:r>
      <w:r w:rsidR="005C10AE" w:rsidRPr="00C41FDC">
        <w:rPr>
          <w:color w:val="000000" w:themeColor="text1"/>
        </w:rPr>
        <w:t xml:space="preserve">, </w:t>
      </w:r>
      <w:r w:rsidR="009D0972" w:rsidRPr="00C41FDC">
        <w:rPr>
          <w:color w:val="000000" w:themeColor="text1"/>
        </w:rPr>
        <w:t xml:space="preserve">concordance index in </w:t>
      </w:r>
      <w:r w:rsidR="006E7F17" w:rsidRPr="00C41FDC">
        <w:rPr>
          <w:color w:val="000000" w:themeColor="text1"/>
        </w:rPr>
        <w:t xml:space="preserve">multivariable </w:t>
      </w:r>
      <w:r w:rsidR="009D0972" w:rsidRPr="00C41FDC">
        <w:rPr>
          <w:color w:val="000000" w:themeColor="text1"/>
        </w:rPr>
        <w:t xml:space="preserve">mortality analyses and level of association in </w:t>
      </w:r>
      <w:r w:rsidR="008D74A1" w:rsidRPr="00C41FDC">
        <w:rPr>
          <w:color w:val="000000" w:themeColor="text1"/>
        </w:rPr>
        <w:t xml:space="preserve">LME-predicted </w:t>
      </w:r>
      <w:r w:rsidR="00E53EFB" w:rsidRPr="00C41FDC">
        <w:rPr>
          <w:color w:val="000000" w:themeColor="text1"/>
        </w:rPr>
        <w:t xml:space="preserve">1-year </w:t>
      </w:r>
      <w:r w:rsidR="009D0972" w:rsidRPr="00C41FDC">
        <w:rPr>
          <w:color w:val="000000" w:themeColor="text1"/>
        </w:rPr>
        <w:t xml:space="preserve">FVC decline analyses) </w:t>
      </w:r>
      <w:r w:rsidR="007043A2" w:rsidRPr="00C41FDC">
        <w:rPr>
          <w:color w:val="000000" w:themeColor="text1"/>
        </w:rPr>
        <w:t xml:space="preserve">was </w:t>
      </w:r>
      <w:r w:rsidR="009D0972" w:rsidRPr="00C41FDC">
        <w:rPr>
          <w:color w:val="000000" w:themeColor="text1"/>
        </w:rPr>
        <w:t xml:space="preserve">the only cutpoint </w:t>
      </w:r>
      <w:r w:rsidR="005F5DE8" w:rsidRPr="00C41FDC">
        <w:rPr>
          <w:color w:val="000000" w:themeColor="text1"/>
        </w:rPr>
        <w:t>examined in</w:t>
      </w:r>
      <w:r w:rsidR="009D0972" w:rsidRPr="00C41FDC">
        <w:rPr>
          <w:color w:val="000000" w:themeColor="text1"/>
        </w:rPr>
        <w:t xml:space="preserve"> the validation cohort</w:t>
      </w:r>
      <w:r w:rsidR="00951AD3" w:rsidRPr="00C41FDC">
        <w:rPr>
          <w:color w:val="000000" w:themeColor="text1"/>
        </w:rPr>
        <w:t>.</w:t>
      </w:r>
      <w:r w:rsidR="009D0972" w:rsidRPr="00C41FDC">
        <w:rPr>
          <w:color w:val="000000" w:themeColor="text1"/>
        </w:rPr>
        <w:fldChar w:fldCharType="begin" w:fldLock="1"/>
      </w:r>
      <w:r w:rsidR="002C459D">
        <w:rPr>
          <w:color w:val="000000" w:themeColor="text1"/>
        </w:rPr>
        <w:instrText>ADDIN CSL_CITATION {"citationItems":[{"id":"ITEM-1","itemData":{"DOI":"10.1001/jama.1982.03320430047030","ISSN":"15383598","PMID":"7069920","abstract":"A method is presented for evaluating the amount of information a medical test provides about individual patients. Emphasis is placed on the role of a test in the evaluation of patients with a chronic disease. In this context, the yield of a test is best interpreted by analyzing the prognostic information it furnishes. Information from the history, physical examination, and routine procedures should be used in assessing the yield of a new test. As an example, the method is applied to the use of the treadmill exercise test in evaluating the prognosis of patients with suspected coronary artery disease. The treadmill test is shown to provide surprisingly little prognostic information beyond that obtained from basic clinical measurements. © 1982, American Medical Association. All rights reserved.","author":[{"dropping-particle":"","family":"Harrell","given":"Frank E.","non-dropping-particle":"","parse-names":false,"suffix":""},{"dropping-particle":"","family":"Califf","given":"Robert M.","non-dropping-particle":"","parse-names":false,"suffix":""},{"dropping-particle":"","family":"Pryor","given":"David B.","non-dropping-particle":"","parse-names":false,"suffix":""},{"dropping-particle":"","family":"Lee","given":"Kerry L.","non-dropping-particle":"","parse-names":false,"suffix":""},{"dropping-particle":"","family":"Rosati","given":"Robert A.","non-dropping-particle":"","parse-names":false,"suffix":""}],"container-title":"JAMA: The Journal of the American Medical Association","id":"ITEM-1","issue":"18","issued":{"date-parts":[["1982"]]},"page":"2543–2546","title":"Evaluating the Yield of Medical Tests","type":"article-journal","volume":"247"},"uris":["http://www.mendeley.com/documents/?uuid=79fdbdb9-c07e-4ade-a5ef-6d60b8738747"]}],"mendeley":{"formattedCitation":"&lt;sup&gt;19&lt;/sup&gt;","plainTextFormattedCitation":"19","previouslyFormattedCitation":"&lt;sup&gt;19&lt;/sup&gt;"},"properties":{"noteIndex":0},"schema":"https://github.com/citation-style-language/schema/raw/master/csl-citation.json"}</w:instrText>
      </w:r>
      <w:r w:rsidR="009D0972" w:rsidRPr="00C41FDC">
        <w:rPr>
          <w:color w:val="000000" w:themeColor="text1"/>
        </w:rPr>
        <w:fldChar w:fldCharType="separate"/>
      </w:r>
      <w:r w:rsidR="00933BDC" w:rsidRPr="00C41FDC">
        <w:rPr>
          <w:noProof/>
          <w:color w:val="000000" w:themeColor="text1"/>
          <w:vertAlign w:val="superscript"/>
        </w:rPr>
        <w:t>19</w:t>
      </w:r>
      <w:r w:rsidR="009D0972" w:rsidRPr="00C41FDC">
        <w:rPr>
          <w:color w:val="000000" w:themeColor="text1"/>
        </w:rPr>
        <w:fldChar w:fldCharType="end"/>
      </w:r>
      <w:r w:rsidR="001B42E7" w:rsidRPr="00C41FDC">
        <w:rPr>
          <w:color w:val="000000" w:themeColor="text1"/>
        </w:rPr>
        <w:t xml:space="preserve"> </w:t>
      </w:r>
    </w:p>
    <w:bookmarkEnd w:id="123"/>
    <w:bookmarkEnd w:id="124"/>
    <w:p w14:paraId="557B8529" w14:textId="6D757EE9" w:rsidR="00CC4147" w:rsidRPr="00C41FDC" w:rsidRDefault="00CC4147" w:rsidP="00CC4147">
      <w:pPr>
        <w:pStyle w:val="indent"/>
        <w:spacing w:before="0" w:beforeAutospacing="0" w:after="0" w:afterAutospacing="0" w:line="480" w:lineRule="auto"/>
        <w:rPr>
          <w:b/>
          <w:bCs/>
          <w:color w:val="000000" w:themeColor="text1"/>
        </w:rPr>
      </w:pPr>
    </w:p>
    <w:p w14:paraId="5E4CEE18" w14:textId="365E7DBD" w:rsidR="00A34DB7" w:rsidRPr="00C41FDC" w:rsidRDefault="009D0972" w:rsidP="00CC4147">
      <w:pPr>
        <w:pStyle w:val="indent"/>
        <w:spacing w:before="0" w:beforeAutospacing="0" w:after="0" w:afterAutospacing="0" w:line="480" w:lineRule="auto"/>
        <w:rPr>
          <w:rFonts w:eastAsia="Times New Roman"/>
          <w:b/>
          <w:bCs/>
          <w:color w:val="000000" w:themeColor="text1"/>
        </w:rPr>
      </w:pPr>
      <w:r w:rsidRPr="00C41FDC">
        <w:rPr>
          <w:b/>
          <w:bCs/>
          <w:color w:val="000000" w:themeColor="text1"/>
        </w:rPr>
        <w:t>Statistical analysis</w:t>
      </w:r>
    </w:p>
    <w:p w14:paraId="3C14E951" w14:textId="796E6D01" w:rsidR="004072A0" w:rsidRPr="00C41FDC" w:rsidRDefault="004E7B81" w:rsidP="00A34DB7">
      <w:pPr>
        <w:pStyle w:val="noindent"/>
        <w:spacing w:before="0" w:beforeAutospacing="0" w:after="0" w:afterAutospacing="0" w:line="480" w:lineRule="auto"/>
        <w:rPr>
          <w:color w:val="000000" w:themeColor="text1"/>
        </w:rPr>
      </w:pPr>
      <w:bookmarkStart w:id="141" w:name="OLE_LINK72"/>
      <w:bookmarkStart w:id="142" w:name="OLE_LINK73"/>
      <w:r w:rsidRPr="00C41FDC">
        <w:rPr>
          <w:color w:val="000000" w:themeColor="text1"/>
        </w:rPr>
        <w:t>T</w:t>
      </w:r>
      <w:r w:rsidR="004072A0" w:rsidRPr="00C41FDC">
        <w:rPr>
          <w:color w:val="000000" w:themeColor="text1"/>
        </w:rPr>
        <w:t xml:space="preserve">he 18-month temporal trajectory of FVC measurements after </w:t>
      </w:r>
      <w:r w:rsidR="00C40B68" w:rsidRPr="00C41FDC">
        <w:rPr>
          <w:color w:val="000000" w:themeColor="text1"/>
        </w:rPr>
        <w:t xml:space="preserve">baseline visual </w:t>
      </w:r>
      <w:r w:rsidR="00417A59" w:rsidRPr="00C41FDC">
        <w:rPr>
          <w:color w:val="000000" w:themeColor="text1"/>
        </w:rPr>
        <w:t xml:space="preserve">CT </w:t>
      </w:r>
      <w:r w:rsidR="00C40B68" w:rsidRPr="00C41FDC">
        <w:rPr>
          <w:color w:val="000000" w:themeColor="text1"/>
        </w:rPr>
        <w:t xml:space="preserve">assessment </w:t>
      </w:r>
      <w:r w:rsidR="004072A0" w:rsidRPr="00C41FDC">
        <w:rPr>
          <w:color w:val="000000" w:themeColor="text1"/>
        </w:rPr>
        <w:t>was modelled</w:t>
      </w:r>
      <w:r w:rsidRPr="00C41FDC">
        <w:rPr>
          <w:color w:val="000000" w:themeColor="text1"/>
        </w:rPr>
        <w:t xml:space="preserve"> separately for each </w:t>
      </w:r>
      <w:r w:rsidR="00417A59" w:rsidRPr="00C41FDC">
        <w:rPr>
          <w:color w:val="000000" w:themeColor="text1"/>
        </w:rPr>
        <w:t>IPF cohort</w:t>
      </w:r>
      <w:r w:rsidR="004072A0" w:rsidRPr="00C41FDC">
        <w:rPr>
          <w:color w:val="000000" w:themeColor="text1"/>
        </w:rPr>
        <w:t xml:space="preserve"> through a linear mixed-effects (LME) model with random intercept and random slope for each subject</w:t>
      </w:r>
      <w:r w:rsidR="001866EA" w:rsidRPr="00C41FDC">
        <w:rPr>
          <w:color w:val="000000" w:themeColor="text1"/>
        </w:rPr>
        <w:t>. The LME models included</w:t>
      </w:r>
      <w:r w:rsidR="004072A0" w:rsidRPr="00C41FDC">
        <w:rPr>
          <w:color w:val="000000" w:themeColor="text1"/>
        </w:rPr>
        <w:t xml:space="preserve"> fixed effects of </w:t>
      </w:r>
      <w:r w:rsidR="004072A0" w:rsidRPr="00C41FDC">
        <w:rPr>
          <w:color w:val="000000" w:themeColor="text1"/>
        </w:rPr>
        <w:lastRenderedPageBreak/>
        <w:t xml:space="preserve">patient gender, age, smoking status (never/ever), antifibrotic </w:t>
      </w:r>
      <w:r w:rsidR="00417A59" w:rsidRPr="00C41FDC">
        <w:rPr>
          <w:color w:val="000000" w:themeColor="text1"/>
        </w:rPr>
        <w:t xml:space="preserve">use </w:t>
      </w:r>
      <w:r w:rsidR="004072A0" w:rsidRPr="00C41FDC">
        <w:rPr>
          <w:color w:val="000000" w:themeColor="text1"/>
        </w:rPr>
        <w:t>across follow-up history (never/ever), baseline FVC (</w:t>
      </w:r>
      <w:r w:rsidR="00BF7C1D" w:rsidRPr="00C41FDC">
        <w:rPr>
          <w:color w:val="000000" w:themeColor="text1"/>
        </w:rPr>
        <w:t xml:space="preserve">as </w:t>
      </w:r>
      <w:r w:rsidR="00143010" w:rsidRPr="00C41FDC">
        <w:rPr>
          <w:color w:val="000000" w:themeColor="text1"/>
        </w:rPr>
        <w:t>percent-</w:t>
      </w:r>
      <w:r w:rsidR="00BF7C1D" w:rsidRPr="00C41FDC">
        <w:rPr>
          <w:color w:val="000000" w:themeColor="text1"/>
        </w:rPr>
        <w:t>predicted</w:t>
      </w:r>
      <w:r w:rsidR="004072A0" w:rsidRPr="00C41FDC">
        <w:rPr>
          <w:color w:val="000000" w:themeColor="text1"/>
        </w:rPr>
        <w:t xml:space="preserve">), and study time. </w:t>
      </w:r>
      <w:r w:rsidR="00890EEB" w:rsidRPr="00C41FDC">
        <w:rPr>
          <w:color w:val="000000" w:themeColor="text1"/>
        </w:rPr>
        <w:t xml:space="preserve">LME-predicted </w:t>
      </w:r>
      <w:r w:rsidR="0057508E" w:rsidRPr="00C41FDC">
        <w:rPr>
          <w:color w:val="000000" w:themeColor="text1"/>
        </w:rPr>
        <w:t>1-year</w:t>
      </w:r>
      <w:r w:rsidR="00890EEB" w:rsidRPr="00C41FDC">
        <w:rPr>
          <w:color w:val="000000" w:themeColor="text1"/>
        </w:rPr>
        <w:t xml:space="preserve"> </w:t>
      </w:r>
      <w:r w:rsidR="004072A0" w:rsidRPr="00C41FDC">
        <w:rPr>
          <w:color w:val="000000" w:themeColor="text1"/>
        </w:rPr>
        <w:t xml:space="preserve">FVC decline was estimated as the </w:t>
      </w:r>
      <w:r w:rsidR="00F45216" w:rsidRPr="00C41FDC">
        <w:rPr>
          <w:color w:val="000000" w:themeColor="text1"/>
        </w:rPr>
        <w:t xml:space="preserve">percentage </w:t>
      </w:r>
      <w:r w:rsidR="004072A0" w:rsidRPr="00C41FDC">
        <w:rPr>
          <w:color w:val="000000" w:themeColor="text1"/>
        </w:rPr>
        <w:t xml:space="preserve">difference between observed </w:t>
      </w:r>
      <w:r w:rsidR="002360CD" w:rsidRPr="00C41FDC">
        <w:rPr>
          <w:color w:val="000000" w:themeColor="text1"/>
        </w:rPr>
        <w:t xml:space="preserve">absolute </w:t>
      </w:r>
      <w:r w:rsidR="004072A0" w:rsidRPr="00C41FDC">
        <w:rPr>
          <w:color w:val="000000" w:themeColor="text1"/>
        </w:rPr>
        <w:t xml:space="preserve">baseline FVC and the </w:t>
      </w:r>
      <w:r w:rsidR="002360CD" w:rsidRPr="00C41FDC">
        <w:rPr>
          <w:color w:val="000000" w:themeColor="text1"/>
        </w:rPr>
        <w:t xml:space="preserve">absolute </w:t>
      </w:r>
      <w:r w:rsidR="004072A0" w:rsidRPr="00C41FDC">
        <w:rPr>
          <w:color w:val="000000" w:themeColor="text1"/>
        </w:rPr>
        <w:t>LME-predicted FVC at 1 year.</w:t>
      </w:r>
      <w:r w:rsidR="006D0B98" w:rsidRPr="00C41FDC">
        <w:rPr>
          <w:color w:val="000000" w:themeColor="text1"/>
        </w:rPr>
        <w:t xml:space="preserve"> Patients who did not have at least two </w:t>
      </w:r>
      <w:r w:rsidR="00FD4754" w:rsidRPr="00C41FDC">
        <w:rPr>
          <w:color w:val="000000" w:themeColor="text1"/>
        </w:rPr>
        <w:t xml:space="preserve">absolute </w:t>
      </w:r>
      <w:r w:rsidR="006D0B98" w:rsidRPr="00C41FDC">
        <w:rPr>
          <w:color w:val="000000" w:themeColor="text1"/>
        </w:rPr>
        <w:t xml:space="preserve">FVC measurements (one within 3 months of baseline and another in the period 3–18 months after baseline) were excluded from </w:t>
      </w:r>
      <w:r w:rsidR="0019434A" w:rsidRPr="00C41FDC">
        <w:rPr>
          <w:color w:val="000000" w:themeColor="text1"/>
        </w:rPr>
        <w:t xml:space="preserve">LME modelling and </w:t>
      </w:r>
      <w:r w:rsidR="003565CA" w:rsidRPr="00C41FDC">
        <w:rPr>
          <w:color w:val="000000" w:themeColor="text1"/>
        </w:rPr>
        <w:t xml:space="preserve">LME-predicted </w:t>
      </w:r>
      <w:r w:rsidR="0057508E" w:rsidRPr="00C41FDC">
        <w:rPr>
          <w:color w:val="000000" w:themeColor="text1"/>
        </w:rPr>
        <w:t xml:space="preserve">1-year </w:t>
      </w:r>
      <w:r w:rsidR="006D0B98" w:rsidRPr="00C41FDC">
        <w:rPr>
          <w:color w:val="000000" w:themeColor="text1"/>
        </w:rPr>
        <w:t>FVC decline analyses.</w:t>
      </w:r>
      <w:r w:rsidR="00FD4754" w:rsidRPr="00C41FDC">
        <w:rPr>
          <w:color w:val="000000" w:themeColor="text1"/>
        </w:rPr>
        <w:t xml:space="preserve"> In the derivation cohort</w:t>
      </w:r>
      <w:r w:rsidR="00677B39" w:rsidRPr="00C41FDC">
        <w:rPr>
          <w:color w:val="000000" w:themeColor="text1"/>
        </w:rPr>
        <w:t>,</w:t>
      </w:r>
      <w:r w:rsidR="00143010" w:rsidRPr="00C41FDC">
        <w:rPr>
          <w:color w:val="000000" w:themeColor="text1"/>
        </w:rPr>
        <w:t xml:space="preserve"> n=</w:t>
      </w:r>
      <w:r w:rsidR="00FD4754" w:rsidRPr="00C41FDC">
        <w:rPr>
          <w:color w:val="000000" w:themeColor="text1"/>
        </w:rPr>
        <w:t>1</w:t>
      </w:r>
      <w:r w:rsidR="00677B39" w:rsidRPr="00C41FDC">
        <w:rPr>
          <w:color w:val="000000" w:themeColor="text1"/>
        </w:rPr>
        <w:t>6</w:t>
      </w:r>
      <w:r w:rsidR="00FD4754" w:rsidRPr="00C41FDC">
        <w:rPr>
          <w:color w:val="000000" w:themeColor="text1"/>
        </w:rPr>
        <w:t xml:space="preserve"> </w:t>
      </w:r>
      <w:r w:rsidR="00143010" w:rsidRPr="00C41FDC">
        <w:rPr>
          <w:color w:val="000000" w:themeColor="text1"/>
        </w:rPr>
        <w:t>had no</w:t>
      </w:r>
      <w:r w:rsidR="00FD4754" w:rsidRPr="00C41FDC">
        <w:rPr>
          <w:color w:val="000000" w:themeColor="text1"/>
        </w:rPr>
        <w:t xml:space="preserve"> FVC measurement 3-18 months after baseline (</w:t>
      </w:r>
      <w:r w:rsidR="00143010" w:rsidRPr="00C41FDC">
        <w:rPr>
          <w:color w:val="000000" w:themeColor="text1"/>
        </w:rPr>
        <w:t>6/</w:t>
      </w:r>
      <w:r w:rsidR="00FD4754" w:rsidRPr="00C41FDC">
        <w:rPr>
          <w:color w:val="000000" w:themeColor="text1"/>
        </w:rPr>
        <w:t>1</w:t>
      </w:r>
      <w:r w:rsidR="00677B39" w:rsidRPr="00C41FDC">
        <w:rPr>
          <w:color w:val="000000" w:themeColor="text1"/>
        </w:rPr>
        <w:t>6</w:t>
      </w:r>
      <w:r w:rsidR="00FD4754" w:rsidRPr="00C41FDC">
        <w:rPr>
          <w:color w:val="000000" w:themeColor="text1"/>
        </w:rPr>
        <w:t xml:space="preserve"> patients </w:t>
      </w:r>
      <w:r w:rsidR="0092735F" w:rsidRPr="00C41FDC">
        <w:rPr>
          <w:color w:val="000000" w:themeColor="text1"/>
        </w:rPr>
        <w:t xml:space="preserve">had </w:t>
      </w:r>
      <w:r w:rsidR="00143010" w:rsidRPr="00C41FDC">
        <w:rPr>
          <w:color w:val="000000" w:themeColor="text1"/>
        </w:rPr>
        <w:t xml:space="preserve">&lt;18 months </w:t>
      </w:r>
      <w:r w:rsidR="00FD4754" w:rsidRPr="00C41FDC">
        <w:rPr>
          <w:color w:val="000000" w:themeColor="text1"/>
        </w:rPr>
        <w:t>follow-up</w:t>
      </w:r>
      <w:r w:rsidR="0092735F" w:rsidRPr="00C41FDC">
        <w:rPr>
          <w:color w:val="000000" w:themeColor="text1"/>
        </w:rPr>
        <w:t>, of whom three died</w:t>
      </w:r>
      <w:r w:rsidR="00FD4754" w:rsidRPr="00C41FDC">
        <w:rPr>
          <w:color w:val="000000" w:themeColor="text1"/>
        </w:rPr>
        <w:t xml:space="preserve">). In the validation cohort, </w:t>
      </w:r>
      <w:r w:rsidR="00143010" w:rsidRPr="00C41FDC">
        <w:rPr>
          <w:color w:val="000000" w:themeColor="text1"/>
        </w:rPr>
        <w:t>n=</w:t>
      </w:r>
      <w:r w:rsidR="00C15585" w:rsidRPr="00C41FDC">
        <w:rPr>
          <w:color w:val="000000" w:themeColor="text1"/>
        </w:rPr>
        <w:t>10</w:t>
      </w:r>
      <w:r w:rsidR="00FD4754" w:rsidRPr="00C41FDC">
        <w:rPr>
          <w:color w:val="000000" w:themeColor="text1"/>
        </w:rPr>
        <w:t xml:space="preserve"> </w:t>
      </w:r>
      <w:r w:rsidR="00143010" w:rsidRPr="00C41FDC">
        <w:rPr>
          <w:color w:val="000000" w:themeColor="text1"/>
        </w:rPr>
        <w:t xml:space="preserve">had no </w:t>
      </w:r>
      <w:r w:rsidR="00FD4754" w:rsidRPr="00C41FDC">
        <w:rPr>
          <w:color w:val="000000" w:themeColor="text1"/>
        </w:rPr>
        <w:t>FVC measurement 3-18 months after baseline (</w:t>
      </w:r>
      <w:r w:rsidR="00C15585" w:rsidRPr="00C41FDC">
        <w:rPr>
          <w:color w:val="000000" w:themeColor="text1"/>
        </w:rPr>
        <w:t xml:space="preserve">all </w:t>
      </w:r>
      <w:r w:rsidR="00143010" w:rsidRPr="00C41FDC">
        <w:rPr>
          <w:color w:val="000000" w:themeColor="text1"/>
        </w:rPr>
        <w:t>4/</w:t>
      </w:r>
      <w:r w:rsidR="00C15585" w:rsidRPr="00C41FDC">
        <w:rPr>
          <w:color w:val="000000" w:themeColor="text1"/>
        </w:rPr>
        <w:t>10</w:t>
      </w:r>
      <w:r w:rsidR="0092735F" w:rsidRPr="00C41FDC">
        <w:rPr>
          <w:color w:val="000000" w:themeColor="text1"/>
        </w:rPr>
        <w:t xml:space="preserve"> patients with follow-up </w:t>
      </w:r>
      <w:r w:rsidR="00143010" w:rsidRPr="00C41FDC">
        <w:rPr>
          <w:color w:val="000000" w:themeColor="text1"/>
        </w:rPr>
        <w:t>&lt;</w:t>
      </w:r>
      <w:r w:rsidR="0092735F" w:rsidRPr="00C41FDC">
        <w:rPr>
          <w:color w:val="000000" w:themeColor="text1"/>
        </w:rPr>
        <w:t>18 months died).</w:t>
      </w:r>
    </w:p>
    <w:p w14:paraId="5CD8D183" w14:textId="77777777" w:rsidR="00514607" w:rsidRPr="00C41FDC" w:rsidRDefault="00514607" w:rsidP="00A34DB7">
      <w:pPr>
        <w:pStyle w:val="noindent"/>
        <w:spacing w:before="0" w:beforeAutospacing="0" w:after="0" w:afterAutospacing="0" w:line="480" w:lineRule="auto"/>
        <w:rPr>
          <w:color w:val="000000" w:themeColor="text1"/>
        </w:rPr>
      </w:pPr>
    </w:p>
    <w:p w14:paraId="324E7FBC" w14:textId="5881A875" w:rsidR="00600303" w:rsidRPr="00C41FDC" w:rsidRDefault="00C763C7" w:rsidP="00A34DB7">
      <w:pPr>
        <w:pStyle w:val="noindent"/>
        <w:spacing w:before="0" w:beforeAutospacing="0" w:after="0" w:afterAutospacing="0" w:line="480" w:lineRule="auto"/>
        <w:rPr>
          <w:color w:val="000000" w:themeColor="text1"/>
        </w:rPr>
      </w:pPr>
      <w:r w:rsidRPr="00C41FDC">
        <w:rPr>
          <w:color w:val="000000" w:themeColor="text1"/>
        </w:rPr>
        <w:t>Baseline disease severity in m</w:t>
      </w:r>
      <w:r w:rsidR="0043461D" w:rsidRPr="00C41FDC">
        <w:rPr>
          <w:color w:val="000000" w:themeColor="text1"/>
        </w:rPr>
        <w:t xml:space="preserve">ultivariable models considered </w:t>
      </w:r>
      <w:r w:rsidRPr="00C41FDC">
        <w:rPr>
          <w:color w:val="000000" w:themeColor="text1"/>
        </w:rPr>
        <w:t>either D</w:t>
      </w:r>
      <w:r w:rsidR="00143010" w:rsidRPr="00C41FDC">
        <w:rPr>
          <w:color w:val="000000" w:themeColor="text1"/>
        </w:rPr>
        <w:t>L</w:t>
      </w:r>
      <w:r w:rsidRPr="00C41FDC">
        <w:rPr>
          <w:color w:val="000000" w:themeColor="text1"/>
        </w:rPr>
        <w:t xml:space="preserve">co (as a functional measure) or </w:t>
      </w:r>
      <w:r w:rsidR="004C49C1" w:rsidRPr="00C41FDC">
        <w:rPr>
          <w:color w:val="000000" w:themeColor="text1"/>
        </w:rPr>
        <w:t xml:space="preserve">summed </w:t>
      </w:r>
      <w:r w:rsidR="00600303" w:rsidRPr="00C41FDC">
        <w:rPr>
          <w:color w:val="000000" w:themeColor="text1"/>
        </w:rPr>
        <w:t>emphysema and ILD</w:t>
      </w:r>
      <w:r w:rsidRPr="00C41FDC">
        <w:rPr>
          <w:color w:val="000000" w:themeColor="text1"/>
        </w:rPr>
        <w:t xml:space="preserve"> </w:t>
      </w:r>
      <w:r w:rsidR="009B0882" w:rsidRPr="00C41FDC">
        <w:rPr>
          <w:color w:val="000000" w:themeColor="text1"/>
        </w:rPr>
        <w:t xml:space="preserve">percentages </w:t>
      </w:r>
      <w:r w:rsidR="00143010" w:rsidRPr="00C41FDC">
        <w:rPr>
          <w:color w:val="000000" w:themeColor="text1"/>
        </w:rPr>
        <w:t>(</w:t>
      </w:r>
      <w:r w:rsidRPr="00C41FDC">
        <w:rPr>
          <w:color w:val="000000" w:themeColor="text1"/>
        </w:rPr>
        <w:t>as a morphological measure</w:t>
      </w:r>
      <w:r w:rsidR="00143010" w:rsidRPr="00C41FDC">
        <w:rPr>
          <w:color w:val="000000" w:themeColor="text1"/>
        </w:rPr>
        <w:t>) using continuous scales</w:t>
      </w:r>
      <w:r w:rsidR="00600303" w:rsidRPr="00C41FDC">
        <w:rPr>
          <w:color w:val="000000" w:themeColor="text1"/>
        </w:rPr>
        <w:t xml:space="preserve">. </w:t>
      </w:r>
      <w:r w:rsidR="00C21FF6" w:rsidRPr="00C41FDC">
        <w:rPr>
          <w:color w:val="000000" w:themeColor="text1"/>
        </w:rPr>
        <w:t xml:space="preserve">Patients </w:t>
      </w:r>
      <w:r w:rsidR="00143010" w:rsidRPr="00C41FDC">
        <w:rPr>
          <w:color w:val="000000" w:themeColor="text1"/>
        </w:rPr>
        <w:t>without</w:t>
      </w:r>
      <w:r w:rsidR="00C21FF6" w:rsidRPr="00C41FDC">
        <w:rPr>
          <w:color w:val="000000" w:themeColor="text1"/>
        </w:rPr>
        <w:t xml:space="preserve"> a D</w:t>
      </w:r>
      <w:r w:rsidR="007730BA" w:rsidRPr="00C41FDC">
        <w:rPr>
          <w:color w:val="000000" w:themeColor="text1"/>
        </w:rPr>
        <w:t>L</w:t>
      </w:r>
      <w:r w:rsidR="00C21FF6" w:rsidRPr="00C41FDC">
        <w:rPr>
          <w:color w:val="000000" w:themeColor="text1"/>
        </w:rPr>
        <w:t>co measurement within 3 months of baseline were excluded from analyses</w:t>
      </w:r>
      <w:r w:rsidR="002360CD" w:rsidRPr="00C41FDC">
        <w:rPr>
          <w:color w:val="000000" w:themeColor="text1"/>
        </w:rPr>
        <w:t xml:space="preserve"> (</w:t>
      </w:r>
      <w:r w:rsidR="009063EC" w:rsidRPr="00C41FDC">
        <w:rPr>
          <w:color w:val="000000" w:themeColor="text1"/>
        </w:rPr>
        <w:t>derivation</w:t>
      </w:r>
      <w:r w:rsidR="002360CD" w:rsidRPr="00C41FDC">
        <w:rPr>
          <w:color w:val="000000" w:themeColor="text1"/>
        </w:rPr>
        <w:t>: n=1</w:t>
      </w:r>
      <w:r w:rsidR="00D46215" w:rsidRPr="00C41FDC">
        <w:rPr>
          <w:color w:val="000000" w:themeColor="text1"/>
        </w:rPr>
        <w:t>8</w:t>
      </w:r>
      <w:r w:rsidR="002360CD" w:rsidRPr="00C41FDC">
        <w:rPr>
          <w:color w:val="000000" w:themeColor="text1"/>
        </w:rPr>
        <w:t>, validation: n=5)</w:t>
      </w:r>
      <w:r w:rsidR="00C21FF6" w:rsidRPr="00C41FDC">
        <w:rPr>
          <w:color w:val="000000" w:themeColor="text1"/>
        </w:rPr>
        <w:t>.</w:t>
      </w:r>
    </w:p>
    <w:p w14:paraId="785650F8" w14:textId="77777777" w:rsidR="00514607" w:rsidRPr="00C41FDC" w:rsidRDefault="00514607" w:rsidP="00A34DB7">
      <w:pPr>
        <w:pStyle w:val="noindent"/>
        <w:spacing w:before="0" w:beforeAutospacing="0" w:after="0" w:afterAutospacing="0" w:line="480" w:lineRule="auto"/>
        <w:rPr>
          <w:color w:val="000000" w:themeColor="text1"/>
        </w:rPr>
      </w:pPr>
    </w:p>
    <w:p w14:paraId="2386F23C" w14:textId="0843CFE0" w:rsidR="00984418" w:rsidRPr="00C41FDC" w:rsidRDefault="000520F0" w:rsidP="000520F0">
      <w:pPr>
        <w:pStyle w:val="noindent"/>
        <w:spacing w:before="0" w:beforeAutospacing="0" w:after="0" w:afterAutospacing="0" w:line="480" w:lineRule="auto"/>
        <w:rPr>
          <w:color w:val="000000" w:themeColor="text1"/>
        </w:rPr>
      </w:pPr>
      <w:bookmarkStart w:id="143" w:name="OLE_LINK70"/>
      <w:bookmarkStart w:id="144" w:name="OLE_LINK71"/>
      <w:bookmarkEnd w:id="133"/>
      <w:bookmarkEnd w:id="134"/>
      <w:bookmarkEnd w:id="141"/>
      <w:bookmarkEnd w:id="142"/>
      <w:r w:rsidRPr="00C41FDC">
        <w:rPr>
          <w:color w:val="000000" w:themeColor="text1"/>
        </w:rPr>
        <w:t>Univariable and multivariable linear regression analyses investigate</w:t>
      </w:r>
      <w:r w:rsidR="0086479A" w:rsidRPr="00C41FDC">
        <w:rPr>
          <w:color w:val="000000" w:themeColor="text1"/>
        </w:rPr>
        <w:t>d</w:t>
      </w:r>
      <w:r w:rsidRPr="00C41FDC">
        <w:rPr>
          <w:color w:val="000000" w:themeColor="text1"/>
        </w:rPr>
        <w:t xml:space="preserve"> the relationship between </w:t>
      </w:r>
      <w:r w:rsidR="00143010" w:rsidRPr="00C41FDC">
        <w:rPr>
          <w:color w:val="000000" w:themeColor="text1"/>
        </w:rPr>
        <w:t>v</w:t>
      </w:r>
      <w:r w:rsidR="00BD4969" w:rsidRPr="00C41FDC">
        <w:rPr>
          <w:color w:val="000000" w:themeColor="text1"/>
        </w:rPr>
        <w:t xml:space="preserve">isual </w:t>
      </w:r>
      <w:r w:rsidR="00143010" w:rsidRPr="00C41FDC">
        <w:rPr>
          <w:color w:val="000000" w:themeColor="text1"/>
        </w:rPr>
        <w:t xml:space="preserve">PPFE </w:t>
      </w:r>
      <w:r w:rsidR="00984418" w:rsidRPr="00C41FDC">
        <w:rPr>
          <w:color w:val="000000" w:themeColor="text1"/>
        </w:rPr>
        <w:t xml:space="preserve">(as a binary variable </w:t>
      </w:r>
      <w:r w:rsidR="00B05865" w:rsidRPr="00C41FDC">
        <w:rPr>
          <w:color w:val="000000" w:themeColor="text1"/>
        </w:rPr>
        <w:t xml:space="preserve">“vPPFE-presence” </w:t>
      </w:r>
      <w:r w:rsidR="00984418" w:rsidRPr="00C41FDC">
        <w:rPr>
          <w:color w:val="000000" w:themeColor="text1"/>
        </w:rPr>
        <w:t xml:space="preserve">or </w:t>
      </w:r>
      <w:r w:rsidR="005C0562" w:rsidRPr="00C41FDC">
        <w:rPr>
          <w:color w:val="000000" w:themeColor="text1"/>
        </w:rPr>
        <w:t>categorical</w:t>
      </w:r>
      <w:r w:rsidR="00B05865" w:rsidRPr="00C41FDC">
        <w:rPr>
          <w:color w:val="000000" w:themeColor="text1"/>
        </w:rPr>
        <w:t xml:space="preserve"> variable “vPPFE</w:t>
      </w:r>
      <w:r w:rsidR="00C21FA2" w:rsidRPr="00C41FDC">
        <w:rPr>
          <w:color w:val="000000" w:themeColor="text1"/>
        </w:rPr>
        <w:t>”)</w:t>
      </w:r>
      <w:r w:rsidR="0086479A" w:rsidRPr="00C41FDC">
        <w:rPr>
          <w:color w:val="000000" w:themeColor="text1"/>
        </w:rPr>
        <w:t xml:space="preserve"> </w:t>
      </w:r>
      <w:r w:rsidR="00984418" w:rsidRPr="00C41FDC">
        <w:rPr>
          <w:color w:val="000000" w:themeColor="text1"/>
        </w:rPr>
        <w:t xml:space="preserve">and </w:t>
      </w:r>
      <w:r w:rsidR="00143010" w:rsidRPr="00C41FDC">
        <w:rPr>
          <w:color w:val="000000" w:themeColor="text1"/>
        </w:rPr>
        <w:t>cPPFE</w:t>
      </w:r>
      <w:r w:rsidR="00984418" w:rsidRPr="00C41FDC">
        <w:rPr>
          <w:color w:val="000000" w:themeColor="text1"/>
        </w:rPr>
        <w:t xml:space="preserve"> (as continuous and </w:t>
      </w:r>
      <w:r w:rsidR="00CF7203" w:rsidRPr="00C41FDC">
        <w:rPr>
          <w:color w:val="000000" w:themeColor="text1"/>
        </w:rPr>
        <w:t>dichotomised</w:t>
      </w:r>
      <w:r w:rsidR="00306198" w:rsidRPr="00C41FDC">
        <w:rPr>
          <w:color w:val="000000" w:themeColor="text1"/>
        </w:rPr>
        <w:t xml:space="preserve"> </w:t>
      </w:r>
      <w:r w:rsidR="00984418" w:rsidRPr="00C41FDC">
        <w:rPr>
          <w:color w:val="000000" w:themeColor="text1"/>
        </w:rPr>
        <w:t>score</w:t>
      </w:r>
      <w:r w:rsidR="00B05865" w:rsidRPr="00C41FDC">
        <w:rPr>
          <w:color w:val="000000" w:themeColor="text1"/>
        </w:rPr>
        <w:t>s</w:t>
      </w:r>
      <w:r w:rsidR="00984418" w:rsidRPr="00C41FDC">
        <w:rPr>
          <w:color w:val="000000" w:themeColor="text1"/>
        </w:rPr>
        <w:t xml:space="preserve">) </w:t>
      </w:r>
      <w:r w:rsidR="005C0562" w:rsidRPr="00C41FDC">
        <w:rPr>
          <w:color w:val="000000" w:themeColor="text1"/>
        </w:rPr>
        <w:t xml:space="preserve">and </w:t>
      </w:r>
      <w:r w:rsidR="009B0882" w:rsidRPr="00C41FDC">
        <w:rPr>
          <w:color w:val="000000" w:themeColor="text1"/>
        </w:rPr>
        <w:t xml:space="preserve">percent-predicted </w:t>
      </w:r>
      <w:r w:rsidR="0086479A" w:rsidRPr="00C41FDC">
        <w:rPr>
          <w:color w:val="000000" w:themeColor="text1"/>
        </w:rPr>
        <w:t>D</w:t>
      </w:r>
      <w:r w:rsidR="007730BA" w:rsidRPr="00C41FDC">
        <w:rPr>
          <w:color w:val="000000" w:themeColor="text1"/>
        </w:rPr>
        <w:t>L</w:t>
      </w:r>
      <w:r w:rsidR="0086479A" w:rsidRPr="00C41FDC">
        <w:rPr>
          <w:color w:val="000000" w:themeColor="text1"/>
        </w:rPr>
        <w:t xml:space="preserve">co and ILD </w:t>
      </w:r>
      <w:r w:rsidR="009B0882" w:rsidRPr="00C41FDC">
        <w:rPr>
          <w:color w:val="000000" w:themeColor="text1"/>
        </w:rPr>
        <w:t>percentage on CT</w:t>
      </w:r>
      <w:r w:rsidR="0086479A" w:rsidRPr="00C41FDC">
        <w:rPr>
          <w:color w:val="000000" w:themeColor="text1"/>
        </w:rPr>
        <w:t>. Univariable and multivariable analyses also investigated relationship</w:t>
      </w:r>
      <w:r w:rsidR="00143010" w:rsidRPr="00C41FDC">
        <w:rPr>
          <w:color w:val="000000" w:themeColor="text1"/>
        </w:rPr>
        <w:t>s</w:t>
      </w:r>
      <w:r w:rsidR="0086479A" w:rsidRPr="00C41FDC">
        <w:rPr>
          <w:color w:val="000000" w:themeColor="text1"/>
        </w:rPr>
        <w:t xml:space="preserve"> between </w:t>
      </w:r>
      <w:r w:rsidRPr="00C41FDC">
        <w:rPr>
          <w:color w:val="000000" w:themeColor="text1"/>
        </w:rPr>
        <w:t xml:space="preserve">visual and computer-based CT features and </w:t>
      </w:r>
      <w:r w:rsidR="00984418" w:rsidRPr="00C41FDC">
        <w:rPr>
          <w:color w:val="000000" w:themeColor="text1"/>
        </w:rPr>
        <w:t xml:space="preserve">LME-predicted </w:t>
      </w:r>
      <w:r w:rsidR="00E53EFB" w:rsidRPr="00C41FDC">
        <w:rPr>
          <w:color w:val="000000" w:themeColor="text1"/>
        </w:rPr>
        <w:t xml:space="preserve">1-year </w:t>
      </w:r>
      <w:r w:rsidRPr="00C41FDC">
        <w:rPr>
          <w:color w:val="000000" w:themeColor="text1"/>
        </w:rPr>
        <w:t xml:space="preserve">FVC decline. In the </w:t>
      </w:r>
      <w:r w:rsidR="009063EC" w:rsidRPr="00C41FDC">
        <w:rPr>
          <w:color w:val="000000" w:themeColor="text1"/>
        </w:rPr>
        <w:t>derivation</w:t>
      </w:r>
      <w:r w:rsidR="00984418" w:rsidRPr="00C41FDC">
        <w:rPr>
          <w:color w:val="000000" w:themeColor="text1"/>
        </w:rPr>
        <w:t xml:space="preserve"> cohort, linear regression models were used</w:t>
      </w:r>
      <w:r w:rsidR="00143010" w:rsidRPr="00C41FDC">
        <w:rPr>
          <w:color w:val="000000" w:themeColor="text1"/>
        </w:rPr>
        <w:t>. I</w:t>
      </w:r>
      <w:r w:rsidR="00984418" w:rsidRPr="00C41FDC">
        <w:rPr>
          <w:color w:val="000000" w:themeColor="text1"/>
        </w:rPr>
        <w:t xml:space="preserve">n the </w:t>
      </w:r>
      <w:r w:rsidRPr="00C41FDC">
        <w:rPr>
          <w:color w:val="000000" w:themeColor="text1"/>
        </w:rPr>
        <w:t>validation cohort, LME models adjust</w:t>
      </w:r>
      <w:r w:rsidR="00AE3579" w:rsidRPr="00C41FDC">
        <w:rPr>
          <w:color w:val="000000" w:themeColor="text1"/>
        </w:rPr>
        <w:t>ed</w:t>
      </w:r>
      <w:r w:rsidRPr="00C41FDC">
        <w:rPr>
          <w:color w:val="000000" w:themeColor="text1"/>
        </w:rPr>
        <w:t xml:space="preserve"> for any underlying differences between patients </w:t>
      </w:r>
      <w:r w:rsidR="00AE3579" w:rsidRPr="00C41FDC">
        <w:rPr>
          <w:color w:val="000000" w:themeColor="text1"/>
        </w:rPr>
        <w:t>in</w:t>
      </w:r>
      <w:r w:rsidRPr="00C41FDC">
        <w:rPr>
          <w:color w:val="000000" w:themeColor="text1"/>
        </w:rPr>
        <w:t xml:space="preserve"> Centre B and Centre C, with a random slope added </w:t>
      </w:r>
      <w:r w:rsidRPr="00C41FDC">
        <w:rPr>
          <w:color w:val="000000" w:themeColor="text1"/>
        </w:rPr>
        <w:lastRenderedPageBreak/>
        <w:t>for each patient group. Univariable and multivariable Cox regression analyses explore</w:t>
      </w:r>
      <w:r w:rsidR="00AE3579" w:rsidRPr="00C41FDC">
        <w:rPr>
          <w:color w:val="000000" w:themeColor="text1"/>
        </w:rPr>
        <w:t>d</w:t>
      </w:r>
      <w:r w:rsidRPr="00C41FDC">
        <w:rPr>
          <w:color w:val="000000" w:themeColor="text1"/>
        </w:rPr>
        <w:t xml:space="preserve"> determinants of mortality. In the validation</w:t>
      </w:r>
      <w:r w:rsidR="0086479A" w:rsidRPr="00C41FDC">
        <w:rPr>
          <w:color w:val="000000" w:themeColor="text1"/>
        </w:rPr>
        <w:t xml:space="preserve"> cohort</w:t>
      </w:r>
      <w:r w:rsidRPr="00C41FDC">
        <w:rPr>
          <w:color w:val="000000" w:themeColor="text1"/>
        </w:rPr>
        <w:t xml:space="preserve"> </w:t>
      </w:r>
      <w:r w:rsidR="00F96DFA" w:rsidRPr="00C41FDC">
        <w:rPr>
          <w:color w:val="000000" w:themeColor="text1"/>
        </w:rPr>
        <w:t xml:space="preserve">and combined </w:t>
      </w:r>
      <w:r w:rsidR="0086479A" w:rsidRPr="00C41FDC">
        <w:rPr>
          <w:color w:val="000000" w:themeColor="text1"/>
        </w:rPr>
        <w:t xml:space="preserve">population </w:t>
      </w:r>
      <w:r w:rsidRPr="00C41FDC">
        <w:rPr>
          <w:color w:val="000000" w:themeColor="text1"/>
        </w:rPr>
        <w:t xml:space="preserve">cohort, </w:t>
      </w:r>
      <w:r w:rsidR="006E2412" w:rsidRPr="00C41FDC">
        <w:rPr>
          <w:color w:val="000000" w:themeColor="text1"/>
        </w:rPr>
        <w:t>f</w:t>
      </w:r>
      <w:r w:rsidRPr="00C41FDC">
        <w:rPr>
          <w:color w:val="000000" w:themeColor="text1"/>
        </w:rPr>
        <w:t>railty Cox models adjust</w:t>
      </w:r>
      <w:r w:rsidR="00AE3579" w:rsidRPr="00C41FDC">
        <w:rPr>
          <w:color w:val="000000" w:themeColor="text1"/>
        </w:rPr>
        <w:t>ed</w:t>
      </w:r>
      <w:r w:rsidRPr="00C41FDC">
        <w:rPr>
          <w:color w:val="000000" w:themeColor="text1"/>
        </w:rPr>
        <w:t xml:space="preserve"> for any underlying differences between patients </w:t>
      </w:r>
      <w:r w:rsidR="00AE3579" w:rsidRPr="00C41FDC">
        <w:rPr>
          <w:color w:val="000000" w:themeColor="text1"/>
        </w:rPr>
        <w:t>in different Centres</w:t>
      </w:r>
      <w:r w:rsidRPr="00C41FDC">
        <w:rPr>
          <w:color w:val="000000" w:themeColor="text1"/>
        </w:rPr>
        <w:t>.</w:t>
      </w:r>
      <w:r w:rsidR="0086479A" w:rsidRPr="00C41FDC">
        <w:rPr>
          <w:color w:val="000000" w:themeColor="text1"/>
        </w:rPr>
        <w:t xml:space="preserve"> </w:t>
      </w:r>
    </w:p>
    <w:p w14:paraId="6B6A4F61" w14:textId="77777777" w:rsidR="00984418" w:rsidRPr="00C41FDC" w:rsidRDefault="00984418" w:rsidP="000520F0">
      <w:pPr>
        <w:pStyle w:val="noindent"/>
        <w:spacing w:before="0" w:beforeAutospacing="0" w:after="0" w:afterAutospacing="0" w:line="480" w:lineRule="auto"/>
        <w:rPr>
          <w:color w:val="000000" w:themeColor="text1"/>
        </w:rPr>
      </w:pPr>
    </w:p>
    <w:p w14:paraId="7C74BAC6" w14:textId="77777777" w:rsidR="000F3CA4" w:rsidRPr="00C41FDC" w:rsidRDefault="000520F0" w:rsidP="000520F0">
      <w:pPr>
        <w:pStyle w:val="noindent"/>
        <w:spacing w:before="0" w:beforeAutospacing="0" w:after="0" w:afterAutospacing="0" w:line="480" w:lineRule="auto"/>
        <w:rPr>
          <w:color w:val="000000" w:themeColor="text1"/>
        </w:rPr>
      </w:pPr>
      <w:bookmarkStart w:id="145" w:name="OLE_LINK246"/>
      <w:bookmarkStart w:id="146" w:name="OLE_LINK247"/>
      <w:r w:rsidRPr="00C41FDC">
        <w:rPr>
          <w:color w:val="000000" w:themeColor="text1"/>
        </w:rPr>
        <w:t xml:space="preserve">All models were adjusted for patient gender, age, smoking status (never/ever), and </w:t>
      </w:r>
      <w:r w:rsidR="009F7EA3" w:rsidRPr="00C41FDC">
        <w:rPr>
          <w:color w:val="000000" w:themeColor="text1"/>
        </w:rPr>
        <w:t xml:space="preserve">one of the two measures of </w:t>
      </w:r>
      <w:r w:rsidRPr="00C41FDC">
        <w:rPr>
          <w:color w:val="000000" w:themeColor="text1"/>
        </w:rPr>
        <w:t xml:space="preserve">baseline disease severity. </w:t>
      </w:r>
      <w:bookmarkStart w:id="147" w:name="OLE_LINK248"/>
      <w:bookmarkStart w:id="148" w:name="OLE_LINK249"/>
      <w:bookmarkEnd w:id="145"/>
      <w:bookmarkEnd w:id="146"/>
      <w:r w:rsidR="00984418" w:rsidRPr="00C41FDC">
        <w:rPr>
          <w:color w:val="000000" w:themeColor="text1"/>
        </w:rPr>
        <w:t>Linear m</w:t>
      </w:r>
      <w:r w:rsidRPr="00C41FDC">
        <w:rPr>
          <w:color w:val="000000" w:themeColor="text1"/>
        </w:rPr>
        <w:t xml:space="preserve">odels for </w:t>
      </w:r>
      <w:r w:rsidR="00890EEB" w:rsidRPr="00C41FDC">
        <w:rPr>
          <w:color w:val="000000" w:themeColor="text1"/>
        </w:rPr>
        <w:t xml:space="preserve">LME-predicted </w:t>
      </w:r>
      <w:r w:rsidR="00E53EFB" w:rsidRPr="00C41FDC">
        <w:rPr>
          <w:color w:val="000000" w:themeColor="text1"/>
        </w:rPr>
        <w:t xml:space="preserve">1-year </w:t>
      </w:r>
      <w:r w:rsidRPr="00C41FDC">
        <w:rPr>
          <w:color w:val="000000" w:themeColor="text1"/>
        </w:rPr>
        <w:t>FVC decline and Cox regression models were adjusted for antifibrotic treatment (never/ever) across each patient</w:t>
      </w:r>
      <w:r w:rsidR="00E33620" w:rsidRPr="00C41FDC">
        <w:rPr>
          <w:color w:val="000000" w:themeColor="text1"/>
        </w:rPr>
        <w:t>’</w:t>
      </w:r>
      <w:r w:rsidRPr="00C41FDC">
        <w:rPr>
          <w:color w:val="000000" w:themeColor="text1"/>
        </w:rPr>
        <w:t>s follow-up history. Linear models for baseline disease severity were adjusted for antifibrotic treatment (never/ever) prior to baseline visual assessment.</w:t>
      </w:r>
      <w:r w:rsidR="00F23DB5" w:rsidRPr="00C41FDC">
        <w:rPr>
          <w:color w:val="000000" w:themeColor="text1"/>
        </w:rPr>
        <w:t xml:space="preserve"> </w:t>
      </w:r>
      <w:bookmarkStart w:id="149" w:name="OLE_LINK105"/>
      <w:bookmarkStart w:id="150" w:name="OLE_LINK106"/>
      <w:bookmarkStart w:id="151" w:name="OLE_LINK103"/>
      <w:bookmarkStart w:id="152" w:name="OLE_LINK104"/>
      <w:bookmarkEnd w:id="147"/>
      <w:bookmarkEnd w:id="148"/>
    </w:p>
    <w:p w14:paraId="75D231A0" w14:textId="77777777" w:rsidR="000F3CA4" w:rsidRPr="00C41FDC" w:rsidRDefault="000F3CA4" w:rsidP="000520F0">
      <w:pPr>
        <w:pStyle w:val="noindent"/>
        <w:spacing w:before="0" w:beforeAutospacing="0" w:after="0" w:afterAutospacing="0" w:line="480" w:lineRule="auto"/>
        <w:rPr>
          <w:color w:val="000000" w:themeColor="text1"/>
        </w:rPr>
      </w:pPr>
    </w:p>
    <w:p w14:paraId="35F75462" w14:textId="00F7D0E8" w:rsidR="001D4BA4" w:rsidRPr="00C41FDC" w:rsidRDefault="000F3CA4" w:rsidP="000520F0">
      <w:pPr>
        <w:pStyle w:val="noindent"/>
        <w:spacing w:before="0" w:beforeAutospacing="0" w:after="0" w:afterAutospacing="0" w:line="480" w:lineRule="auto"/>
        <w:rPr>
          <w:color w:val="000000" w:themeColor="text1"/>
        </w:rPr>
      </w:pPr>
      <w:bookmarkStart w:id="153" w:name="OLE_LINK133"/>
      <w:bookmarkStart w:id="154" w:name="OLE_LINK134"/>
      <w:bookmarkStart w:id="155" w:name="OLE_LINK233"/>
      <w:r w:rsidRPr="00C41FDC">
        <w:rPr>
          <w:color w:val="000000" w:themeColor="text1"/>
        </w:rPr>
        <w:t xml:space="preserve">Kaplan-Meier </w:t>
      </w:r>
      <w:r w:rsidR="00DD219F" w:rsidRPr="00C41FDC">
        <w:rPr>
          <w:color w:val="000000" w:themeColor="text1"/>
        </w:rPr>
        <w:t>plots</w:t>
      </w:r>
      <w:r w:rsidRPr="00C41FDC">
        <w:rPr>
          <w:color w:val="000000" w:themeColor="text1"/>
        </w:rPr>
        <w:t xml:space="preserve"> </w:t>
      </w:r>
      <w:r w:rsidR="00DD219F" w:rsidRPr="00C41FDC">
        <w:rPr>
          <w:color w:val="000000" w:themeColor="text1"/>
        </w:rPr>
        <w:t xml:space="preserve">were </w:t>
      </w:r>
      <w:r w:rsidRPr="00C41FDC">
        <w:rPr>
          <w:color w:val="000000" w:themeColor="text1"/>
        </w:rPr>
        <w:t xml:space="preserve">used to assess </w:t>
      </w:r>
      <w:r w:rsidR="002C10A9" w:rsidRPr="00C41FDC">
        <w:rPr>
          <w:color w:val="000000" w:themeColor="text1"/>
        </w:rPr>
        <w:t xml:space="preserve">survival outcomes </w:t>
      </w:r>
      <w:r w:rsidRPr="00C41FDC">
        <w:rPr>
          <w:color w:val="000000" w:themeColor="text1"/>
        </w:rPr>
        <w:t>of the IPF cohorts</w:t>
      </w:r>
      <w:r w:rsidR="004552CD" w:rsidRPr="00C41FDC">
        <w:rPr>
          <w:color w:val="000000" w:themeColor="text1"/>
        </w:rPr>
        <w:t xml:space="preserve"> </w:t>
      </w:r>
      <w:r w:rsidRPr="00C41FDC">
        <w:rPr>
          <w:color w:val="000000" w:themeColor="text1"/>
        </w:rPr>
        <w:t xml:space="preserve">using </w:t>
      </w:r>
      <w:r w:rsidR="004552CD" w:rsidRPr="00C41FDC">
        <w:rPr>
          <w:color w:val="000000" w:themeColor="text1"/>
        </w:rPr>
        <w:t xml:space="preserve">categorical </w:t>
      </w:r>
      <w:r w:rsidRPr="00C41FDC">
        <w:rPr>
          <w:color w:val="000000" w:themeColor="text1"/>
        </w:rPr>
        <w:t>vPPFE and cPPFE</w:t>
      </w:r>
      <w:r w:rsidR="004552CD" w:rsidRPr="00C41FDC">
        <w:rPr>
          <w:color w:val="000000" w:themeColor="text1"/>
        </w:rPr>
        <w:t xml:space="preserve"> dichotomised at the optimal cutpoint found in the derivation cohort</w:t>
      </w:r>
      <w:r w:rsidRPr="00C41FDC">
        <w:rPr>
          <w:color w:val="000000" w:themeColor="text1"/>
        </w:rPr>
        <w:t>.</w:t>
      </w:r>
      <w:r w:rsidR="004552CD" w:rsidRPr="00C41FDC">
        <w:rPr>
          <w:color w:val="000000" w:themeColor="text1"/>
        </w:rPr>
        <w:t xml:space="preserve"> </w:t>
      </w:r>
      <w:r w:rsidR="00853D65" w:rsidRPr="00C41FDC">
        <w:rPr>
          <w:color w:val="000000" w:themeColor="text1"/>
        </w:rPr>
        <w:t xml:space="preserve">The sensitivity, specificity, positive predictive value (PPV), and negative predictive value (NPV) for identifying patients who died within 2 years of their baseline CT were calculated for cPPFE and marked vPPFE in the combined IPF cohort. When calculating sensitivity, specificity, PPV, and NPV, patients who died within 2 years of baseline were considered as events and patients who were known to be still alive at 2 years of baseline as non-events; patients who were censored in that time period did not enter into the calculation of these metrics. </w:t>
      </w:r>
      <w:bookmarkStart w:id="156" w:name="OLE_LINK230"/>
      <w:bookmarkStart w:id="157" w:name="OLE_LINK231"/>
      <w:r w:rsidR="001D4BA4" w:rsidRPr="00C41FDC">
        <w:rPr>
          <w:color w:val="000000" w:themeColor="text1"/>
        </w:rPr>
        <w:t xml:space="preserve">Receiver operating characteristic (ROC) analyses </w:t>
      </w:r>
      <w:r w:rsidR="005C3ABA" w:rsidRPr="00C41FDC">
        <w:rPr>
          <w:color w:val="000000" w:themeColor="text1"/>
        </w:rPr>
        <w:t xml:space="preserve">and the area under the ROC curve (AUC) </w:t>
      </w:r>
      <w:r w:rsidR="001D4BA4" w:rsidRPr="00C41FDC">
        <w:rPr>
          <w:color w:val="000000" w:themeColor="text1"/>
        </w:rPr>
        <w:t xml:space="preserve">were </w:t>
      </w:r>
      <w:r w:rsidR="005C3ABA" w:rsidRPr="00C41FDC">
        <w:rPr>
          <w:color w:val="000000" w:themeColor="text1"/>
        </w:rPr>
        <w:t>evaluated</w:t>
      </w:r>
      <w:r w:rsidR="001D4BA4" w:rsidRPr="00C41FDC">
        <w:rPr>
          <w:color w:val="000000" w:themeColor="text1"/>
        </w:rPr>
        <w:t xml:space="preserve"> in the </w:t>
      </w:r>
      <w:r w:rsidR="001E427C" w:rsidRPr="00C41FDC">
        <w:rPr>
          <w:color w:val="000000" w:themeColor="text1"/>
        </w:rPr>
        <w:t xml:space="preserve">aggregated </w:t>
      </w:r>
      <w:r w:rsidR="001D4BA4" w:rsidRPr="00C41FDC">
        <w:rPr>
          <w:color w:val="000000" w:themeColor="text1"/>
        </w:rPr>
        <w:t xml:space="preserve">combined population cohort to </w:t>
      </w:r>
      <w:r w:rsidR="00AD43A9" w:rsidRPr="00C41FDC">
        <w:rPr>
          <w:color w:val="000000" w:themeColor="text1"/>
        </w:rPr>
        <w:t xml:space="preserve">distinguish performance </w:t>
      </w:r>
      <w:r w:rsidR="001D4BA4" w:rsidRPr="00C41FDC">
        <w:rPr>
          <w:color w:val="000000" w:themeColor="text1"/>
        </w:rPr>
        <w:t xml:space="preserve">of </w:t>
      </w:r>
      <w:r w:rsidR="002F57B5" w:rsidRPr="00C41FDC">
        <w:rPr>
          <w:color w:val="000000" w:themeColor="text1"/>
        </w:rPr>
        <w:t>vPPFE</w:t>
      </w:r>
      <w:r w:rsidR="00B05865" w:rsidRPr="00C41FDC">
        <w:rPr>
          <w:color w:val="000000" w:themeColor="text1"/>
        </w:rPr>
        <w:t>-</w:t>
      </w:r>
      <w:r w:rsidR="002F57B5" w:rsidRPr="00C41FDC">
        <w:rPr>
          <w:color w:val="000000" w:themeColor="text1"/>
        </w:rPr>
        <w:t>7-point</w:t>
      </w:r>
      <w:r w:rsidR="00BD4969" w:rsidRPr="00C41FDC">
        <w:rPr>
          <w:color w:val="000000" w:themeColor="text1"/>
        </w:rPr>
        <w:t xml:space="preserve"> </w:t>
      </w:r>
      <w:r w:rsidR="00B05865" w:rsidRPr="00C41FDC">
        <w:rPr>
          <w:color w:val="000000" w:themeColor="text1"/>
        </w:rPr>
        <w:t xml:space="preserve">score </w:t>
      </w:r>
      <w:r w:rsidR="001D4BA4" w:rsidRPr="00C41FDC">
        <w:rPr>
          <w:color w:val="000000" w:themeColor="text1"/>
        </w:rPr>
        <w:t>and continuous cPPFE</w:t>
      </w:r>
      <w:r w:rsidR="00B05865" w:rsidRPr="00C41FDC">
        <w:rPr>
          <w:color w:val="000000" w:themeColor="text1"/>
        </w:rPr>
        <w:t>,</w:t>
      </w:r>
      <w:r w:rsidR="001D4BA4" w:rsidRPr="00C41FDC">
        <w:rPr>
          <w:color w:val="000000" w:themeColor="text1"/>
        </w:rPr>
        <w:t xml:space="preserve"> 2 and 3 years after baseline</w:t>
      </w:r>
      <w:r w:rsidR="00AD43A9" w:rsidRPr="00C41FDC">
        <w:rPr>
          <w:color w:val="000000" w:themeColor="text1"/>
        </w:rPr>
        <w:t xml:space="preserve"> in discriminating </w:t>
      </w:r>
      <w:r w:rsidR="00D237CC" w:rsidRPr="00C41FDC">
        <w:rPr>
          <w:color w:val="000000" w:themeColor="text1"/>
        </w:rPr>
        <w:t xml:space="preserve">survival </w:t>
      </w:r>
      <w:r w:rsidR="00AD43A9" w:rsidRPr="00C41FDC">
        <w:rPr>
          <w:color w:val="000000" w:themeColor="text1"/>
        </w:rPr>
        <w:t>outcome</w:t>
      </w:r>
      <w:r w:rsidR="001D4BA4" w:rsidRPr="00C41FDC">
        <w:rPr>
          <w:color w:val="000000" w:themeColor="text1"/>
        </w:rPr>
        <w:t>.</w:t>
      </w:r>
      <w:bookmarkEnd w:id="149"/>
      <w:bookmarkEnd w:id="150"/>
      <w:bookmarkEnd w:id="151"/>
      <w:bookmarkEnd w:id="152"/>
      <w:bookmarkEnd w:id="156"/>
      <w:bookmarkEnd w:id="157"/>
    </w:p>
    <w:bookmarkEnd w:id="153"/>
    <w:bookmarkEnd w:id="154"/>
    <w:bookmarkEnd w:id="155"/>
    <w:p w14:paraId="5C504AEE" w14:textId="77777777" w:rsidR="000520F0" w:rsidRPr="00C41FDC" w:rsidRDefault="000520F0" w:rsidP="007D3F65">
      <w:pPr>
        <w:pStyle w:val="noindent"/>
        <w:spacing w:before="0" w:beforeAutospacing="0" w:after="0" w:afterAutospacing="0" w:line="480" w:lineRule="auto"/>
        <w:rPr>
          <w:color w:val="000000" w:themeColor="text1"/>
        </w:rPr>
      </w:pPr>
    </w:p>
    <w:p w14:paraId="25185712" w14:textId="3A82ED9A" w:rsidR="00725BED" w:rsidRPr="00C41FDC" w:rsidRDefault="001B42E7" w:rsidP="00235AF9">
      <w:pPr>
        <w:pStyle w:val="noindent"/>
        <w:spacing w:before="0" w:beforeAutospacing="0" w:after="0" w:afterAutospacing="0" w:line="480" w:lineRule="auto"/>
        <w:rPr>
          <w:color w:val="000000" w:themeColor="text1"/>
        </w:rPr>
      </w:pPr>
      <w:r w:rsidRPr="00C41FDC">
        <w:rPr>
          <w:color w:val="000000" w:themeColor="text1"/>
        </w:rPr>
        <w:lastRenderedPageBreak/>
        <w:t>Data are presented as means with standard deviations or patient</w:t>
      </w:r>
      <w:r w:rsidR="00984418" w:rsidRPr="00C41FDC">
        <w:rPr>
          <w:color w:val="000000" w:themeColor="text1"/>
        </w:rPr>
        <w:t xml:space="preserve"> proportions</w:t>
      </w:r>
      <w:r w:rsidRPr="00C41FDC">
        <w:rPr>
          <w:color w:val="000000" w:themeColor="text1"/>
        </w:rPr>
        <w:t xml:space="preserve"> </w:t>
      </w:r>
      <w:r w:rsidR="00984418" w:rsidRPr="00C41FDC">
        <w:rPr>
          <w:color w:val="000000" w:themeColor="text1"/>
        </w:rPr>
        <w:t>(p</w:t>
      </w:r>
      <w:r w:rsidRPr="00C41FDC">
        <w:rPr>
          <w:color w:val="000000" w:themeColor="text1"/>
        </w:rPr>
        <w:t>ercentages</w:t>
      </w:r>
      <w:r w:rsidR="00984418" w:rsidRPr="00C41FDC">
        <w:rPr>
          <w:color w:val="000000" w:themeColor="text1"/>
        </w:rPr>
        <w:t>)</w:t>
      </w:r>
      <w:r w:rsidRPr="00C41FDC">
        <w:rPr>
          <w:color w:val="000000" w:themeColor="text1"/>
        </w:rPr>
        <w:t xml:space="preserve">, as appropriate. Differences in </w:t>
      </w:r>
      <w:r w:rsidR="00B24AF0" w:rsidRPr="00C41FDC">
        <w:rPr>
          <w:color w:val="000000" w:themeColor="text1"/>
        </w:rPr>
        <w:t xml:space="preserve">means of </w:t>
      </w:r>
      <w:r w:rsidRPr="00C41FDC">
        <w:rPr>
          <w:color w:val="000000" w:themeColor="text1"/>
        </w:rPr>
        <w:t>continuous variables were assessed using the two-sided Student</w:t>
      </w:r>
      <w:r w:rsidR="00E33620" w:rsidRPr="00C41FDC">
        <w:rPr>
          <w:color w:val="000000" w:themeColor="text1"/>
        </w:rPr>
        <w:t>’</w:t>
      </w:r>
      <w:r w:rsidRPr="00C41FDC">
        <w:rPr>
          <w:color w:val="000000" w:themeColor="text1"/>
        </w:rPr>
        <w:t>s t-test</w:t>
      </w:r>
      <w:r w:rsidR="00AE3579" w:rsidRPr="00C41FDC">
        <w:rPr>
          <w:color w:val="000000" w:themeColor="text1"/>
        </w:rPr>
        <w:t>. D</w:t>
      </w:r>
      <w:r w:rsidR="00B24AF0" w:rsidRPr="00C41FDC">
        <w:rPr>
          <w:color w:val="000000" w:themeColor="text1"/>
        </w:rPr>
        <w:t>ifferences in medians of continuous variables were assessed using</w:t>
      </w:r>
      <w:r w:rsidRPr="00C41FDC">
        <w:rPr>
          <w:color w:val="000000" w:themeColor="text1"/>
        </w:rPr>
        <w:t xml:space="preserve"> </w:t>
      </w:r>
      <w:r w:rsidR="00B24AF0" w:rsidRPr="00C41FDC">
        <w:rPr>
          <w:color w:val="000000" w:themeColor="text1"/>
        </w:rPr>
        <w:t>the two-sided Mann–Whitney U test</w:t>
      </w:r>
      <w:r w:rsidR="00AE3579" w:rsidRPr="00C41FDC">
        <w:rPr>
          <w:color w:val="000000" w:themeColor="text1"/>
        </w:rPr>
        <w:t>. D</w:t>
      </w:r>
      <w:r w:rsidRPr="00C41FDC">
        <w:rPr>
          <w:color w:val="000000" w:themeColor="text1"/>
        </w:rPr>
        <w:t xml:space="preserve">ifferences in categorical variables were assessed using the </w:t>
      </w:r>
      <w:r w:rsidRPr="00C41FDC">
        <w:rPr>
          <w:color w:val="000000" w:themeColor="text1"/>
        </w:rPr>
        <w:sym w:font="Symbol" w:char="F063"/>
      </w:r>
      <w:r w:rsidRPr="00C41FDC">
        <w:rPr>
          <w:color w:val="000000" w:themeColor="text1"/>
          <w:vertAlign w:val="superscript"/>
        </w:rPr>
        <w:t>2</w:t>
      </w:r>
      <w:r w:rsidRPr="00C41FDC">
        <w:rPr>
          <w:color w:val="000000" w:themeColor="text1"/>
        </w:rPr>
        <w:t xml:space="preserve"> test.  </w:t>
      </w:r>
      <w:r w:rsidR="003910D0" w:rsidRPr="00C41FDC">
        <w:rPr>
          <w:color w:val="000000" w:themeColor="text1"/>
        </w:rPr>
        <w:t>Across all analyses, a p-value &lt;</w:t>
      </w:r>
      <w:r w:rsidR="001E455A" w:rsidRPr="00C41FDC">
        <w:rPr>
          <w:color w:val="000000" w:themeColor="text1"/>
        </w:rPr>
        <w:t>0·</w:t>
      </w:r>
      <w:r w:rsidR="003910D0" w:rsidRPr="00C41FDC">
        <w:rPr>
          <w:color w:val="000000" w:themeColor="text1"/>
        </w:rPr>
        <w:t xml:space="preserve">05 was considered significant. </w:t>
      </w:r>
      <w:r w:rsidR="00984418" w:rsidRPr="00C41FDC">
        <w:rPr>
          <w:color w:val="000000" w:themeColor="text1"/>
        </w:rPr>
        <w:t xml:space="preserve">Multivariable linear </w:t>
      </w:r>
      <w:r w:rsidR="003910D0" w:rsidRPr="00C41FDC">
        <w:rPr>
          <w:color w:val="000000" w:themeColor="text1"/>
        </w:rPr>
        <w:t>models were tested for heteroscedasticity</w:t>
      </w:r>
      <w:r w:rsidR="00984418" w:rsidRPr="00C41FDC">
        <w:rPr>
          <w:color w:val="000000" w:themeColor="text1"/>
        </w:rPr>
        <w:t xml:space="preserve"> using the </w:t>
      </w:r>
      <w:r w:rsidR="00D90DCD" w:rsidRPr="00C41FDC">
        <w:rPr>
          <w:color w:val="000000" w:themeColor="text1"/>
        </w:rPr>
        <w:t>student</w:t>
      </w:r>
      <w:r w:rsidR="00CF7203" w:rsidRPr="00C41FDC">
        <w:rPr>
          <w:color w:val="000000" w:themeColor="text1"/>
        </w:rPr>
        <w:t>ise</w:t>
      </w:r>
      <w:r w:rsidR="00D90DCD" w:rsidRPr="00C41FDC">
        <w:rPr>
          <w:color w:val="000000" w:themeColor="text1"/>
        </w:rPr>
        <w:t xml:space="preserve">d </w:t>
      </w:r>
      <w:r w:rsidR="00984418" w:rsidRPr="00C41FDC">
        <w:rPr>
          <w:color w:val="000000" w:themeColor="text1"/>
        </w:rPr>
        <w:t>Breusch-Pagan test</w:t>
      </w:r>
      <w:r w:rsidR="00757678" w:rsidRPr="00C41FDC">
        <w:rPr>
          <w:color w:val="000000" w:themeColor="text1"/>
        </w:rPr>
        <w:t>.</w:t>
      </w:r>
      <w:r w:rsidR="00D90DCD" w:rsidRPr="00C41FDC">
        <w:rPr>
          <w:color w:val="000000" w:themeColor="text1"/>
        </w:rPr>
        <w:fldChar w:fldCharType="begin" w:fldLock="1"/>
      </w:r>
      <w:r w:rsidR="002C459D">
        <w:rPr>
          <w:color w:val="000000" w:themeColor="text1"/>
        </w:rPr>
        <w:instrText>ADDIN CSL_CITATION {"citationItems":[{"id":"ITEM-1","itemData":{"DOI":"10.1016/0304-4076(81)90062-2","ISSN":"03044076","abstract":"Breusch and Pagan (1979) have recently proposed a convenient test for heteroscedasticity in general linear models. This note derives the asymptotic distribution of their test under sequences of contiguous alternatives to the null hypothesis of homoscedasticity. The test is shown to possess asymptotically incorrect size (nominal significance level) except in the case of strictly Gaussian disturbances. A slight modification of the test is proposed which corrects this defect. © 1981.","author":[{"dropping-particle":"","family":"Koenker","given":"Roger","non-dropping-particle":"","parse-names":false,"suffix":""}],"container-title":"Journal of Econometrics","id":"ITEM-1","issue":"1","issued":{"date-parts":[["1981"]]},"page":"107–112","title":"A note on studentizing a test for heteroscedasticity","type":"article-journal","volume":"17"},"uris":["http://www.mendeley.com/documents/?uuid=4a156026-4e7f-4b55-94a6-a258d74a89e9"]}],"mendeley":{"formattedCitation":"&lt;sup&gt;20&lt;/sup&gt;","plainTextFormattedCitation":"20","previouslyFormattedCitation":"&lt;sup&gt;20&lt;/sup&gt;"},"properties":{"noteIndex":0},"schema":"https://github.com/citation-style-language/schema/raw/master/csl-citation.json"}</w:instrText>
      </w:r>
      <w:r w:rsidR="00D90DCD" w:rsidRPr="00C41FDC">
        <w:rPr>
          <w:color w:val="000000" w:themeColor="text1"/>
        </w:rPr>
        <w:fldChar w:fldCharType="separate"/>
      </w:r>
      <w:r w:rsidR="00933BDC" w:rsidRPr="00C41FDC">
        <w:rPr>
          <w:noProof/>
          <w:color w:val="000000" w:themeColor="text1"/>
          <w:vertAlign w:val="superscript"/>
        </w:rPr>
        <w:t>20</w:t>
      </w:r>
      <w:r w:rsidR="00D90DCD" w:rsidRPr="00C41FDC">
        <w:rPr>
          <w:color w:val="000000" w:themeColor="text1"/>
        </w:rPr>
        <w:fldChar w:fldCharType="end"/>
      </w:r>
      <w:r w:rsidR="000E310B" w:rsidRPr="00C41FDC">
        <w:rPr>
          <w:color w:val="000000" w:themeColor="text1"/>
        </w:rPr>
        <w:t xml:space="preserve"> Cox regression models were tested for proportionality using the </w:t>
      </w:r>
      <w:r w:rsidR="00DD0E9A" w:rsidRPr="00C41FDC">
        <w:rPr>
          <w:color w:val="000000" w:themeColor="text1"/>
        </w:rPr>
        <w:t>Sc</w:t>
      </w:r>
      <w:r w:rsidR="000E310B" w:rsidRPr="00C41FDC">
        <w:rPr>
          <w:color w:val="000000" w:themeColor="text1"/>
        </w:rPr>
        <w:t xml:space="preserve">hoenfeld residuals test. </w:t>
      </w:r>
      <w:bookmarkStart w:id="158" w:name="OLE_LINK107"/>
      <w:bookmarkStart w:id="159" w:name="OLE_LINK108"/>
      <w:bookmarkStart w:id="160" w:name="OLE_LINK109"/>
      <w:bookmarkStart w:id="161" w:name="OLE_LINK110"/>
      <w:r w:rsidR="00116C08" w:rsidRPr="00C41FDC">
        <w:rPr>
          <w:color w:val="000000" w:themeColor="text1"/>
        </w:rPr>
        <w:t xml:space="preserve">The </w:t>
      </w:r>
      <w:r w:rsidR="009F7EA3" w:rsidRPr="00C41FDC">
        <w:rPr>
          <w:color w:val="000000" w:themeColor="text1"/>
        </w:rPr>
        <w:t>Concordance index (</w:t>
      </w:r>
      <w:r w:rsidR="00FD68E4" w:rsidRPr="00C41FDC">
        <w:rPr>
          <w:color w:val="000000" w:themeColor="text1"/>
        </w:rPr>
        <w:t>C-</w:t>
      </w:r>
      <w:r w:rsidR="00116C08" w:rsidRPr="00C41FDC">
        <w:rPr>
          <w:color w:val="000000" w:themeColor="text1"/>
        </w:rPr>
        <w:t>index</w:t>
      </w:r>
      <w:r w:rsidR="009F7EA3" w:rsidRPr="00C41FDC">
        <w:rPr>
          <w:color w:val="000000" w:themeColor="text1"/>
        </w:rPr>
        <w:t>)</w:t>
      </w:r>
      <w:r w:rsidR="00116C08" w:rsidRPr="00C41FDC">
        <w:rPr>
          <w:color w:val="000000" w:themeColor="text1"/>
        </w:rPr>
        <w:t xml:space="preserve"> compare</w:t>
      </w:r>
      <w:r w:rsidR="00AE3579" w:rsidRPr="00C41FDC">
        <w:rPr>
          <w:color w:val="000000" w:themeColor="text1"/>
        </w:rPr>
        <w:t>d</w:t>
      </w:r>
      <w:r w:rsidR="00116C08" w:rsidRPr="00C41FDC">
        <w:rPr>
          <w:color w:val="000000" w:themeColor="text1"/>
        </w:rPr>
        <w:t xml:space="preserve"> the </w:t>
      </w:r>
      <w:r w:rsidR="001F609D" w:rsidRPr="00C41FDC">
        <w:rPr>
          <w:color w:val="000000" w:themeColor="text1"/>
        </w:rPr>
        <w:t>goodness of fit</w:t>
      </w:r>
      <w:r w:rsidR="00116C08" w:rsidRPr="00C41FDC">
        <w:rPr>
          <w:color w:val="000000" w:themeColor="text1"/>
        </w:rPr>
        <w:t xml:space="preserve"> of Cox regression model</w:t>
      </w:r>
      <w:r w:rsidR="006A70D9" w:rsidRPr="00C41FDC">
        <w:rPr>
          <w:color w:val="000000" w:themeColor="text1"/>
        </w:rPr>
        <w:t>s</w:t>
      </w:r>
      <w:bookmarkEnd w:id="158"/>
      <w:bookmarkEnd w:id="159"/>
      <w:bookmarkEnd w:id="160"/>
      <w:bookmarkEnd w:id="161"/>
      <w:r w:rsidR="00757678" w:rsidRPr="00C41FDC">
        <w:rPr>
          <w:color w:val="000000" w:themeColor="text1"/>
        </w:rPr>
        <w:t>.</w:t>
      </w:r>
      <w:r w:rsidR="003333BD" w:rsidRPr="00C41FDC">
        <w:rPr>
          <w:color w:val="000000" w:themeColor="text1"/>
        </w:rPr>
        <w:fldChar w:fldCharType="begin" w:fldLock="1"/>
      </w:r>
      <w:r w:rsidR="002C459D">
        <w:rPr>
          <w:color w:val="000000" w:themeColor="text1"/>
        </w:rPr>
        <w:instrText>ADDIN CSL_CITATION {"citationItems":[{"id":"ITEM-1","itemData":{"DOI":"10.1001/jama.1982.03320430047030","ISSN":"15383598","PMID":"7069920","abstract":"A method is presented for evaluating the amount of information a medical test provides about individual patients. Emphasis is placed on the role of a test in the evaluation of patients with a chronic disease. In this context, the yield of a test is best interpreted by analyzing the prognostic information it furnishes. Information from the history, physical examination, and routine procedures should be used in assessing the yield of a new test. As an example, the method is applied to the use of the treadmill exercise test in evaluating the prognosis of patients with suspected coronary artery disease. The treadmill test is shown to provide surprisingly little prognostic information beyond that obtained from basic clinical measurements. © 1982, American Medical Association. All rights reserved.","author":[{"dropping-particle":"","family":"Harrell","given":"Frank E.","non-dropping-particle":"","parse-names":false,"suffix":""},{"dropping-particle":"","family":"Califf","given":"Robert M.","non-dropping-particle":"","parse-names":false,"suffix":""},{"dropping-particle":"","family":"Pryor","given":"David B.","non-dropping-particle":"","parse-names":false,"suffix":""},{"dropping-particle":"","family":"Lee","given":"Kerry L.","non-dropping-particle":"","parse-names":false,"suffix":""},{"dropping-particle":"","family":"Rosati","given":"Robert A.","non-dropping-particle":"","parse-names":false,"suffix":""}],"container-title":"JAMA: The Journal of the American Medical Association","id":"ITEM-1","issue":"18","issued":{"date-parts":[["1982"]]},"page":"2543–2546","title":"Evaluating the Yield of Medical Tests","type":"article-journal","volume":"247"},"uris":["http://www.mendeley.com/documents/?uuid=79fdbdb9-c07e-4ade-a5ef-6d60b8738747"]}],"mendeley":{"formattedCitation":"&lt;sup&gt;19&lt;/sup&gt;","plainTextFormattedCitation":"19","previouslyFormattedCitation":"&lt;sup&gt;19&lt;/sup&gt;"},"properties":{"noteIndex":0},"schema":"https://github.com/citation-style-language/schema/raw/master/csl-citation.json"}</w:instrText>
      </w:r>
      <w:r w:rsidR="003333BD" w:rsidRPr="00C41FDC">
        <w:rPr>
          <w:color w:val="000000" w:themeColor="text1"/>
        </w:rPr>
        <w:fldChar w:fldCharType="separate"/>
      </w:r>
      <w:r w:rsidR="00933BDC" w:rsidRPr="00C41FDC">
        <w:rPr>
          <w:noProof/>
          <w:color w:val="000000" w:themeColor="text1"/>
          <w:vertAlign w:val="superscript"/>
        </w:rPr>
        <w:t>19</w:t>
      </w:r>
      <w:r w:rsidR="003333BD" w:rsidRPr="00C41FDC">
        <w:rPr>
          <w:color w:val="000000" w:themeColor="text1"/>
        </w:rPr>
        <w:fldChar w:fldCharType="end"/>
      </w:r>
      <w:r w:rsidR="00116C08" w:rsidRPr="00C41FDC">
        <w:rPr>
          <w:color w:val="000000" w:themeColor="text1"/>
        </w:rPr>
        <w:t xml:space="preserve"> </w:t>
      </w:r>
      <w:r w:rsidR="005F36C2" w:rsidRPr="00C41FDC">
        <w:rPr>
          <w:color w:val="000000" w:themeColor="text1"/>
        </w:rPr>
        <w:t>B</w:t>
      </w:r>
      <w:r w:rsidR="00116C08" w:rsidRPr="00C41FDC">
        <w:rPr>
          <w:color w:val="000000" w:themeColor="text1"/>
        </w:rPr>
        <w:t xml:space="preserve">ootstrapping with 500 iterations was used to estimate the </w:t>
      </w:r>
      <w:r w:rsidR="00B64C78" w:rsidRPr="00C41FDC">
        <w:rPr>
          <w:color w:val="000000" w:themeColor="text1"/>
        </w:rPr>
        <w:t xml:space="preserve">mean </w:t>
      </w:r>
      <w:r w:rsidR="00116C08" w:rsidRPr="00C41FDC">
        <w:rPr>
          <w:color w:val="000000" w:themeColor="text1"/>
        </w:rPr>
        <w:t xml:space="preserve">and 95% confidence interval of the C-index. </w:t>
      </w:r>
      <w:r w:rsidR="001D4BA4" w:rsidRPr="00C41FDC">
        <w:rPr>
          <w:color w:val="000000" w:themeColor="text1"/>
        </w:rPr>
        <w:t>The m</w:t>
      </w:r>
      <w:r w:rsidR="00E70E6C" w:rsidRPr="00C41FDC">
        <w:rPr>
          <w:color w:val="000000" w:themeColor="text1"/>
        </w:rPr>
        <w:t xml:space="preserve">ethod by DeLong et al. was used to estimate </w:t>
      </w:r>
      <w:r w:rsidR="003333BD" w:rsidRPr="00C41FDC">
        <w:rPr>
          <w:color w:val="000000" w:themeColor="text1"/>
        </w:rPr>
        <w:t xml:space="preserve">two-sided </w:t>
      </w:r>
      <w:r w:rsidR="00E70E6C" w:rsidRPr="00C41FDC">
        <w:rPr>
          <w:color w:val="000000" w:themeColor="text1"/>
        </w:rPr>
        <w:t xml:space="preserve">95% confidence </w:t>
      </w:r>
      <w:r w:rsidR="003333BD" w:rsidRPr="00C41FDC">
        <w:rPr>
          <w:color w:val="000000" w:themeColor="text1"/>
        </w:rPr>
        <w:t xml:space="preserve">AUC </w:t>
      </w:r>
      <w:r w:rsidR="00E70E6C" w:rsidRPr="00C41FDC">
        <w:rPr>
          <w:color w:val="000000" w:themeColor="text1"/>
        </w:rPr>
        <w:t>interval</w:t>
      </w:r>
      <w:r w:rsidR="003333BD" w:rsidRPr="00C41FDC">
        <w:rPr>
          <w:color w:val="000000" w:themeColor="text1"/>
        </w:rPr>
        <w:t>s</w:t>
      </w:r>
      <w:r w:rsidR="00E70E6C" w:rsidRPr="00C41FDC">
        <w:rPr>
          <w:color w:val="000000" w:themeColor="text1"/>
        </w:rPr>
        <w:t xml:space="preserve"> </w:t>
      </w:r>
      <w:r w:rsidR="001E7E97" w:rsidRPr="00C41FDC">
        <w:rPr>
          <w:color w:val="000000" w:themeColor="text1"/>
        </w:rPr>
        <w:t xml:space="preserve">and </w:t>
      </w:r>
      <w:r w:rsidR="003333BD" w:rsidRPr="00C41FDC">
        <w:rPr>
          <w:color w:val="000000" w:themeColor="text1"/>
        </w:rPr>
        <w:t xml:space="preserve">for two-sided </w:t>
      </w:r>
      <w:r w:rsidR="001E7E97" w:rsidRPr="00C41FDC">
        <w:rPr>
          <w:color w:val="000000" w:themeColor="text1"/>
        </w:rPr>
        <w:t>compar</w:t>
      </w:r>
      <w:r w:rsidR="003333BD" w:rsidRPr="00C41FDC">
        <w:rPr>
          <w:color w:val="000000" w:themeColor="text1"/>
        </w:rPr>
        <w:t>isons of</w:t>
      </w:r>
      <w:r w:rsidR="001E7E97" w:rsidRPr="00C41FDC">
        <w:rPr>
          <w:color w:val="000000" w:themeColor="text1"/>
        </w:rPr>
        <w:t xml:space="preserve"> </w:t>
      </w:r>
      <w:r w:rsidR="003333BD" w:rsidRPr="00C41FDC">
        <w:rPr>
          <w:color w:val="000000" w:themeColor="text1"/>
        </w:rPr>
        <w:t>AUC values</w:t>
      </w:r>
      <w:r w:rsidR="003E7F4E" w:rsidRPr="00C41FDC">
        <w:rPr>
          <w:color w:val="000000" w:themeColor="text1"/>
        </w:rPr>
        <w:t>.</w:t>
      </w:r>
      <w:r w:rsidR="00E70E6C" w:rsidRPr="00C41FDC">
        <w:rPr>
          <w:color w:val="000000" w:themeColor="text1"/>
        </w:rPr>
        <w:fldChar w:fldCharType="begin" w:fldLock="1"/>
      </w:r>
      <w:r w:rsidR="002C459D">
        <w:rPr>
          <w:color w:val="000000" w:themeColor="text1"/>
        </w:rPr>
        <w:instrText>ADDIN CSL_CITATION {"citationItems":[{"id":"ITEM-1","itemData":{"DOI":"10.2307/2531595","ISSN":"0006341X","PMID":"3203132","abstract":"Methods of evaluating and comparing the performance of diagnostic tests are of increasing importance as new tests are developed and marketed. When a test is based on an observed variable that lies on a continuous or graded scale, an assessment of the overall value of the test can be made through the use of a receiver operating characteristic (ROC) curve. The curve is constructed by varying the cutpoint used to determine which values of the observed variable will be considered abnormal and then plotting the resulting sensitivities against the corresponding false positive rates. When two or more empirical curves are constructed based on tests performed on the same individuals, statistical analysis on differences between curves must take into account the correlated nature of the data. This paper presents a nonparametric approach to the analysis of areas under correlated ROC curves, by using the theory on generalized U-statistics to generate an estimated covariance matrix.","author":[{"dropping-particle":"","family":"DeLong","given":"Elizabeth R.","non-dropping-particle":"","parse-names":false,"suffix":""},{"dropping-particle":"","family":"DeLong","given":"David M.","non-dropping-particle":"","parse-names":false,"suffix":""},{"dropping-particle":"","family":"Clarke-Pearson","given":"Daniel L.","non-dropping-particle":"","parse-names":false,"suffix":""}],"container-title":"Biometrics","id":"ITEM-1","issued":{"date-parts":[["1988"]]},"page":"837–845","title":"Comparing the Areas under Two or More Correlated Receiver Operating Characteristic Curves: A Nonparametric Approach","type":"article-journal","volume":"44"},"uris":["http://www.mendeley.com/documents/?uuid=e610974f-fb62-4ead-861f-1616cea5aa0f"]}],"mendeley":{"formattedCitation":"&lt;sup&gt;21&lt;/sup&gt;","plainTextFormattedCitation":"21","previouslyFormattedCitation":"&lt;sup&gt;21&lt;/sup&gt;"},"properties":{"noteIndex":0},"schema":"https://github.com/citation-style-language/schema/raw/master/csl-citation.json"}</w:instrText>
      </w:r>
      <w:r w:rsidR="00E70E6C" w:rsidRPr="00C41FDC">
        <w:rPr>
          <w:color w:val="000000" w:themeColor="text1"/>
        </w:rPr>
        <w:fldChar w:fldCharType="separate"/>
      </w:r>
      <w:r w:rsidR="00933BDC" w:rsidRPr="00C41FDC">
        <w:rPr>
          <w:noProof/>
          <w:color w:val="000000" w:themeColor="text1"/>
          <w:vertAlign w:val="superscript"/>
        </w:rPr>
        <w:t>21</w:t>
      </w:r>
      <w:r w:rsidR="00E70E6C" w:rsidRPr="00C41FDC">
        <w:rPr>
          <w:color w:val="000000" w:themeColor="text1"/>
        </w:rPr>
        <w:fldChar w:fldCharType="end"/>
      </w:r>
      <w:r w:rsidR="003E7F4E" w:rsidRPr="00C41FDC">
        <w:rPr>
          <w:color w:val="000000" w:themeColor="text1"/>
        </w:rPr>
        <w:t xml:space="preserve"> The method by Dorey and Korn was used to estimate 95% CIs of median survival times of Kaplan-Meier risk groups.</w:t>
      </w:r>
      <w:r w:rsidR="00757678" w:rsidRPr="00C41FDC">
        <w:rPr>
          <w:color w:val="000000" w:themeColor="text1"/>
        </w:rPr>
        <w:fldChar w:fldCharType="begin" w:fldLock="1"/>
      </w:r>
      <w:r w:rsidR="002C459D">
        <w:rPr>
          <w:color w:val="000000" w:themeColor="text1"/>
        </w:rPr>
        <w:instrText>ADDIN CSL_CITATION {"citationItems":[{"id":"ITEM-1","itemData":{"DOI":"10.1002/sim.4780060605","ISSN":"10970258","PMID":"3479818","abstract":"We examine various methods to estimate the effective sample size for construction of confidence intervals for survival probabilities. We compare the effective sample sizes of Cutler and Ederer1 and Peto et al.,2 as well as a modified Cutler‐Ederer effective sample size. We investigate the use of these effective sample sizes in the common situation of many censored observations that intervene between the time point of interest and the last death before this time. We note that there is no a priori reason to treat upper and lower confidence intervals in a symmetric fashion since censored survival data are by nature asymmetric. We recommend the use of the Cutler‐Ederer effective sample size in construction of upper confidence intervals and the Peto effective sample size in construction of lower confidence intervals. Two examples with real data demonstrate the differences between confidence intervals formed with different effective sample sizes. This study also illustrates the need for caution in the application of simulation studies to real problems. Copyright © 1987 John Wiley &amp; Sons, Ltd.","author":[{"dropping-particle":"","family":"Dorey","given":"Frederick J.","non-dropping-particle":"","parse-names":false,"suffix":""},{"dropping-particle":"","family":"Korn","given":"Edward L.","non-dropping-particle":"","parse-names":false,"suffix":""}],"container-title":"Statistics in Medicine","id":"ITEM-1","issued":{"date-parts":[["1987"]]},"page":"679–687","title":"Effective sample sizes for confidence intervals for survival probabilities","type":"article-journal","volume":"6"},"uris":["http://www.mendeley.com/documents/?uuid=b370183f-da14-4a04-b237-89a153111d53"]}],"mendeley":{"formattedCitation":"&lt;sup&gt;22&lt;/sup&gt;","plainTextFormattedCitation":"22","previouslyFormattedCitation":"&lt;sup&gt;22&lt;/sup&gt;"},"properties":{"noteIndex":0},"schema":"https://github.com/citation-style-language/schema/raw/master/csl-citation.json"}</w:instrText>
      </w:r>
      <w:r w:rsidR="00757678" w:rsidRPr="00C41FDC">
        <w:rPr>
          <w:color w:val="000000" w:themeColor="text1"/>
        </w:rPr>
        <w:fldChar w:fldCharType="separate"/>
      </w:r>
      <w:r w:rsidR="00933BDC" w:rsidRPr="00C41FDC">
        <w:rPr>
          <w:noProof/>
          <w:color w:val="000000" w:themeColor="text1"/>
          <w:vertAlign w:val="superscript"/>
        </w:rPr>
        <w:t>22</w:t>
      </w:r>
      <w:r w:rsidR="00757678" w:rsidRPr="00C41FDC">
        <w:rPr>
          <w:color w:val="000000" w:themeColor="text1"/>
        </w:rPr>
        <w:fldChar w:fldCharType="end"/>
      </w:r>
      <w:r w:rsidR="00E70E6C" w:rsidRPr="00C41FDC">
        <w:rPr>
          <w:color w:val="000000" w:themeColor="text1"/>
        </w:rPr>
        <w:t xml:space="preserve"> </w:t>
      </w:r>
      <w:r w:rsidR="003910D0" w:rsidRPr="00C41FDC">
        <w:rPr>
          <w:color w:val="000000" w:themeColor="text1"/>
        </w:rPr>
        <w:t>Linear regression analyses were performed with MATLAB (version 2018a, Mathworks, Massachuset</w:t>
      </w:r>
      <w:r w:rsidR="00F103D7" w:rsidRPr="00C41FDC">
        <w:rPr>
          <w:color w:val="000000" w:themeColor="text1"/>
        </w:rPr>
        <w:t>t</w:t>
      </w:r>
      <w:r w:rsidR="003910D0" w:rsidRPr="00C41FDC">
        <w:rPr>
          <w:color w:val="000000" w:themeColor="text1"/>
        </w:rPr>
        <w:t>s, US)</w:t>
      </w:r>
      <w:r w:rsidR="00AE3579" w:rsidRPr="00C41FDC">
        <w:rPr>
          <w:color w:val="000000" w:themeColor="text1"/>
        </w:rPr>
        <w:t xml:space="preserve">. </w:t>
      </w:r>
      <w:r w:rsidR="003910D0" w:rsidRPr="00C41FDC">
        <w:rPr>
          <w:color w:val="000000" w:themeColor="text1"/>
        </w:rPr>
        <w:t>Cox regression</w:t>
      </w:r>
      <w:r w:rsidR="003E7F4E" w:rsidRPr="00C41FDC">
        <w:rPr>
          <w:color w:val="000000" w:themeColor="text1"/>
        </w:rPr>
        <w:t xml:space="preserve">, Kaplan-Meier survival </w:t>
      </w:r>
      <w:r w:rsidR="00D237CC" w:rsidRPr="00C41FDC">
        <w:rPr>
          <w:color w:val="000000" w:themeColor="text1"/>
        </w:rPr>
        <w:t>analyses</w:t>
      </w:r>
      <w:r w:rsidR="003E7F4E" w:rsidRPr="00C41FDC">
        <w:rPr>
          <w:color w:val="000000" w:themeColor="text1"/>
        </w:rPr>
        <w:t>,</w:t>
      </w:r>
      <w:r w:rsidR="003910D0" w:rsidRPr="00C41FDC">
        <w:rPr>
          <w:color w:val="000000" w:themeColor="text1"/>
        </w:rPr>
        <w:t xml:space="preserve"> </w:t>
      </w:r>
      <w:r w:rsidR="001D4BA4" w:rsidRPr="00C41FDC">
        <w:rPr>
          <w:color w:val="000000" w:themeColor="text1"/>
        </w:rPr>
        <w:t xml:space="preserve">and ROC </w:t>
      </w:r>
      <w:r w:rsidR="003910D0" w:rsidRPr="00C41FDC">
        <w:rPr>
          <w:color w:val="000000" w:themeColor="text1"/>
        </w:rPr>
        <w:t>analyses were performed with</w:t>
      </w:r>
      <w:r w:rsidR="00CE64EA" w:rsidRPr="00C41FDC">
        <w:rPr>
          <w:color w:val="000000" w:themeColor="text1"/>
        </w:rPr>
        <w:t xml:space="preserve"> the survival and proc packages in</w:t>
      </w:r>
      <w:r w:rsidR="003910D0" w:rsidRPr="00C41FDC">
        <w:rPr>
          <w:color w:val="000000" w:themeColor="text1"/>
        </w:rPr>
        <w:t xml:space="preserve"> R</w:t>
      </w:r>
      <w:r w:rsidR="00F103D7" w:rsidRPr="00C41FDC">
        <w:rPr>
          <w:color w:val="000000" w:themeColor="text1"/>
        </w:rPr>
        <w:t xml:space="preserve"> (version </w:t>
      </w:r>
      <w:r w:rsidR="001E455A" w:rsidRPr="00C41FDC">
        <w:rPr>
          <w:color w:val="000000" w:themeColor="text1"/>
        </w:rPr>
        <w:t>3·6·</w:t>
      </w:r>
      <w:r w:rsidR="00F103D7" w:rsidRPr="00C41FDC">
        <w:rPr>
          <w:color w:val="000000" w:themeColor="text1"/>
        </w:rPr>
        <w:t>1</w:t>
      </w:r>
      <w:r w:rsidR="000E310B" w:rsidRPr="00C41FDC">
        <w:rPr>
          <w:color w:val="000000" w:themeColor="text1"/>
        </w:rPr>
        <w:t xml:space="preserve"> with </w:t>
      </w:r>
      <w:r w:rsidR="00F103D7" w:rsidRPr="00C41FDC">
        <w:rPr>
          <w:color w:val="000000" w:themeColor="text1"/>
        </w:rPr>
        <w:t>R</w:t>
      </w:r>
      <w:r w:rsidR="00E33620" w:rsidRPr="00C41FDC">
        <w:rPr>
          <w:color w:val="000000" w:themeColor="text1"/>
        </w:rPr>
        <w:t>s</w:t>
      </w:r>
      <w:r w:rsidR="00F103D7" w:rsidRPr="00C41FDC">
        <w:rPr>
          <w:color w:val="000000" w:themeColor="text1"/>
        </w:rPr>
        <w:t xml:space="preserve">tudio version </w:t>
      </w:r>
      <w:r w:rsidR="001E455A" w:rsidRPr="00C41FDC">
        <w:rPr>
          <w:color w:val="000000" w:themeColor="text1"/>
        </w:rPr>
        <w:t>1·3·</w:t>
      </w:r>
      <w:r w:rsidR="00F103D7" w:rsidRPr="00C41FDC">
        <w:rPr>
          <w:color w:val="000000" w:themeColor="text1"/>
        </w:rPr>
        <w:t>959, R</w:t>
      </w:r>
      <w:r w:rsidR="00E33620" w:rsidRPr="00C41FDC">
        <w:rPr>
          <w:color w:val="000000" w:themeColor="text1"/>
        </w:rPr>
        <w:t>s</w:t>
      </w:r>
      <w:r w:rsidR="00F103D7" w:rsidRPr="00C41FDC">
        <w:rPr>
          <w:color w:val="000000" w:themeColor="text1"/>
        </w:rPr>
        <w:t>tudio, Massachusetts, US).</w:t>
      </w:r>
    </w:p>
    <w:bookmarkEnd w:id="143"/>
    <w:bookmarkEnd w:id="144"/>
    <w:p w14:paraId="3465CB07" w14:textId="77777777" w:rsidR="009B0D18" w:rsidRDefault="009B0D18" w:rsidP="009B0D18">
      <w:pPr>
        <w:pStyle w:val="noindent"/>
        <w:spacing w:before="0" w:beforeAutospacing="0" w:after="0" w:afterAutospacing="0" w:line="480" w:lineRule="auto"/>
        <w:rPr>
          <w:color w:val="000000" w:themeColor="text1"/>
        </w:rPr>
      </w:pPr>
    </w:p>
    <w:p w14:paraId="402AA4C8" w14:textId="77777777" w:rsidR="009B0D18" w:rsidRPr="00CF7203" w:rsidRDefault="009B0D18" w:rsidP="009B0D18">
      <w:pPr>
        <w:pStyle w:val="indent"/>
        <w:spacing w:before="0" w:beforeAutospacing="0" w:after="0" w:afterAutospacing="0" w:line="480" w:lineRule="auto"/>
        <w:rPr>
          <w:rFonts w:eastAsia="Times New Roman"/>
          <w:b/>
          <w:bCs/>
          <w:color w:val="000000" w:themeColor="text1"/>
        </w:rPr>
      </w:pPr>
      <w:r>
        <w:rPr>
          <w:b/>
          <w:bCs/>
        </w:rPr>
        <w:t>Role of funders</w:t>
      </w:r>
    </w:p>
    <w:p w14:paraId="3F00734F" w14:textId="77777777" w:rsidR="009B0D18" w:rsidRPr="00CF7203" w:rsidRDefault="009B0D18" w:rsidP="009B0D18">
      <w:pPr>
        <w:pStyle w:val="noindent"/>
        <w:spacing w:before="0" w:beforeAutospacing="0" w:after="0" w:afterAutospacing="0" w:line="480" w:lineRule="auto"/>
        <w:rPr>
          <w:color w:val="000000" w:themeColor="text1"/>
        </w:rPr>
      </w:pPr>
      <w:r w:rsidRPr="00CF7203">
        <w:rPr>
          <w:color w:val="000000" w:themeColor="text1"/>
        </w:rPr>
        <w:t xml:space="preserve">The </w:t>
      </w:r>
      <w:r>
        <w:rPr>
          <w:color w:val="000000" w:themeColor="text1"/>
        </w:rPr>
        <w:t>funders of this study had no role in the design of the study, data collection, data interpretation, data analysis, and writing of the report.</w:t>
      </w:r>
    </w:p>
    <w:p w14:paraId="26B0288F" w14:textId="77777777" w:rsidR="00C302AD" w:rsidRPr="00C41FDC" w:rsidRDefault="00C302AD" w:rsidP="007B1066">
      <w:pPr>
        <w:rPr>
          <w:rStyle w:val="titlemark"/>
          <w:rFonts w:eastAsia="Times New Roman"/>
          <w:b/>
          <w:bCs/>
          <w:color w:val="000000" w:themeColor="text1"/>
          <w:sz w:val="28"/>
          <w:szCs w:val="28"/>
        </w:rPr>
      </w:pPr>
      <w:r w:rsidRPr="00C41FDC">
        <w:rPr>
          <w:rStyle w:val="titlemark"/>
          <w:rFonts w:eastAsia="Times New Roman"/>
          <w:color w:val="000000" w:themeColor="text1"/>
          <w:sz w:val="28"/>
          <w:szCs w:val="28"/>
        </w:rPr>
        <w:br w:type="page"/>
      </w:r>
    </w:p>
    <w:p w14:paraId="31D10B22" w14:textId="6AA4D0D3" w:rsidR="00725BED" w:rsidRPr="00C41FDC" w:rsidRDefault="00725BED" w:rsidP="007B1066">
      <w:pPr>
        <w:pStyle w:val="Heading3"/>
        <w:spacing w:before="360" w:beforeAutospacing="0" w:after="120" w:afterAutospacing="0" w:line="480" w:lineRule="auto"/>
        <w:rPr>
          <w:rFonts w:eastAsia="Times New Roman"/>
          <w:color w:val="000000" w:themeColor="text1"/>
          <w:sz w:val="28"/>
          <w:szCs w:val="28"/>
        </w:rPr>
      </w:pPr>
      <w:r w:rsidRPr="00C41FDC">
        <w:rPr>
          <w:rFonts w:eastAsia="Times New Roman"/>
          <w:color w:val="000000" w:themeColor="text1"/>
          <w:sz w:val="28"/>
          <w:szCs w:val="28"/>
        </w:rPr>
        <w:lastRenderedPageBreak/>
        <w:t>Results</w:t>
      </w:r>
    </w:p>
    <w:p w14:paraId="3BA4D6AB" w14:textId="4FEC24AA" w:rsidR="00725BED" w:rsidRPr="00C41FDC" w:rsidRDefault="00E05492" w:rsidP="007B1066">
      <w:pPr>
        <w:pStyle w:val="Heading4"/>
        <w:spacing w:before="0" w:beforeAutospacing="0" w:after="0" w:afterAutospacing="0" w:line="480" w:lineRule="auto"/>
        <w:rPr>
          <w:rFonts w:eastAsia="Times New Roman"/>
          <w:color w:val="000000" w:themeColor="text1"/>
        </w:rPr>
      </w:pPr>
      <w:r w:rsidRPr="00C41FDC">
        <w:rPr>
          <w:rStyle w:val="titlemark"/>
          <w:rFonts w:eastAsia="Times New Roman"/>
          <w:color w:val="000000" w:themeColor="text1"/>
        </w:rPr>
        <w:t>Baseline data</w:t>
      </w:r>
    </w:p>
    <w:p w14:paraId="0570FD00" w14:textId="64FD8219" w:rsidR="006A66F1" w:rsidRPr="00C41FDC" w:rsidRDefault="00463E98" w:rsidP="00390CDA">
      <w:pPr>
        <w:pStyle w:val="noindent"/>
        <w:spacing w:line="480" w:lineRule="auto"/>
        <w:rPr>
          <w:color w:val="000000" w:themeColor="text1"/>
        </w:rPr>
      </w:pPr>
      <w:bookmarkStart w:id="162" w:name="OLE_LINK68"/>
      <w:bookmarkStart w:id="163" w:name="OLE_LINK69"/>
      <w:r w:rsidRPr="00C41FDC">
        <w:rPr>
          <w:color w:val="000000" w:themeColor="text1"/>
        </w:rPr>
        <w:t xml:space="preserve">Demographic data, pulmonary function tests, and mean visual and </w:t>
      </w:r>
      <w:r w:rsidR="00CF7203" w:rsidRPr="00C41FDC">
        <w:rPr>
          <w:color w:val="000000" w:themeColor="text1"/>
        </w:rPr>
        <w:t>dichotomised</w:t>
      </w:r>
      <w:r w:rsidRPr="00C41FDC">
        <w:rPr>
          <w:color w:val="000000" w:themeColor="text1"/>
        </w:rPr>
        <w:t xml:space="preserve"> CT scores for </w:t>
      </w:r>
      <w:r w:rsidR="00005AF0" w:rsidRPr="00C41FDC">
        <w:rPr>
          <w:color w:val="000000" w:themeColor="text1"/>
        </w:rPr>
        <w:t xml:space="preserve">derivation </w:t>
      </w:r>
      <w:r w:rsidR="00AE3579" w:rsidRPr="00C41FDC">
        <w:rPr>
          <w:color w:val="000000" w:themeColor="text1"/>
        </w:rPr>
        <w:t>(n=14</w:t>
      </w:r>
      <w:r w:rsidR="00960D20" w:rsidRPr="00C41FDC">
        <w:rPr>
          <w:color w:val="000000" w:themeColor="text1"/>
        </w:rPr>
        <w:t>2</w:t>
      </w:r>
      <w:r w:rsidR="00AE3579" w:rsidRPr="00C41FDC">
        <w:rPr>
          <w:color w:val="000000" w:themeColor="text1"/>
        </w:rPr>
        <w:t xml:space="preserve">) </w:t>
      </w:r>
      <w:r w:rsidRPr="00C41FDC">
        <w:rPr>
          <w:color w:val="000000" w:themeColor="text1"/>
        </w:rPr>
        <w:t xml:space="preserve">and validation </w:t>
      </w:r>
      <w:r w:rsidR="00AE3579" w:rsidRPr="00C41FDC">
        <w:rPr>
          <w:color w:val="000000" w:themeColor="text1"/>
        </w:rPr>
        <w:t xml:space="preserve">(Centre B: n=69, Centre C: n=76) IPF </w:t>
      </w:r>
      <w:r w:rsidRPr="00C41FDC">
        <w:rPr>
          <w:color w:val="000000" w:themeColor="text1"/>
        </w:rPr>
        <w:t xml:space="preserve">cohorts are shown </w:t>
      </w:r>
      <w:r w:rsidR="00E949B6" w:rsidRPr="00C41FDC">
        <w:rPr>
          <w:color w:val="000000" w:themeColor="text1"/>
        </w:rPr>
        <w:t>(</w:t>
      </w:r>
      <w:r w:rsidRPr="00C41FDC">
        <w:rPr>
          <w:color w:val="000000" w:themeColor="text1"/>
        </w:rPr>
        <w:t>Table 1</w:t>
      </w:r>
      <w:r w:rsidR="00E949B6" w:rsidRPr="00C41FDC">
        <w:rPr>
          <w:color w:val="000000" w:themeColor="text1"/>
        </w:rPr>
        <w:t>)</w:t>
      </w:r>
      <w:r w:rsidR="00D20B78" w:rsidRPr="00C41FDC">
        <w:rPr>
          <w:color w:val="000000" w:themeColor="text1"/>
        </w:rPr>
        <w:t xml:space="preserve"> and</w:t>
      </w:r>
      <w:r w:rsidR="00172046" w:rsidRPr="00C41FDC">
        <w:rPr>
          <w:color w:val="000000" w:themeColor="text1"/>
        </w:rPr>
        <w:t xml:space="preserve"> stratified </w:t>
      </w:r>
      <w:r w:rsidR="00E949B6" w:rsidRPr="00C41FDC">
        <w:rPr>
          <w:color w:val="000000" w:themeColor="text1"/>
        </w:rPr>
        <w:t>according to</w:t>
      </w:r>
      <w:r w:rsidR="00172046" w:rsidRPr="00C41FDC">
        <w:rPr>
          <w:color w:val="000000" w:themeColor="text1"/>
        </w:rPr>
        <w:t xml:space="preserve"> </w:t>
      </w:r>
      <w:r w:rsidR="00DC623C" w:rsidRPr="00C41FDC">
        <w:rPr>
          <w:color w:val="000000" w:themeColor="text1"/>
        </w:rPr>
        <w:t>v</w:t>
      </w:r>
      <w:r w:rsidR="00E949B6" w:rsidRPr="00C41FDC">
        <w:rPr>
          <w:color w:val="000000" w:themeColor="text1"/>
        </w:rPr>
        <w:t>PPFE</w:t>
      </w:r>
      <w:r w:rsidR="00DC623C" w:rsidRPr="00C41FDC">
        <w:rPr>
          <w:rStyle w:val="CommentReference"/>
          <w:color w:val="000000" w:themeColor="text1"/>
        </w:rPr>
        <w:t>-</w:t>
      </w:r>
      <w:r w:rsidR="00172046" w:rsidRPr="00C41FDC">
        <w:rPr>
          <w:color w:val="000000" w:themeColor="text1"/>
        </w:rPr>
        <w:t xml:space="preserve">presence </w:t>
      </w:r>
      <w:r w:rsidR="00E949B6" w:rsidRPr="00C41FDC">
        <w:rPr>
          <w:color w:val="000000" w:themeColor="text1"/>
        </w:rPr>
        <w:t>(</w:t>
      </w:r>
      <w:r w:rsidR="008D24C9" w:rsidRPr="00C41FDC">
        <w:rPr>
          <w:color w:val="000000" w:themeColor="text1"/>
        </w:rPr>
        <w:t>Table</w:t>
      </w:r>
      <w:r w:rsidR="00EA0ABE" w:rsidRPr="00C41FDC">
        <w:rPr>
          <w:color w:val="000000" w:themeColor="text1"/>
        </w:rPr>
        <w:t xml:space="preserve"> </w:t>
      </w:r>
      <w:r w:rsidR="0057683E" w:rsidRPr="00C41FDC">
        <w:rPr>
          <w:color w:val="000000" w:themeColor="text1"/>
        </w:rPr>
        <w:t>2</w:t>
      </w:r>
      <w:r w:rsidR="00E949B6" w:rsidRPr="00C41FDC">
        <w:rPr>
          <w:color w:val="000000" w:themeColor="text1"/>
        </w:rPr>
        <w:t>)</w:t>
      </w:r>
      <w:r w:rsidR="00EA0ABE" w:rsidRPr="00C41FDC">
        <w:rPr>
          <w:color w:val="000000" w:themeColor="text1"/>
        </w:rPr>
        <w:t>.</w:t>
      </w:r>
      <w:bookmarkEnd w:id="162"/>
      <w:bookmarkEnd w:id="163"/>
      <w:r w:rsidR="009E4F46" w:rsidRPr="00C41FDC">
        <w:rPr>
          <w:color w:val="000000" w:themeColor="text1"/>
        </w:rPr>
        <w:t xml:space="preserve"> Baseline characteristics </w:t>
      </w:r>
      <w:r w:rsidR="00E949B6" w:rsidRPr="00C41FDC">
        <w:rPr>
          <w:color w:val="000000" w:themeColor="text1"/>
        </w:rPr>
        <w:t>were similar</w:t>
      </w:r>
      <w:r w:rsidR="009E4F46" w:rsidRPr="00C41FDC">
        <w:rPr>
          <w:color w:val="000000" w:themeColor="text1"/>
        </w:rPr>
        <w:t xml:space="preserve"> </w:t>
      </w:r>
      <w:r w:rsidR="006A24FD" w:rsidRPr="00C41FDC">
        <w:rPr>
          <w:color w:val="000000" w:themeColor="text1"/>
        </w:rPr>
        <w:t>to</w:t>
      </w:r>
      <w:r w:rsidR="00737AA9" w:rsidRPr="00C41FDC">
        <w:rPr>
          <w:color w:val="000000" w:themeColor="text1"/>
        </w:rPr>
        <w:t xml:space="preserve"> </w:t>
      </w:r>
      <w:r w:rsidR="009E4F46" w:rsidRPr="00C41FDC">
        <w:rPr>
          <w:color w:val="000000" w:themeColor="text1"/>
        </w:rPr>
        <w:t xml:space="preserve">patients excluded from the </w:t>
      </w:r>
      <w:r w:rsidR="00737AA9" w:rsidRPr="00C41FDC">
        <w:rPr>
          <w:color w:val="000000" w:themeColor="text1"/>
        </w:rPr>
        <w:t>study</w:t>
      </w:r>
      <w:r w:rsidR="009E4F46" w:rsidRPr="00C41FDC">
        <w:rPr>
          <w:color w:val="000000" w:themeColor="text1"/>
        </w:rPr>
        <w:t xml:space="preserve"> </w:t>
      </w:r>
      <w:r w:rsidR="006F71D7" w:rsidRPr="00C41FDC">
        <w:rPr>
          <w:color w:val="000000" w:themeColor="text1"/>
        </w:rPr>
        <w:t>(</w:t>
      </w:r>
      <w:r w:rsidR="008D24C9" w:rsidRPr="00C41FDC">
        <w:rPr>
          <w:color w:val="000000" w:themeColor="text1"/>
        </w:rPr>
        <w:t>Supplementary Table</w:t>
      </w:r>
      <w:r w:rsidR="009E4F46" w:rsidRPr="00C41FDC">
        <w:rPr>
          <w:color w:val="000000" w:themeColor="text1"/>
        </w:rPr>
        <w:t xml:space="preserve"> </w:t>
      </w:r>
      <w:r w:rsidR="0057683E" w:rsidRPr="00C41FDC">
        <w:rPr>
          <w:color w:val="000000" w:themeColor="text1"/>
        </w:rPr>
        <w:t>1</w:t>
      </w:r>
      <w:r w:rsidR="006F71D7" w:rsidRPr="00C41FDC">
        <w:rPr>
          <w:color w:val="000000" w:themeColor="text1"/>
        </w:rPr>
        <w:t>)</w:t>
      </w:r>
      <w:r w:rsidR="009E4F46" w:rsidRPr="00C41FDC">
        <w:rPr>
          <w:color w:val="000000" w:themeColor="text1"/>
        </w:rPr>
        <w:t>.</w:t>
      </w:r>
    </w:p>
    <w:p w14:paraId="36E03F80" w14:textId="77777777" w:rsidR="00E949B6" w:rsidRPr="00C41FDC" w:rsidRDefault="00E949B6" w:rsidP="00390CDA">
      <w:pPr>
        <w:pStyle w:val="noindent"/>
        <w:spacing w:line="480" w:lineRule="auto"/>
        <w:rPr>
          <w:color w:val="000000" w:themeColor="text1"/>
        </w:rPr>
      </w:pPr>
    </w:p>
    <w:p w14:paraId="16DBD504" w14:textId="5CDA2FE4" w:rsidR="00E949B6" w:rsidRPr="00C41FDC" w:rsidRDefault="00E949B6" w:rsidP="00390CDA">
      <w:pPr>
        <w:pStyle w:val="noindent"/>
        <w:spacing w:line="480" w:lineRule="auto"/>
        <w:rPr>
          <w:b/>
          <w:bCs/>
          <w:color w:val="000000" w:themeColor="text1"/>
        </w:rPr>
      </w:pPr>
      <w:r w:rsidRPr="00C41FDC">
        <w:rPr>
          <w:rStyle w:val="titlemark"/>
          <w:rFonts w:eastAsia="Times New Roman"/>
          <w:b/>
          <w:bCs/>
          <w:color w:val="000000" w:themeColor="text1"/>
        </w:rPr>
        <w:t>Visually</w:t>
      </w:r>
      <w:r w:rsidR="00AE3579" w:rsidRPr="00C41FDC">
        <w:rPr>
          <w:rStyle w:val="titlemark"/>
          <w:rFonts w:eastAsia="Times New Roman"/>
          <w:b/>
          <w:bCs/>
          <w:color w:val="000000" w:themeColor="text1"/>
        </w:rPr>
        <w:t>-</w:t>
      </w:r>
      <w:r w:rsidRPr="00C41FDC">
        <w:rPr>
          <w:rStyle w:val="titlemark"/>
          <w:rFonts w:eastAsia="Times New Roman"/>
          <w:b/>
          <w:bCs/>
          <w:color w:val="000000" w:themeColor="text1"/>
        </w:rPr>
        <w:t>scored PPFE</w:t>
      </w:r>
    </w:p>
    <w:p w14:paraId="3A4A7261" w14:textId="72722A39" w:rsidR="006A66F1" w:rsidRPr="00C41FDC" w:rsidRDefault="006A66F1" w:rsidP="006A66F1">
      <w:pPr>
        <w:pStyle w:val="indent"/>
        <w:spacing w:before="0" w:beforeAutospacing="0" w:after="0" w:afterAutospacing="0" w:line="480" w:lineRule="auto"/>
        <w:rPr>
          <w:color w:val="000000" w:themeColor="text1"/>
        </w:rPr>
      </w:pPr>
      <w:r w:rsidRPr="00C41FDC">
        <w:rPr>
          <w:color w:val="000000" w:themeColor="text1"/>
        </w:rPr>
        <w:t xml:space="preserve">Across </w:t>
      </w:r>
      <w:r w:rsidR="00005AF0" w:rsidRPr="00C41FDC">
        <w:rPr>
          <w:color w:val="000000" w:themeColor="text1"/>
        </w:rPr>
        <w:t xml:space="preserve">derivation </w:t>
      </w:r>
      <w:r w:rsidRPr="00C41FDC">
        <w:rPr>
          <w:color w:val="000000" w:themeColor="text1"/>
        </w:rPr>
        <w:t>and validation cohorts, PPFE was never seen in the middle or lower lobes without being present in the upper lobes (</w:t>
      </w:r>
      <w:r w:rsidR="002C30BF" w:rsidRPr="00C41FDC">
        <w:rPr>
          <w:color w:val="000000" w:themeColor="text1"/>
        </w:rPr>
        <w:t xml:space="preserve">Figure </w:t>
      </w:r>
      <w:r w:rsidR="00106675" w:rsidRPr="00C41FDC">
        <w:rPr>
          <w:color w:val="000000" w:themeColor="text1"/>
        </w:rPr>
        <w:t>2</w:t>
      </w:r>
      <w:r w:rsidRPr="00C41FDC">
        <w:rPr>
          <w:color w:val="000000" w:themeColor="text1"/>
        </w:rPr>
        <w:t>). PPFE was identified in 6</w:t>
      </w:r>
      <w:r w:rsidR="00895FEE" w:rsidRPr="00C41FDC">
        <w:rPr>
          <w:color w:val="000000" w:themeColor="text1"/>
        </w:rPr>
        <w:t>9</w:t>
      </w:r>
      <w:r w:rsidRPr="00C41FDC">
        <w:rPr>
          <w:color w:val="000000" w:themeColor="text1"/>
        </w:rPr>
        <w:t>/14</w:t>
      </w:r>
      <w:r w:rsidR="00895FEE" w:rsidRPr="00C41FDC">
        <w:rPr>
          <w:color w:val="000000" w:themeColor="text1"/>
        </w:rPr>
        <w:t>2</w:t>
      </w:r>
      <w:r w:rsidRPr="00C41FDC">
        <w:rPr>
          <w:color w:val="000000" w:themeColor="text1"/>
        </w:rPr>
        <w:t xml:space="preserve"> (4</w:t>
      </w:r>
      <w:r w:rsidR="00895FEE" w:rsidRPr="00C41FDC">
        <w:rPr>
          <w:color w:val="000000" w:themeColor="text1"/>
        </w:rPr>
        <w:t>9</w:t>
      </w:r>
      <w:r w:rsidRPr="00C41FDC">
        <w:rPr>
          <w:color w:val="000000" w:themeColor="text1"/>
        </w:rPr>
        <w:t xml:space="preserve">%) </w:t>
      </w:r>
      <w:r w:rsidR="005C3ABA" w:rsidRPr="00C41FDC">
        <w:rPr>
          <w:color w:val="000000" w:themeColor="text1"/>
        </w:rPr>
        <w:t xml:space="preserve">derivation cohort </w:t>
      </w:r>
      <w:r w:rsidRPr="00C41FDC">
        <w:rPr>
          <w:color w:val="000000" w:themeColor="text1"/>
        </w:rPr>
        <w:t>patients and 104/145 (72%) validation cohort</w:t>
      </w:r>
      <w:r w:rsidR="005C3ABA" w:rsidRPr="00C41FDC">
        <w:rPr>
          <w:color w:val="000000" w:themeColor="text1"/>
        </w:rPr>
        <w:t xml:space="preserve"> patients</w:t>
      </w:r>
      <w:r w:rsidRPr="00C41FDC">
        <w:rPr>
          <w:color w:val="000000" w:themeColor="text1"/>
        </w:rPr>
        <w:t xml:space="preserve">. In the </w:t>
      </w:r>
      <w:r w:rsidR="00005AF0" w:rsidRPr="00C41FDC">
        <w:rPr>
          <w:color w:val="000000" w:themeColor="text1"/>
        </w:rPr>
        <w:t xml:space="preserve">derivation </w:t>
      </w:r>
      <w:r w:rsidRPr="00C41FDC">
        <w:rPr>
          <w:color w:val="000000" w:themeColor="text1"/>
        </w:rPr>
        <w:t>cohort, 5</w:t>
      </w:r>
      <w:r w:rsidR="000D754F" w:rsidRPr="00C41FDC">
        <w:rPr>
          <w:color w:val="000000" w:themeColor="text1"/>
        </w:rPr>
        <w:t>5</w:t>
      </w:r>
      <w:r w:rsidRPr="00C41FDC">
        <w:rPr>
          <w:color w:val="000000" w:themeColor="text1"/>
        </w:rPr>
        <w:t>/14</w:t>
      </w:r>
      <w:r w:rsidR="000D754F" w:rsidRPr="00C41FDC">
        <w:rPr>
          <w:color w:val="000000" w:themeColor="text1"/>
        </w:rPr>
        <w:t>2</w:t>
      </w:r>
      <w:r w:rsidRPr="00C41FDC">
        <w:rPr>
          <w:color w:val="000000" w:themeColor="text1"/>
        </w:rPr>
        <w:t xml:space="preserve"> (3</w:t>
      </w:r>
      <w:r w:rsidR="000D754F" w:rsidRPr="00C41FDC">
        <w:rPr>
          <w:color w:val="000000" w:themeColor="text1"/>
        </w:rPr>
        <w:t>9</w:t>
      </w:r>
      <w:r w:rsidRPr="00C41FDC">
        <w:rPr>
          <w:color w:val="000000" w:themeColor="text1"/>
        </w:rPr>
        <w:t xml:space="preserve">%) patients had </w:t>
      </w:r>
      <w:r w:rsidR="00AE3579" w:rsidRPr="00C41FDC">
        <w:rPr>
          <w:color w:val="000000" w:themeColor="text1"/>
        </w:rPr>
        <w:t>moderate v</w:t>
      </w:r>
      <w:r w:rsidRPr="00C41FDC">
        <w:rPr>
          <w:color w:val="000000" w:themeColor="text1"/>
        </w:rPr>
        <w:t>PPFE; 1</w:t>
      </w:r>
      <w:r w:rsidR="00BA0CF3" w:rsidRPr="00C41FDC">
        <w:rPr>
          <w:color w:val="000000" w:themeColor="text1"/>
        </w:rPr>
        <w:t>4</w:t>
      </w:r>
      <w:r w:rsidRPr="00C41FDC">
        <w:rPr>
          <w:color w:val="000000" w:themeColor="text1"/>
        </w:rPr>
        <w:t>/14</w:t>
      </w:r>
      <w:r w:rsidR="00BA0CF3" w:rsidRPr="00C41FDC">
        <w:rPr>
          <w:color w:val="000000" w:themeColor="text1"/>
        </w:rPr>
        <w:t>2</w:t>
      </w:r>
      <w:r w:rsidRPr="00C41FDC">
        <w:rPr>
          <w:color w:val="000000" w:themeColor="text1"/>
        </w:rPr>
        <w:t xml:space="preserve"> (</w:t>
      </w:r>
      <w:r w:rsidR="00BA0CF3" w:rsidRPr="00C41FDC">
        <w:rPr>
          <w:color w:val="000000" w:themeColor="text1"/>
        </w:rPr>
        <w:t>10</w:t>
      </w:r>
      <w:r w:rsidRPr="00C41FDC">
        <w:rPr>
          <w:color w:val="000000" w:themeColor="text1"/>
        </w:rPr>
        <w:t xml:space="preserve">%) patients had marked </w:t>
      </w:r>
      <w:r w:rsidR="00AE3579" w:rsidRPr="00C41FDC">
        <w:rPr>
          <w:color w:val="000000" w:themeColor="text1"/>
        </w:rPr>
        <w:t>v</w:t>
      </w:r>
      <w:r w:rsidRPr="00C41FDC">
        <w:rPr>
          <w:color w:val="000000" w:themeColor="text1"/>
        </w:rPr>
        <w:t xml:space="preserve">PPFE. In the validation cohort, 87/145 (60%) patients had </w:t>
      </w:r>
      <w:r w:rsidR="00AE3579" w:rsidRPr="00C41FDC">
        <w:rPr>
          <w:color w:val="000000" w:themeColor="text1"/>
        </w:rPr>
        <w:t>moderate</w:t>
      </w:r>
      <w:r w:rsidRPr="00C41FDC">
        <w:rPr>
          <w:color w:val="000000" w:themeColor="text1"/>
        </w:rPr>
        <w:t xml:space="preserve"> </w:t>
      </w:r>
      <w:r w:rsidR="00AE3579" w:rsidRPr="00C41FDC">
        <w:rPr>
          <w:color w:val="000000" w:themeColor="text1"/>
        </w:rPr>
        <w:t>v</w:t>
      </w:r>
      <w:r w:rsidRPr="00C41FDC">
        <w:rPr>
          <w:color w:val="000000" w:themeColor="text1"/>
        </w:rPr>
        <w:t>PPFE</w:t>
      </w:r>
      <w:r w:rsidR="00AE3579" w:rsidRPr="00C41FDC">
        <w:rPr>
          <w:color w:val="000000" w:themeColor="text1"/>
        </w:rPr>
        <w:t xml:space="preserve">; </w:t>
      </w:r>
      <w:r w:rsidRPr="00C41FDC">
        <w:rPr>
          <w:color w:val="000000" w:themeColor="text1"/>
        </w:rPr>
        <w:t xml:space="preserve">17/145 (12%) patients had marked </w:t>
      </w:r>
      <w:r w:rsidR="00AE3579" w:rsidRPr="00C41FDC">
        <w:rPr>
          <w:color w:val="000000" w:themeColor="text1"/>
        </w:rPr>
        <w:t>v</w:t>
      </w:r>
      <w:r w:rsidRPr="00C41FDC">
        <w:rPr>
          <w:color w:val="000000" w:themeColor="text1"/>
        </w:rPr>
        <w:t xml:space="preserve">PPFE. </w:t>
      </w:r>
    </w:p>
    <w:p w14:paraId="30E2812F" w14:textId="56930999" w:rsidR="00252C17" w:rsidRPr="00C41FDC" w:rsidRDefault="00252C17" w:rsidP="006A66F1">
      <w:pPr>
        <w:pStyle w:val="indent"/>
        <w:spacing w:before="0" w:beforeAutospacing="0" w:after="0" w:afterAutospacing="0" w:line="480" w:lineRule="auto"/>
        <w:rPr>
          <w:color w:val="000000" w:themeColor="text1"/>
        </w:rPr>
      </w:pPr>
    </w:p>
    <w:p w14:paraId="61E410C4" w14:textId="513470A1" w:rsidR="00B24615" w:rsidRPr="00C41FDC" w:rsidRDefault="00B460E8" w:rsidP="006A66F1">
      <w:pPr>
        <w:pStyle w:val="indent"/>
        <w:spacing w:before="0" w:beforeAutospacing="0" w:after="0" w:afterAutospacing="0" w:line="480" w:lineRule="auto"/>
        <w:rPr>
          <w:color w:val="000000" w:themeColor="text1"/>
        </w:rPr>
      </w:pPr>
      <w:bookmarkStart w:id="164" w:name="OLE_LINK171"/>
      <w:bookmarkStart w:id="165" w:name="OLE_LINK172"/>
      <w:r w:rsidRPr="00C41FDC">
        <w:rPr>
          <w:color w:val="000000" w:themeColor="text1"/>
        </w:rPr>
        <w:t>vPPFE-presence</w:t>
      </w:r>
      <w:r w:rsidR="00B24615" w:rsidRPr="00C41FDC">
        <w:rPr>
          <w:color w:val="000000" w:themeColor="text1"/>
        </w:rPr>
        <w:t xml:space="preserve">, </w:t>
      </w:r>
      <w:r w:rsidR="00DE3AC2" w:rsidRPr="00C41FDC">
        <w:rPr>
          <w:color w:val="000000" w:themeColor="text1"/>
        </w:rPr>
        <w:t xml:space="preserve">and </w:t>
      </w:r>
      <w:r w:rsidR="00AE3579" w:rsidRPr="00C41FDC">
        <w:rPr>
          <w:color w:val="000000" w:themeColor="text1"/>
        </w:rPr>
        <w:t xml:space="preserve">moderate </w:t>
      </w:r>
      <w:r w:rsidR="00B24615" w:rsidRPr="00C41FDC">
        <w:rPr>
          <w:color w:val="000000" w:themeColor="text1"/>
        </w:rPr>
        <w:t xml:space="preserve">and marked </w:t>
      </w:r>
      <w:r w:rsidR="00AE3579" w:rsidRPr="00C41FDC">
        <w:rPr>
          <w:color w:val="000000" w:themeColor="text1"/>
        </w:rPr>
        <w:t>v</w:t>
      </w:r>
      <w:r w:rsidR="00B24615" w:rsidRPr="00C41FDC">
        <w:rPr>
          <w:color w:val="000000" w:themeColor="text1"/>
        </w:rPr>
        <w:t xml:space="preserve">PPFE </w:t>
      </w:r>
      <w:r w:rsidR="00DE3AC2" w:rsidRPr="00C41FDC">
        <w:rPr>
          <w:color w:val="000000" w:themeColor="text1"/>
        </w:rPr>
        <w:t>significantly</w:t>
      </w:r>
      <w:r w:rsidR="00B24615" w:rsidRPr="00C41FDC">
        <w:rPr>
          <w:color w:val="000000" w:themeColor="text1"/>
        </w:rPr>
        <w:t xml:space="preserve"> associated with </w:t>
      </w:r>
      <w:r w:rsidR="00753682" w:rsidRPr="00C41FDC">
        <w:rPr>
          <w:color w:val="000000" w:themeColor="text1"/>
        </w:rPr>
        <w:t>established measures of disease severity in IPF (</w:t>
      </w:r>
      <w:r w:rsidR="00B24615" w:rsidRPr="00C41FDC">
        <w:rPr>
          <w:color w:val="000000" w:themeColor="text1"/>
        </w:rPr>
        <w:t xml:space="preserve">ILD </w:t>
      </w:r>
      <w:r w:rsidR="00753682" w:rsidRPr="00C41FDC">
        <w:rPr>
          <w:color w:val="000000" w:themeColor="text1"/>
        </w:rPr>
        <w:t xml:space="preserve">percentage </w:t>
      </w:r>
      <w:r w:rsidR="009B0882" w:rsidRPr="00C41FDC">
        <w:rPr>
          <w:color w:val="000000" w:themeColor="text1"/>
        </w:rPr>
        <w:t>on CT</w:t>
      </w:r>
      <w:r w:rsidR="00E949B6" w:rsidRPr="00C41FDC">
        <w:rPr>
          <w:color w:val="000000" w:themeColor="text1"/>
        </w:rPr>
        <w:t xml:space="preserve"> and </w:t>
      </w:r>
      <w:r w:rsidR="00753682" w:rsidRPr="00C41FDC">
        <w:rPr>
          <w:color w:val="000000" w:themeColor="text1"/>
        </w:rPr>
        <w:t xml:space="preserve">percent-predicted </w:t>
      </w:r>
      <w:r w:rsidR="00E949B6" w:rsidRPr="00C41FDC">
        <w:rPr>
          <w:color w:val="000000" w:themeColor="text1"/>
        </w:rPr>
        <w:t>D</w:t>
      </w:r>
      <w:r w:rsidR="007730BA" w:rsidRPr="00C41FDC">
        <w:rPr>
          <w:color w:val="000000" w:themeColor="text1"/>
        </w:rPr>
        <w:t>L</w:t>
      </w:r>
      <w:r w:rsidR="00E949B6" w:rsidRPr="00C41FDC">
        <w:rPr>
          <w:color w:val="000000" w:themeColor="text1"/>
        </w:rPr>
        <w:t>co</w:t>
      </w:r>
      <w:r w:rsidR="00753682" w:rsidRPr="00C41FDC">
        <w:rPr>
          <w:color w:val="000000" w:themeColor="text1"/>
        </w:rPr>
        <w:t>)</w:t>
      </w:r>
      <w:r w:rsidR="00B24615" w:rsidRPr="00C41FDC">
        <w:rPr>
          <w:color w:val="000000" w:themeColor="text1"/>
        </w:rPr>
        <w:t xml:space="preserve"> in univariable models </w:t>
      </w:r>
      <w:bookmarkStart w:id="166" w:name="OLE_LINK169"/>
      <w:bookmarkStart w:id="167" w:name="OLE_LINK170"/>
      <w:bookmarkEnd w:id="164"/>
      <w:bookmarkEnd w:id="165"/>
      <w:r w:rsidR="0092345C" w:rsidRPr="00C41FDC">
        <w:rPr>
          <w:color w:val="000000" w:themeColor="text1"/>
        </w:rPr>
        <w:t>(</w:t>
      </w:r>
      <w:bookmarkStart w:id="168" w:name="OLE_LINK148"/>
      <w:bookmarkStart w:id="169" w:name="OLE_LINK149"/>
      <w:r w:rsidR="0092345C" w:rsidRPr="00C41FDC">
        <w:rPr>
          <w:color w:val="000000" w:themeColor="text1"/>
        </w:rPr>
        <w:t>R</w:t>
      </w:r>
      <w:r w:rsidR="0092345C" w:rsidRPr="00C41FDC">
        <w:rPr>
          <w:color w:val="000000" w:themeColor="text1"/>
          <w:vertAlign w:val="superscript"/>
        </w:rPr>
        <w:t>2</w:t>
      </w:r>
      <w:r w:rsidR="0092345C" w:rsidRPr="00C41FDC">
        <w:rPr>
          <w:color w:val="000000" w:themeColor="text1"/>
        </w:rPr>
        <w:t>=0</w:t>
      </w:r>
      <w:bookmarkStart w:id="170" w:name="OLE_LINK165"/>
      <w:bookmarkStart w:id="171" w:name="OLE_LINK166"/>
      <w:r w:rsidR="0092345C" w:rsidRPr="00C41FDC">
        <w:rPr>
          <w:color w:val="000000" w:themeColor="text1"/>
        </w:rPr>
        <w:t>·</w:t>
      </w:r>
      <w:bookmarkEnd w:id="170"/>
      <w:bookmarkEnd w:id="171"/>
      <w:r w:rsidR="0092345C" w:rsidRPr="00C41FDC">
        <w:rPr>
          <w:color w:val="000000" w:themeColor="text1"/>
        </w:rPr>
        <w:t>03–0·14</w:t>
      </w:r>
      <w:bookmarkEnd w:id="168"/>
      <w:bookmarkEnd w:id="169"/>
      <w:r w:rsidR="0092345C" w:rsidRPr="00C41FDC">
        <w:rPr>
          <w:color w:val="000000" w:themeColor="text1"/>
        </w:rPr>
        <w:t xml:space="preserve">; </w:t>
      </w:r>
      <w:r w:rsidR="008D24C9" w:rsidRPr="00C41FDC">
        <w:rPr>
          <w:color w:val="000000" w:themeColor="text1"/>
        </w:rPr>
        <w:t>Supplementary Table</w:t>
      </w:r>
      <w:r w:rsidR="00070908" w:rsidRPr="00C41FDC">
        <w:rPr>
          <w:color w:val="000000" w:themeColor="text1"/>
        </w:rPr>
        <w:t xml:space="preserve"> </w:t>
      </w:r>
      <w:r w:rsidR="0057683E" w:rsidRPr="00C41FDC">
        <w:rPr>
          <w:color w:val="000000" w:themeColor="text1"/>
        </w:rPr>
        <w:t>2</w:t>
      </w:r>
      <w:r w:rsidR="00070908" w:rsidRPr="00C41FDC">
        <w:rPr>
          <w:color w:val="000000" w:themeColor="text1"/>
        </w:rPr>
        <w:t>)</w:t>
      </w:r>
      <w:r w:rsidR="00B24615" w:rsidRPr="00C41FDC">
        <w:rPr>
          <w:color w:val="000000" w:themeColor="text1"/>
        </w:rPr>
        <w:t xml:space="preserve">. </w:t>
      </w:r>
      <w:r w:rsidR="0092345C" w:rsidRPr="00C41FDC">
        <w:rPr>
          <w:color w:val="000000" w:themeColor="text1"/>
        </w:rPr>
        <w:t>T</w:t>
      </w:r>
      <w:r w:rsidR="00DE3AC2" w:rsidRPr="00C41FDC">
        <w:rPr>
          <w:color w:val="000000" w:themeColor="text1"/>
        </w:rPr>
        <w:t xml:space="preserve">his </w:t>
      </w:r>
      <w:r w:rsidR="0092345C" w:rsidRPr="00C41FDC">
        <w:rPr>
          <w:color w:val="000000" w:themeColor="text1"/>
        </w:rPr>
        <w:t xml:space="preserve">result </w:t>
      </w:r>
      <w:r w:rsidR="00DE3AC2" w:rsidRPr="00C41FDC">
        <w:rPr>
          <w:color w:val="000000" w:themeColor="text1"/>
        </w:rPr>
        <w:t>was not consistent after adjustment for important covariates</w:t>
      </w:r>
      <w:r w:rsidR="0092345C" w:rsidRPr="00C41FDC">
        <w:rPr>
          <w:color w:val="000000" w:themeColor="text1"/>
        </w:rPr>
        <w:t>, except for a significant association in the derivation cohort</w:t>
      </w:r>
      <w:r w:rsidR="00DE3AC2" w:rsidRPr="00C41FDC">
        <w:rPr>
          <w:color w:val="000000" w:themeColor="text1"/>
        </w:rPr>
        <w:t xml:space="preserve"> </w:t>
      </w:r>
      <w:r w:rsidR="0092345C" w:rsidRPr="00C41FDC">
        <w:rPr>
          <w:color w:val="000000" w:themeColor="text1"/>
        </w:rPr>
        <w:t>(Beta coefficient=7·81</w:t>
      </w:r>
      <w:r w:rsidR="00946251" w:rsidRPr="00C41FDC">
        <w:rPr>
          <w:color w:val="000000" w:themeColor="text1"/>
        </w:rPr>
        <w:t>%</w:t>
      </w:r>
      <w:r w:rsidR="0092345C" w:rsidRPr="00C41FDC">
        <w:rPr>
          <w:color w:val="000000" w:themeColor="text1"/>
        </w:rPr>
        <w:t>, 95% CI 1·36–14·3</w:t>
      </w:r>
      <w:r w:rsidR="00946251" w:rsidRPr="00C41FDC">
        <w:rPr>
          <w:color w:val="000000" w:themeColor="text1"/>
        </w:rPr>
        <w:t>%</w:t>
      </w:r>
      <w:r w:rsidR="0092345C" w:rsidRPr="00C41FDC">
        <w:rPr>
          <w:color w:val="000000" w:themeColor="text1"/>
        </w:rPr>
        <w:t>, p=0·02, R</w:t>
      </w:r>
      <w:bookmarkStart w:id="172" w:name="OLE_LINK167"/>
      <w:bookmarkStart w:id="173" w:name="OLE_LINK168"/>
      <w:r w:rsidR="0092345C" w:rsidRPr="00C41FDC">
        <w:rPr>
          <w:color w:val="000000" w:themeColor="text1"/>
          <w:vertAlign w:val="superscript"/>
        </w:rPr>
        <w:t>2</w:t>
      </w:r>
      <w:bookmarkEnd w:id="172"/>
      <w:bookmarkEnd w:id="173"/>
      <w:r w:rsidR="0092345C" w:rsidRPr="00C41FDC">
        <w:rPr>
          <w:color w:val="000000" w:themeColor="text1"/>
        </w:rPr>
        <w:t>=0</w:t>
      </w:r>
      <w:bookmarkStart w:id="174" w:name="OLE_LINK163"/>
      <w:bookmarkStart w:id="175" w:name="OLE_LINK164"/>
      <w:r w:rsidR="0092345C" w:rsidRPr="00C41FDC">
        <w:rPr>
          <w:color w:val="000000" w:themeColor="text1"/>
        </w:rPr>
        <w:t>·</w:t>
      </w:r>
      <w:bookmarkEnd w:id="174"/>
      <w:bookmarkEnd w:id="175"/>
      <w:r w:rsidR="0092345C" w:rsidRPr="00C41FDC">
        <w:rPr>
          <w:color w:val="000000" w:themeColor="text1"/>
        </w:rPr>
        <w:t xml:space="preserve">34) and a trend in the validation cohort </w:t>
      </w:r>
      <w:bookmarkStart w:id="176" w:name="OLE_LINK225"/>
      <w:bookmarkStart w:id="177" w:name="OLE_LINK226"/>
      <w:r w:rsidR="0092345C" w:rsidRPr="00C41FDC">
        <w:rPr>
          <w:color w:val="000000" w:themeColor="text1"/>
        </w:rPr>
        <w:t>(Beta coefficient=5·68</w:t>
      </w:r>
      <w:r w:rsidR="00946251" w:rsidRPr="00C41FDC">
        <w:rPr>
          <w:color w:val="000000" w:themeColor="text1"/>
        </w:rPr>
        <w:t>%</w:t>
      </w:r>
      <w:r w:rsidR="0092345C" w:rsidRPr="00C41FDC">
        <w:rPr>
          <w:color w:val="000000" w:themeColor="text1"/>
        </w:rPr>
        <w:t>, 95% CI -0·02–11·4</w:t>
      </w:r>
      <w:r w:rsidR="00946251" w:rsidRPr="00C41FDC">
        <w:rPr>
          <w:color w:val="000000" w:themeColor="text1"/>
        </w:rPr>
        <w:t>%</w:t>
      </w:r>
      <w:r w:rsidR="0092345C" w:rsidRPr="00C41FDC">
        <w:rPr>
          <w:color w:val="000000" w:themeColor="text1"/>
        </w:rPr>
        <w:t>, p=0·05</w:t>
      </w:r>
      <w:r w:rsidR="00946251" w:rsidRPr="00C41FDC">
        <w:rPr>
          <w:color w:val="000000" w:themeColor="text1"/>
        </w:rPr>
        <w:t>1</w:t>
      </w:r>
      <w:r w:rsidR="0092345C" w:rsidRPr="00C41FDC">
        <w:rPr>
          <w:color w:val="000000" w:themeColor="text1"/>
        </w:rPr>
        <w:t>, R</w:t>
      </w:r>
      <w:r w:rsidR="0092345C" w:rsidRPr="00C41FDC">
        <w:rPr>
          <w:color w:val="000000" w:themeColor="text1"/>
          <w:vertAlign w:val="superscript"/>
        </w:rPr>
        <w:t>2</w:t>
      </w:r>
      <w:r w:rsidR="0092345C" w:rsidRPr="00C41FDC">
        <w:rPr>
          <w:color w:val="000000" w:themeColor="text1"/>
        </w:rPr>
        <w:t xml:space="preserve">=0·41) </w:t>
      </w:r>
      <w:bookmarkEnd w:id="176"/>
      <w:bookmarkEnd w:id="177"/>
      <w:r w:rsidR="0092345C" w:rsidRPr="00C41FDC">
        <w:rPr>
          <w:color w:val="000000" w:themeColor="text1"/>
        </w:rPr>
        <w:t xml:space="preserve">of marked vPPFE </w:t>
      </w:r>
      <w:r w:rsidR="0092345C" w:rsidRPr="00C41FDC">
        <w:rPr>
          <w:color w:val="000000" w:themeColor="text1"/>
        </w:rPr>
        <w:lastRenderedPageBreak/>
        <w:t xml:space="preserve">with ILD percentage </w:t>
      </w:r>
      <w:r w:rsidR="009D6B0A" w:rsidRPr="00C41FDC">
        <w:rPr>
          <w:color w:val="000000" w:themeColor="text1"/>
        </w:rPr>
        <w:t>(</w:t>
      </w:r>
      <w:r w:rsidR="008D24C9" w:rsidRPr="00C41FDC">
        <w:rPr>
          <w:color w:val="000000" w:themeColor="text1"/>
        </w:rPr>
        <w:t>Supplementary Table</w:t>
      </w:r>
      <w:r w:rsidR="00DE3AC2" w:rsidRPr="00C41FDC">
        <w:rPr>
          <w:color w:val="000000" w:themeColor="text1"/>
        </w:rPr>
        <w:t xml:space="preserve"> </w:t>
      </w:r>
      <w:r w:rsidR="00D53784" w:rsidRPr="00C41FDC">
        <w:rPr>
          <w:color w:val="000000" w:themeColor="text1"/>
        </w:rPr>
        <w:t>3</w:t>
      </w:r>
      <w:r w:rsidR="009D6B0A" w:rsidRPr="00C41FDC">
        <w:rPr>
          <w:color w:val="000000" w:themeColor="text1"/>
        </w:rPr>
        <w:t>)</w:t>
      </w:r>
      <w:r w:rsidR="0092345C" w:rsidRPr="00C41FDC">
        <w:rPr>
          <w:color w:val="000000" w:themeColor="text1"/>
        </w:rPr>
        <w:t xml:space="preserve">. </w:t>
      </w:r>
      <w:bookmarkEnd w:id="166"/>
      <w:bookmarkEnd w:id="167"/>
      <w:r w:rsidR="00A51621" w:rsidRPr="00C41FDC">
        <w:rPr>
          <w:color w:val="000000" w:themeColor="text1"/>
        </w:rPr>
        <w:t xml:space="preserve">On </w:t>
      </w:r>
      <w:bookmarkStart w:id="178" w:name="OLE_LINK91"/>
      <w:bookmarkStart w:id="179" w:name="OLE_LINK92"/>
      <w:r w:rsidR="006022DC" w:rsidRPr="00C41FDC">
        <w:rPr>
          <w:color w:val="000000" w:themeColor="text1"/>
        </w:rPr>
        <w:t>multivariable</w:t>
      </w:r>
      <w:r w:rsidR="00A51621" w:rsidRPr="00C41FDC">
        <w:rPr>
          <w:color w:val="000000" w:themeColor="text1"/>
        </w:rPr>
        <w:t xml:space="preserve"> </w:t>
      </w:r>
      <w:r w:rsidR="006022DC" w:rsidRPr="00C41FDC">
        <w:rPr>
          <w:color w:val="000000" w:themeColor="text1"/>
        </w:rPr>
        <w:t xml:space="preserve">analysis, </w:t>
      </w:r>
      <w:r w:rsidRPr="00C41FDC">
        <w:rPr>
          <w:color w:val="000000" w:themeColor="text1"/>
        </w:rPr>
        <w:t>v</w:t>
      </w:r>
      <w:r w:rsidR="006022DC" w:rsidRPr="00C41FDC">
        <w:rPr>
          <w:color w:val="000000" w:themeColor="text1"/>
        </w:rPr>
        <w:t>PPFE</w:t>
      </w:r>
      <w:r w:rsidRPr="00C41FDC">
        <w:rPr>
          <w:color w:val="000000" w:themeColor="text1"/>
        </w:rPr>
        <w:t>-</w:t>
      </w:r>
      <w:r w:rsidR="006022DC" w:rsidRPr="00C41FDC">
        <w:rPr>
          <w:color w:val="000000" w:themeColor="text1"/>
        </w:rPr>
        <w:t>presence showed a trend towards</w:t>
      </w:r>
      <w:r w:rsidR="00070908" w:rsidRPr="00C41FDC">
        <w:rPr>
          <w:color w:val="000000" w:themeColor="text1"/>
        </w:rPr>
        <w:t xml:space="preserve"> </w:t>
      </w:r>
      <w:r w:rsidR="006022DC" w:rsidRPr="00C41FDC">
        <w:rPr>
          <w:color w:val="000000" w:themeColor="text1"/>
        </w:rPr>
        <w:t>a</w:t>
      </w:r>
      <w:r w:rsidR="00753682" w:rsidRPr="00C41FDC">
        <w:rPr>
          <w:color w:val="000000" w:themeColor="text1"/>
        </w:rPr>
        <w:t>n</w:t>
      </w:r>
      <w:r w:rsidR="006022DC" w:rsidRPr="00C41FDC">
        <w:rPr>
          <w:color w:val="000000" w:themeColor="text1"/>
        </w:rPr>
        <w:t xml:space="preserve"> inverse association with </w:t>
      </w:r>
      <w:r w:rsidR="00753682" w:rsidRPr="00C41FDC">
        <w:rPr>
          <w:color w:val="000000" w:themeColor="text1"/>
        </w:rPr>
        <w:t xml:space="preserve">CT </w:t>
      </w:r>
      <w:r w:rsidR="006022DC" w:rsidRPr="00C41FDC">
        <w:rPr>
          <w:color w:val="000000" w:themeColor="text1"/>
        </w:rPr>
        <w:t xml:space="preserve">emphysema </w:t>
      </w:r>
      <w:r w:rsidR="00753682" w:rsidRPr="00C41FDC">
        <w:rPr>
          <w:color w:val="000000" w:themeColor="text1"/>
        </w:rPr>
        <w:t xml:space="preserve">percentage </w:t>
      </w:r>
      <w:r w:rsidR="006022DC" w:rsidRPr="00C41FDC">
        <w:rPr>
          <w:color w:val="000000" w:themeColor="text1"/>
        </w:rPr>
        <w:t xml:space="preserve">in </w:t>
      </w:r>
      <w:r w:rsidR="008F48C0" w:rsidRPr="00C41FDC">
        <w:rPr>
          <w:color w:val="000000" w:themeColor="text1"/>
        </w:rPr>
        <w:t>the validation</w:t>
      </w:r>
      <w:r w:rsidR="006022DC" w:rsidRPr="00C41FDC">
        <w:rPr>
          <w:color w:val="000000" w:themeColor="text1"/>
        </w:rPr>
        <w:t xml:space="preserve"> population (</w:t>
      </w:r>
      <w:r w:rsidR="008D24C9" w:rsidRPr="00C41FDC">
        <w:rPr>
          <w:color w:val="000000" w:themeColor="text1"/>
        </w:rPr>
        <w:t>Supplementary Table</w:t>
      </w:r>
      <w:r w:rsidR="006022DC" w:rsidRPr="00C41FDC">
        <w:rPr>
          <w:color w:val="000000" w:themeColor="text1"/>
        </w:rPr>
        <w:t xml:space="preserve"> </w:t>
      </w:r>
      <w:r w:rsidR="00D53784" w:rsidRPr="00C41FDC">
        <w:rPr>
          <w:color w:val="000000" w:themeColor="text1"/>
        </w:rPr>
        <w:t>3</w:t>
      </w:r>
      <w:r w:rsidR="00B24615" w:rsidRPr="00C41FDC">
        <w:rPr>
          <w:color w:val="000000" w:themeColor="text1"/>
        </w:rPr>
        <w:t>)</w:t>
      </w:r>
      <w:bookmarkEnd w:id="178"/>
      <w:bookmarkEnd w:id="179"/>
      <w:r w:rsidR="00B24615" w:rsidRPr="00C41FDC">
        <w:rPr>
          <w:color w:val="000000" w:themeColor="text1"/>
        </w:rPr>
        <w:t>.</w:t>
      </w:r>
      <w:r w:rsidR="009B456B" w:rsidRPr="00C41FDC">
        <w:rPr>
          <w:color w:val="000000" w:themeColor="text1"/>
        </w:rPr>
        <w:t xml:space="preserve"> </w:t>
      </w:r>
    </w:p>
    <w:p w14:paraId="1A05D37D" w14:textId="74C3006F" w:rsidR="00D372B5" w:rsidRPr="00C41FDC" w:rsidRDefault="00D372B5" w:rsidP="007B1066">
      <w:pPr>
        <w:pStyle w:val="indent"/>
        <w:spacing w:before="0" w:beforeAutospacing="0" w:after="0" w:afterAutospacing="0" w:line="480" w:lineRule="auto"/>
        <w:rPr>
          <w:color w:val="000000" w:themeColor="text1"/>
        </w:rPr>
      </w:pPr>
      <w:bookmarkStart w:id="180" w:name="OLE_LINK60"/>
      <w:bookmarkStart w:id="181" w:name="OLE_LINK61"/>
    </w:p>
    <w:p w14:paraId="1CEB80EC" w14:textId="389347A5" w:rsidR="00D372B5" w:rsidRPr="00C41FDC" w:rsidRDefault="00D372B5" w:rsidP="00796141">
      <w:pPr>
        <w:pStyle w:val="Heading4"/>
        <w:tabs>
          <w:tab w:val="left" w:pos="2093"/>
        </w:tabs>
        <w:spacing w:before="0" w:beforeAutospacing="0" w:after="0" w:afterAutospacing="0" w:line="480" w:lineRule="auto"/>
        <w:rPr>
          <w:color w:val="000000" w:themeColor="text1"/>
        </w:rPr>
      </w:pPr>
      <w:r w:rsidRPr="00C41FDC">
        <w:rPr>
          <w:rStyle w:val="titlemark"/>
          <w:rFonts w:eastAsia="Times New Roman"/>
          <w:color w:val="000000" w:themeColor="text1"/>
        </w:rPr>
        <w:t>Visually</w:t>
      </w:r>
      <w:r w:rsidR="00AE3579" w:rsidRPr="00C41FDC">
        <w:rPr>
          <w:rStyle w:val="titlemark"/>
          <w:rFonts w:eastAsia="Times New Roman"/>
          <w:color w:val="000000" w:themeColor="text1"/>
        </w:rPr>
        <w:t>-</w:t>
      </w:r>
      <w:r w:rsidRPr="00C41FDC">
        <w:rPr>
          <w:rStyle w:val="titlemark"/>
          <w:rFonts w:eastAsia="Times New Roman"/>
          <w:color w:val="000000" w:themeColor="text1"/>
        </w:rPr>
        <w:t xml:space="preserve">scored PPFE </w:t>
      </w:r>
      <w:r w:rsidR="005368CF" w:rsidRPr="00C41FDC">
        <w:rPr>
          <w:rStyle w:val="titlemark"/>
          <w:rFonts w:eastAsia="Times New Roman"/>
          <w:color w:val="000000" w:themeColor="text1"/>
        </w:rPr>
        <w:t xml:space="preserve">and </w:t>
      </w:r>
      <w:r w:rsidR="006022DC" w:rsidRPr="00C41FDC">
        <w:rPr>
          <w:rStyle w:val="titlemark"/>
          <w:rFonts w:eastAsia="Times New Roman"/>
          <w:color w:val="000000" w:themeColor="text1"/>
        </w:rPr>
        <w:t>FVC decline</w:t>
      </w:r>
      <w:r w:rsidR="005368CF" w:rsidRPr="00C41FDC">
        <w:rPr>
          <w:rStyle w:val="titlemark"/>
          <w:rFonts w:eastAsia="Times New Roman"/>
          <w:color w:val="000000" w:themeColor="text1"/>
        </w:rPr>
        <w:t xml:space="preserve"> </w:t>
      </w:r>
    </w:p>
    <w:p w14:paraId="740F0AEA" w14:textId="7D9C0B27" w:rsidR="00E96149" w:rsidRPr="00C41FDC" w:rsidRDefault="00160942" w:rsidP="007B1066">
      <w:pPr>
        <w:pStyle w:val="indent"/>
        <w:spacing w:before="0" w:beforeAutospacing="0" w:after="0" w:afterAutospacing="0" w:line="480" w:lineRule="auto"/>
        <w:rPr>
          <w:color w:val="000000" w:themeColor="text1"/>
        </w:rPr>
      </w:pPr>
      <w:r w:rsidRPr="00C41FDC">
        <w:rPr>
          <w:color w:val="000000" w:themeColor="text1"/>
        </w:rPr>
        <w:t>On univariable and multivariable analys</w:t>
      </w:r>
      <w:r w:rsidR="008A1DE1" w:rsidRPr="00C41FDC">
        <w:rPr>
          <w:color w:val="000000" w:themeColor="text1"/>
        </w:rPr>
        <w:t>i</w:t>
      </w:r>
      <w:r w:rsidRPr="00C41FDC">
        <w:rPr>
          <w:color w:val="000000" w:themeColor="text1"/>
        </w:rPr>
        <w:t>s</w:t>
      </w:r>
      <w:r w:rsidR="0014046E" w:rsidRPr="00C41FDC">
        <w:rPr>
          <w:color w:val="000000" w:themeColor="text1"/>
        </w:rPr>
        <w:t xml:space="preserve"> marked </w:t>
      </w:r>
      <w:r w:rsidR="00AE3579" w:rsidRPr="00C41FDC">
        <w:rPr>
          <w:color w:val="000000" w:themeColor="text1"/>
        </w:rPr>
        <w:t>v</w:t>
      </w:r>
      <w:r w:rsidR="0014046E" w:rsidRPr="00C41FDC">
        <w:rPr>
          <w:color w:val="000000" w:themeColor="text1"/>
        </w:rPr>
        <w:t>PPFE</w:t>
      </w:r>
      <w:r w:rsidR="00C9075C" w:rsidRPr="00C41FDC">
        <w:rPr>
          <w:color w:val="000000" w:themeColor="text1"/>
        </w:rPr>
        <w:t xml:space="preserve"> significantly associated with </w:t>
      </w:r>
      <w:r w:rsidR="00D8033B" w:rsidRPr="00C41FDC">
        <w:rPr>
          <w:color w:val="000000" w:themeColor="text1"/>
        </w:rPr>
        <w:t xml:space="preserve">LME-predicted </w:t>
      </w:r>
      <w:r w:rsidR="00E53EFB" w:rsidRPr="00C41FDC">
        <w:rPr>
          <w:color w:val="000000" w:themeColor="text1"/>
        </w:rPr>
        <w:t>1-year</w:t>
      </w:r>
      <w:r w:rsidR="00C9075C" w:rsidRPr="00C41FDC">
        <w:rPr>
          <w:color w:val="000000" w:themeColor="text1"/>
        </w:rPr>
        <w:t xml:space="preserve"> FVC decline </w:t>
      </w:r>
      <w:r w:rsidR="00941EA4" w:rsidRPr="00C41FDC">
        <w:rPr>
          <w:color w:val="000000" w:themeColor="text1"/>
        </w:rPr>
        <w:t xml:space="preserve">in </w:t>
      </w:r>
      <w:r w:rsidR="00005AF0" w:rsidRPr="00C41FDC">
        <w:rPr>
          <w:color w:val="000000" w:themeColor="text1"/>
        </w:rPr>
        <w:t xml:space="preserve">derivation </w:t>
      </w:r>
      <w:r w:rsidRPr="00C41FDC">
        <w:rPr>
          <w:color w:val="000000" w:themeColor="text1"/>
        </w:rPr>
        <w:t xml:space="preserve">and validation </w:t>
      </w:r>
      <w:r w:rsidR="0014046E" w:rsidRPr="00C41FDC">
        <w:rPr>
          <w:color w:val="000000" w:themeColor="text1"/>
        </w:rPr>
        <w:t>cohort</w:t>
      </w:r>
      <w:r w:rsidRPr="00C41FDC">
        <w:rPr>
          <w:color w:val="000000" w:themeColor="text1"/>
        </w:rPr>
        <w:t>s</w:t>
      </w:r>
      <w:r w:rsidR="00FF2F36" w:rsidRPr="00C41FDC">
        <w:rPr>
          <w:color w:val="000000" w:themeColor="text1"/>
        </w:rPr>
        <w:t xml:space="preserve"> (Table </w:t>
      </w:r>
      <w:r w:rsidR="00BE1108" w:rsidRPr="00C41FDC">
        <w:rPr>
          <w:color w:val="000000" w:themeColor="text1"/>
        </w:rPr>
        <w:t>3</w:t>
      </w:r>
      <w:r w:rsidR="00D728BF" w:rsidRPr="00C41FDC">
        <w:rPr>
          <w:color w:val="000000" w:themeColor="text1"/>
        </w:rPr>
        <w:t xml:space="preserve">, </w:t>
      </w:r>
      <w:r w:rsidR="008D24C9" w:rsidRPr="00C41FDC">
        <w:rPr>
          <w:color w:val="000000" w:themeColor="text1"/>
        </w:rPr>
        <w:t>Supplementary Table</w:t>
      </w:r>
      <w:r w:rsidR="00130814" w:rsidRPr="00C41FDC">
        <w:rPr>
          <w:color w:val="000000" w:themeColor="text1"/>
        </w:rPr>
        <w:t xml:space="preserve"> </w:t>
      </w:r>
      <w:r w:rsidR="009D6B0A" w:rsidRPr="00C41FDC">
        <w:rPr>
          <w:color w:val="000000" w:themeColor="text1"/>
        </w:rPr>
        <w:t>4-5</w:t>
      </w:r>
      <w:r w:rsidR="00FF2F36" w:rsidRPr="00C41FDC">
        <w:rPr>
          <w:color w:val="000000" w:themeColor="text1"/>
        </w:rPr>
        <w:t>)</w:t>
      </w:r>
      <w:r w:rsidR="001E1E51" w:rsidRPr="00C41FDC">
        <w:rPr>
          <w:color w:val="000000" w:themeColor="text1"/>
        </w:rPr>
        <w:t>.</w:t>
      </w:r>
      <w:r w:rsidR="001309E0" w:rsidRPr="00C41FDC">
        <w:rPr>
          <w:color w:val="000000" w:themeColor="text1"/>
        </w:rPr>
        <w:t xml:space="preserve"> </w:t>
      </w:r>
      <w:bookmarkStart w:id="182" w:name="OLE_LINK199"/>
      <w:bookmarkStart w:id="183" w:name="OLE_LINK212"/>
      <w:bookmarkStart w:id="184" w:name="OLE_LINK213"/>
      <w:bookmarkStart w:id="185" w:name="OLE_LINK214"/>
      <w:r w:rsidR="00DE585E" w:rsidRPr="00C41FDC">
        <w:rPr>
          <w:color w:val="000000" w:themeColor="text1"/>
        </w:rPr>
        <w:t xml:space="preserve">Results were maintained in both cohorts when adjusting for emphysema percentage and ILD percentage as distinct variables </w:t>
      </w:r>
      <w:r w:rsidR="00280648" w:rsidRPr="00C41FDC">
        <w:rPr>
          <w:color w:val="000000" w:themeColor="text1"/>
        </w:rPr>
        <w:t xml:space="preserve">in models </w:t>
      </w:r>
      <w:r w:rsidR="00DE585E" w:rsidRPr="00C41FDC">
        <w:rPr>
          <w:color w:val="000000" w:themeColor="text1"/>
        </w:rPr>
        <w:t>(results not shown).</w:t>
      </w:r>
      <w:bookmarkEnd w:id="182"/>
      <w:bookmarkEnd w:id="183"/>
      <w:r w:rsidR="00DE585E" w:rsidRPr="00C41FDC">
        <w:rPr>
          <w:color w:val="000000" w:themeColor="text1"/>
        </w:rPr>
        <w:t xml:space="preserve"> </w:t>
      </w:r>
      <w:bookmarkEnd w:id="184"/>
      <w:bookmarkEnd w:id="185"/>
      <w:r w:rsidRPr="00C41FDC">
        <w:rPr>
          <w:color w:val="000000" w:themeColor="text1"/>
        </w:rPr>
        <w:t>D</w:t>
      </w:r>
      <w:r w:rsidR="007730BA" w:rsidRPr="00C41FDC">
        <w:rPr>
          <w:color w:val="000000" w:themeColor="text1"/>
        </w:rPr>
        <w:t>L</w:t>
      </w:r>
      <w:r w:rsidRPr="00C41FDC">
        <w:rPr>
          <w:color w:val="000000" w:themeColor="text1"/>
        </w:rPr>
        <w:t>co</w:t>
      </w:r>
      <w:r w:rsidR="00DA085D" w:rsidRPr="00C41FDC">
        <w:rPr>
          <w:color w:val="000000" w:themeColor="text1"/>
        </w:rPr>
        <w:t>, ILD percentage,</w:t>
      </w:r>
      <w:r w:rsidRPr="00C41FDC">
        <w:rPr>
          <w:color w:val="000000" w:themeColor="text1"/>
        </w:rPr>
        <w:t xml:space="preserve"> and summed </w:t>
      </w:r>
      <w:r w:rsidR="000834D1" w:rsidRPr="00C41FDC">
        <w:rPr>
          <w:color w:val="000000" w:themeColor="text1"/>
        </w:rPr>
        <w:t xml:space="preserve">ILD and emphysema </w:t>
      </w:r>
      <w:r w:rsidR="009B0882" w:rsidRPr="00C41FDC">
        <w:rPr>
          <w:color w:val="000000" w:themeColor="text1"/>
        </w:rPr>
        <w:t xml:space="preserve">percentage </w:t>
      </w:r>
      <w:r w:rsidRPr="00C41FDC">
        <w:rPr>
          <w:color w:val="000000" w:themeColor="text1"/>
        </w:rPr>
        <w:t xml:space="preserve">were </w:t>
      </w:r>
      <w:r w:rsidR="000834D1" w:rsidRPr="00C41FDC">
        <w:rPr>
          <w:color w:val="000000" w:themeColor="text1"/>
        </w:rPr>
        <w:t xml:space="preserve">not significantly associated with </w:t>
      </w:r>
      <w:r w:rsidR="001E2035" w:rsidRPr="00C41FDC">
        <w:rPr>
          <w:color w:val="000000" w:themeColor="text1"/>
        </w:rPr>
        <w:t xml:space="preserve">LME-predicted </w:t>
      </w:r>
      <w:r w:rsidR="00E53EFB" w:rsidRPr="00C41FDC">
        <w:rPr>
          <w:color w:val="000000" w:themeColor="text1"/>
        </w:rPr>
        <w:t>1-year</w:t>
      </w:r>
      <w:r w:rsidR="000834D1" w:rsidRPr="00C41FDC">
        <w:rPr>
          <w:color w:val="000000" w:themeColor="text1"/>
        </w:rPr>
        <w:t xml:space="preserve"> FVC decline</w:t>
      </w:r>
      <w:r w:rsidR="00932639" w:rsidRPr="00C41FDC">
        <w:rPr>
          <w:color w:val="000000" w:themeColor="text1"/>
        </w:rPr>
        <w:t>,</w:t>
      </w:r>
      <w:r w:rsidR="000834D1" w:rsidRPr="00C41FDC">
        <w:rPr>
          <w:color w:val="000000" w:themeColor="text1"/>
        </w:rPr>
        <w:t xml:space="preserve"> </w:t>
      </w:r>
      <w:r w:rsidR="00932639" w:rsidRPr="00C41FDC">
        <w:rPr>
          <w:color w:val="000000" w:themeColor="text1"/>
        </w:rPr>
        <w:t>across</w:t>
      </w:r>
      <w:r w:rsidR="00D93131" w:rsidRPr="00C41FDC">
        <w:rPr>
          <w:color w:val="000000" w:themeColor="text1"/>
        </w:rPr>
        <w:t xml:space="preserve"> </w:t>
      </w:r>
      <w:r w:rsidR="00790663" w:rsidRPr="00C41FDC">
        <w:rPr>
          <w:color w:val="000000" w:themeColor="text1"/>
        </w:rPr>
        <w:t xml:space="preserve">both </w:t>
      </w:r>
      <w:r w:rsidR="00932639" w:rsidRPr="00C41FDC">
        <w:rPr>
          <w:color w:val="000000" w:themeColor="text1"/>
        </w:rPr>
        <w:t xml:space="preserve">study populations, </w:t>
      </w:r>
      <w:r w:rsidRPr="00C41FDC">
        <w:rPr>
          <w:color w:val="000000" w:themeColor="text1"/>
        </w:rPr>
        <w:t xml:space="preserve">when examined in </w:t>
      </w:r>
      <w:r w:rsidR="000834D1" w:rsidRPr="00C41FDC">
        <w:rPr>
          <w:color w:val="000000" w:themeColor="text1"/>
        </w:rPr>
        <w:t>multivariable models</w:t>
      </w:r>
      <w:r w:rsidRPr="00C41FDC">
        <w:rPr>
          <w:color w:val="000000" w:themeColor="text1"/>
        </w:rPr>
        <w:t xml:space="preserve"> without </w:t>
      </w:r>
      <w:r w:rsidR="00D728BF" w:rsidRPr="00C41FDC">
        <w:rPr>
          <w:color w:val="000000" w:themeColor="text1"/>
        </w:rPr>
        <w:t>v</w:t>
      </w:r>
      <w:r w:rsidRPr="00C41FDC">
        <w:rPr>
          <w:color w:val="000000" w:themeColor="text1"/>
        </w:rPr>
        <w:t>PPFE scores</w:t>
      </w:r>
      <w:r w:rsidR="000834D1" w:rsidRPr="00C41FDC">
        <w:rPr>
          <w:color w:val="000000" w:themeColor="text1"/>
        </w:rPr>
        <w:t xml:space="preserve"> (</w:t>
      </w:r>
      <w:r w:rsidR="001B2E38" w:rsidRPr="00C41FDC">
        <w:rPr>
          <w:color w:val="000000" w:themeColor="text1"/>
        </w:rPr>
        <w:t xml:space="preserve">Table </w:t>
      </w:r>
      <w:r w:rsidR="00BE1108" w:rsidRPr="00C41FDC">
        <w:rPr>
          <w:color w:val="000000" w:themeColor="text1"/>
        </w:rPr>
        <w:t>3</w:t>
      </w:r>
      <w:r w:rsidR="00D728BF" w:rsidRPr="00C41FDC">
        <w:rPr>
          <w:color w:val="000000" w:themeColor="text1"/>
        </w:rPr>
        <w:t>,</w:t>
      </w:r>
      <w:r w:rsidR="001B2E38" w:rsidRPr="00C41FDC">
        <w:rPr>
          <w:color w:val="000000" w:themeColor="text1"/>
        </w:rPr>
        <w:t xml:space="preserve"> </w:t>
      </w:r>
      <w:r w:rsidR="008D24C9" w:rsidRPr="00C41FDC">
        <w:rPr>
          <w:color w:val="000000" w:themeColor="text1"/>
        </w:rPr>
        <w:t>Supplementary Table</w:t>
      </w:r>
      <w:r w:rsidR="000834D1" w:rsidRPr="00C41FDC">
        <w:rPr>
          <w:color w:val="000000" w:themeColor="text1"/>
        </w:rPr>
        <w:t xml:space="preserve"> </w:t>
      </w:r>
      <w:r w:rsidR="009D6B0A" w:rsidRPr="00C41FDC">
        <w:rPr>
          <w:color w:val="000000" w:themeColor="text1"/>
        </w:rPr>
        <w:t>5</w:t>
      </w:r>
      <w:r w:rsidR="000834D1" w:rsidRPr="00C41FDC">
        <w:rPr>
          <w:color w:val="000000" w:themeColor="text1"/>
        </w:rPr>
        <w:t>).</w:t>
      </w:r>
      <w:r w:rsidR="009B456B" w:rsidRPr="00C41FDC">
        <w:rPr>
          <w:color w:val="000000" w:themeColor="text1"/>
        </w:rPr>
        <w:t xml:space="preserve"> </w:t>
      </w:r>
    </w:p>
    <w:p w14:paraId="4E71B8BE" w14:textId="77777777" w:rsidR="00252C17" w:rsidRPr="00C41FDC" w:rsidRDefault="00252C17" w:rsidP="00235AF9">
      <w:pPr>
        <w:spacing w:line="480" w:lineRule="auto"/>
        <w:rPr>
          <w:b/>
          <w:bCs/>
          <w:color w:val="000000" w:themeColor="text1"/>
        </w:rPr>
      </w:pPr>
      <w:bookmarkStart w:id="186" w:name="OLE_LINK27"/>
      <w:bookmarkStart w:id="187" w:name="OLE_LINK28"/>
      <w:bookmarkStart w:id="188" w:name="OLE_LINK84"/>
      <w:bookmarkStart w:id="189" w:name="OLE_LINK82"/>
      <w:bookmarkStart w:id="190" w:name="OLE_LINK83"/>
      <w:bookmarkEnd w:id="180"/>
      <w:bookmarkEnd w:id="181"/>
    </w:p>
    <w:p w14:paraId="02EBF932" w14:textId="3C92747C" w:rsidR="00EE663E" w:rsidRPr="00C41FDC" w:rsidRDefault="001B42E7" w:rsidP="00235AF9">
      <w:pPr>
        <w:spacing w:line="480" w:lineRule="auto"/>
        <w:rPr>
          <w:rStyle w:val="titlemark"/>
          <w:rFonts w:eastAsia="Times New Roman"/>
          <w:b/>
          <w:color w:val="000000" w:themeColor="text1"/>
        </w:rPr>
      </w:pPr>
      <w:r w:rsidRPr="00C41FDC">
        <w:rPr>
          <w:b/>
          <w:bCs/>
          <w:color w:val="000000" w:themeColor="text1"/>
        </w:rPr>
        <w:t xml:space="preserve">Visual </w:t>
      </w:r>
      <w:bookmarkStart w:id="191" w:name="OLE_LINK31"/>
      <w:bookmarkStart w:id="192" w:name="OLE_LINK32"/>
      <w:bookmarkEnd w:id="186"/>
      <w:bookmarkEnd w:id="187"/>
      <w:bookmarkEnd w:id="188"/>
      <w:bookmarkEnd w:id="189"/>
      <w:bookmarkEnd w:id="190"/>
      <w:r w:rsidRPr="00C41FDC">
        <w:rPr>
          <w:b/>
          <w:bCs/>
          <w:color w:val="000000" w:themeColor="text1"/>
        </w:rPr>
        <w:t xml:space="preserve">PPFE scores </w:t>
      </w:r>
      <w:r w:rsidR="00484314" w:rsidRPr="00C41FDC">
        <w:rPr>
          <w:b/>
          <w:bCs/>
          <w:color w:val="000000" w:themeColor="text1"/>
        </w:rPr>
        <w:t>associations with mortality</w:t>
      </w:r>
    </w:p>
    <w:p w14:paraId="3D337968" w14:textId="708FB3D0" w:rsidR="00DA7E54" w:rsidRPr="00C41FDC" w:rsidRDefault="00DA7E54" w:rsidP="00DA7E54">
      <w:pPr>
        <w:spacing w:line="480" w:lineRule="auto"/>
        <w:rPr>
          <w:color w:val="000000" w:themeColor="text1"/>
        </w:rPr>
      </w:pPr>
      <w:bookmarkStart w:id="193" w:name="OLE_LINK58"/>
      <w:bookmarkStart w:id="194" w:name="OLE_LINK59"/>
      <w:bookmarkStart w:id="195" w:name="OLE_LINK37"/>
      <w:bookmarkStart w:id="196" w:name="OLE_LINK38"/>
      <w:r w:rsidRPr="00C41FDC">
        <w:rPr>
          <w:color w:val="000000" w:themeColor="text1"/>
        </w:rPr>
        <w:t xml:space="preserve">In univariable Cox regression models, </w:t>
      </w:r>
      <w:r w:rsidR="00816954" w:rsidRPr="00C41FDC">
        <w:rPr>
          <w:color w:val="000000" w:themeColor="text1"/>
        </w:rPr>
        <w:t xml:space="preserve">across both study populations, </w:t>
      </w:r>
      <w:bookmarkStart w:id="197" w:name="OLE_LINK150"/>
      <w:bookmarkStart w:id="198" w:name="OLE_LINK151"/>
      <w:r w:rsidR="00493847" w:rsidRPr="00C41FDC">
        <w:rPr>
          <w:color w:val="000000" w:themeColor="text1"/>
        </w:rPr>
        <w:t>covariates significantly associated with mortality</w:t>
      </w:r>
      <w:r w:rsidR="001B42E7" w:rsidRPr="00C41FDC">
        <w:rPr>
          <w:color w:val="000000" w:themeColor="text1"/>
        </w:rPr>
        <w:t xml:space="preserve"> included</w:t>
      </w:r>
      <w:bookmarkEnd w:id="197"/>
      <w:bookmarkEnd w:id="198"/>
      <w:r w:rsidR="001B42E7" w:rsidRPr="00C41FDC">
        <w:rPr>
          <w:color w:val="000000" w:themeColor="text1"/>
        </w:rPr>
        <w:t xml:space="preserve">: </w:t>
      </w:r>
      <w:r w:rsidRPr="00C41FDC">
        <w:rPr>
          <w:color w:val="000000" w:themeColor="text1"/>
        </w:rPr>
        <w:t>D</w:t>
      </w:r>
      <w:r w:rsidR="007730BA" w:rsidRPr="00C41FDC">
        <w:rPr>
          <w:color w:val="000000" w:themeColor="text1"/>
        </w:rPr>
        <w:t>L</w:t>
      </w:r>
      <w:r w:rsidRPr="00C41FDC">
        <w:rPr>
          <w:color w:val="000000" w:themeColor="text1"/>
        </w:rPr>
        <w:t>co</w:t>
      </w:r>
      <w:r w:rsidR="00816954" w:rsidRPr="00C41FDC">
        <w:rPr>
          <w:color w:val="000000" w:themeColor="text1"/>
        </w:rPr>
        <w:t xml:space="preserve">, </w:t>
      </w:r>
      <w:r w:rsidR="00D728BF" w:rsidRPr="00C41FDC">
        <w:rPr>
          <w:color w:val="000000" w:themeColor="text1"/>
        </w:rPr>
        <w:t xml:space="preserve">summed </w:t>
      </w:r>
      <w:r w:rsidRPr="00C41FDC">
        <w:rPr>
          <w:color w:val="000000" w:themeColor="text1"/>
        </w:rPr>
        <w:t xml:space="preserve">ILD and emphysema </w:t>
      </w:r>
      <w:r w:rsidR="009B0882" w:rsidRPr="00C41FDC">
        <w:rPr>
          <w:color w:val="000000" w:themeColor="text1"/>
        </w:rPr>
        <w:t>percentage</w:t>
      </w:r>
      <w:r w:rsidR="00816954" w:rsidRPr="00C41FDC">
        <w:rPr>
          <w:color w:val="000000" w:themeColor="text1"/>
        </w:rPr>
        <w:t>,</w:t>
      </w:r>
      <w:r w:rsidRPr="00C41FDC">
        <w:rPr>
          <w:color w:val="000000" w:themeColor="text1"/>
        </w:rPr>
        <w:t xml:space="preserve"> </w:t>
      </w:r>
      <w:r w:rsidR="00B460E8" w:rsidRPr="00C41FDC">
        <w:rPr>
          <w:color w:val="000000" w:themeColor="text1"/>
        </w:rPr>
        <w:t>v</w:t>
      </w:r>
      <w:r w:rsidRPr="00C41FDC">
        <w:rPr>
          <w:color w:val="000000" w:themeColor="text1"/>
        </w:rPr>
        <w:t>PPFE</w:t>
      </w:r>
      <w:r w:rsidR="00B460E8" w:rsidRPr="00C41FDC">
        <w:rPr>
          <w:color w:val="000000" w:themeColor="text1"/>
        </w:rPr>
        <w:t>-</w:t>
      </w:r>
      <w:r w:rsidRPr="00C41FDC">
        <w:rPr>
          <w:color w:val="000000" w:themeColor="text1"/>
        </w:rPr>
        <w:t>presence</w:t>
      </w:r>
      <w:r w:rsidR="00816954" w:rsidRPr="00C41FDC">
        <w:rPr>
          <w:color w:val="000000" w:themeColor="text1"/>
        </w:rPr>
        <w:t xml:space="preserve"> and</w:t>
      </w:r>
      <w:r w:rsidRPr="00C41FDC">
        <w:rPr>
          <w:color w:val="000000" w:themeColor="text1"/>
        </w:rPr>
        <w:t xml:space="preserve"> marked </w:t>
      </w:r>
      <w:r w:rsidR="00D728BF" w:rsidRPr="00C41FDC">
        <w:rPr>
          <w:color w:val="000000" w:themeColor="text1"/>
        </w:rPr>
        <w:t>v</w:t>
      </w:r>
      <w:r w:rsidRPr="00C41FDC">
        <w:rPr>
          <w:color w:val="000000" w:themeColor="text1"/>
        </w:rPr>
        <w:t>PPFE (</w:t>
      </w:r>
      <w:r w:rsidR="008D24C9" w:rsidRPr="00C41FDC">
        <w:rPr>
          <w:color w:val="000000" w:themeColor="text1"/>
        </w:rPr>
        <w:t>Supplementary Table</w:t>
      </w:r>
      <w:r w:rsidRPr="00C41FDC">
        <w:rPr>
          <w:color w:val="000000" w:themeColor="text1"/>
        </w:rPr>
        <w:t xml:space="preserve"> </w:t>
      </w:r>
      <w:r w:rsidR="009D6B0A" w:rsidRPr="00C41FDC">
        <w:rPr>
          <w:color w:val="000000" w:themeColor="text1"/>
        </w:rPr>
        <w:t>6</w:t>
      </w:r>
      <w:r w:rsidRPr="00C41FDC">
        <w:rPr>
          <w:color w:val="000000" w:themeColor="text1"/>
        </w:rPr>
        <w:t>).</w:t>
      </w:r>
      <w:r w:rsidR="00B168F5" w:rsidRPr="00C41FDC">
        <w:rPr>
          <w:color w:val="000000" w:themeColor="text1"/>
        </w:rPr>
        <w:t xml:space="preserve"> </w:t>
      </w:r>
      <w:r w:rsidR="00D728BF" w:rsidRPr="00C41FDC">
        <w:rPr>
          <w:color w:val="000000" w:themeColor="text1"/>
        </w:rPr>
        <w:t>v</w:t>
      </w:r>
      <w:r w:rsidR="00B168F5" w:rsidRPr="00C41FDC">
        <w:rPr>
          <w:color w:val="000000" w:themeColor="text1"/>
        </w:rPr>
        <w:t xml:space="preserve">PPFE scores showed good prognostic separation of risk groups </w:t>
      </w:r>
      <w:r w:rsidR="002357F9" w:rsidRPr="00C41FDC">
        <w:rPr>
          <w:color w:val="000000" w:themeColor="text1"/>
        </w:rPr>
        <w:t xml:space="preserve">in the derivation cohort and the combined IPF cohort </w:t>
      </w:r>
      <w:r w:rsidR="00B168F5" w:rsidRPr="00C41FDC">
        <w:rPr>
          <w:color w:val="000000" w:themeColor="text1"/>
        </w:rPr>
        <w:t xml:space="preserve">(Figure </w:t>
      </w:r>
      <w:r w:rsidR="007F32D5" w:rsidRPr="00C41FDC">
        <w:rPr>
          <w:color w:val="000000" w:themeColor="text1"/>
        </w:rPr>
        <w:t>4</w:t>
      </w:r>
      <w:r w:rsidR="00EB2A03" w:rsidRPr="00C41FDC">
        <w:rPr>
          <w:color w:val="000000" w:themeColor="text1"/>
        </w:rPr>
        <w:t xml:space="preserve">, </w:t>
      </w:r>
      <w:r w:rsidR="008D24C9" w:rsidRPr="00C41FDC">
        <w:rPr>
          <w:color w:val="000000" w:themeColor="text1"/>
        </w:rPr>
        <w:t>Supplementary Figure</w:t>
      </w:r>
      <w:r w:rsidR="00D66D8A" w:rsidRPr="00C41FDC">
        <w:rPr>
          <w:color w:val="000000" w:themeColor="text1"/>
        </w:rPr>
        <w:t xml:space="preserve"> </w:t>
      </w:r>
      <w:r w:rsidR="007F32D5" w:rsidRPr="00C41FDC">
        <w:rPr>
          <w:color w:val="000000" w:themeColor="text1"/>
        </w:rPr>
        <w:t>1</w:t>
      </w:r>
      <w:r w:rsidR="00B168F5" w:rsidRPr="00C41FDC">
        <w:rPr>
          <w:color w:val="000000" w:themeColor="text1"/>
        </w:rPr>
        <w:t>).</w:t>
      </w:r>
    </w:p>
    <w:p w14:paraId="4D2E56EC" w14:textId="77777777" w:rsidR="001B42E7" w:rsidRPr="00C41FDC" w:rsidRDefault="001B42E7" w:rsidP="00DA7E54">
      <w:pPr>
        <w:spacing w:line="480" w:lineRule="auto"/>
        <w:rPr>
          <w:color w:val="000000" w:themeColor="text1"/>
        </w:rPr>
      </w:pPr>
    </w:p>
    <w:bookmarkEnd w:id="193"/>
    <w:bookmarkEnd w:id="194"/>
    <w:bookmarkEnd w:id="195"/>
    <w:bookmarkEnd w:id="196"/>
    <w:p w14:paraId="6A21BA92" w14:textId="31035811" w:rsidR="001B42E7" w:rsidRPr="00C41FDC" w:rsidRDefault="001B42E7" w:rsidP="001B42E7">
      <w:pPr>
        <w:spacing w:line="480" w:lineRule="auto"/>
        <w:rPr>
          <w:color w:val="000000" w:themeColor="text1"/>
        </w:rPr>
      </w:pPr>
      <w:r w:rsidRPr="00C41FDC">
        <w:rPr>
          <w:color w:val="000000" w:themeColor="text1"/>
        </w:rPr>
        <w:t>In multivariable Cox regression models</w:t>
      </w:r>
      <w:r w:rsidR="002B33DD" w:rsidRPr="00C41FDC">
        <w:rPr>
          <w:color w:val="000000" w:themeColor="text1"/>
        </w:rPr>
        <w:t>,</w:t>
      </w:r>
      <w:r w:rsidRPr="00C41FDC">
        <w:rPr>
          <w:color w:val="000000" w:themeColor="text1"/>
        </w:rPr>
        <w:t xml:space="preserve"> </w:t>
      </w:r>
      <w:r w:rsidR="00B460E8" w:rsidRPr="00C41FDC">
        <w:rPr>
          <w:color w:val="000000" w:themeColor="text1"/>
        </w:rPr>
        <w:t>v</w:t>
      </w:r>
      <w:r w:rsidRPr="00C41FDC">
        <w:rPr>
          <w:color w:val="000000" w:themeColor="text1"/>
        </w:rPr>
        <w:t>PPFE</w:t>
      </w:r>
      <w:r w:rsidR="00B460E8" w:rsidRPr="00C41FDC">
        <w:rPr>
          <w:color w:val="000000" w:themeColor="text1"/>
        </w:rPr>
        <w:t>-</w:t>
      </w:r>
      <w:r w:rsidRPr="00C41FDC">
        <w:rPr>
          <w:color w:val="000000" w:themeColor="text1"/>
        </w:rPr>
        <w:t xml:space="preserve">presence </w:t>
      </w:r>
      <w:r w:rsidR="00493847" w:rsidRPr="00C41FDC">
        <w:rPr>
          <w:color w:val="000000" w:themeColor="text1"/>
        </w:rPr>
        <w:t xml:space="preserve">was </w:t>
      </w:r>
      <w:r w:rsidRPr="00C41FDC">
        <w:rPr>
          <w:color w:val="000000" w:themeColor="text1"/>
        </w:rPr>
        <w:t xml:space="preserve">significantly </w:t>
      </w:r>
      <w:r w:rsidR="00493847" w:rsidRPr="00C41FDC">
        <w:rPr>
          <w:color w:val="000000" w:themeColor="text1"/>
        </w:rPr>
        <w:t xml:space="preserve">associated with </w:t>
      </w:r>
      <w:r w:rsidRPr="00C41FDC">
        <w:rPr>
          <w:color w:val="000000" w:themeColor="text1"/>
        </w:rPr>
        <w:t xml:space="preserve">mortality in </w:t>
      </w:r>
      <w:r w:rsidR="00005AF0" w:rsidRPr="00C41FDC">
        <w:rPr>
          <w:color w:val="000000" w:themeColor="text1"/>
        </w:rPr>
        <w:t xml:space="preserve">derivation </w:t>
      </w:r>
      <w:r w:rsidRPr="00C41FDC">
        <w:rPr>
          <w:color w:val="000000" w:themeColor="text1"/>
        </w:rPr>
        <w:t>(</w:t>
      </w:r>
      <w:r w:rsidR="002357F9" w:rsidRPr="00C41FDC">
        <w:rPr>
          <w:color w:val="000000" w:themeColor="text1"/>
        </w:rPr>
        <w:t>hazard ratio [</w:t>
      </w:r>
      <w:r w:rsidRPr="00C41FDC">
        <w:rPr>
          <w:color w:val="000000" w:themeColor="text1"/>
        </w:rPr>
        <w:t>HR</w:t>
      </w:r>
      <w:r w:rsidR="002357F9" w:rsidRPr="00C41FDC">
        <w:rPr>
          <w:color w:val="000000" w:themeColor="text1"/>
        </w:rPr>
        <w:t>]</w:t>
      </w:r>
      <w:r w:rsidRPr="00C41FDC">
        <w:rPr>
          <w:color w:val="000000" w:themeColor="text1"/>
        </w:rPr>
        <w:t>=</w:t>
      </w:r>
      <w:r w:rsidR="001E455A" w:rsidRPr="00C41FDC">
        <w:rPr>
          <w:color w:val="000000" w:themeColor="text1"/>
        </w:rPr>
        <w:t>2·</w:t>
      </w:r>
      <w:r w:rsidR="002357F9" w:rsidRPr="00C41FDC">
        <w:rPr>
          <w:color w:val="000000" w:themeColor="text1"/>
        </w:rPr>
        <w:t>82</w:t>
      </w:r>
      <w:r w:rsidRPr="00C41FDC">
        <w:rPr>
          <w:color w:val="000000" w:themeColor="text1"/>
        </w:rPr>
        <w:t>, 95%</w:t>
      </w:r>
      <w:r w:rsidR="002357F9" w:rsidRPr="00C41FDC">
        <w:rPr>
          <w:color w:val="000000" w:themeColor="text1"/>
        </w:rPr>
        <w:t xml:space="preserve"> </w:t>
      </w:r>
      <w:r w:rsidRPr="00C41FDC">
        <w:rPr>
          <w:color w:val="000000" w:themeColor="text1"/>
        </w:rPr>
        <w:t>CI</w:t>
      </w:r>
      <w:r w:rsidR="00816954" w:rsidRPr="00C41FDC">
        <w:rPr>
          <w:color w:val="000000" w:themeColor="text1"/>
        </w:rPr>
        <w:t xml:space="preserve"> </w:t>
      </w:r>
      <w:r w:rsidR="001E455A" w:rsidRPr="00C41FDC">
        <w:rPr>
          <w:color w:val="000000" w:themeColor="text1"/>
        </w:rPr>
        <w:t>1·</w:t>
      </w:r>
      <w:r w:rsidR="002357F9" w:rsidRPr="00C41FDC">
        <w:rPr>
          <w:color w:val="000000" w:themeColor="text1"/>
        </w:rPr>
        <w:t>69</w:t>
      </w:r>
      <w:r w:rsidRPr="00C41FDC">
        <w:rPr>
          <w:color w:val="000000" w:themeColor="text1"/>
        </w:rPr>
        <w:t>–</w:t>
      </w:r>
      <w:r w:rsidR="001E455A" w:rsidRPr="00C41FDC">
        <w:rPr>
          <w:color w:val="000000" w:themeColor="text1"/>
        </w:rPr>
        <w:t>4·</w:t>
      </w:r>
      <w:r w:rsidR="002357F9" w:rsidRPr="00C41FDC">
        <w:rPr>
          <w:color w:val="000000" w:themeColor="text1"/>
        </w:rPr>
        <w:t>71</w:t>
      </w:r>
      <w:r w:rsidRPr="00C41FDC">
        <w:rPr>
          <w:color w:val="000000" w:themeColor="text1"/>
        </w:rPr>
        <w:t>, p&lt;</w:t>
      </w:r>
      <w:r w:rsidR="001E455A" w:rsidRPr="00C41FDC">
        <w:rPr>
          <w:color w:val="000000" w:themeColor="text1"/>
        </w:rPr>
        <w:t>0·</w:t>
      </w:r>
      <w:r w:rsidRPr="00C41FDC">
        <w:rPr>
          <w:color w:val="000000" w:themeColor="text1"/>
        </w:rPr>
        <w:t>0001) and validation (HR=</w:t>
      </w:r>
      <w:r w:rsidR="001E455A" w:rsidRPr="00C41FDC">
        <w:rPr>
          <w:color w:val="000000" w:themeColor="text1"/>
        </w:rPr>
        <w:t>1·</w:t>
      </w:r>
      <w:r w:rsidR="00816954" w:rsidRPr="00C41FDC">
        <w:rPr>
          <w:color w:val="000000" w:themeColor="text1"/>
        </w:rPr>
        <w:t>98</w:t>
      </w:r>
      <w:r w:rsidRPr="00C41FDC">
        <w:rPr>
          <w:color w:val="000000" w:themeColor="text1"/>
        </w:rPr>
        <w:t>, 95%</w:t>
      </w:r>
      <w:r w:rsidR="002357F9" w:rsidRPr="00C41FDC">
        <w:rPr>
          <w:color w:val="000000" w:themeColor="text1"/>
        </w:rPr>
        <w:t xml:space="preserve"> </w:t>
      </w:r>
      <w:r w:rsidRPr="00C41FDC">
        <w:rPr>
          <w:color w:val="000000" w:themeColor="text1"/>
        </w:rPr>
        <w:t xml:space="preserve">CI </w:t>
      </w:r>
      <w:r w:rsidR="001E455A" w:rsidRPr="00C41FDC">
        <w:rPr>
          <w:color w:val="000000" w:themeColor="text1"/>
        </w:rPr>
        <w:t>1·</w:t>
      </w:r>
      <w:r w:rsidR="00816954" w:rsidRPr="00C41FDC">
        <w:rPr>
          <w:color w:val="000000" w:themeColor="text1"/>
        </w:rPr>
        <w:t>08</w:t>
      </w:r>
      <w:r w:rsidRPr="00C41FDC">
        <w:rPr>
          <w:color w:val="000000" w:themeColor="text1"/>
        </w:rPr>
        <w:t>–</w:t>
      </w:r>
      <w:r w:rsidR="001E455A" w:rsidRPr="00C41FDC">
        <w:rPr>
          <w:color w:val="000000" w:themeColor="text1"/>
        </w:rPr>
        <w:t>3</w:t>
      </w:r>
      <w:bookmarkStart w:id="199" w:name="OLE_LINK146"/>
      <w:bookmarkStart w:id="200" w:name="OLE_LINK147"/>
      <w:r w:rsidR="001E455A" w:rsidRPr="00C41FDC">
        <w:rPr>
          <w:color w:val="000000" w:themeColor="text1"/>
        </w:rPr>
        <w:t>·</w:t>
      </w:r>
      <w:bookmarkEnd w:id="199"/>
      <w:bookmarkEnd w:id="200"/>
      <w:r w:rsidRPr="00C41FDC">
        <w:rPr>
          <w:color w:val="000000" w:themeColor="text1"/>
        </w:rPr>
        <w:t>6</w:t>
      </w:r>
      <w:r w:rsidR="00816954" w:rsidRPr="00C41FDC">
        <w:rPr>
          <w:color w:val="000000" w:themeColor="text1"/>
        </w:rPr>
        <w:t>1</w:t>
      </w:r>
      <w:r w:rsidRPr="00C41FDC">
        <w:rPr>
          <w:color w:val="000000" w:themeColor="text1"/>
        </w:rPr>
        <w:t>, p=</w:t>
      </w:r>
      <w:r w:rsidR="001E455A" w:rsidRPr="00C41FDC">
        <w:rPr>
          <w:color w:val="000000" w:themeColor="text1"/>
        </w:rPr>
        <w:t>0·</w:t>
      </w:r>
      <w:r w:rsidRPr="00C41FDC">
        <w:rPr>
          <w:color w:val="000000" w:themeColor="text1"/>
        </w:rPr>
        <w:t>0</w:t>
      </w:r>
      <w:r w:rsidR="00816954" w:rsidRPr="00C41FDC">
        <w:rPr>
          <w:color w:val="000000" w:themeColor="text1"/>
        </w:rPr>
        <w:t>3</w:t>
      </w:r>
      <w:r w:rsidRPr="00C41FDC">
        <w:rPr>
          <w:color w:val="000000" w:themeColor="text1"/>
        </w:rPr>
        <w:t xml:space="preserve">) cohorts </w:t>
      </w:r>
      <w:r w:rsidR="002E1CC9" w:rsidRPr="00C41FDC">
        <w:rPr>
          <w:color w:val="000000" w:themeColor="text1"/>
        </w:rPr>
        <w:t>(</w:t>
      </w:r>
      <w:r w:rsidR="008D24C9" w:rsidRPr="00C41FDC">
        <w:rPr>
          <w:color w:val="000000" w:themeColor="text1"/>
        </w:rPr>
        <w:t>Supplementary Table</w:t>
      </w:r>
      <w:r w:rsidRPr="00C41FDC">
        <w:rPr>
          <w:color w:val="000000" w:themeColor="text1"/>
        </w:rPr>
        <w:t xml:space="preserve"> </w:t>
      </w:r>
      <w:r w:rsidR="009D6B0A" w:rsidRPr="00C41FDC">
        <w:rPr>
          <w:color w:val="000000" w:themeColor="text1"/>
        </w:rPr>
        <w:t>7</w:t>
      </w:r>
      <w:r w:rsidR="002E1CC9" w:rsidRPr="00C41FDC">
        <w:rPr>
          <w:color w:val="000000" w:themeColor="text1"/>
        </w:rPr>
        <w:t>)</w:t>
      </w:r>
      <w:r w:rsidRPr="00C41FDC">
        <w:rPr>
          <w:color w:val="000000" w:themeColor="text1"/>
        </w:rPr>
        <w:t xml:space="preserve">. </w:t>
      </w:r>
      <w:r w:rsidR="004D3AC3" w:rsidRPr="00C41FDC">
        <w:rPr>
          <w:color w:val="000000" w:themeColor="text1"/>
        </w:rPr>
        <w:t>M</w:t>
      </w:r>
      <w:r w:rsidRPr="00C41FDC">
        <w:rPr>
          <w:color w:val="000000" w:themeColor="text1"/>
        </w:rPr>
        <w:t xml:space="preserve">arked </w:t>
      </w:r>
      <w:r w:rsidR="00D728BF" w:rsidRPr="00C41FDC">
        <w:rPr>
          <w:color w:val="000000" w:themeColor="text1"/>
        </w:rPr>
        <w:t>v</w:t>
      </w:r>
      <w:r w:rsidRPr="00C41FDC">
        <w:rPr>
          <w:color w:val="000000" w:themeColor="text1"/>
        </w:rPr>
        <w:t xml:space="preserve">PPFE </w:t>
      </w:r>
      <w:r w:rsidR="00493847" w:rsidRPr="00C41FDC">
        <w:rPr>
          <w:color w:val="000000" w:themeColor="text1"/>
        </w:rPr>
        <w:t xml:space="preserve">was </w:t>
      </w:r>
      <w:r w:rsidR="004D3AC3" w:rsidRPr="00C41FDC">
        <w:rPr>
          <w:color w:val="000000" w:themeColor="text1"/>
        </w:rPr>
        <w:lastRenderedPageBreak/>
        <w:t xml:space="preserve">significantly </w:t>
      </w:r>
      <w:r w:rsidR="00493847" w:rsidRPr="00C41FDC">
        <w:rPr>
          <w:color w:val="000000" w:themeColor="text1"/>
        </w:rPr>
        <w:t xml:space="preserve">associated with </w:t>
      </w:r>
      <w:r w:rsidR="004D3AC3" w:rsidRPr="00C41FDC">
        <w:rPr>
          <w:color w:val="000000" w:themeColor="text1"/>
        </w:rPr>
        <w:t xml:space="preserve">mortality in </w:t>
      </w:r>
      <w:r w:rsidR="00005AF0" w:rsidRPr="00C41FDC">
        <w:rPr>
          <w:color w:val="000000" w:themeColor="text1"/>
        </w:rPr>
        <w:t xml:space="preserve">derivation </w:t>
      </w:r>
      <w:r w:rsidR="004D3AC3" w:rsidRPr="00C41FDC">
        <w:rPr>
          <w:color w:val="000000" w:themeColor="text1"/>
        </w:rPr>
        <w:t>(HR=</w:t>
      </w:r>
      <w:r w:rsidR="001E455A" w:rsidRPr="00C41FDC">
        <w:rPr>
          <w:color w:val="000000" w:themeColor="text1"/>
        </w:rPr>
        <w:t>4·</w:t>
      </w:r>
      <w:r w:rsidR="009A39FB" w:rsidRPr="00C41FDC">
        <w:rPr>
          <w:color w:val="000000" w:themeColor="text1"/>
        </w:rPr>
        <w:t>90</w:t>
      </w:r>
      <w:r w:rsidR="004D3AC3" w:rsidRPr="00C41FDC">
        <w:rPr>
          <w:color w:val="000000" w:themeColor="text1"/>
        </w:rPr>
        <w:t>, 95%</w:t>
      </w:r>
      <w:r w:rsidR="002357F9" w:rsidRPr="00C41FDC">
        <w:rPr>
          <w:color w:val="000000" w:themeColor="text1"/>
        </w:rPr>
        <w:t xml:space="preserve"> </w:t>
      </w:r>
      <w:r w:rsidR="004D3AC3" w:rsidRPr="00C41FDC">
        <w:rPr>
          <w:color w:val="000000" w:themeColor="text1"/>
        </w:rPr>
        <w:t xml:space="preserve">CI </w:t>
      </w:r>
      <w:r w:rsidR="001E455A" w:rsidRPr="00C41FDC">
        <w:rPr>
          <w:color w:val="000000" w:themeColor="text1"/>
        </w:rPr>
        <w:t>2·</w:t>
      </w:r>
      <w:r w:rsidR="009A39FB" w:rsidRPr="00C41FDC">
        <w:rPr>
          <w:color w:val="000000" w:themeColor="text1"/>
        </w:rPr>
        <w:t>33</w:t>
      </w:r>
      <w:r w:rsidR="004D3AC3" w:rsidRPr="00C41FDC">
        <w:rPr>
          <w:color w:val="000000" w:themeColor="text1"/>
        </w:rPr>
        <w:t>–</w:t>
      </w:r>
      <w:r w:rsidR="009A39FB" w:rsidRPr="00C41FDC">
        <w:rPr>
          <w:color w:val="000000" w:themeColor="text1"/>
        </w:rPr>
        <w:t>1</w:t>
      </w:r>
      <w:r w:rsidR="001E455A" w:rsidRPr="00C41FDC">
        <w:rPr>
          <w:color w:val="000000" w:themeColor="text1"/>
        </w:rPr>
        <w:t>0·</w:t>
      </w:r>
      <w:r w:rsidR="009A39FB" w:rsidRPr="00C41FDC">
        <w:rPr>
          <w:color w:val="000000" w:themeColor="text1"/>
        </w:rPr>
        <w:t>3</w:t>
      </w:r>
      <w:r w:rsidR="004D3AC3" w:rsidRPr="00C41FDC">
        <w:rPr>
          <w:color w:val="000000" w:themeColor="text1"/>
        </w:rPr>
        <w:t>, p&lt;</w:t>
      </w:r>
      <w:r w:rsidR="001E455A" w:rsidRPr="00C41FDC">
        <w:rPr>
          <w:color w:val="000000" w:themeColor="text1"/>
        </w:rPr>
        <w:t>0·</w:t>
      </w:r>
      <w:r w:rsidR="004D3AC3" w:rsidRPr="00C41FDC">
        <w:rPr>
          <w:color w:val="000000" w:themeColor="text1"/>
        </w:rPr>
        <w:t>0001) and validation (HR=</w:t>
      </w:r>
      <w:r w:rsidR="001E455A" w:rsidRPr="00C41FDC">
        <w:rPr>
          <w:color w:val="000000" w:themeColor="text1"/>
        </w:rPr>
        <w:t>3·</w:t>
      </w:r>
      <w:r w:rsidR="00816954" w:rsidRPr="00C41FDC">
        <w:rPr>
          <w:color w:val="000000" w:themeColor="text1"/>
        </w:rPr>
        <w:t>0</w:t>
      </w:r>
      <w:r w:rsidR="004D3AC3" w:rsidRPr="00C41FDC">
        <w:rPr>
          <w:color w:val="000000" w:themeColor="text1"/>
        </w:rPr>
        <w:t>1, 95%</w:t>
      </w:r>
      <w:r w:rsidR="002357F9" w:rsidRPr="00C41FDC">
        <w:rPr>
          <w:color w:val="000000" w:themeColor="text1"/>
        </w:rPr>
        <w:t xml:space="preserve"> </w:t>
      </w:r>
      <w:r w:rsidR="004D3AC3" w:rsidRPr="00C41FDC">
        <w:rPr>
          <w:color w:val="000000" w:themeColor="text1"/>
        </w:rPr>
        <w:t xml:space="preserve">CI </w:t>
      </w:r>
      <w:r w:rsidR="001E455A" w:rsidRPr="00C41FDC">
        <w:rPr>
          <w:color w:val="000000" w:themeColor="text1"/>
        </w:rPr>
        <w:t>1·</w:t>
      </w:r>
      <w:r w:rsidR="00816954" w:rsidRPr="00C41FDC">
        <w:rPr>
          <w:color w:val="000000" w:themeColor="text1"/>
        </w:rPr>
        <w:t>33</w:t>
      </w:r>
      <w:r w:rsidR="004D3AC3" w:rsidRPr="00C41FDC">
        <w:rPr>
          <w:color w:val="000000" w:themeColor="text1"/>
        </w:rPr>
        <w:t>–</w:t>
      </w:r>
      <w:r w:rsidR="001E455A" w:rsidRPr="00C41FDC">
        <w:rPr>
          <w:color w:val="000000" w:themeColor="text1"/>
        </w:rPr>
        <w:t>6·</w:t>
      </w:r>
      <w:r w:rsidR="00816954" w:rsidRPr="00C41FDC">
        <w:rPr>
          <w:color w:val="000000" w:themeColor="text1"/>
        </w:rPr>
        <w:t>81</w:t>
      </w:r>
      <w:r w:rsidR="004D3AC3" w:rsidRPr="00C41FDC">
        <w:rPr>
          <w:color w:val="000000" w:themeColor="text1"/>
        </w:rPr>
        <w:t>, p=</w:t>
      </w:r>
      <w:r w:rsidR="001E455A" w:rsidRPr="00C41FDC">
        <w:rPr>
          <w:color w:val="000000" w:themeColor="text1"/>
        </w:rPr>
        <w:t>0·</w:t>
      </w:r>
      <w:r w:rsidR="004D3AC3" w:rsidRPr="00C41FDC">
        <w:rPr>
          <w:color w:val="000000" w:themeColor="text1"/>
        </w:rPr>
        <w:t>00</w:t>
      </w:r>
      <w:r w:rsidR="00816954" w:rsidRPr="00C41FDC">
        <w:rPr>
          <w:color w:val="000000" w:themeColor="text1"/>
        </w:rPr>
        <w:t>8</w:t>
      </w:r>
      <w:r w:rsidR="004D3AC3" w:rsidRPr="00C41FDC">
        <w:rPr>
          <w:color w:val="000000" w:themeColor="text1"/>
        </w:rPr>
        <w:t>) cohorts</w:t>
      </w:r>
      <w:r w:rsidRPr="00C41FDC">
        <w:rPr>
          <w:color w:val="000000" w:themeColor="text1"/>
        </w:rPr>
        <w:t xml:space="preserve"> (Table </w:t>
      </w:r>
      <w:r w:rsidR="00BE1108" w:rsidRPr="00C41FDC">
        <w:rPr>
          <w:color w:val="000000" w:themeColor="text1"/>
        </w:rPr>
        <w:t>4</w:t>
      </w:r>
      <w:r w:rsidRPr="00C41FDC">
        <w:rPr>
          <w:color w:val="000000" w:themeColor="text1"/>
        </w:rPr>
        <w:t>).</w:t>
      </w:r>
      <w:r w:rsidR="009B456B" w:rsidRPr="00C41FDC">
        <w:rPr>
          <w:color w:val="000000" w:themeColor="text1"/>
        </w:rPr>
        <w:t xml:space="preserve"> </w:t>
      </w:r>
      <w:bookmarkStart w:id="201" w:name="OLE_LINK215"/>
      <w:bookmarkStart w:id="202" w:name="OLE_LINK216"/>
      <w:r w:rsidR="009B456B" w:rsidRPr="00C41FDC">
        <w:rPr>
          <w:color w:val="000000" w:themeColor="text1"/>
        </w:rPr>
        <w:t xml:space="preserve">Results </w:t>
      </w:r>
      <w:r w:rsidR="00E144C2" w:rsidRPr="00C41FDC">
        <w:rPr>
          <w:color w:val="000000" w:themeColor="text1"/>
        </w:rPr>
        <w:t xml:space="preserve">for marked vPPFE </w:t>
      </w:r>
      <w:r w:rsidR="009B456B" w:rsidRPr="00C41FDC">
        <w:rPr>
          <w:color w:val="000000" w:themeColor="text1"/>
        </w:rPr>
        <w:t xml:space="preserve">were maintained </w:t>
      </w:r>
      <w:r w:rsidR="00E144C2" w:rsidRPr="00C41FDC">
        <w:rPr>
          <w:color w:val="000000" w:themeColor="text1"/>
        </w:rPr>
        <w:t xml:space="preserve">in both cohorts </w:t>
      </w:r>
      <w:r w:rsidR="009B456B" w:rsidRPr="00C41FDC">
        <w:rPr>
          <w:color w:val="000000" w:themeColor="text1"/>
        </w:rPr>
        <w:t xml:space="preserve">when </w:t>
      </w:r>
      <w:r w:rsidR="00DE585E" w:rsidRPr="00C41FDC">
        <w:rPr>
          <w:color w:val="000000" w:themeColor="text1"/>
        </w:rPr>
        <w:t>adjusting for</w:t>
      </w:r>
      <w:r w:rsidR="009B456B" w:rsidRPr="00C41FDC">
        <w:rPr>
          <w:color w:val="000000" w:themeColor="text1"/>
        </w:rPr>
        <w:t xml:space="preserve"> emphysema </w:t>
      </w:r>
      <w:r w:rsidR="00DE585E" w:rsidRPr="00C41FDC">
        <w:rPr>
          <w:color w:val="000000" w:themeColor="text1"/>
        </w:rPr>
        <w:t xml:space="preserve">percentage </w:t>
      </w:r>
      <w:r w:rsidR="009B456B" w:rsidRPr="00C41FDC">
        <w:rPr>
          <w:color w:val="000000" w:themeColor="text1"/>
        </w:rPr>
        <w:t>and ILD percentage as distinct variables</w:t>
      </w:r>
      <w:r w:rsidR="00E406A5" w:rsidRPr="00C41FDC">
        <w:rPr>
          <w:color w:val="000000" w:themeColor="text1"/>
        </w:rPr>
        <w:t xml:space="preserve"> in models</w:t>
      </w:r>
      <w:r w:rsidR="009B456B" w:rsidRPr="00C41FDC">
        <w:rPr>
          <w:color w:val="000000" w:themeColor="text1"/>
        </w:rPr>
        <w:t xml:space="preserve"> (results not shown).</w:t>
      </w:r>
      <w:bookmarkEnd w:id="201"/>
      <w:bookmarkEnd w:id="202"/>
    </w:p>
    <w:p w14:paraId="1D320E77" w14:textId="77777777" w:rsidR="00816954" w:rsidRPr="00C41FDC" w:rsidRDefault="00816954" w:rsidP="00645DF9">
      <w:pPr>
        <w:spacing w:line="480" w:lineRule="auto"/>
        <w:rPr>
          <w:color w:val="000000" w:themeColor="text1"/>
        </w:rPr>
      </w:pPr>
      <w:bookmarkStart w:id="203" w:name="OLE_LINK115"/>
      <w:bookmarkStart w:id="204" w:name="OLE_LINK116"/>
      <w:bookmarkStart w:id="205" w:name="OLE_LINK35"/>
      <w:bookmarkStart w:id="206" w:name="OLE_LINK36"/>
      <w:bookmarkStart w:id="207" w:name="OLE_LINK39"/>
      <w:bookmarkStart w:id="208" w:name="OLE_LINK40"/>
    </w:p>
    <w:p w14:paraId="16E79D41" w14:textId="00BAE6BA" w:rsidR="00645DF9" w:rsidRPr="00C41FDC" w:rsidRDefault="000570A2" w:rsidP="00645DF9">
      <w:pPr>
        <w:spacing w:line="480" w:lineRule="auto"/>
        <w:rPr>
          <w:color w:val="000000" w:themeColor="text1"/>
        </w:rPr>
      </w:pPr>
      <w:r w:rsidRPr="00C41FDC">
        <w:rPr>
          <w:color w:val="000000" w:themeColor="text1"/>
        </w:rPr>
        <w:t>C</w:t>
      </w:r>
      <w:r w:rsidR="00645DF9" w:rsidRPr="00C41FDC">
        <w:rPr>
          <w:rStyle w:val="titlemark"/>
          <w:rFonts w:eastAsia="Times New Roman"/>
          <w:b/>
          <w:color w:val="000000" w:themeColor="text1"/>
        </w:rPr>
        <w:t xml:space="preserve">omputerised PPFE </w:t>
      </w:r>
      <w:r w:rsidR="00915F79" w:rsidRPr="00C41FDC">
        <w:rPr>
          <w:rStyle w:val="titlemark"/>
          <w:rFonts w:eastAsia="Times New Roman"/>
          <w:b/>
          <w:color w:val="000000" w:themeColor="text1"/>
        </w:rPr>
        <w:t xml:space="preserve">extent </w:t>
      </w:r>
      <w:bookmarkEnd w:id="203"/>
      <w:bookmarkEnd w:id="204"/>
      <w:r w:rsidRPr="00C41FDC">
        <w:rPr>
          <w:rStyle w:val="titlemark"/>
          <w:rFonts w:eastAsia="Times New Roman"/>
          <w:b/>
          <w:color w:val="000000" w:themeColor="text1"/>
        </w:rPr>
        <w:t>scores</w:t>
      </w:r>
    </w:p>
    <w:p w14:paraId="2E5B9246" w14:textId="01DC3316" w:rsidR="00645DF9" w:rsidRPr="00C41FDC" w:rsidRDefault="00B160C6" w:rsidP="00235AF9">
      <w:pPr>
        <w:spacing w:line="480" w:lineRule="auto"/>
        <w:rPr>
          <w:color w:val="000000" w:themeColor="text1"/>
        </w:rPr>
      </w:pPr>
      <w:bookmarkStart w:id="209" w:name="OLE_LINK56"/>
      <w:bookmarkStart w:id="210" w:name="OLE_LINK57"/>
      <w:bookmarkEnd w:id="205"/>
      <w:bookmarkEnd w:id="206"/>
      <w:r w:rsidRPr="00C41FDC">
        <w:rPr>
          <w:rStyle w:val="titlemark"/>
          <w:rFonts w:eastAsia="Times New Roman"/>
          <w:bCs/>
          <w:color w:val="000000" w:themeColor="text1"/>
        </w:rPr>
        <w:t xml:space="preserve">In the </w:t>
      </w:r>
      <w:r w:rsidR="00005AF0" w:rsidRPr="00C41FDC">
        <w:rPr>
          <w:rStyle w:val="titlemark"/>
          <w:rFonts w:eastAsia="Times New Roman"/>
          <w:bCs/>
          <w:color w:val="000000" w:themeColor="text1"/>
        </w:rPr>
        <w:t xml:space="preserve">derivation </w:t>
      </w:r>
      <w:r w:rsidRPr="00C41FDC">
        <w:rPr>
          <w:rStyle w:val="titlemark"/>
          <w:rFonts w:eastAsia="Times New Roman"/>
          <w:bCs/>
          <w:color w:val="000000" w:themeColor="text1"/>
        </w:rPr>
        <w:t>cohort, 5</w:t>
      </w:r>
      <w:r w:rsidR="009A39FB" w:rsidRPr="00C41FDC">
        <w:rPr>
          <w:rStyle w:val="titlemark"/>
          <w:rFonts w:eastAsia="Times New Roman"/>
          <w:bCs/>
          <w:color w:val="000000" w:themeColor="text1"/>
        </w:rPr>
        <w:t>2</w:t>
      </w:r>
      <w:r w:rsidRPr="00C41FDC">
        <w:rPr>
          <w:rStyle w:val="titlemark"/>
          <w:rFonts w:eastAsia="Times New Roman"/>
          <w:bCs/>
          <w:color w:val="000000" w:themeColor="text1"/>
        </w:rPr>
        <w:t>/14</w:t>
      </w:r>
      <w:r w:rsidR="009A39FB" w:rsidRPr="00C41FDC">
        <w:rPr>
          <w:rStyle w:val="titlemark"/>
          <w:rFonts w:eastAsia="Times New Roman"/>
          <w:bCs/>
          <w:color w:val="000000" w:themeColor="text1"/>
        </w:rPr>
        <w:t>2</w:t>
      </w:r>
      <w:r w:rsidRPr="00C41FDC">
        <w:rPr>
          <w:rStyle w:val="titlemark"/>
          <w:rFonts w:eastAsia="Times New Roman"/>
          <w:bCs/>
          <w:color w:val="000000" w:themeColor="text1"/>
        </w:rPr>
        <w:t xml:space="preserve"> patients (3</w:t>
      </w:r>
      <w:r w:rsidR="009A39FB" w:rsidRPr="00C41FDC">
        <w:rPr>
          <w:rStyle w:val="titlemark"/>
          <w:rFonts w:eastAsia="Times New Roman"/>
          <w:bCs/>
          <w:color w:val="000000" w:themeColor="text1"/>
        </w:rPr>
        <w:t>7</w:t>
      </w:r>
      <w:r w:rsidRPr="00C41FDC">
        <w:rPr>
          <w:rStyle w:val="titlemark"/>
          <w:rFonts w:eastAsia="Times New Roman"/>
          <w:bCs/>
          <w:color w:val="000000" w:themeColor="text1"/>
        </w:rPr>
        <w:t>%), 3</w:t>
      </w:r>
      <w:r w:rsidR="009A39FB" w:rsidRPr="00C41FDC">
        <w:rPr>
          <w:rStyle w:val="titlemark"/>
          <w:rFonts w:eastAsia="Times New Roman"/>
          <w:bCs/>
          <w:color w:val="000000" w:themeColor="text1"/>
        </w:rPr>
        <w:t>5</w:t>
      </w:r>
      <w:r w:rsidRPr="00C41FDC">
        <w:rPr>
          <w:rStyle w:val="titlemark"/>
          <w:rFonts w:eastAsia="Times New Roman"/>
          <w:bCs/>
          <w:color w:val="000000" w:themeColor="text1"/>
        </w:rPr>
        <w:t>/14</w:t>
      </w:r>
      <w:r w:rsidR="009A39FB" w:rsidRPr="00C41FDC">
        <w:rPr>
          <w:rStyle w:val="titlemark"/>
          <w:rFonts w:eastAsia="Times New Roman"/>
          <w:bCs/>
          <w:color w:val="000000" w:themeColor="text1"/>
        </w:rPr>
        <w:t>2</w:t>
      </w:r>
      <w:r w:rsidRPr="00C41FDC">
        <w:rPr>
          <w:rStyle w:val="titlemark"/>
          <w:rFonts w:eastAsia="Times New Roman"/>
          <w:bCs/>
          <w:color w:val="000000" w:themeColor="text1"/>
        </w:rPr>
        <w:t xml:space="preserve"> (2</w:t>
      </w:r>
      <w:r w:rsidR="009A39FB" w:rsidRPr="00C41FDC">
        <w:rPr>
          <w:rStyle w:val="titlemark"/>
          <w:rFonts w:eastAsia="Times New Roman"/>
          <w:bCs/>
          <w:color w:val="000000" w:themeColor="text1"/>
        </w:rPr>
        <w:t>5</w:t>
      </w:r>
      <w:r w:rsidRPr="00C41FDC">
        <w:rPr>
          <w:rStyle w:val="titlemark"/>
          <w:rFonts w:eastAsia="Times New Roman"/>
          <w:bCs/>
          <w:color w:val="000000" w:themeColor="text1"/>
        </w:rPr>
        <w:t>%) and 1</w:t>
      </w:r>
      <w:r w:rsidR="009A39FB" w:rsidRPr="00C41FDC">
        <w:rPr>
          <w:rStyle w:val="titlemark"/>
          <w:rFonts w:eastAsia="Times New Roman"/>
          <w:bCs/>
          <w:color w:val="000000" w:themeColor="text1"/>
        </w:rPr>
        <w:t>7</w:t>
      </w:r>
      <w:r w:rsidRPr="00C41FDC">
        <w:rPr>
          <w:rStyle w:val="titlemark"/>
          <w:rFonts w:eastAsia="Times New Roman"/>
          <w:bCs/>
          <w:color w:val="000000" w:themeColor="text1"/>
        </w:rPr>
        <w:t>/14</w:t>
      </w:r>
      <w:r w:rsidR="009A39FB" w:rsidRPr="00C41FDC">
        <w:rPr>
          <w:rStyle w:val="titlemark"/>
          <w:rFonts w:eastAsia="Times New Roman"/>
          <w:bCs/>
          <w:color w:val="000000" w:themeColor="text1"/>
        </w:rPr>
        <w:t>2</w:t>
      </w:r>
      <w:r w:rsidRPr="00C41FDC">
        <w:rPr>
          <w:rStyle w:val="titlemark"/>
          <w:rFonts w:eastAsia="Times New Roman"/>
          <w:bCs/>
          <w:color w:val="000000" w:themeColor="text1"/>
        </w:rPr>
        <w:t xml:space="preserve"> (1</w:t>
      </w:r>
      <w:r w:rsidR="009A39FB" w:rsidRPr="00C41FDC">
        <w:rPr>
          <w:rStyle w:val="titlemark"/>
          <w:rFonts w:eastAsia="Times New Roman"/>
          <w:bCs/>
          <w:color w:val="000000" w:themeColor="text1"/>
        </w:rPr>
        <w:t>2</w:t>
      </w:r>
      <w:r w:rsidRPr="00C41FDC">
        <w:rPr>
          <w:rStyle w:val="titlemark"/>
          <w:rFonts w:eastAsia="Times New Roman"/>
          <w:bCs/>
          <w:color w:val="000000" w:themeColor="text1"/>
        </w:rPr>
        <w:t xml:space="preserve">%) had </w:t>
      </w:r>
      <w:r w:rsidR="00CF7203" w:rsidRPr="00C41FDC">
        <w:rPr>
          <w:rStyle w:val="titlemark"/>
          <w:rFonts w:eastAsia="Times New Roman"/>
          <w:bCs/>
          <w:color w:val="000000" w:themeColor="text1"/>
        </w:rPr>
        <w:t>dichotomised</w:t>
      </w:r>
      <w:r w:rsidR="00816954" w:rsidRPr="00C41FDC">
        <w:rPr>
          <w:rStyle w:val="titlemark"/>
          <w:rFonts w:eastAsia="Times New Roman"/>
          <w:bCs/>
          <w:color w:val="000000" w:themeColor="text1"/>
        </w:rPr>
        <w:t xml:space="preserve"> </w:t>
      </w:r>
      <w:r w:rsidR="00D728BF" w:rsidRPr="00C41FDC">
        <w:rPr>
          <w:rStyle w:val="titlemark"/>
          <w:rFonts w:eastAsia="Times New Roman"/>
          <w:bCs/>
          <w:color w:val="000000" w:themeColor="text1"/>
        </w:rPr>
        <w:t>c</w:t>
      </w:r>
      <w:r w:rsidR="00816954" w:rsidRPr="00C41FDC">
        <w:rPr>
          <w:rStyle w:val="titlemark"/>
          <w:rFonts w:eastAsia="Times New Roman"/>
          <w:bCs/>
          <w:color w:val="000000" w:themeColor="text1"/>
        </w:rPr>
        <w:t xml:space="preserve">PPFE extent </w:t>
      </w:r>
      <w:r w:rsidRPr="00C41FDC">
        <w:rPr>
          <w:rStyle w:val="titlemark"/>
          <w:rFonts w:eastAsia="Times New Roman"/>
          <w:bCs/>
          <w:color w:val="000000" w:themeColor="text1"/>
        </w:rPr>
        <w:t xml:space="preserve">greater than 1%, </w:t>
      </w:r>
      <w:r w:rsidR="001E455A" w:rsidRPr="00C41FDC">
        <w:rPr>
          <w:rStyle w:val="titlemark"/>
          <w:rFonts w:eastAsia="Times New Roman"/>
          <w:bCs/>
          <w:color w:val="000000" w:themeColor="text1"/>
        </w:rPr>
        <w:t>2·</w:t>
      </w:r>
      <w:r w:rsidRPr="00C41FDC">
        <w:rPr>
          <w:rStyle w:val="titlemark"/>
          <w:rFonts w:eastAsia="Times New Roman"/>
          <w:bCs/>
          <w:color w:val="000000" w:themeColor="text1"/>
        </w:rPr>
        <w:t xml:space="preserve">5% and 5%, respectively. </w:t>
      </w:r>
      <w:r w:rsidR="00816954" w:rsidRPr="00C41FDC">
        <w:rPr>
          <w:rStyle w:val="titlemark"/>
          <w:rFonts w:eastAsia="Times New Roman"/>
          <w:bCs/>
          <w:color w:val="000000" w:themeColor="text1"/>
        </w:rPr>
        <w:t xml:space="preserve">The selection of the </w:t>
      </w:r>
      <w:r w:rsidR="001E455A" w:rsidRPr="00C41FDC">
        <w:rPr>
          <w:color w:val="000000" w:themeColor="text1"/>
        </w:rPr>
        <w:t>2·</w:t>
      </w:r>
      <w:r w:rsidR="00816954" w:rsidRPr="00C41FDC">
        <w:rPr>
          <w:color w:val="000000" w:themeColor="text1"/>
        </w:rPr>
        <w:t>5%</w:t>
      </w:r>
      <w:r w:rsidR="007A1C01" w:rsidRPr="00C41FDC">
        <w:rPr>
          <w:color w:val="000000" w:themeColor="text1"/>
        </w:rPr>
        <w:t xml:space="preserve"> </w:t>
      </w:r>
      <w:r w:rsidR="00CF7203" w:rsidRPr="00C41FDC">
        <w:rPr>
          <w:color w:val="000000" w:themeColor="text1"/>
        </w:rPr>
        <w:t>dichotomised</w:t>
      </w:r>
      <w:r w:rsidR="007A1C01" w:rsidRPr="00C41FDC">
        <w:rPr>
          <w:color w:val="000000" w:themeColor="text1"/>
        </w:rPr>
        <w:t xml:space="preserve"> </w:t>
      </w:r>
      <w:r w:rsidR="00D728BF" w:rsidRPr="00C41FDC">
        <w:rPr>
          <w:color w:val="000000" w:themeColor="text1"/>
        </w:rPr>
        <w:t>c</w:t>
      </w:r>
      <w:r w:rsidR="007A1C01" w:rsidRPr="00C41FDC">
        <w:rPr>
          <w:color w:val="000000" w:themeColor="text1"/>
        </w:rPr>
        <w:t xml:space="preserve">PPFE </w:t>
      </w:r>
      <w:r w:rsidR="00816954" w:rsidRPr="00C41FDC">
        <w:rPr>
          <w:color w:val="000000" w:themeColor="text1"/>
        </w:rPr>
        <w:t xml:space="preserve">cutpoint </w:t>
      </w:r>
      <w:r w:rsidR="007A1C01" w:rsidRPr="00C41FDC">
        <w:rPr>
          <w:color w:val="000000" w:themeColor="text1"/>
        </w:rPr>
        <w:t xml:space="preserve">was </w:t>
      </w:r>
      <w:r w:rsidR="00B168F5" w:rsidRPr="00C41FDC">
        <w:rPr>
          <w:color w:val="000000" w:themeColor="text1"/>
        </w:rPr>
        <w:t>determined</w:t>
      </w:r>
      <w:r w:rsidR="00816954" w:rsidRPr="00C41FDC">
        <w:rPr>
          <w:color w:val="000000" w:themeColor="text1"/>
        </w:rPr>
        <w:t xml:space="preserve"> by</w:t>
      </w:r>
      <w:r w:rsidR="007A1C01" w:rsidRPr="00C41FDC">
        <w:rPr>
          <w:color w:val="000000" w:themeColor="text1"/>
        </w:rPr>
        <w:t xml:space="preserve"> </w:t>
      </w:r>
      <w:r w:rsidR="001E2035" w:rsidRPr="00C41FDC">
        <w:rPr>
          <w:color w:val="000000" w:themeColor="text1"/>
        </w:rPr>
        <w:t>median cPPFE</w:t>
      </w:r>
      <w:r w:rsidR="005368CF" w:rsidRPr="00C41FDC">
        <w:rPr>
          <w:color w:val="000000" w:themeColor="text1"/>
        </w:rPr>
        <w:t xml:space="preserve"> extent</w:t>
      </w:r>
      <w:r w:rsidR="001E2035" w:rsidRPr="00C41FDC">
        <w:rPr>
          <w:color w:val="000000" w:themeColor="text1"/>
        </w:rPr>
        <w:t xml:space="preserve"> in the derivation cohort (</w:t>
      </w:r>
      <w:r w:rsidR="001E455A" w:rsidRPr="00C41FDC">
        <w:rPr>
          <w:color w:val="000000" w:themeColor="text1"/>
        </w:rPr>
        <w:t>2·</w:t>
      </w:r>
      <w:r w:rsidR="001E2035" w:rsidRPr="00C41FDC">
        <w:rPr>
          <w:color w:val="000000" w:themeColor="text1"/>
        </w:rPr>
        <w:t xml:space="preserve">7%) and </w:t>
      </w:r>
      <w:r w:rsidR="00C74BE1" w:rsidRPr="00C41FDC">
        <w:rPr>
          <w:color w:val="000000" w:themeColor="text1"/>
        </w:rPr>
        <w:t xml:space="preserve">results of </w:t>
      </w:r>
      <w:r w:rsidR="001E2035" w:rsidRPr="00C41FDC">
        <w:rPr>
          <w:color w:val="000000" w:themeColor="text1"/>
        </w:rPr>
        <w:t xml:space="preserve">LME-predicted </w:t>
      </w:r>
      <w:r w:rsidR="00E53EFB" w:rsidRPr="00C41FDC">
        <w:rPr>
          <w:color w:val="000000" w:themeColor="text1"/>
        </w:rPr>
        <w:t>1-year</w:t>
      </w:r>
      <w:r w:rsidR="001E2035" w:rsidRPr="00C41FDC">
        <w:rPr>
          <w:color w:val="000000" w:themeColor="text1"/>
        </w:rPr>
        <w:t xml:space="preserve"> </w:t>
      </w:r>
      <w:r w:rsidR="007A1C01" w:rsidRPr="00C41FDC">
        <w:rPr>
          <w:color w:val="000000" w:themeColor="text1"/>
        </w:rPr>
        <w:t xml:space="preserve">FVC decline and Cox mortality analyses </w:t>
      </w:r>
      <w:r w:rsidR="0001314B" w:rsidRPr="00C41FDC">
        <w:rPr>
          <w:color w:val="000000" w:themeColor="text1"/>
        </w:rPr>
        <w:t xml:space="preserve">in the </w:t>
      </w:r>
      <w:r w:rsidR="00005AF0" w:rsidRPr="00C41FDC">
        <w:rPr>
          <w:color w:val="000000" w:themeColor="text1"/>
        </w:rPr>
        <w:t xml:space="preserve">derivation </w:t>
      </w:r>
      <w:r w:rsidR="007A1C01" w:rsidRPr="00C41FDC">
        <w:rPr>
          <w:color w:val="000000" w:themeColor="text1"/>
        </w:rPr>
        <w:t>cohort</w:t>
      </w:r>
      <w:r w:rsidRPr="00C41FDC">
        <w:rPr>
          <w:color w:val="000000" w:themeColor="text1"/>
        </w:rPr>
        <w:t xml:space="preserve"> </w:t>
      </w:r>
      <w:r w:rsidRPr="00C41FDC">
        <w:rPr>
          <w:rStyle w:val="titlemark"/>
          <w:rFonts w:eastAsia="Times New Roman"/>
          <w:bCs/>
          <w:color w:val="000000" w:themeColor="text1"/>
        </w:rPr>
        <w:t>(</w:t>
      </w:r>
      <w:r w:rsidR="008D24C9" w:rsidRPr="00C41FDC">
        <w:rPr>
          <w:rStyle w:val="titlemark"/>
          <w:rFonts w:eastAsia="Times New Roman"/>
          <w:bCs/>
          <w:color w:val="000000" w:themeColor="text1"/>
        </w:rPr>
        <w:t>Supplementary Table</w:t>
      </w:r>
      <w:r w:rsidRPr="00C41FDC">
        <w:rPr>
          <w:rStyle w:val="titlemark"/>
          <w:rFonts w:eastAsia="Times New Roman"/>
          <w:bCs/>
          <w:color w:val="000000" w:themeColor="text1"/>
        </w:rPr>
        <w:t xml:space="preserve"> </w:t>
      </w:r>
      <w:r w:rsidR="009D6B0A" w:rsidRPr="00C41FDC">
        <w:rPr>
          <w:rStyle w:val="titlemark"/>
          <w:rFonts w:eastAsia="Times New Roman"/>
          <w:bCs/>
          <w:color w:val="000000" w:themeColor="text1"/>
        </w:rPr>
        <w:t>8-9</w:t>
      </w:r>
      <w:r w:rsidRPr="00C41FDC">
        <w:rPr>
          <w:rStyle w:val="titlemark"/>
          <w:rFonts w:eastAsia="Times New Roman"/>
          <w:bCs/>
          <w:color w:val="000000" w:themeColor="text1"/>
        </w:rPr>
        <w:t>)</w:t>
      </w:r>
      <w:r w:rsidRPr="00C41FDC">
        <w:rPr>
          <w:color w:val="000000" w:themeColor="text1"/>
        </w:rPr>
        <w:t>.</w:t>
      </w:r>
      <w:r w:rsidR="00AA05FA" w:rsidRPr="00C41FDC">
        <w:rPr>
          <w:color w:val="000000" w:themeColor="text1"/>
        </w:rPr>
        <w:t xml:space="preserve"> </w:t>
      </w:r>
      <w:bookmarkStart w:id="211" w:name="OLE_LINK15"/>
      <w:bookmarkStart w:id="212" w:name="OLE_LINK16"/>
      <w:r w:rsidR="003D4450" w:rsidRPr="00C41FDC">
        <w:rPr>
          <w:color w:val="000000" w:themeColor="text1"/>
        </w:rPr>
        <w:t xml:space="preserve">In the validation cohort, 52/145 (36%) patients had </w:t>
      </w:r>
      <w:r w:rsidR="00D728BF" w:rsidRPr="00C41FDC">
        <w:rPr>
          <w:color w:val="000000" w:themeColor="text1"/>
        </w:rPr>
        <w:t>c</w:t>
      </w:r>
      <w:r w:rsidR="003D4450" w:rsidRPr="00C41FDC">
        <w:rPr>
          <w:color w:val="000000" w:themeColor="text1"/>
        </w:rPr>
        <w:t xml:space="preserve">PPFE extent </w:t>
      </w:r>
      <w:r w:rsidR="00B168F5" w:rsidRPr="00C41FDC">
        <w:rPr>
          <w:color w:val="000000" w:themeColor="text1"/>
        </w:rPr>
        <w:sym w:font="Symbol" w:char="F0B3"/>
      </w:r>
      <w:r w:rsidR="001E455A" w:rsidRPr="00C41FDC">
        <w:rPr>
          <w:color w:val="000000" w:themeColor="text1"/>
        </w:rPr>
        <w:t>2·</w:t>
      </w:r>
      <w:r w:rsidR="003D4450" w:rsidRPr="00C41FDC">
        <w:rPr>
          <w:color w:val="000000" w:themeColor="text1"/>
        </w:rPr>
        <w:t>5%</w:t>
      </w:r>
      <w:r w:rsidR="000570A2" w:rsidRPr="00C41FDC">
        <w:rPr>
          <w:color w:val="000000" w:themeColor="text1"/>
        </w:rPr>
        <w:t xml:space="preserve"> (</w:t>
      </w:r>
      <w:r w:rsidR="006B126A" w:rsidRPr="00C41FDC">
        <w:rPr>
          <w:color w:val="000000" w:themeColor="text1"/>
        </w:rPr>
        <w:t xml:space="preserve">Figure 3, </w:t>
      </w:r>
      <w:r w:rsidR="008D24C9" w:rsidRPr="00C41FDC">
        <w:rPr>
          <w:color w:val="000000" w:themeColor="text1"/>
        </w:rPr>
        <w:t>Supplementary Figure</w:t>
      </w:r>
      <w:r w:rsidR="003B2DAE" w:rsidRPr="00C41FDC">
        <w:rPr>
          <w:color w:val="000000" w:themeColor="text1"/>
        </w:rPr>
        <w:t xml:space="preserve"> </w:t>
      </w:r>
      <w:r w:rsidR="006B126A" w:rsidRPr="00C41FDC">
        <w:rPr>
          <w:color w:val="000000" w:themeColor="text1"/>
        </w:rPr>
        <w:t>2-3</w:t>
      </w:r>
      <w:r w:rsidR="000570A2" w:rsidRPr="00C41FDC">
        <w:rPr>
          <w:color w:val="000000" w:themeColor="text1"/>
        </w:rPr>
        <w:t>).</w:t>
      </w:r>
      <w:bookmarkEnd w:id="211"/>
      <w:bookmarkEnd w:id="212"/>
    </w:p>
    <w:p w14:paraId="5630A26D" w14:textId="77777777" w:rsidR="000570A2" w:rsidRPr="00C41FDC" w:rsidRDefault="000570A2" w:rsidP="00235AF9">
      <w:pPr>
        <w:spacing w:line="480" w:lineRule="auto"/>
        <w:rPr>
          <w:color w:val="000000" w:themeColor="text1"/>
        </w:rPr>
      </w:pPr>
    </w:p>
    <w:p w14:paraId="1355F48D" w14:textId="4F85FF81" w:rsidR="009B0882" w:rsidRPr="00C41FDC" w:rsidRDefault="00D728BF" w:rsidP="00235AF9">
      <w:pPr>
        <w:spacing w:line="480" w:lineRule="auto"/>
        <w:rPr>
          <w:color w:val="000000" w:themeColor="text1"/>
        </w:rPr>
      </w:pPr>
      <w:r w:rsidRPr="00C41FDC">
        <w:rPr>
          <w:color w:val="000000" w:themeColor="text1"/>
        </w:rPr>
        <w:t>c</w:t>
      </w:r>
      <w:r w:rsidR="000570A2" w:rsidRPr="00C41FDC">
        <w:rPr>
          <w:color w:val="000000" w:themeColor="text1"/>
        </w:rPr>
        <w:t xml:space="preserve">PPFE extent </w:t>
      </w:r>
      <w:r w:rsidR="00753682" w:rsidRPr="00C41FDC">
        <w:rPr>
          <w:color w:val="000000" w:themeColor="text1"/>
        </w:rPr>
        <w:t xml:space="preserve">demonstrated significant association with percent-predicted DLco on univariable </w:t>
      </w:r>
      <w:r w:rsidR="00BE54D1" w:rsidRPr="00C41FDC">
        <w:rPr>
          <w:color w:val="000000" w:themeColor="text1"/>
        </w:rPr>
        <w:t xml:space="preserve">analysis in both study populations; these associations did not hold after adjustment for other variables on </w:t>
      </w:r>
      <w:r w:rsidR="00753682" w:rsidRPr="00C41FDC">
        <w:rPr>
          <w:color w:val="000000" w:themeColor="text1"/>
        </w:rPr>
        <w:t>multivariable analysis (</w:t>
      </w:r>
      <w:r w:rsidR="008D24C9" w:rsidRPr="00C41FDC">
        <w:rPr>
          <w:color w:val="000000" w:themeColor="text1"/>
        </w:rPr>
        <w:t>Supplementary Table</w:t>
      </w:r>
      <w:r w:rsidR="00753682" w:rsidRPr="00C41FDC">
        <w:rPr>
          <w:color w:val="000000" w:themeColor="text1"/>
        </w:rPr>
        <w:t xml:space="preserve"> </w:t>
      </w:r>
      <w:r w:rsidR="009D6B0A" w:rsidRPr="00C41FDC">
        <w:rPr>
          <w:color w:val="000000" w:themeColor="text1"/>
        </w:rPr>
        <w:t>10-11</w:t>
      </w:r>
      <w:r w:rsidR="00753682" w:rsidRPr="00C41FDC">
        <w:rPr>
          <w:color w:val="000000" w:themeColor="text1"/>
        </w:rPr>
        <w:t xml:space="preserve">). cPPFE extent demonstrated limited </w:t>
      </w:r>
      <w:r w:rsidR="00B2678C" w:rsidRPr="00C41FDC">
        <w:rPr>
          <w:color w:val="000000" w:themeColor="text1"/>
        </w:rPr>
        <w:t xml:space="preserve">association </w:t>
      </w:r>
      <w:r w:rsidR="00753682" w:rsidRPr="00C41FDC">
        <w:rPr>
          <w:color w:val="000000" w:themeColor="text1"/>
        </w:rPr>
        <w:t>with visual ILD percentage scores on univariable</w:t>
      </w:r>
      <w:r w:rsidR="009D6B0A" w:rsidRPr="00C41FDC">
        <w:rPr>
          <w:color w:val="000000" w:themeColor="text1"/>
        </w:rPr>
        <w:t xml:space="preserve"> (R</w:t>
      </w:r>
      <w:r w:rsidR="009D6B0A" w:rsidRPr="00C41FDC">
        <w:rPr>
          <w:color w:val="000000" w:themeColor="text1"/>
          <w:vertAlign w:val="superscript"/>
        </w:rPr>
        <w:t>2</w:t>
      </w:r>
      <w:r w:rsidR="009D6B0A" w:rsidRPr="00C41FDC">
        <w:rPr>
          <w:color w:val="000000" w:themeColor="text1"/>
        </w:rPr>
        <w:t>=0</w:t>
      </w:r>
      <w:r w:rsidR="009D6B0A" w:rsidRPr="00C41FDC">
        <w:rPr>
          <w:rStyle w:val="titlemark"/>
          <w:rFonts w:eastAsia="Times New Roman"/>
          <w:bCs/>
          <w:color w:val="000000" w:themeColor="text1"/>
        </w:rPr>
        <w:t>·11–0·13)</w:t>
      </w:r>
      <w:r w:rsidR="00753682" w:rsidRPr="00C41FDC">
        <w:rPr>
          <w:color w:val="000000" w:themeColor="text1"/>
        </w:rPr>
        <w:t xml:space="preserve"> and multivariable analysis in both cohorts </w:t>
      </w:r>
      <w:r w:rsidR="00EF510A" w:rsidRPr="00C41FDC">
        <w:rPr>
          <w:color w:val="000000" w:themeColor="text1"/>
        </w:rPr>
        <w:t>(</w:t>
      </w:r>
      <w:r w:rsidR="008D24C9" w:rsidRPr="00C41FDC">
        <w:rPr>
          <w:color w:val="000000" w:themeColor="text1"/>
        </w:rPr>
        <w:t>Supplementary Table</w:t>
      </w:r>
      <w:r w:rsidR="00EF510A" w:rsidRPr="00C41FDC">
        <w:rPr>
          <w:color w:val="000000" w:themeColor="text1"/>
        </w:rPr>
        <w:t xml:space="preserve"> 1</w:t>
      </w:r>
      <w:r w:rsidR="009D6B0A" w:rsidRPr="00C41FDC">
        <w:rPr>
          <w:color w:val="000000" w:themeColor="text1"/>
        </w:rPr>
        <w:t>0-11</w:t>
      </w:r>
      <w:r w:rsidR="00EF510A" w:rsidRPr="00C41FDC">
        <w:rPr>
          <w:color w:val="000000" w:themeColor="text1"/>
        </w:rPr>
        <w:t>)</w:t>
      </w:r>
      <w:r w:rsidR="000570A2" w:rsidRPr="00C41FDC">
        <w:rPr>
          <w:color w:val="000000" w:themeColor="text1"/>
        </w:rPr>
        <w:t xml:space="preserve">. </w:t>
      </w:r>
    </w:p>
    <w:p w14:paraId="08EE906F" w14:textId="77777777" w:rsidR="009B0882" w:rsidRPr="00C41FDC" w:rsidRDefault="009B0882" w:rsidP="00235AF9">
      <w:pPr>
        <w:spacing w:line="480" w:lineRule="auto"/>
        <w:rPr>
          <w:color w:val="000000" w:themeColor="text1"/>
        </w:rPr>
      </w:pPr>
    </w:p>
    <w:p w14:paraId="0C78E7BB" w14:textId="20F568AC" w:rsidR="004E6DA0" w:rsidRPr="00C41FDC" w:rsidRDefault="00D728BF" w:rsidP="00235AF9">
      <w:pPr>
        <w:spacing w:line="480" w:lineRule="auto"/>
        <w:rPr>
          <w:color w:val="000000" w:themeColor="text1"/>
        </w:rPr>
      </w:pPr>
      <w:r w:rsidRPr="00C41FDC">
        <w:rPr>
          <w:color w:val="000000" w:themeColor="text1"/>
        </w:rPr>
        <w:t>c</w:t>
      </w:r>
      <w:r w:rsidR="000B6F24" w:rsidRPr="00C41FDC">
        <w:rPr>
          <w:color w:val="000000" w:themeColor="text1"/>
        </w:rPr>
        <w:t>PPFE extent</w:t>
      </w:r>
      <w:r w:rsidR="0015089F" w:rsidRPr="00C41FDC">
        <w:rPr>
          <w:color w:val="000000" w:themeColor="text1"/>
        </w:rPr>
        <w:t xml:space="preserve"> </w:t>
      </w:r>
      <w:r w:rsidR="00227CD0" w:rsidRPr="00C41FDC">
        <w:rPr>
          <w:color w:val="000000" w:themeColor="text1"/>
        </w:rPr>
        <w:t xml:space="preserve">(both continuous and </w:t>
      </w:r>
      <w:r w:rsidR="00CF7203" w:rsidRPr="00C41FDC">
        <w:rPr>
          <w:color w:val="000000" w:themeColor="text1"/>
        </w:rPr>
        <w:t>dichotomised</w:t>
      </w:r>
      <w:r w:rsidR="0015089F" w:rsidRPr="00C41FDC">
        <w:rPr>
          <w:color w:val="000000" w:themeColor="text1"/>
        </w:rPr>
        <w:t xml:space="preserve"> at </w:t>
      </w:r>
      <w:r w:rsidR="00935163" w:rsidRPr="00C41FDC">
        <w:rPr>
          <w:color w:val="000000" w:themeColor="text1"/>
        </w:rPr>
        <w:sym w:font="Symbol" w:char="F0B3"/>
      </w:r>
      <w:r w:rsidR="001E455A" w:rsidRPr="00C41FDC">
        <w:rPr>
          <w:color w:val="000000" w:themeColor="text1"/>
        </w:rPr>
        <w:t>2·</w:t>
      </w:r>
      <w:r w:rsidR="0015089F" w:rsidRPr="00C41FDC">
        <w:rPr>
          <w:color w:val="000000" w:themeColor="text1"/>
        </w:rPr>
        <w:t>5%</w:t>
      </w:r>
      <w:r w:rsidR="00227CD0" w:rsidRPr="00C41FDC">
        <w:rPr>
          <w:color w:val="000000" w:themeColor="text1"/>
        </w:rPr>
        <w:t>)</w:t>
      </w:r>
      <w:r w:rsidR="0015089F" w:rsidRPr="00C41FDC">
        <w:rPr>
          <w:color w:val="000000" w:themeColor="text1"/>
        </w:rPr>
        <w:t xml:space="preserve"> </w:t>
      </w:r>
      <w:r w:rsidR="00227CD0" w:rsidRPr="00C41FDC">
        <w:rPr>
          <w:color w:val="000000" w:themeColor="text1"/>
        </w:rPr>
        <w:t xml:space="preserve">was </w:t>
      </w:r>
      <w:r w:rsidR="000B6F24" w:rsidRPr="00C41FDC">
        <w:rPr>
          <w:color w:val="000000" w:themeColor="text1"/>
        </w:rPr>
        <w:t xml:space="preserve">significantly associated with </w:t>
      </w:r>
      <w:r w:rsidR="000B2C6B" w:rsidRPr="00C41FDC">
        <w:rPr>
          <w:color w:val="000000" w:themeColor="text1"/>
        </w:rPr>
        <w:t xml:space="preserve">LME-predicted </w:t>
      </w:r>
      <w:r w:rsidR="000B6F24" w:rsidRPr="00C41FDC">
        <w:rPr>
          <w:color w:val="000000" w:themeColor="text1"/>
        </w:rPr>
        <w:t xml:space="preserve">1-year FVC decline in </w:t>
      </w:r>
      <w:r w:rsidR="000675FC" w:rsidRPr="00C41FDC">
        <w:rPr>
          <w:color w:val="000000" w:themeColor="text1"/>
        </w:rPr>
        <w:t xml:space="preserve">univariable and </w:t>
      </w:r>
      <w:r w:rsidR="000B6F24" w:rsidRPr="00C41FDC">
        <w:rPr>
          <w:color w:val="000000" w:themeColor="text1"/>
        </w:rPr>
        <w:t>multivariable linear regression models in both cohorts (</w:t>
      </w:r>
      <w:r w:rsidR="000E422A" w:rsidRPr="00C41FDC">
        <w:rPr>
          <w:color w:val="000000" w:themeColor="text1"/>
        </w:rPr>
        <w:t xml:space="preserve">Table </w:t>
      </w:r>
      <w:r w:rsidR="00FE0C76" w:rsidRPr="00C41FDC">
        <w:rPr>
          <w:color w:val="000000" w:themeColor="text1"/>
        </w:rPr>
        <w:t>3</w:t>
      </w:r>
      <w:r w:rsidR="000E422A" w:rsidRPr="00C41FDC">
        <w:rPr>
          <w:color w:val="000000" w:themeColor="text1"/>
        </w:rPr>
        <w:t xml:space="preserve">, </w:t>
      </w:r>
      <w:r w:rsidR="008D24C9" w:rsidRPr="00C41FDC">
        <w:rPr>
          <w:color w:val="000000" w:themeColor="text1"/>
        </w:rPr>
        <w:t>Supplementary Table</w:t>
      </w:r>
      <w:r w:rsidR="000675FC" w:rsidRPr="00C41FDC">
        <w:rPr>
          <w:color w:val="000000" w:themeColor="text1"/>
        </w:rPr>
        <w:t xml:space="preserve"> </w:t>
      </w:r>
      <w:r w:rsidR="00A81B9A" w:rsidRPr="00C41FDC">
        <w:rPr>
          <w:color w:val="000000" w:themeColor="text1"/>
        </w:rPr>
        <w:t>4</w:t>
      </w:r>
      <w:r w:rsidR="002C15BB" w:rsidRPr="00C41FDC">
        <w:rPr>
          <w:color w:val="000000" w:themeColor="text1"/>
        </w:rPr>
        <w:t xml:space="preserve">, </w:t>
      </w:r>
      <w:r w:rsidR="008D24C9" w:rsidRPr="00C41FDC">
        <w:rPr>
          <w:color w:val="000000" w:themeColor="text1"/>
        </w:rPr>
        <w:t>Supplementary Table</w:t>
      </w:r>
      <w:r w:rsidR="002C15BB" w:rsidRPr="00C41FDC">
        <w:rPr>
          <w:color w:val="000000" w:themeColor="text1"/>
        </w:rPr>
        <w:t xml:space="preserve"> </w:t>
      </w:r>
      <w:r w:rsidR="00FE0C76" w:rsidRPr="00C41FDC">
        <w:rPr>
          <w:color w:val="000000" w:themeColor="text1"/>
        </w:rPr>
        <w:t>1</w:t>
      </w:r>
      <w:r w:rsidR="00A81B9A" w:rsidRPr="00C41FDC">
        <w:rPr>
          <w:color w:val="000000" w:themeColor="text1"/>
        </w:rPr>
        <w:t>2</w:t>
      </w:r>
      <w:r w:rsidR="000B6F24" w:rsidRPr="00C41FDC">
        <w:rPr>
          <w:color w:val="000000" w:themeColor="text1"/>
        </w:rPr>
        <w:t xml:space="preserve">). </w:t>
      </w:r>
      <w:bookmarkStart w:id="213" w:name="OLE_LINK217"/>
      <w:bookmarkStart w:id="214" w:name="OLE_LINK218"/>
      <w:r w:rsidR="00DE585E" w:rsidRPr="00C41FDC">
        <w:rPr>
          <w:color w:val="000000" w:themeColor="text1"/>
        </w:rPr>
        <w:t xml:space="preserve">Results were </w:t>
      </w:r>
      <w:r w:rsidR="00DE585E" w:rsidRPr="00C41FDC">
        <w:rPr>
          <w:color w:val="000000" w:themeColor="text1"/>
        </w:rPr>
        <w:lastRenderedPageBreak/>
        <w:t>maintained in both cohorts when adjusting for emphysema percentage and ILD percentage as distinct variables</w:t>
      </w:r>
      <w:r w:rsidR="00CD7595" w:rsidRPr="00C41FDC">
        <w:rPr>
          <w:color w:val="000000" w:themeColor="text1"/>
        </w:rPr>
        <w:t xml:space="preserve"> in models</w:t>
      </w:r>
      <w:r w:rsidR="00DE585E" w:rsidRPr="00C41FDC">
        <w:rPr>
          <w:color w:val="000000" w:themeColor="text1"/>
        </w:rPr>
        <w:t xml:space="preserve"> (results not shown).</w:t>
      </w:r>
      <w:bookmarkEnd w:id="213"/>
      <w:bookmarkEnd w:id="214"/>
    </w:p>
    <w:p w14:paraId="6A6F11DF" w14:textId="77777777" w:rsidR="00252C17" w:rsidRPr="00C41FDC" w:rsidRDefault="00252C17" w:rsidP="00235AF9">
      <w:pPr>
        <w:spacing w:line="480" w:lineRule="auto"/>
        <w:rPr>
          <w:color w:val="000000" w:themeColor="text1"/>
        </w:rPr>
      </w:pPr>
    </w:p>
    <w:p w14:paraId="5B13C5D7" w14:textId="55CBDE33" w:rsidR="00C04713" w:rsidRPr="00C41FDC" w:rsidRDefault="004D3AC3" w:rsidP="00252C17">
      <w:pPr>
        <w:spacing w:line="480" w:lineRule="auto"/>
        <w:rPr>
          <w:color w:val="000000" w:themeColor="text1"/>
        </w:rPr>
      </w:pPr>
      <w:bookmarkStart w:id="215" w:name="OLE_LINK17"/>
      <w:bookmarkStart w:id="216" w:name="OLE_LINK18"/>
      <w:bookmarkStart w:id="217" w:name="OLE_LINK96"/>
      <w:bookmarkEnd w:id="209"/>
      <w:bookmarkEnd w:id="210"/>
      <w:r w:rsidRPr="00C41FDC">
        <w:rPr>
          <w:color w:val="000000" w:themeColor="text1"/>
        </w:rPr>
        <w:t>C</w:t>
      </w:r>
      <w:r w:rsidR="00C04713" w:rsidRPr="00C41FDC">
        <w:rPr>
          <w:rStyle w:val="titlemark"/>
          <w:rFonts w:eastAsia="Times New Roman"/>
          <w:b/>
          <w:color w:val="000000" w:themeColor="text1"/>
        </w:rPr>
        <w:t xml:space="preserve">omputerised PPFE severity </w:t>
      </w:r>
      <w:r w:rsidR="00484314" w:rsidRPr="00C41FDC">
        <w:rPr>
          <w:rStyle w:val="titlemark"/>
          <w:rFonts w:eastAsia="Times New Roman"/>
          <w:b/>
          <w:color w:val="000000" w:themeColor="text1"/>
        </w:rPr>
        <w:t>in survival analysis</w:t>
      </w:r>
    </w:p>
    <w:p w14:paraId="5379C4A8" w14:textId="7BABE253" w:rsidR="00BC4CB2" w:rsidRPr="00C41FDC" w:rsidRDefault="00D728BF" w:rsidP="000570A2">
      <w:pPr>
        <w:spacing w:line="480" w:lineRule="auto"/>
        <w:rPr>
          <w:color w:val="000000" w:themeColor="text1"/>
        </w:rPr>
      </w:pPr>
      <w:bookmarkStart w:id="218" w:name="OLE_LINK52"/>
      <w:bookmarkStart w:id="219" w:name="OLE_LINK53"/>
      <w:bookmarkEnd w:id="215"/>
      <w:bookmarkEnd w:id="216"/>
      <w:bookmarkEnd w:id="217"/>
      <w:r w:rsidRPr="00C41FDC">
        <w:rPr>
          <w:color w:val="000000" w:themeColor="text1"/>
        </w:rPr>
        <w:t>c</w:t>
      </w:r>
      <w:r w:rsidR="000570A2" w:rsidRPr="00C41FDC">
        <w:rPr>
          <w:color w:val="000000" w:themeColor="text1"/>
        </w:rPr>
        <w:t xml:space="preserve">PPFE </w:t>
      </w:r>
      <w:r w:rsidR="00CF7203" w:rsidRPr="00C41FDC">
        <w:rPr>
          <w:color w:val="000000" w:themeColor="text1"/>
        </w:rPr>
        <w:t>dichotomised</w:t>
      </w:r>
      <w:r w:rsidR="000570A2" w:rsidRPr="00C41FDC">
        <w:rPr>
          <w:color w:val="000000" w:themeColor="text1"/>
        </w:rPr>
        <w:t xml:space="preserve"> at </w:t>
      </w:r>
      <w:r w:rsidR="000570A2" w:rsidRPr="00C41FDC">
        <w:rPr>
          <w:color w:val="000000" w:themeColor="text1"/>
        </w:rPr>
        <w:sym w:font="Symbol" w:char="F0B3"/>
      </w:r>
      <w:r w:rsidR="001E455A" w:rsidRPr="00C41FDC">
        <w:rPr>
          <w:color w:val="000000" w:themeColor="text1"/>
        </w:rPr>
        <w:t>2·</w:t>
      </w:r>
      <w:r w:rsidR="000570A2" w:rsidRPr="00C41FDC">
        <w:rPr>
          <w:color w:val="000000" w:themeColor="text1"/>
        </w:rPr>
        <w:t xml:space="preserve">5% </w:t>
      </w:r>
      <w:r w:rsidR="008B7F2C" w:rsidRPr="00C41FDC">
        <w:rPr>
          <w:color w:val="000000" w:themeColor="text1"/>
        </w:rPr>
        <w:t xml:space="preserve">was </w:t>
      </w:r>
      <w:r w:rsidR="00480E9E" w:rsidRPr="00C41FDC">
        <w:rPr>
          <w:color w:val="000000" w:themeColor="text1"/>
        </w:rPr>
        <w:t xml:space="preserve">significantly </w:t>
      </w:r>
      <w:r w:rsidR="008B7F2C" w:rsidRPr="00C41FDC">
        <w:rPr>
          <w:color w:val="000000" w:themeColor="text1"/>
        </w:rPr>
        <w:t xml:space="preserve">associated with </w:t>
      </w:r>
      <w:r w:rsidR="00480E9E" w:rsidRPr="00C41FDC">
        <w:rPr>
          <w:color w:val="000000" w:themeColor="text1"/>
        </w:rPr>
        <w:t xml:space="preserve">mortality in </w:t>
      </w:r>
      <w:r w:rsidR="00484314" w:rsidRPr="00C41FDC">
        <w:rPr>
          <w:color w:val="000000" w:themeColor="text1"/>
        </w:rPr>
        <w:t>derivation (multivariable HR=</w:t>
      </w:r>
      <w:r w:rsidR="001D47C7" w:rsidRPr="00C41FDC">
        <w:rPr>
          <w:color w:val="000000" w:themeColor="text1"/>
        </w:rPr>
        <w:t>4</w:t>
      </w:r>
      <w:bookmarkStart w:id="220" w:name="OLE_LINK179"/>
      <w:bookmarkStart w:id="221" w:name="OLE_LINK180"/>
      <w:bookmarkStart w:id="222" w:name="OLE_LINK181"/>
      <w:r w:rsidR="001D47C7" w:rsidRPr="00C41FDC">
        <w:rPr>
          <w:color w:val="000000" w:themeColor="text1"/>
        </w:rPr>
        <w:t>·</w:t>
      </w:r>
      <w:bookmarkEnd w:id="220"/>
      <w:bookmarkEnd w:id="221"/>
      <w:bookmarkEnd w:id="222"/>
      <w:r w:rsidR="001D47C7" w:rsidRPr="00C41FDC">
        <w:rPr>
          <w:color w:val="000000" w:themeColor="text1"/>
        </w:rPr>
        <w:t>25</w:t>
      </w:r>
      <w:r w:rsidR="00484314" w:rsidRPr="00C41FDC">
        <w:rPr>
          <w:color w:val="000000" w:themeColor="text1"/>
        </w:rPr>
        <w:t xml:space="preserve">, 95% CI </w:t>
      </w:r>
      <w:r w:rsidR="001D47C7" w:rsidRPr="00C41FDC">
        <w:rPr>
          <w:color w:val="000000" w:themeColor="text1"/>
        </w:rPr>
        <w:t>2·48</w:t>
      </w:r>
      <w:r w:rsidR="00484314" w:rsidRPr="00C41FDC">
        <w:rPr>
          <w:color w:val="000000" w:themeColor="text1"/>
        </w:rPr>
        <w:t>–</w:t>
      </w:r>
      <w:r w:rsidR="001D47C7" w:rsidRPr="00C41FDC">
        <w:rPr>
          <w:color w:val="000000" w:themeColor="text1"/>
        </w:rPr>
        <w:t>7·29</w:t>
      </w:r>
      <w:r w:rsidR="00484314" w:rsidRPr="00C41FDC">
        <w:rPr>
          <w:color w:val="000000" w:themeColor="text1"/>
        </w:rPr>
        <w:t>, p</w:t>
      </w:r>
      <w:r w:rsidR="001D47C7" w:rsidRPr="00C41FDC">
        <w:rPr>
          <w:color w:val="000000" w:themeColor="text1"/>
        </w:rPr>
        <w:t>&lt;0·0001</w:t>
      </w:r>
      <w:r w:rsidR="00484314" w:rsidRPr="00C41FDC">
        <w:rPr>
          <w:color w:val="000000" w:themeColor="text1"/>
        </w:rPr>
        <w:t>) and validation (multivariable HR=</w:t>
      </w:r>
      <w:r w:rsidR="001D47C7" w:rsidRPr="00C41FDC">
        <w:rPr>
          <w:color w:val="000000" w:themeColor="text1"/>
        </w:rPr>
        <w:t>2·06</w:t>
      </w:r>
      <w:r w:rsidR="00484314" w:rsidRPr="00C41FDC">
        <w:rPr>
          <w:color w:val="000000" w:themeColor="text1"/>
        </w:rPr>
        <w:t xml:space="preserve">, 95% CI </w:t>
      </w:r>
      <w:r w:rsidR="001D47C7" w:rsidRPr="00C41FDC">
        <w:rPr>
          <w:color w:val="000000" w:themeColor="text1"/>
        </w:rPr>
        <w:t>1·28</w:t>
      </w:r>
      <w:r w:rsidR="00484314" w:rsidRPr="00C41FDC">
        <w:rPr>
          <w:color w:val="000000" w:themeColor="text1"/>
        </w:rPr>
        <w:t>–</w:t>
      </w:r>
      <w:r w:rsidR="001D47C7" w:rsidRPr="00C41FDC">
        <w:rPr>
          <w:color w:val="000000" w:themeColor="text1"/>
        </w:rPr>
        <w:t>3·31</w:t>
      </w:r>
      <w:r w:rsidR="00484314" w:rsidRPr="00C41FDC">
        <w:rPr>
          <w:color w:val="000000" w:themeColor="text1"/>
        </w:rPr>
        <w:t>, p=</w:t>
      </w:r>
      <w:r w:rsidR="001D47C7" w:rsidRPr="00C41FDC">
        <w:rPr>
          <w:color w:val="000000" w:themeColor="text1"/>
        </w:rPr>
        <w:t>0·003</w:t>
      </w:r>
      <w:r w:rsidR="00484314" w:rsidRPr="00C41FDC">
        <w:rPr>
          <w:color w:val="000000" w:themeColor="text1"/>
        </w:rPr>
        <w:t xml:space="preserve">) </w:t>
      </w:r>
      <w:r w:rsidR="000570A2" w:rsidRPr="00C41FDC">
        <w:rPr>
          <w:color w:val="000000" w:themeColor="text1"/>
        </w:rPr>
        <w:t>cohorts</w:t>
      </w:r>
      <w:r w:rsidR="009B0882" w:rsidRPr="00C41FDC">
        <w:rPr>
          <w:color w:val="000000" w:themeColor="text1"/>
        </w:rPr>
        <w:t xml:space="preserve"> on univariable and multivariable analysis</w:t>
      </w:r>
      <w:r w:rsidR="000570A2" w:rsidRPr="00C41FDC">
        <w:rPr>
          <w:color w:val="000000" w:themeColor="text1"/>
        </w:rPr>
        <w:t xml:space="preserve"> </w:t>
      </w:r>
      <w:r w:rsidR="00480E9E" w:rsidRPr="00C41FDC">
        <w:rPr>
          <w:color w:val="000000" w:themeColor="text1"/>
        </w:rPr>
        <w:t>(</w:t>
      </w:r>
      <w:r w:rsidRPr="00C41FDC">
        <w:rPr>
          <w:color w:val="000000" w:themeColor="text1"/>
        </w:rPr>
        <w:t xml:space="preserve">Table </w:t>
      </w:r>
      <w:r w:rsidR="00FE0C76" w:rsidRPr="00C41FDC">
        <w:rPr>
          <w:color w:val="000000" w:themeColor="text1"/>
        </w:rPr>
        <w:t>5</w:t>
      </w:r>
      <w:r w:rsidR="000E422A" w:rsidRPr="00C41FDC">
        <w:rPr>
          <w:color w:val="000000" w:themeColor="text1"/>
        </w:rPr>
        <w:t>,</w:t>
      </w:r>
      <w:r w:rsidRPr="00C41FDC">
        <w:rPr>
          <w:color w:val="000000" w:themeColor="text1"/>
        </w:rPr>
        <w:t xml:space="preserve"> </w:t>
      </w:r>
      <w:r w:rsidR="008D24C9" w:rsidRPr="00C41FDC">
        <w:rPr>
          <w:color w:val="000000" w:themeColor="text1"/>
        </w:rPr>
        <w:t>Supplementary Table</w:t>
      </w:r>
      <w:r w:rsidR="000E422A" w:rsidRPr="00C41FDC">
        <w:rPr>
          <w:color w:val="000000" w:themeColor="text1"/>
        </w:rPr>
        <w:t>s</w:t>
      </w:r>
      <w:r w:rsidR="00360818" w:rsidRPr="00C41FDC">
        <w:rPr>
          <w:color w:val="000000" w:themeColor="text1"/>
        </w:rPr>
        <w:t xml:space="preserve"> </w:t>
      </w:r>
      <w:r w:rsidR="00A81B9A" w:rsidRPr="00C41FDC">
        <w:rPr>
          <w:color w:val="000000" w:themeColor="text1"/>
        </w:rPr>
        <w:t>6</w:t>
      </w:r>
      <w:r w:rsidR="000E422A" w:rsidRPr="00C41FDC">
        <w:rPr>
          <w:color w:val="000000" w:themeColor="text1"/>
        </w:rPr>
        <w:t xml:space="preserve"> and </w:t>
      </w:r>
      <w:r w:rsidR="00FE0C76" w:rsidRPr="00C41FDC">
        <w:rPr>
          <w:color w:val="000000" w:themeColor="text1"/>
        </w:rPr>
        <w:t>1</w:t>
      </w:r>
      <w:r w:rsidR="00A81B9A" w:rsidRPr="00C41FDC">
        <w:rPr>
          <w:color w:val="000000" w:themeColor="text1"/>
        </w:rPr>
        <w:t>3</w:t>
      </w:r>
      <w:r w:rsidR="00480E9E" w:rsidRPr="00C41FDC">
        <w:rPr>
          <w:color w:val="000000" w:themeColor="text1"/>
        </w:rPr>
        <w:t xml:space="preserve">). </w:t>
      </w:r>
      <w:r w:rsidRPr="00C41FDC">
        <w:rPr>
          <w:color w:val="000000" w:themeColor="text1"/>
        </w:rPr>
        <w:t>R</w:t>
      </w:r>
      <w:r w:rsidR="00480E9E" w:rsidRPr="00C41FDC">
        <w:rPr>
          <w:color w:val="000000" w:themeColor="text1"/>
        </w:rPr>
        <w:t xml:space="preserve">esults were maintained when </w:t>
      </w:r>
      <w:r w:rsidR="000E422A" w:rsidRPr="00C41FDC">
        <w:rPr>
          <w:color w:val="000000" w:themeColor="text1"/>
        </w:rPr>
        <w:t xml:space="preserve">cPPFE was considered as a continuous variable </w:t>
      </w:r>
      <w:r w:rsidR="00961D70" w:rsidRPr="00C41FDC">
        <w:rPr>
          <w:color w:val="000000" w:themeColor="text1"/>
        </w:rPr>
        <w:t>(</w:t>
      </w:r>
      <w:r w:rsidR="008D24C9" w:rsidRPr="00C41FDC">
        <w:rPr>
          <w:color w:val="000000" w:themeColor="text1"/>
        </w:rPr>
        <w:t>Supplementary Table</w:t>
      </w:r>
      <w:r w:rsidR="00961D70" w:rsidRPr="00C41FDC">
        <w:rPr>
          <w:color w:val="000000" w:themeColor="text1"/>
        </w:rPr>
        <w:t xml:space="preserve"> </w:t>
      </w:r>
      <w:r w:rsidR="00A7466E" w:rsidRPr="00C41FDC">
        <w:rPr>
          <w:color w:val="000000" w:themeColor="text1"/>
        </w:rPr>
        <w:t>1</w:t>
      </w:r>
      <w:r w:rsidR="00A81B9A" w:rsidRPr="00C41FDC">
        <w:rPr>
          <w:color w:val="000000" w:themeColor="text1"/>
        </w:rPr>
        <w:t>4</w:t>
      </w:r>
      <w:r w:rsidR="000E422A" w:rsidRPr="00C41FDC">
        <w:rPr>
          <w:color w:val="000000" w:themeColor="text1"/>
        </w:rPr>
        <w:t>-</w:t>
      </w:r>
      <w:r w:rsidR="00A7466E" w:rsidRPr="00C41FDC">
        <w:rPr>
          <w:color w:val="000000" w:themeColor="text1"/>
        </w:rPr>
        <w:t>1</w:t>
      </w:r>
      <w:r w:rsidR="00A81B9A" w:rsidRPr="00C41FDC">
        <w:rPr>
          <w:color w:val="000000" w:themeColor="text1"/>
        </w:rPr>
        <w:t>5</w:t>
      </w:r>
      <w:r w:rsidR="00961D70" w:rsidRPr="00C41FDC">
        <w:rPr>
          <w:color w:val="000000" w:themeColor="text1"/>
        </w:rPr>
        <w:t>)</w:t>
      </w:r>
      <w:r w:rsidR="00DE585E" w:rsidRPr="00C41FDC">
        <w:rPr>
          <w:color w:val="000000" w:themeColor="text1"/>
        </w:rPr>
        <w:t>, when adjusting for emphysema and ILD percentage as distinct model variables (results not shown),</w:t>
      </w:r>
      <w:r w:rsidR="009B0882" w:rsidRPr="00C41FDC">
        <w:rPr>
          <w:color w:val="000000" w:themeColor="text1"/>
        </w:rPr>
        <w:t xml:space="preserve"> and </w:t>
      </w:r>
      <w:r w:rsidR="00B168F5" w:rsidRPr="00C41FDC">
        <w:rPr>
          <w:color w:val="000000" w:themeColor="text1"/>
        </w:rPr>
        <w:t xml:space="preserve">in </w:t>
      </w:r>
      <w:r w:rsidR="009B0882" w:rsidRPr="00C41FDC">
        <w:rPr>
          <w:color w:val="000000" w:themeColor="text1"/>
        </w:rPr>
        <w:t xml:space="preserve">the subset of </w:t>
      </w:r>
      <w:r w:rsidR="00B168F5" w:rsidRPr="00C41FDC">
        <w:rPr>
          <w:color w:val="000000" w:themeColor="text1"/>
        </w:rPr>
        <w:t xml:space="preserve">patients approved by regulators for receiving antifibrotic medication </w:t>
      </w:r>
      <w:r w:rsidR="00EB410B" w:rsidRPr="00C41FDC">
        <w:rPr>
          <w:color w:val="000000" w:themeColor="text1"/>
        </w:rPr>
        <w:t>(</w:t>
      </w:r>
      <w:r w:rsidR="008D24C9" w:rsidRPr="00C41FDC">
        <w:rPr>
          <w:color w:val="000000" w:themeColor="text1"/>
        </w:rPr>
        <w:t>Supplementary Table</w:t>
      </w:r>
      <w:r w:rsidR="00EB410B" w:rsidRPr="00C41FDC">
        <w:rPr>
          <w:color w:val="000000" w:themeColor="text1"/>
        </w:rPr>
        <w:t xml:space="preserve"> </w:t>
      </w:r>
      <w:r w:rsidR="00A81B9A" w:rsidRPr="00C41FDC">
        <w:rPr>
          <w:color w:val="000000" w:themeColor="text1"/>
        </w:rPr>
        <w:t>16</w:t>
      </w:r>
      <w:r w:rsidR="00EB410B" w:rsidRPr="00C41FDC">
        <w:rPr>
          <w:color w:val="000000" w:themeColor="text1"/>
        </w:rPr>
        <w:t>).</w:t>
      </w:r>
      <w:r w:rsidR="00B168F5" w:rsidRPr="00C41FDC">
        <w:rPr>
          <w:color w:val="000000" w:themeColor="text1"/>
        </w:rPr>
        <w:t xml:space="preserve"> </w:t>
      </w:r>
      <w:bookmarkStart w:id="223" w:name="OLE_LINK186"/>
      <w:bookmarkStart w:id="224" w:name="OLE_LINK187"/>
      <w:bookmarkStart w:id="225" w:name="OLE_LINK152"/>
      <w:bookmarkStart w:id="226" w:name="OLE_LINK153"/>
      <w:r w:rsidR="00D237CC" w:rsidRPr="00C41FDC">
        <w:rPr>
          <w:color w:val="000000" w:themeColor="text1"/>
        </w:rPr>
        <w:t xml:space="preserve">A non-significant effect of antifibrotic treatment (never/ever across follow-up) was observed in derivation and validation cohorts. In the combined IPF cohort, antifibrotic treatment was significantly associated with a lower risk of mortality, with findings maintained in the subset of patients with PPFE on CT (Supplementary Table </w:t>
      </w:r>
      <w:r w:rsidR="00A81B9A" w:rsidRPr="00C41FDC">
        <w:rPr>
          <w:color w:val="000000" w:themeColor="text1"/>
        </w:rPr>
        <w:t>17</w:t>
      </w:r>
      <w:r w:rsidR="00D237CC" w:rsidRPr="00C41FDC">
        <w:rPr>
          <w:color w:val="000000" w:themeColor="text1"/>
        </w:rPr>
        <w:t>).</w:t>
      </w:r>
      <w:bookmarkEnd w:id="223"/>
      <w:bookmarkEnd w:id="224"/>
    </w:p>
    <w:p w14:paraId="7E9127BE" w14:textId="77777777" w:rsidR="00BC4CB2" w:rsidRPr="00C41FDC" w:rsidRDefault="00BC4CB2" w:rsidP="000570A2">
      <w:pPr>
        <w:spacing w:line="480" w:lineRule="auto"/>
        <w:rPr>
          <w:color w:val="000000" w:themeColor="text1"/>
        </w:rPr>
      </w:pPr>
    </w:p>
    <w:p w14:paraId="51825052" w14:textId="70CB0010" w:rsidR="00C04713" w:rsidRPr="00C41FDC" w:rsidRDefault="00BC4CB2" w:rsidP="000570A2">
      <w:pPr>
        <w:spacing w:line="480" w:lineRule="auto"/>
        <w:rPr>
          <w:color w:val="000000" w:themeColor="text1"/>
        </w:rPr>
      </w:pPr>
      <w:bookmarkStart w:id="227" w:name="OLE_LINK111"/>
      <w:bookmarkStart w:id="228" w:name="OLE_LINK112"/>
      <w:r w:rsidRPr="00C41FDC">
        <w:rPr>
          <w:color w:val="000000" w:themeColor="text1"/>
        </w:rPr>
        <w:t xml:space="preserve">On Kaplan-Meier analysis in the combined IPF cohort, the </w:t>
      </w:r>
      <w:r w:rsidR="00D728BF" w:rsidRPr="00C41FDC">
        <w:rPr>
          <w:color w:val="000000" w:themeColor="text1"/>
        </w:rPr>
        <w:t>c</w:t>
      </w:r>
      <w:r w:rsidR="00B168F5" w:rsidRPr="00C41FDC">
        <w:rPr>
          <w:color w:val="000000" w:themeColor="text1"/>
        </w:rPr>
        <w:t>PPFE threshold</w:t>
      </w:r>
      <w:r w:rsidR="009B0882" w:rsidRPr="00C41FDC">
        <w:rPr>
          <w:color w:val="000000" w:themeColor="text1"/>
        </w:rPr>
        <w:t xml:space="preserve"> of </w:t>
      </w:r>
      <w:bookmarkStart w:id="229" w:name="OLE_LINK113"/>
      <w:bookmarkStart w:id="230" w:name="OLE_LINK114"/>
      <w:bookmarkStart w:id="231" w:name="OLE_LINK182"/>
      <w:bookmarkStart w:id="232" w:name="OLE_LINK183"/>
      <w:r w:rsidR="0073480D" w:rsidRPr="00C41FDC">
        <w:rPr>
          <w:rFonts w:eastAsia="Times New Roman"/>
          <w:b/>
          <w:bCs/>
          <w:color w:val="000000" w:themeColor="text1"/>
        </w:rPr>
        <w:sym w:font="Symbol" w:char="F0B3"/>
      </w:r>
      <w:bookmarkEnd w:id="229"/>
      <w:bookmarkEnd w:id="230"/>
      <w:r w:rsidR="001E455A" w:rsidRPr="00C41FDC">
        <w:rPr>
          <w:color w:val="000000" w:themeColor="text1"/>
        </w:rPr>
        <w:t>2·</w:t>
      </w:r>
      <w:r w:rsidR="009B0882" w:rsidRPr="00C41FDC">
        <w:rPr>
          <w:color w:val="000000" w:themeColor="text1"/>
        </w:rPr>
        <w:t>5%</w:t>
      </w:r>
      <w:bookmarkEnd w:id="231"/>
      <w:bookmarkEnd w:id="232"/>
      <w:r w:rsidR="007109CD" w:rsidRPr="00C41FDC">
        <w:rPr>
          <w:color w:val="000000" w:themeColor="text1"/>
        </w:rPr>
        <w:t xml:space="preserve"> </w:t>
      </w:r>
      <w:r w:rsidR="00B168F5" w:rsidRPr="00C41FDC">
        <w:rPr>
          <w:color w:val="000000" w:themeColor="text1"/>
        </w:rPr>
        <w:t xml:space="preserve">identified </w:t>
      </w:r>
      <w:r w:rsidR="004020C5" w:rsidRPr="00C41FDC">
        <w:rPr>
          <w:color w:val="000000" w:themeColor="text1"/>
        </w:rPr>
        <w:t xml:space="preserve">a risk group of </w:t>
      </w:r>
      <w:r w:rsidR="007109CD" w:rsidRPr="00C41FDC">
        <w:rPr>
          <w:color w:val="000000" w:themeColor="text1"/>
        </w:rPr>
        <w:t>8</w:t>
      </w:r>
      <w:r w:rsidR="001D4628" w:rsidRPr="00C41FDC">
        <w:rPr>
          <w:color w:val="000000" w:themeColor="text1"/>
        </w:rPr>
        <w:t>7</w:t>
      </w:r>
      <w:r w:rsidRPr="00C41FDC">
        <w:rPr>
          <w:color w:val="000000" w:themeColor="text1"/>
        </w:rPr>
        <w:t xml:space="preserve"> </w:t>
      </w:r>
      <w:r w:rsidR="007109CD" w:rsidRPr="00C41FDC">
        <w:rPr>
          <w:color w:val="000000" w:themeColor="text1"/>
        </w:rPr>
        <w:t>patients</w:t>
      </w:r>
      <w:r w:rsidR="00D237CC" w:rsidRPr="00C41FDC">
        <w:rPr>
          <w:color w:val="000000" w:themeColor="text1"/>
        </w:rPr>
        <w:t xml:space="preserve"> with limited median survival</w:t>
      </w:r>
      <w:r w:rsidR="007109CD" w:rsidRPr="00C41FDC">
        <w:rPr>
          <w:color w:val="000000" w:themeColor="text1"/>
        </w:rPr>
        <w:t xml:space="preserve"> </w:t>
      </w:r>
      <w:r w:rsidRPr="00C41FDC">
        <w:rPr>
          <w:color w:val="000000" w:themeColor="text1"/>
        </w:rPr>
        <w:t>(1·9 years, 95% CI 1·6–2·5 years</w:t>
      </w:r>
      <w:r w:rsidR="00D237CC" w:rsidRPr="00C41FDC">
        <w:rPr>
          <w:color w:val="000000" w:themeColor="text1"/>
        </w:rPr>
        <w:t>) compared to better outcomes where the threshold was not reached (</w:t>
      </w:r>
      <w:r w:rsidR="005B1CD0" w:rsidRPr="00C41FDC">
        <w:rPr>
          <w:color w:val="000000" w:themeColor="text1"/>
        </w:rPr>
        <w:t>cPPFE &lt;2·5% median survival=4·7 years, 95% CI 3·</w:t>
      </w:r>
      <w:r w:rsidR="006B5235" w:rsidRPr="00C41FDC">
        <w:rPr>
          <w:color w:val="000000" w:themeColor="text1"/>
        </w:rPr>
        <w:t>6–6·2</w:t>
      </w:r>
      <w:r w:rsidR="005B1CD0" w:rsidRPr="00C41FDC">
        <w:rPr>
          <w:color w:val="000000" w:themeColor="text1"/>
        </w:rPr>
        <w:t xml:space="preserve"> years; no PPFE median survival</w:t>
      </w:r>
      <w:r w:rsidR="006B5235" w:rsidRPr="00C41FDC">
        <w:rPr>
          <w:color w:val="000000" w:themeColor="text1"/>
        </w:rPr>
        <w:t>=</w:t>
      </w:r>
      <w:r w:rsidR="005B1CD0" w:rsidRPr="00C41FDC">
        <w:rPr>
          <w:color w:val="000000" w:themeColor="text1"/>
        </w:rPr>
        <w:t>5·5 years, 95% CI 4·</w:t>
      </w:r>
      <w:r w:rsidR="006B5235" w:rsidRPr="00C41FDC">
        <w:rPr>
          <w:color w:val="000000" w:themeColor="text1"/>
        </w:rPr>
        <w:t>1–6·5</w:t>
      </w:r>
      <w:r w:rsidR="005B1CD0" w:rsidRPr="00C41FDC">
        <w:rPr>
          <w:color w:val="000000" w:themeColor="text1"/>
        </w:rPr>
        <w:t xml:space="preserve"> years</w:t>
      </w:r>
      <w:r w:rsidRPr="00C41FDC">
        <w:rPr>
          <w:color w:val="000000" w:themeColor="text1"/>
        </w:rPr>
        <w:t>)</w:t>
      </w:r>
      <w:r w:rsidR="00D237CC" w:rsidRPr="00C41FDC">
        <w:rPr>
          <w:color w:val="000000" w:themeColor="text1"/>
        </w:rPr>
        <w:t>.</w:t>
      </w:r>
      <w:r w:rsidR="00644622" w:rsidRPr="00C41FDC">
        <w:rPr>
          <w:color w:val="000000" w:themeColor="text1"/>
        </w:rPr>
        <w:t xml:space="preserve"> </w:t>
      </w:r>
      <w:r w:rsidR="00D237CC" w:rsidRPr="00C41FDC">
        <w:rPr>
          <w:color w:val="000000" w:themeColor="text1"/>
        </w:rPr>
        <w:t xml:space="preserve">In contrast, </w:t>
      </w:r>
      <w:r w:rsidR="007109CD" w:rsidRPr="00C41FDC">
        <w:rPr>
          <w:color w:val="000000" w:themeColor="text1"/>
        </w:rPr>
        <w:t xml:space="preserve">marked </w:t>
      </w:r>
      <w:r w:rsidR="00D728BF" w:rsidRPr="00C41FDC">
        <w:rPr>
          <w:color w:val="000000" w:themeColor="text1"/>
        </w:rPr>
        <w:t>vPPFE</w:t>
      </w:r>
      <w:r w:rsidR="007109CD" w:rsidRPr="00C41FDC">
        <w:rPr>
          <w:color w:val="000000" w:themeColor="text1"/>
        </w:rPr>
        <w:t xml:space="preserve"> identified</w:t>
      </w:r>
      <w:r w:rsidR="00D728BF" w:rsidRPr="00C41FDC">
        <w:rPr>
          <w:color w:val="000000" w:themeColor="text1"/>
        </w:rPr>
        <w:t xml:space="preserve"> </w:t>
      </w:r>
      <w:r w:rsidR="004020C5" w:rsidRPr="00C41FDC">
        <w:rPr>
          <w:color w:val="000000" w:themeColor="text1"/>
        </w:rPr>
        <w:t xml:space="preserve">a </w:t>
      </w:r>
      <w:r w:rsidR="00D237CC" w:rsidRPr="00C41FDC">
        <w:rPr>
          <w:color w:val="000000" w:themeColor="text1"/>
        </w:rPr>
        <w:t xml:space="preserve">more restricted </w:t>
      </w:r>
      <w:r w:rsidR="004020C5" w:rsidRPr="00C41FDC">
        <w:rPr>
          <w:color w:val="000000" w:themeColor="text1"/>
        </w:rPr>
        <w:t xml:space="preserve">group of </w:t>
      </w:r>
      <w:r w:rsidR="007109CD" w:rsidRPr="00C41FDC">
        <w:rPr>
          <w:color w:val="000000" w:themeColor="text1"/>
        </w:rPr>
        <w:t>3</w:t>
      </w:r>
      <w:r w:rsidR="001D4628" w:rsidRPr="00C41FDC">
        <w:rPr>
          <w:color w:val="000000" w:themeColor="text1"/>
        </w:rPr>
        <w:t>1</w:t>
      </w:r>
      <w:bookmarkEnd w:id="225"/>
      <w:bookmarkEnd w:id="226"/>
      <w:r w:rsidRPr="00C41FDC">
        <w:rPr>
          <w:color w:val="000000" w:themeColor="text1"/>
        </w:rPr>
        <w:t xml:space="preserve"> </w:t>
      </w:r>
      <w:r w:rsidR="007109CD" w:rsidRPr="00C41FDC">
        <w:rPr>
          <w:color w:val="000000" w:themeColor="text1"/>
        </w:rPr>
        <w:t xml:space="preserve">patients </w:t>
      </w:r>
      <w:r w:rsidR="00D237CC" w:rsidRPr="00C41FDC">
        <w:rPr>
          <w:color w:val="000000" w:themeColor="text1"/>
        </w:rPr>
        <w:t xml:space="preserve">with low survival </w:t>
      </w:r>
      <w:r w:rsidR="00B168F5" w:rsidRPr="00C41FDC">
        <w:rPr>
          <w:color w:val="000000" w:themeColor="text1"/>
        </w:rPr>
        <w:t>(</w:t>
      </w:r>
      <w:r w:rsidR="00F47848" w:rsidRPr="00C41FDC">
        <w:rPr>
          <w:color w:val="000000" w:themeColor="text1"/>
        </w:rPr>
        <w:t xml:space="preserve">marked vPPFE </w:t>
      </w:r>
      <w:r w:rsidRPr="00C41FDC">
        <w:rPr>
          <w:color w:val="000000" w:themeColor="text1"/>
        </w:rPr>
        <w:t>median survival=1</w:t>
      </w:r>
      <w:bookmarkStart w:id="233" w:name="OLE_LINK184"/>
      <w:bookmarkStart w:id="234" w:name="OLE_LINK185"/>
      <w:r w:rsidRPr="00C41FDC">
        <w:rPr>
          <w:color w:val="000000" w:themeColor="text1"/>
        </w:rPr>
        <w:t>·</w:t>
      </w:r>
      <w:bookmarkEnd w:id="233"/>
      <w:bookmarkEnd w:id="234"/>
      <w:r w:rsidRPr="00C41FDC">
        <w:rPr>
          <w:color w:val="000000" w:themeColor="text1"/>
        </w:rPr>
        <w:t>8 years, 95% CI 1·</w:t>
      </w:r>
      <w:r w:rsidR="006B5235" w:rsidRPr="00C41FDC">
        <w:rPr>
          <w:color w:val="000000" w:themeColor="text1"/>
        </w:rPr>
        <w:t>2</w:t>
      </w:r>
      <w:r w:rsidRPr="00C41FDC">
        <w:rPr>
          <w:color w:val="000000" w:themeColor="text1"/>
        </w:rPr>
        <w:t>–</w:t>
      </w:r>
      <w:r w:rsidR="006B5235" w:rsidRPr="00C41FDC">
        <w:rPr>
          <w:color w:val="000000" w:themeColor="text1"/>
        </w:rPr>
        <w:t>2</w:t>
      </w:r>
      <w:r w:rsidRPr="00C41FDC">
        <w:rPr>
          <w:color w:val="000000" w:themeColor="text1"/>
        </w:rPr>
        <w:t>·</w:t>
      </w:r>
      <w:r w:rsidR="006B5235" w:rsidRPr="00C41FDC">
        <w:rPr>
          <w:color w:val="000000" w:themeColor="text1"/>
        </w:rPr>
        <w:t>5</w:t>
      </w:r>
      <w:r w:rsidRPr="00C41FDC">
        <w:rPr>
          <w:color w:val="000000" w:themeColor="text1"/>
        </w:rPr>
        <w:t xml:space="preserve"> years</w:t>
      </w:r>
      <w:r w:rsidR="00F47848" w:rsidRPr="00C41FDC">
        <w:rPr>
          <w:color w:val="000000" w:themeColor="text1"/>
        </w:rPr>
        <w:t>; moderate vPPFE median survival=3·1 years, 95% CI 2·8–4·</w:t>
      </w:r>
      <w:r w:rsidR="006B5235" w:rsidRPr="00C41FDC">
        <w:rPr>
          <w:color w:val="000000" w:themeColor="text1"/>
        </w:rPr>
        <w:t>4</w:t>
      </w:r>
      <w:r w:rsidR="00F47848" w:rsidRPr="00C41FDC">
        <w:rPr>
          <w:color w:val="000000" w:themeColor="text1"/>
        </w:rPr>
        <w:t xml:space="preserve"> years</w:t>
      </w:r>
      <w:r w:rsidR="00D237CC" w:rsidRPr="00C41FDC">
        <w:rPr>
          <w:color w:val="000000" w:themeColor="text1"/>
        </w:rPr>
        <w:t xml:space="preserve">) </w:t>
      </w:r>
      <w:r w:rsidRPr="00C41FDC">
        <w:rPr>
          <w:color w:val="000000" w:themeColor="text1"/>
        </w:rPr>
        <w:t>[</w:t>
      </w:r>
      <w:r w:rsidR="00B168F5" w:rsidRPr="00C41FDC">
        <w:rPr>
          <w:color w:val="000000" w:themeColor="text1"/>
        </w:rPr>
        <w:t xml:space="preserve">Figure </w:t>
      </w:r>
      <w:r w:rsidR="00F636AE" w:rsidRPr="00C41FDC">
        <w:rPr>
          <w:color w:val="000000" w:themeColor="text1"/>
        </w:rPr>
        <w:t>4</w:t>
      </w:r>
      <w:r w:rsidR="00EB2A03" w:rsidRPr="00C41FDC">
        <w:rPr>
          <w:color w:val="000000" w:themeColor="text1"/>
        </w:rPr>
        <w:t xml:space="preserve">, </w:t>
      </w:r>
      <w:r w:rsidR="008D24C9" w:rsidRPr="00C41FDC">
        <w:rPr>
          <w:color w:val="000000" w:themeColor="text1"/>
        </w:rPr>
        <w:t>Supplementary Figure</w:t>
      </w:r>
      <w:r w:rsidR="00EB2A03" w:rsidRPr="00C41FDC">
        <w:rPr>
          <w:color w:val="000000" w:themeColor="text1"/>
        </w:rPr>
        <w:t xml:space="preserve"> </w:t>
      </w:r>
      <w:r w:rsidR="00F636AE" w:rsidRPr="00C41FDC">
        <w:rPr>
          <w:color w:val="000000" w:themeColor="text1"/>
        </w:rPr>
        <w:t>1</w:t>
      </w:r>
      <w:r w:rsidRPr="00C41FDC">
        <w:rPr>
          <w:color w:val="000000" w:themeColor="text1"/>
        </w:rPr>
        <w:t>]</w:t>
      </w:r>
      <w:r w:rsidR="00B168F5" w:rsidRPr="00C41FDC">
        <w:rPr>
          <w:color w:val="000000" w:themeColor="text1"/>
        </w:rPr>
        <w:t>.</w:t>
      </w:r>
      <w:r w:rsidRPr="00C41FDC">
        <w:rPr>
          <w:color w:val="000000" w:themeColor="text1"/>
        </w:rPr>
        <w:t xml:space="preserve"> </w:t>
      </w:r>
      <w:r w:rsidR="0080152D" w:rsidRPr="00C41FDC">
        <w:rPr>
          <w:color w:val="000000" w:themeColor="text1"/>
        </w:rPr>
        <w:t xml:space="preserve">In the </w:t>
      </w:r>
      <w:r w:rsidR="0080152D" w:rsidRPr="00C41FDC">
        <w:rPr>
          <w:color w:val="000000" w:themeColor="text1"/>
        </w:rPr>
        <w:lastRenderedPageBreak/>
        <w:t xml:space="preserve">combined IPF cohort, 74 patients died within 2 years of baseline, 194 patients were alive at 2 years of baseline and 19 patients were censored in that time period. </w:t>
      </w:r>
      <w:r w:rsidRPr="00C41FDC">
        <w:rPr>
          <w:color w:val="000000" w:themeColor="text1"/>
        </w:rPr>
        <w:t xml:space="preserve">cPPFE </w:t>
      </w:r>
      <w:r w:rsidRPr="00C41FDC">
        <w:rPr>
          <w:rFonts w:eastAsia="Times New Roman"/>
          <w:b/>
          <w:bCs/>
          <w:color w:val="000000" w:themeColor="text1"/>
        </w:rPr>
        <w:sym w:font="Symbol" w:char="F0B3"/>
      </w:r>
      <w:r w:rsidRPr="00C41FDC">
        <w:rPr>
          <w:color w:val="000000" w:themeColor="text1"/>
        </w:rPr>
        <w:t xml:space="preserve">2·5% had a sensitivity of 59.5% for identifying patients who </w:t>
      </w:r>
      <w:r w:rsidR="002141DA" w:rsidRPr="00C41FDC">
        <w:rPr>
          <w:color w:val="000000" w:themeColor="text1"/>
        </w:rPr>
        <w:t xml:space="preserve">died </w:t>
      </w:r>
      <w:r w:rsidRPr="00C41FDC">
        <w:rPr>
          <w:color w:val="000000" w:themeColor="text1"/>
        </w:rPr>
        <w:t>within 2 years of baseline (specificity=79·9%, PPV=53.0%, NPV=83.8%)</w:t>
      </w:r>
      <w:r w:rsidR="006B5235" w:rsidRPr="00C41FDC">
        <w:rPr>
          <w:color w:val="000000" w:themeColor="text1"/>
        </w:rPr>
        <w:t>,</w:t>
      </w:r>
      <w:r w:rsidRPr="00C41FDC">
        <w:rPr>
          <w:color w:val="000000" w:themeColor="text1"/>
        </w:rPr>
        <w:t xml:space="preserve"> compared to marked vPPFE with a sensitivity of 23.0%</w:t>
      </w:r>
      <w:r w:rsidR="002141DA" w:rsidRPr="00C41FDC">
        <w:rPr>
          <w:color w:val="000000" w:themeColor="text1"/>
        </w:rPr>
        <w:t xml:space="preserve"> for identifying patients who died within 2 years of baseline</w:t>
      </w:r>
      <w:r w:rsidRPr="00C41FDC">
        <w:rPr>
          <w:color w:val="000000" w:themeColor="text1"/>
        </w:rPr>
        <w:t xml:space="preserve"> (specificity=93·8%, PPV=58.6%, NPV=76.2%).</w:t>
      </w:r>
    </w:p>
    <w:bookmarkEnd w:id="227"/>
    <w:bookmarkEnd w:id="228"/>
    <w:p w14:paraId="65399AE6" w14:textId="77777777" w:rsidR="00484314" w:rsidRPr="00C41FDC" w:rsidRDefault="00484314" w:rsidP="000570A2">
      <w:pPr>
        <w:spacing w:line="480" w:lineRule="auto"/>
        <w:rPr>
          <w:color w:val="000000" w:themeColor="text1"/>
        </w:rPr>
      </w:pPr>
    </w:p>
    <w:p w14:paraId="49BBC2F7" w14:textId="35D12DE5" w:rsidR="000570A2" w:rsidRPr="00C41FDC" w:rsidRDefault="00350E09" w:rsidP="00996026">
      <w:pPr>
        <w:spacing w:line="480" w:lineRule="auto"/>
        <w:rPr>
          <w:color w:val="000000" w:themeColor="text1"/>
        </w:rPr>
      </w:pPr>
      <w:bookmarkStart w:id="235" w:name="OLE_LINK135"/>
      <w:bookmarkStart w:id="236" w:name="OLE_LINK136"/>
      <w:bookmarkStart w:id="237" w:name="OLE_LINK234"/>
      <w:bookmarkEnd w:id="218"/>
      <w:bookmarkEnd w:id="219"/>
      <w:r w:rsidRPr="00C41FDC">
        <w:rPr>
          <w:color w:val="000000" w:themeColor="text1"/>
        </w:rPr>
        <w:t>AUC values for</w:t>
      </w:r>
      <w:r w:rsidR="00A44FFD" w:rsidRPr="00C41FDC">
        <w:rPr>
          <w:color w:val="000000" w:themeColor="text1"/>
        </w:rPr>
        <w:t xml:space="preserve"> continuous </w:t>
      </w:r>
      <w:r w:rsidR="00FC2264" w:rsidRPr="00C41FDC">
        <w:rPr>
          <w:color w:val="000000" w:themeColor="text1"/>
        </w:rPr>
        <w:t>c</w:t>
      </w:r>
      <w:r w:rsidR="00B168F5" w:rsidRPr="00C41FDC">
        <w:rPr>
          <w:color w:val="000000" w:themeColor="text1"/>
        </w:rPr>
        <w:t xml:space="preserve">PPFE </w:t>
      </w:r>
      <w:r w:rsidR="00A44FFD" w:rsidRPr="00C41FDC">
        <w:rPr>
          <w:color w:val="000000" w:themeColor="text1"/>
        </w:rPr>
        <w:t>s</w:t>
      </w:r>
      <w:r w:rsidR="00B05865" w:rsidRPr="00C41FDC">
        <w:rPr>
          <w:color w:val="000000" w:themeColor="text1"/>
        </w:rPr>
        <w:t>c</w:t>
      </w:r>
      <w:r w:rsidR="00A44FFD" w:rsidRPr="00C41FDC">
        <w:rPr>
          <w:color w:val="000000" w:themeColor="text1"/>
        </w:rPr>
        <w:t xml:space="preserve">ores </w:t>
      </w:r>
      <w:r w:rsidRPr="00C41FDC">
        <w:rPr>
          <w:color w:val="000000" w:themeColor="text1"/>
        </w:rPr>
        <w:t>were higher</w:t>
      </w:r>
      <w:r w:rsidR="0006386E" w:rsidRPr="00C41FDC">
        <w:rPr>
          <w:color w:val="000000" w:themeColor="text1"/>
        </w:rPr>
        <w:t xml:space="preserve"> than </w:t>
      </w:r>
      <w:r w:rsidRPr="00C41FDC">
        <w:rPr>
          <w:color w:val="000000" w:themeColor="text1"/>
        </w:rPr>
        <w:t xml:space="preserve">for </w:t>
      </w:r>
      <w:r w:rsidR="00B460E8" w:rsidRPr="00C41FDC">
        <w:rPr>
          <w:color w:val="000000" w:themeColor="text1"/>
        </w:rPr>
        <w:t>v</w:t>
      </w:r>
      <w:r w:rsidR="001A5D41" w:rsidRPr="00C41FDC">
        <w:rPr>
          <w:color w:val="000000" w:themeColor="text1"/>
        </w:rPr>
        <w:t>PPFE</w:t>
      </w:r>
      <w:r w:rsidR="00B05865" w:rsidRPr="00C41FDC">
        <w:rPr>
          <w:color w:val="000000" w:themeColor="text1"/>
        </w:rPr>
        <w:t>-</w:t>
      </w:r>
      <w:r w:rsidR="00B460E8" w:rsidRPr="00C41FDC">
        <w:rPr>
          <w:color w:val="000000" w:themeColor="text1"/>
        </w:rPr>
        <w:t>7-point</w:t>
      </w:r>
      <w:r w:rsidR="001A5D41" w:rsidRPr="00C41FDC">
        <w:rPr>
          <w:color w:val="000000" w:themeColor="text1"/>
        </w:rPr>
        <w:t xml:space="preserve"> </w:t>
      </w:r>
      <w:r w:rsidR="00A44FFD" w:rsidRPr="00C41FDC">
        <w:rPr>
          <w:color w:val="000000" w:themeColor="text1"/>
        </w:rPr>
        <w:t>score</w:t>
      </w:r>
      <w:r w:rsidR="00B279E0" w:rsidRPr="00C41FDC">
        <w:rPr>
          <w:color w:val="000000" w:themeColor="text1"/>
        </w:rPr>
        <w:t>s</w:t>
      </w:r>
      <w:r w:rsidR="00EB06F0" w:rsidRPr="00C41FDC">
        <w:rPr>
          <w:color w:val="000000" w:themeColor="text1"/>
        </w:rPr>
        <w:t xml:space="preserve"> when</w:t>
      </w:r>
      <w:r w:rsidR="0006386E" w:rsidRPr="00C41FDC">
        <w:rPr>
          <w:color w:val="000000" w:themeColor="text1"/>
        </w:rPr>
        <w:t xml:space="preserve"> </w:t>
      </w:r>
      <w:r w:rsidR="00AD43A9" w:rsidRPr="00C41FDC">
        <w:rPr>
          <w:color w:val="000000" w:themeColor="text1"/>
        </w:rPr>
        <w:t xml:space="preserve">discriminating outcomes </w:t>
      </w:r>
      <w:r w:rsidR="001A5D41" w:rsidRPr="00C41FDC">
        <w:rPr>
          <w:color w:val="000000" w:themeColor="text1"/>
        </w:rPr>
        <w:t>at 2</w:t>
      </w:r>
      <w:r w:rsidR="00A44FFD" w:rsidRPr="00C41FDC">
        <w:rPr>
          <w:color w:val="000000" w:themeColor="text1"/>
        </w:rPr>
        <w:t>-</w:t>
      </w:r>
      <w:r w:rsidR="001A5D41" w:rsidRPr="00C41FDC">
        <w:rPr>
          <w:color w:val="000000" w:themeColor="text1"/>
        </w:rPr>
        <w:t>years and 3</w:t>
      </w:r>
      <w:r w:rsidR="00A44FFD" w:rsidRPr="00C41FDC">
        <w:rPr>
          <w:color w:val="000000" w:themeColor="text1"/>
        </w:rPr>
        <w:t>-</w:t>
      </w:r>
      <w:r w:rsidR="001A5D41" w:rsidRPr="00C41FDC">
        <w:rPr>
          <w:color w:val="000000" w:themeColor="text1"/>
        </w:rPr>
        <w:t xml:space="preserve">years after baseline </w:t>
      </w:r>
      <w:r w:rsidR="0006386E" w:rsidRPr="00C41FDC">
        <w:rPr>
          <w:color w:val="000000" w:themeColor="text1"/>
        </w:rPr>
        <w:t xml:space="preserve">in </w:t>
      </w:r>
      <w:r w:rsidR="001A5D41" w:rsidRPr="00C41FDC">
        <w:rPr>
          <w:color w:val="000000" w:themeColor="text1"/>
        </w:rPr>
        <w:t>all IPF patients</w:t>
      </w:r>
      <w:r w:rsidR="00183002" w:rsidRPr="00C41FDC">
        <w:rPr>
          <w:color w:val="000000" w:themeColor="text1"/>
        </w:rPr>
        <w:t xml:space="preserve"> (2 years</w:t>
      </w:r>
      <w:r w:rsidR="00B76B08" w:rsidRPr="00C41FDC">
        <w:rPr>
          <w:color w:val="000000" w:themeColor="text1"/>
        </w:rPr>
        <w:t>:</w:t>
      </w:r>
      <w:r w:rsidR="00B01DA0" w:rsidRPr="00C41FDC">
        <w:rPr>
          <w:color w:val="000000" w:themeColor="text1"/>
        </w:rPr>
        <w:t xml:space="preserve"> </w:t>
      </w:r>
      <w:r w:rsidR="006B5235" w:rsidRPr="00C41FDC">
        <w:rPr>
          <w:color w:val="000000" w:themeColor="text1"/>
        </w:rPr>
        <w:t xml:space="preserve">continuous </w:t>
      </w:r>
      <w:r w:rsidR="00B01DA0" w:rsidRPr="00C41FDC">
        <w:rPr>
          <w:color w:val="000000" w:themeColor="text1"/>
        </w:rPr>
        <w:t>cPPFE AUC=0·729</w:t>
      </w:r>
      <w:r w:rsidR="00B76B08" w:rsidRPr="00C41FDC">
        <w:rPr>
          <w:color w:val="000000" w:themeColor="text1"/>
        </w:rPr>
        <w:t xml:space="preserve">, vPPFE-7-point AUC=0·674, </w:t>
      </w:r>
      <w:r w:rsidR="00183002" w:rsidRPr="00C41FDC">
        <w:rPr>
          <w:color w:val="000000" w:themeColor="text1"/>
        </w:rPr>
        <w:t>p=</w:t>
      </w:r>
      <w:r w:rsidR="001E455A" w:rsidRPr="00C41FDC">
        <w:rPr>
          <w:color w:val="000000" w:themeColor="text1"/>
        </w:rPr>
        <w:t>0·</w:t>
      </w:r>
      <w:r w:rsidR="00183002" w:rsidRPr="00C41FDC">
        <w:rPr>
          <w:color w:val="000000" w:themeColor="text1"/>
        </w:rPr>
        <w:t>0</w:t>
      </w:r>
      <w:r w:rsidR="00B279E0" w:rsidRPr="00C41FDC">
        <w:rPr>
          <w:color w:val="000000" w:themeColor="text1"/>
        </w:rPr>
        <w:t>02</w:t>
      </w:r>
      <w:r w:rsidR="00183002" w:rsidRPr="00C41FDC">
        <w:rPr>
          <w:color w:val="000000" w:themeColor="text1"/>
        </w:rPr>
        <w:t xml:space="preserve">; 3 years: </w:t>
      </w:r>
      <w:r w:rsidR="006B5235" w:rsidRPr="00C41FDC">
        <w:rPr>
          <w:color w:val="000000" w:themeColor="text1"/>
        </w:rPr>
        <w:t xml:space="preserve">continuous </w:t>
      </w:r>
      <w:r w:rsidR="00B76B08" w:rsidRPr="00C41FDC">
        <w:rPr>
          <w:color w:val="000000" w:themeColor="text1"/>
        </w:rPr>
        <w:t xml:space="preserve">cPPFE AUC=0·725, vPPFE-7-point AUC=0·669, </w:t>
      </w:r>
      <w:r w:rsidR="00183002" w:rsidRPr="00C41FDC">
        <w:rPr>
          <w:color w:val="000000" w:themeColor="text1"/>
        </w:rPr>
        <w:t>p=</w:t>
      </w:r>
      <w:r w:rsidR="001E455A" w:rsidRPr="00C41FDC">
        <w:rPr>
          <w:color w:val="000000" w:themeColor="text1"/>
        </w:rPr>
        <w:t>0·</w:t>
      </w:r>
      <w:r w:rsidR="00183002" w:rsidRPr="00C41FDC">
        <w:rPr>
          <w:color w:val="000000" w:themeColor="text1"/>
        </w:rPr>
        <w:t>000</w:t>
      </w:r>
      <w:r w:rsidR="00B279E0" w:rsidRPr="00C41FDC">
        <w:rPr>
          <w:color w:val="000000" w:themeColor="text1"/>
        </w:rPr>
        <w:t>3</w:t>
      </w:r>
      <w:r w:rsidR="00183002" w:rsidRPr="00C41FDC">
        <w:rPr>
          <w:color w:val="000000" w:themeColor="text1"/>
        </w:rPr>
        <w:t>)</w:t>
      </w:r>
      <w:r w:rsidR="001A5D41" w:rsidRPr="00C41FDC">
        <w:rPr>
          <w:color w:val="000000" w:themeColor="text1"/>
        </w:rPr>
        <w:t xml:space="preserve"> and </w:t>
      </w:r>
      <w:r w:rsidR="0006386E" w:rsidRPr="00C41FDC">
        <w:rPr>
          <w:color w:val="000000" w:themeColor="text1"/>
        </w:rPr>
        <w:t>IPF patients with PPFE (</w:t>
      </w:r>
      <w:r w:rsidR="00183002" w:rsidRPr="00C41FDC">
        <w:rPr>
          <w:color w:val="000000" w:themeColor="text1"/>
        </w:rPr>
        <w:t xml:space="preserve">2 years: </w:t>
      </w:r>
      <w:r w:rsidR="006B5235" w:rsidRPr="00C41FDC">
        <w:rPr>
          <w:color w:val="000000" w:themeColor="text1"/>
        </w:rPr>
        <w:t xml:space="preserve">continuous </w:t>
      </w:r>
      <w:r w:rsidR="00B76B08" w:rsidRPr="00C41FDC">
        <w:rPr>
          <w:color w:val="000000" w:themeColor="text1"/>
        </w:rPr>
        <w:t xml:space="preserve">cPPFE AUC=0·706, vPPFE-7-point AUC=0·578, </w:t>
      </w:r>
      <w:r w:rsidR="00183002" w:rsidRPr="00C41FDC">
        <w:rPr>
          <w:color w:val="000000" w:themeColor="text1"/>
        </w:rPr>
        <w:t>p=</w:t>
      </w:r>
      <w:r w:rsidR="001E455A" w:rsidRPr="00C41FDC">
        <w:rPr>
          <w:color w:val="000000" w:themeColor="text1"/>
        </w:rPr>
        <w:t>0·</w:t>
      </w:r>
      <w:r w:rsidR="00B279E0" w:rsidRPr="00C41FDC">
        <w:rPr>
          <w:color w:val="000000" w:themeColor="text1"/>
        </w:rPr>
        <w:t>001</w:t>
      </w:r>
      <w:r w:rsidR="00183002" w:rsidRPr="00C41FDC">
        <w:rPr>
          <w:color w:val="000000" w:themeColor="text1"/>
        </w:rPr>
        <w:t xml:space="preserve">; 3 years: </w:t>
      </w:r>
      <w:r w:rsidR="006B5235" w:rsidRPr="00C41FDC">
        <w:rPr>
          <w:color w:val="000000" w:themeColor="text1"/>
        </w:rPr>
        <w:t xml:space="preserve">continuous </w:t>
      </w:r>
      <w:r w:rsidR="00B76B08" w:rsidRPr="00C41FDC">
        <w:rPr>
          <w:color w:val="000000" w:themeColor="text1"/>
        </w:rPr>
        <w:t xml:space="preserve">cPPFE AUC=0·697, vPPFE-7-point AUC=0·554, </w:t>
      </w:r>
      <w:r w:rsidR="00183002" w:rsidRPr="00C41FDC">
        <w:rPr>
          <w:color w:val="000000" w:themeColor="text1"/>
        </w:rPr>
        <w:t>p=</w:t>
      </w:r>
      <w:r w:rsidR="001E455A" w:rsidRPr="00C41FDC">
        <w:rPr>
          <w:color w:val="000000" w:themeColor="text1"/>
        </w:rPr>
        <w:t>0·</w:t>
      </w:r>
      <w:r w:rsidR="00183002" w:rsidRPr="00C41FDC">
        <w:rPr>
          <w:color w:val="000000" w:themeColor="text1"/>
        </w:rPr>
        <w:t>000</w:t>
      </w:r>
      <w:r w:rsidR="00B279E0" w:rsidRPr="00C41FDC">
        <w:rPr>
          <w:color w:val="000000" w:themeColor="text1"/>
        </w:rPr>
        <w:t>1</w:t>
      </w:r>
      <w:r w:rsidR="00183002" w:rsidRPr="00C41FDC">
        <w:rPr>
          <w:color w:val="000000" w:themeColor="text1"/>
        </w:rPr>
        <w:t>) [</w:t>
      </w:r>
      <w:r w:rsidR="008D24C9" w:rsidRPr="00C41FDC">
        <w:rPr>
          <w:color w:val="000000" w:themeColor="text1"/>
        </w:rPr>
        <w:t>Supplementary Table</w:t>
      </w:r>
      <w:r w:rsidR="0006386E" w:rsidRPr="00C41FDC">
        <w:rPr>
          <w:color w:val="000000" w:themeColor="text1"/>
        </w:rPr>
        <w:t xml:space="preserve"> </w:t>
      </w:r>
      <w:r w:rsidR="00A81B9A" w:rsidRPr="00C41FDC">
        <w:rPr>
          <w:color w:val="000000" w:themeColor="text1"/>
        </w:rPr>
        <w:t>18</w:t>
      </w:r>
      <w:r w:rsidR="001A5D41" w:rsidRPr="00C41FDC">
        <w:rPr>
          <w:color w:val="000000" w:themeColor="text1"/>
        </w:rPr>
        <w:t xml:space="preserve">, </w:t>
      </w:r>
      <w:r w:rsidR="008D24C9" w:rsidRPr="00C41FDC">
        <w:rPr>
          <w:color w:val="000000" w:themeColor="text1"/>
        </w:rPr>
        <w:t>Supplementary Figure</w:t>
      </w:r>
      <w:r w:rsidR="001A5D41" w:rsidRPr="00C41FDC">
        <w:rPr>
          <w:color w:val="000000" w:themeColor="text1"/>
        </w:rPr>
        <w:t xml:space="preserve"> </w:t>
      </w:r>
      <w:r w:rsidR="007F32D5" w:rsidRPr="00C41FDC">
        <w:rPr>
          <w:color w:val="000000" w:themeColor="text1"/>
        </w:rPr>
        <w:t>4</w:t>
      </w:r>
      <w:r w:rsidR="00A81B9A" w:rsidRPr="00C41FDC">
        <w:rPr>
          <w:color w:val="000000" w:themeColor="text1"/>
        </w:rPr>
        <w:t>-</w:t>
      </w:r>
      <w:r w:rsidR="007F32D5" w:rsidRPr="00C41FDC">
        <w:rPr>
          <w:color w:val="000000" w:themeColor="text1"/>
        </w:rPr>
        <w:t>5</w:t>
      </w:r>
      <w:r w:rsidR="00183002" w:rsidRPr="00C41FDC">
        <w:rPr>
          <w:color w:val="000000" w:themeColor="text1"/>
        </w:rPr>
        <w:t>]</w:t>
      </w:r>
      <w:r w:rsidR="0006386E" w:rsidRPr="00C41FDC">
        <w:rPr>
          <w:color w:val="000000" w:themeColor="text1"/>
        </w:rPr>
        <w:t>.</w:t>
      </w:r>
    </w:p>
    <w:bookmarkEnd w:id="235"/>
    <w:bookmarkEnd w:id="236"/>
    <w:bookmarkEnd w:id="237"/>
    <w:p w14:paraId="1F98FF9E" w14:textId="77777777" w:rsidR="006128D7" w:rsidRPr="00C41FDC" w:rsidRDefault="006128D7">
      <w:pPr>
        <w:rPr>
          <w:rStyle w:val="id"/>
          <w:rFonts w:eastAsia="Times New Roman"/>
          <w:b/>
          <w:color w:val="000000" w:themeColor="text1"/>
        </w:rPr>
      </w:pPr>
      <w:r w:rsidRPr="00C41FDC">
        <w:rPr>
          <w:rStyle w:val="id"/>
          <w:rFonts w:eastAsia="Times New Roman"/>
          <w:b/>
          <w:color w:val="000000" w:themeColor="text1"/>
        </w:rPr>
        <w:br w:type="page"/>
      </w:r>
    </w:p>
    <w:bookmarkEnd w:id="191"/>
    <w:bookmarkEnd w:id="192"/>
    <w:bookmarkEnd w:id="207"/>
    <w:bookmarkEnd w:id="208"/>
    <w:p w14:paraId="0E7EF5E3" w14:textId="190DE66F" w:rsidR="00725BED" w:rsidRPr="00C41FDC" w:rsidRDefault="00725BED" w:rsidP="001C4E70">
      <w:pPr>
        <w:pStyle w:val="Heading3"/>
        <w:spacing w:before="360" w:beforeAutospacing="0" w:after="120" w:afterAutospacing="0" w:line="480" w:lineRule="auto"/>
        <w:rPr>
          <w:rFonts w:eastAsia="Times New Roman"/>
          <w:color w:val="000000" w:themeColor="text1"/>
          <w:sz w:val="28"/>
          <w:szCs w:val="28"/>
        </w:rPr>
      </w:pPr>
      <w:r w:rsidRPr="00C41FDC">
        <w:rPr>
          <w:rFonts w:eastAsia="Times New Roman"/>
          <w:color w:val="000000" w:themeColor="text1"/>
          <w:sz w:val="28"/>
          <w:szCs w:val="28"/>
        </w:rPr>
        <w:lastRenderedPageBreak/>
        <w:t>Discussion</w:t>
      </w:r>
    </w:p>
    <w:p w14:paraId="1096662D" w14:textId="28657891" w:rsidR="00F2483A" w:rsidRPr="00C41FDC" w:rsidRDefault="001C4E70" w:rsidP="001C4E70">
      <w:pPr>
        <w:pStyle w:val="Heading3"/>
        <w:spacing w:before="360" w:beforeAutospacing="0" w:after="120" w:afterAutospacing="0" w:line="480" w:lineRule="auto"/>
        <w:rPr>
          <w:rFonts w:eastAsia="Times New Roman"/>
          <w:b w:val="0"/>
          <w:bCs w:val="0"/>
          <w:color w:val="000000" w:themeColor="text1"/>
          <w:sz w:val="24"/>
          <w:szCs w:val="24"/>
        </w:rPr>
      </w:pPr>
      <w:r w:rsidRPr="00C41FDC">
        <w:rPr>
          <w:rFonts w:eastAsia="Times New Roman"/>
          <w:b w:val="0"/>
          <w:bCs w:val="0"/>
          <w:color w:val="000000" w:themeColor="text1"/>
          <w:sz w:val="24"/>
          <w:szCs w:val="24"/>
        </w:rPr>
        <w:t xml:space="preserve">Our study has highlighted </w:t>
      </w:r>
      <w:r w:rsidR="00F72AF6" w:rsidRPr="00C41FDC">
        <w:rPr>
          <w:rFonts w:eastAsia="Times New Roman"/>
          <w:b w:val="0"/>
          <w:bCs w:val="0"/>
          <w:color w:val="000000" w:themeColor="text1"/>
          <w:sz w:val="24"/>
          <w:szCs w:val="24"/>
        </w:rPr>
        <w:t xml:space="preserve">the importance of identifying a </w:t>
      </w:r>
      <w:r w:rsidR="00842D0B" w:rsidRPr="00C41FDC">
        <w:rPr>
          <w:rFonts w:eastAsia="Times New Roman"/>
          <w:b w:val="0"/>
          <w:bCs w:val="0"/>
          <w:color w:val="000000" w:themeColor="text1"/>
          <w:sz w:val="24"/>
          <w:szCs w:val="24"/>
        </w:rPr>
        <w:t xml:space="preserve">PPFE </w:t>
      </w:r>
      <w:r w:rsidR="00F72AF6" w:rsidRPr="00C41FDC">
        <w:rPr>
          <w:rFonts w:eastAsia="Times New Roman"/>
          <w:b w:val="0"/>
          <w:bCs w:val="0"/>
          <w:color w:val="000000" w:themeColor="text1"/>
          <w:sz w:val="24"/>
          <w:szCs w:val="24"/>
        </w:rPr>
        <w:t>pattern on lung CT imaging in patients with IPF. PPFE was shown to be common, with between 2</w:t>
      </w:r>
      <w:r w:rsidR="00B279E0" w:rsidRPr="00C41FDC">
        <w:rPr>
          <w:rFonts w:eastAsia="Times New Roman"/>
          <w:b w:val="0"/>
          <w:bCs w:val="0"/>
          <w:color w:val="000000" w:themeColor="text1"/>
          <w:sz w:val="24"/>
          <w:szCs w:val="24"/>
        </w:rPr>
        <w:t>5</w:t>
      </w:r>
      <w:r w:rsidR="00F72AF6" w:rsidRPr="00C41FDC">
        <w:rPr>
          <w:rFonts w:eastAsia="Times New Roman"/>
          <w:b w:val="0"/>
          <w:bCs w:val="0"/>
          <w:color w:val="000000" w:themeColor="text1"/>
          <w:sz w:val="24"/>
          <w:szCs w:val="24"/>
        </w:rPr>
        <w:t xml:space="preserve">-36% of IPF patients demonstrating </w:t>
      </w:r>
      <w:r w:rsidR="00F72AF6" w:rsidRPr="00C41FDC">
        <w:rPr>
          <w:rFonts w:eastAsia="Times New Roman"/>
          <w:b w:val="0"/>
          <w:bCs w:val="0"/>
          <w:color w:val="000000" w:themeColor="text1"/>
          <w:sz w:val="24"/>
          <w:szCs w:val="24"/>
        </w:rPr>
        <w:sym w:font="Symbol" w:char="F0B3"/>
      </w:r>
      <w:r w:rsidR="001E455A" w:rsidRPr="00C41FDC">
        <w:rPr>
          <w:rFonts w:eastAsia="Times New Roman"/>
          <w:b w:val="0"/>
          <w:bCs w:val="0"/>
          <w:color w:val="000000" w:themeColor="text1"/>
          <w:sz w:val="24"/>
          <w:szCs w:val="24"/>
        </w:rPr>
        <w:t>2·</w:t>
      </w:r>
      <w:r w:rsidR="00F72AF6" w:rsidRPr="00C41FDC">
        <w:rPr>
          <w:rFonts w:eastAsia="Times New Roman"/>
          <w:b w:val="0"/>
          <w:bCs w:val="0"/>
          <w:color w:val="000000" w:themeColor="text1"/>
          <w:sz w:val="24"/>
          <w:szCs w:val="24"/>
        </w:rPr>
        <w:t>5% of their upper lobe pleural surface comprising PPFE when evaluated using computer</w:t>
      </w:r>
      <w:r w:rsidR="00CF7203" w:rsidRPr="00C41FDC">
        <w:rPr>
          <w:rFonts w:eastAsia="Times New Roman"/>
          <w:b w:val="0"/>
          <w:bCs w:val="0"/>
          <w:color w:val="000000" w:themeColor="text1"/>
          <w:sz w:val="24"/>
          <w:szCs w:val="24"/>
        </w:rPr>
        <w:t>ise</w:t>
      </w:r>
      <w:r w:rsidR="00F72AF6" w:rsidRPr="00C41FDC">
        <w:rPr>
          <w:rFonts w:eastAsia="Times New Roman"/>
          <w:b w:val="0"/>
          <w:bCs w:val="0"/>
          <w:color w:val="000000" w:themeColor="text1"/>
          <w:sz w:val="24"/>
          <w:szCs w:val="24"/>
        </w:rPr>
        <w:t xml:space="preserve">d scores. The clinical importance of PPFE was demonstrated by its association with accelerated FVC decline and worsened survival in two separate IPF populations. Yet PPFE did not correlate strongly with established physiological and radiological markers of </w:t>
      </w:r>
      <w:r w:rsidR="005F5DE8" w:rsidRPr="00C41FDC">
        <w:rPr>
          <w:rFonts w:eastAsia="Times New Roman"/>
          <w:b w:val="0"/>
          <w:bCs w:val="0"/>
          <w:color w:val="000000" w:themeColor="text1"/>
          <w:sz w:val="24"/>
          <w:szCs w:val="24"/>
        </w:rPr>
        <w:t>ILD</w:t>
      </w:r>
      <w:r w:rsidR="00F72AF6" w:rsidRPr="00C41FDC">
        <w:rPr>
          <w:rFonts w:eastAsia="Times New Roman"/>
          <w:b w:val="0"/>
          <w:bCs w:val="0"/>
          <w:color w:val="000000" w:themeColor="text1"/>
          <w:sz w:val="24"/>
          <w:szCs w:val="24"/>
        </w:rPr>
        <w:t xml:space="preserve"> severity suggesting that it may represent a pathological process distinct to interstitial fibrosis</w:t>
      </w:r>
      <w:r w:rsidR="00F86CFF" w:rsidRPr="00C41FDC">
        <w:rPr>
          <w:rFonts w:eastAsia="Times New Roman"/>
          <w:b w:val="0"/>
          <w:bCs w:val="0"/>
          <w:color w:val="000000" w:themeColor="text1"/>
          <w:sz w:val="24"/>
          <w:szCs w:val="24"/>
        </w:rPr>
        <w:t xml:space="preserve"> which nevertheless results in progressive clinical deterioration.</w:t>
      </w:r>
      <w:r w:rsidR="00F72AF6" w:rsidRPr="00C41FDC">
        <w:rPr>
          <w:rFonts w:eastAsia="Times New Roman"/>
          <w:b w:val="0"/>
          <w:bCs w:val="0"/>
          <w:color w:val="000000" w:themeColor="text1"/>
          <w:sz w:val="24"/>
          <w:szCs w:val="24"/>
        </w:rPr>
        <w:t xml:space="preserve"> </w:t>
      </w:r>
      <w:bookmarkStart w:id="238" w:name="OLE_LINK188"/>
      <w:bookmarkStart w:id="239" w:name="OLE_LINK189"/>
      <w:r w:rsidR="00F86CFF" w:rsidRPr="00C41FDC">
        <w:rPr>
          <w:rFonts w:eastAsia="Times New Roman"/>
          <w:b w:val="0"/>
          <w:bCs w:val="0"/>
          <w:color w:val="000000" w:themeColor="text1"/>
          <w:sz w:val="24"/>
          <w:szCs w:val="24"/>
        </w:rPr>
        <w:t>Importantly</w:t>
      </w:r>
      <w:r w:rsidR="001940DD" w:rsidRPr="00C41FDC">
        <w:rPr>
          <w:rFonts w:eastAsia="Times New Roman"/>
          <w:b w:val="0"/>
          <w:bCs w:val="0"/>
          <w:color w:val="000000" w:themeColor="text1"/>
          <w:sz w:val="24"/>
          <w:szCs w:val="24"/>
        </w:rPr>
        <w:t>,</w:t>
      </w:r>
      <w:r w:rsidR="00913C7F" w:rsidRPr="00C41FDC">
        <w:rPr>
          <w:rFonts w:eastAsia="Times New Roman"/>
          <w:b w:val="0"/>
          <w:bCs w:val="0"/>
          <w:color w:val="000000" w:themeColor="text1"/>
          <w:sz w:val="24"/>
          <w:szCs w:val="24"/>
        </w:rPr>
        <w:t xml:space="preserve"> administration of antifibrotic treatment was shown to independently improve</w:t>
      </w:r>
      <w:r w:rsidR="00F86CFF" w:rsidRPr="00C41FDC">
        <w:rPr>
          <w:rFonts w:eastAsia="Times New Roman"/>
          <w:b w:val="0"/>
          <w:bCs w:val="0"/>
          <w:color w:val="000000" w:themeColor="text1"/>
          <w:sz w:val="24"/>
          <w:szCs w:val="24"/>
        </w:rPr>
        <w:t xml:space="preserve"> survival in </w:t>
      </w:r>
      <w:r w:rsidR="00913C7F" w:rsidRPr="00C41FDC">
        <w:rPr>
          <w:rFonts w:eastAsia="Times New Roman"/>
          <w:b w:val="0"/>
          <w:bCs w:val="0"/>
          <w:color w:val="000000" w:themeColor="text1"/>
          <w:sz w:val="24"/>
          <w:szCs w:val="24"/>
        </w:rPr>
        <w:t xml:space="preserve">IPF patients with radiologic </w:t>
      </w:r>
      <w:r w:rsidR="00F86CFF" w:rsidRPr="00C41FDC">
        <w:rPr>
          <w:rFonts w:eastAsia="Times New Roman"/>
          <w:b w:val="0"/>
          <w:bCs w:val="0"/>
          <w:color w:val="000000" w:themeColor="text1"/>
          <w:sz w:val="24"/>
          <w:szCs w:val="24"/>
        </w:rPr>
        <w:t>PPFE.</w:t>
      </w:r>
      <w:bookmarkEnd w:id="238"/>
      <w:bookmarkEnd w:id="239"/>
    </w:p>
    <w:p w14:paraId="041DAC8F" w14:textId="2F5D243F" w:rsidR="00F2483A" w:rsidRPr="00C41FDC" w:rsidRDefault="00F86CFF" w:rsidP="001C4E70">
      <w:pPr>
        <w:pStyle w:val="Heading3"/>
        <w:spacing w:before="360" w:beforeAutospacing="0" w:after="120" w:afterAutospacing="0" w:line="480" w:lineRule="auto"/>
        <w:rPr>
          <w:rFonts w:eastAsia="Times New Roman"/>
          <w:b w:val="0"/>
          <w:bCs w:val="0"/>
          <w:color w:val="000000" w:themeColor="text1"/>
          <w:sz w:val="24"/>
          <w:szCs w:val="24"/>
        </w:rPr>
      </w:pPr>
      <w:r w:rsidRPr="00C41FDC">
        <w:rPr>
          <w:rFonts w:eastAsia="Times New Roman"/>
          <w:b w:val="0"/>
          <w:bCs w:val="0"/>
          <w:color w:val="000000" w:themeColor="text1"/>
          <w:sz w:val="24"/>
          <w:szCs w:val="24"/>
        </w:rPr>
        <w:t xml:space="preserve">The study findings confirm observations </w:t>
      </w:r>
      <w:r w:rsidR="003863FF" w:rsidRPr="00C41FDC">
        <w:rPr>
          <w:rFonts w:eastAsia="Times New Roman"/>
          <w:b w:val="0"/>
          <w:bCs w:val="0"/>
          <w:color w:val="000000" w:themeColor="text1"/>
          <w:sz w:val="24"/>
          <w:szCs w:val="24"/>
        </w:rPr>
        <w:t xml:space="preserve">in patients with scleroderma and chronic </w:t>
      </w:r>
      <w:r w:rsidR="001153F7" w:rsidRPr="00C41FDC">
        <w:rPr>
          <w:rFonts w:eastAsia="Times New Roman"/>
          <w:b w:val="0"/>
          <w:bCs w:val="0"/>
          <w:color w:val="000000" w:themeColor="text1"/>
          <w:sz w:val="24"/>
          <w:szCs w:val="24"/>
        </w:rPr>
        <w:t>HP</w:t>
      </w:r>
      <w:r w:rsidR="0073480D" w:rsidRPr="00C41FDC">
        <w:rPr>
          <w:rFonts w:eastAsia="Times New Roman"/>
          <w:b w:val="0"/>
          <w:bCs w:val="0"/>
          <w:color w:val="000000" w:themeColor="text1"/>
          <w:sz w:val="24"/>
          <w:szCs w:val="24"/>
        </w:rPr>
        <w:t xml:space="preserve"> that demonstrated worsened survival with the presence of PPFE</w:t>
      </w:r>
      <w:r w:rsidR="00D775D4" w:rsidRPr="00C41FDC">
        <w:rPr>
          <w:rFonts w:eastAsia="Times New Roman"/>
          <w:b w:val="0"/>
          <w:bCs w:val="0"/>
          <w:color w:val="000000" w:themeColor="text1"/>
          <w:sz w:val="24"/>
          <w:szCs w:val="24"/>
        </w:rPr>
        <w:t>.</w:t>
      </w:r>
      <w:r w:rsidR="000E3C60" w:rsidRPr="00C41FDC">
        <w:rPr>
          <w:rFonts w:eastAsia="Times New Roman"/>
          <w:b w:val="0"/>
          <w:bCs w:val="0"/>
          <w:color w:val="000000" w:themeColor="text1"/>
          <w:sz w:val="24"/>
          <w:szCs w:val="24"/>
        </w:rPr>
        <w:fldChar w:fldCharType="begin" w:fldLock="1"/>
      </w:r>
      <w:r w:rsidR="00C564FA" w:rsidRPr="00C41FDC">
        <w:rPr>
          <w:rFonts w:eastAsia="Times New Roman"/>
          <w:b w:val="0"/>
          <w:bCs w:val="0"/>
          <w:color w:val="000000" w:themeColor="text1"/>
          <w:sz w:val="24"/>
          <w:szCs w:val="24"/>
        </w:rPr>
        <w:instrText>ADDIN CSL_CITATION {"citationItems":[{"id":"ITEM-1","itemData":{"DOI":"10.1016/j.rmed.2018.03.031","ISSN":"15323064","PMID":"29724400","abstract":"BACKGROUND: Pleuroparenchymal fibroelastosis (PPFE) has been described in hypersensitivity pneumonitis (HP) yet its functional implications are unclear. Combined pulmonary fibrosis and emphysema (CPFE) has occasionally been described in never-smokers with HP, but epidemiological data regarding its prevalence is sparse. CTs in a large HP cohort were therefore examined to identify the prevalence and effects of PPFE and emphysema. Methods: 233 HP patients had CT extents of interstitial lung disease (ILD) and emphysema quantified to the nearest 5%. Lobar percentage pleural involvement of PPFE was quantified on a 4-point categorical scale: 0 = absent, 1 = affecting &lt;10%, 2 = affecting 10–33%, 3 = affecting &gt;33%. Marked PPFE reflected a total lung score of ≥3/18. Results were evaluated against FVC, DLco and mortality. RESULTS: Marked PPFE prevalence was 23% whilst 23% of never-smokers had emphysema. Following adjustment for patient age, gender, smoking status, and ILD and emphysema extents, marked PPFE independently linked to reduced baseline FVC (p = 0.0002) and DLco (p = 0.002) and when examined alongside the same covariates, independently linked to worsened survival (p = 0.01). CPFE in HP demonstrated a characteristic functional profile of artificial lung volume preservation and disproportionate DLco reduction. CPFE did not demonstrate a worsened outcome when compared to HP patients without emphysema beyond that explained by CT extents of ILD and emphysema. CONCLUSIONS: PPFE is not uncommon in HP, and is independently associated with impaired lung function and increased mortality. Emphysema was identified in 23% of HP never-smokers. CPFE appears not to link to a malignant microvascular phenotype as outcome is explained by ILD and emphysema extents.","author":[{"dropping-particle":"","family":"Jacob","given":"Joseph","non-dropping-particle":"","parse-names":false,"suffix":""},{"dropping-particle":"","family":"Odink","given":"Arlette","non-dropping-particle":"","parse-names":false,"suffix":""},{"dropping-particle":"","family":"Brun","given":"Anne Laure","non-dropping-particle":"","parse-names":false,"suffix":""},{"dropping-particle":"","family":"Macaluso","given":"Claudio","non-dropping-particle":"","parse-names":false,"suffix":""},{"dropping-particle":"","family":"Lauretis","given":"Angelo","non-dropping-particle":"de","parse-names":false,"suffix":""},{"dropping-particle":"","family":"Kokosi","given":"Maria","non-dropping-particle":"","parse-names":false,"suffix":""},{"dropping-particle":"","family":"Devaraj","given":"Anand","non-dropping-particle":"","parse-names":false,"suffix":""},{"dropping-particle":"","family":"Desai","given":"Sujal","non-dropping-particle":"","parse-names":false,"suffix":""},{"dropping-particle":"","family":"Renzoni","given":"Elisabetta","non-dropping-particle":"","parse-names":false,"suffix":""},{"dropping-particle":"","family":"Wells","given":"Athol U.","non-dropping-particle":"","parse-names":false,"suffix":""}],"container-title":"Respiratory Medicine","id":"ITEM-1","issue":"5","issued":{"date-parts":[["2018"]]},"page":"95–101","title":"Functional associations of pleuroparenchymal fibroelastosis and emphysema with hypersensitivity pneumonitis","type":"article-journal","volume":"138"},"uris":["http://www.mendeley.com/documents/?uuid=1e601dc0-48de-4ac9-a90e-4b08a7006ce9"]},{"id":"ITEM-2","itemData":{"DOI":"10.1183/13993003.02135-2019","ISSN":"13993003","PMID":"32299855","abstract":"Interstitial lung disease (ILD) in systemic sclerosis (SSc) is a major cause of morbidity and mortality, mostly presenting as non-specific interstitial pneumonia. Little is known about the prevalence of pleuroparenchymal fibroelastosis (PPFE), a specific entity affecting the visceral pleura and subpleural parenchyma. We set out to estimate PPFE prevalence in two large cohorts of SSc patients and to assess its impact on survival and functional decline. A total of 359 SSc patients, derived from two referral centres in two different countries (UK and Italy), were included. The first available high-resolution computed tomography scan was independently evaluated by two radiologists blind to clinical information, to quantify ILD extent, freestanding bronchial abnormalities, and lobar percentage involvement of PPFE on a four-point categorical scale. Discordant scores were adjudicated by a third scorer. PPFE extent was further classified as limited (≤2/18) or extensive (&gt;2/18). Results were evaluated against functional decline and mortality. The overall prevalence of PPFE in the combined SSc population was 18% (11% with extensive PPFE), with no substantial difference between the two cohorts. PPFE was significantly linked to free-standing bronchial abnormalities (61% versus 25% in PPFE versus no PPFE; p&lt;0.0001) and to worse survival, independently of ILD severity or short-term lung function changes (HR 1.89, 95% CI 1.10.3.25; p=0.005). In the current study, we provide an exhaustive description of PPFE prevalence and clinical impact in the largest cohort of SSc subjects published so far. PPFE presence should be carefully considered, due to its significant prognostic implications.","author":[{"dropping-particle":"","family":"Bonifazi","given":"Martina","non-dropping-particle":"","parse-names":false,"suffix":""},{"dropping-particle":"","family":"Sverzellati","given":"Nicola","non-dropping-particle":"","parse-names":false,"suffix":""},{"dropping-particle":"","family":"Negri","given":"Eva","non-dropping-particle":"","parse-names":false,"suffix":""},{"dropping-particle":"","family":"Jacob","given":"Joseph","non-dropping-particle":"","parse-names":false,"suffix":""},{"dropping-particle":"","family":"Egashira","given":"Ryoko","non-dropping-particle":"","parse-names":false,"suffix":""},{"dropping-particle":"","family":"Moser","given":"Joanna","non-dropping-particle":"","parse-names":false,"suffix":""},{"dropping-particle":"","family":"Piciucchi","given":"Sara","non-dropping-particle":"","parse-names":false,"suffix":""},{"dropping-particle":"","family":"Mei","given":"Federico","non-dropping-particle":"","parse-names":false,"suffix":""},{"dropping-particle":"","family":"Lauretis","given":"Angelo","non-dropping-particle":"De","parse-names":false,"suffix":""},{"dropping-particle":"","family":"Visca","given":"Dina","non-dropping-particle":"","parse-names":false,"suffix":""},{"dropping-particle":"","family":"Goh","given":"Nicole","non-dropping-particle":"","parse-names":false,"suffix":""},{"dropping-particle":"","family":"Bonini","given":"Matteo","non-dropping-particle":"","parse-names":false,"suffix":""},{"dropping-particle":"","family":"Cirilli","given":"Laura","non-dropping-particle":"","parse-names":false,"suffix":""},{"dropping-particle":"","family":"Vecchia","given":"Carlo","non-dropping-particle":"La","parse-names":false,"suffix":""},{"dropping-particle":"","family":"Chua","given":"Felix","non-dropping-particle":"","parse-names":false,"suffix":""},{"dropping-particle":"","family":"Kouranos","given":"Vasileios","non-dropping-particle":"","parse-names":false,"suffix":""},{"dropping-particle":"","family":"Margaritopoulos","given":"George","non-dropping-particle":"","parse-names":false,"suffix":""},{"dropping-particle":"","family":"Kokosi","given":"Maria","non-dropping-particle":"","parse-names":false,"suffix":""},{"dropping-particle":"","family":"Maher","given":"Toby M.","non-dropping-particle":"","parse-names":false,"suffix":""},{"dropping-particle":"","family":"Gasparini","given":"Stefano","non-dropping-particle":"","parse-names":false,"suffix":""},{"dropping-particle":"","family":"Gabrielli","given":"Armando","non-dropping-particle":"","parse-names":false,"suffix":""},{"dropping-particle":"","family":"Wells","given":"Athol U.","non-dropping-particle":"","parse-names":false,"suffix":""},{"dropping-particle":"","family":"Renzoni","given":"Elisabetta A.","non-dropping-particle":"","parse-names":false,"suffix":""}],"container-title":"European Respiratory Journal","id":"ITEM-2","issued":{"date-parts":[["2020"]]},"title":"Pleuroparenchymal fibroelastosis in systemic sclerosis: Prevalence and prognostic impact","type":"article-journal"},"uris":["http://www.mendeley.com/documents/?uuid=87772415-dda4-4067-abc4-fe9b2cbe4592"]}],"mendeley":{"formattedCitation":"&lt;sup&gt;7,8&lt;/sup&gt;","plainTextFormattedCitation":"7,8","previouslyFormattedCitation":"&lt;sup&gt;7,8&lt;/sup&gt;"},"properties":{"noteIndex":0},"schema":"https://github.com/citation-style-language/schema/raw/master/csl-citation.json"}</w:instrText>
      </w:r>
      <w:r w:rsidR="000E3C60" w:rsidRPr="00C41FDC">
        <w:rPr>
          <w:rFonts w:eastAsia="Times New Roman"/>
          <w:b w:val="0"/>
          <w:bCs w:val="0"/>
          <w:color w:val="000000" w:themeColor="text1"/>
          <w:sz w:val="24"/>
          <w:szCs w:val="24"/>
        </w:rPr>
        <w:fldChar w:fldCharType="separate"/>
      </w:r>
      <w:r w:rsidR="00C564FA" w:rsidRPr="00C41FDC">
        <w:rPr>
          <w:rFonts w:eastAsia="Times New Roman"/>
          <w:b w:val="0"/>
          <w:bCs w:val="0"/>
          <w:noProof/>
          <w:color w:val="000000" w:themeColor="text1"/>
          <w:sz w:val="24"/>
          <w:szCs w:val="24"/>
          <w:vertAlign w:val="superscript"/>
        </w:rPr>
        <w:t>7,8</w:t>
      </w:r>
      <w:r w:rsidR="000E3C60" w:rsidRPr="00C41FDC">
        <w:rPr>
          <w:rFonts w:eastAsia="Times New Roman"/>
          <w:b w:val="0"/>
          <w:bCs w:val="0"/>
          <w:color w:val="000000" w:themeColor="text1"/>
          <w:sz w:val="24"/>
          <w:szCs w:val="24"/>
        </w:rPr>
        <w:fldChar w:fldCharType="end"/>
      </w:r>
      <w:r w:rsidR="003863FF" w:rsidRPr="00C41FDC">
        <w:rPr>
          <w:rFonts w:eastAsia="Times New Roman"/>
          <w:b w:val="0"/>
          <w:bCs w:val="0"/>
          <w:color w:val="000000" w:themeColor="text1"/>
          <w:sz w:val="24"/>
          <w:szCs w:val="24"/>
        </w:rPr>
        <w:t xml:space="preserve"> However</w:t>
      </w:r>
      <w:r w:rsidR="007730BA" w:rsidRPr="00C41FDC">
        <w:rPr>
          <w:rFonts w:eastAsia="Times New Roman"/>
          <w:b w:val="0"/>
          <w:bCs w:val="0"/>
          <w:color w:val="000000" w:themeColor="text1"/>
          <w:sz w:val="24"/>
          <w:szCs w:val="24"/>
        </w:rPr>
        <w:t>,</w:t>
      </w:r>
      <w:r w:rsidR="003863FF" w:rsidRPr="00C41FDC">
        <w:rPr>
          <w:rFonts w:eastAsia="Times New Roman"/>
          <w:b w:val="0"/>
          <w:bCs w:val="0"/>
          <w:color w:val="000000" w:themeColor="text1"/>
          <w:sz w:val="24"/>
          <w:szCs w:val="24"/>
        </w:rPr>
        <w:t xml:space="preserve"> in neither study was PPFE associated with accelerated FVC decline.</w:t>
      </w:r>
      <w:r w:rsidR="00E33620" w:rsidRPr="00C41FDC">
        <w:rPr>
          <w:rFonts w:eastAsia="Times New Roman"/>
          <w:b w:val="0"/>
          <w:bCs w:val="0"/>
          <w:color w:val="000000" w:themeColor="text1"/>
          <w:sz w:val="24"/>
          <w:szCs w:val="24"/>
        </w:rPr>
        <w:t xml:space="preserve"> In a recent Korean study of IPF patients, PPFE was identified in </w:t>
      </w:r>
      <w:r w:rsidR="001E455A" w:rsidRPr="00C41FDC">
        <w:rPr>
          <w:rFonts w:eastAsia="Times New Roman"/>
          <w:b w:val="0"/>
          <w:bCs w:val="0"/>
          <w:color w:val="000000" w:themeColor="text1"/>
          <w:sz w:val="24"/>
          <w:szCs w:val="24"/>
        </w:rPr>
        <w:t>6·</w:t>
      </w:r>
      <w:r w:rsidR="00E33620" w:rsidRPr="00C41FDC">
        <w:rPr>
          <w:rFonts w:eastAsia="Times New Roman"/>
          <w:b w:val="0"/>
          <w:bCs w:val="0"/>
          <w:color w:val="000000" w:themeColor="text1"/>
          <w:sz w:val="24"/>
          <w:szCs w:val="24"/>
        </w:rPr>
        <w:t xml:space="preserve">3% of patients suggesting </w:t>
      </w:r>
      <w:r w:rsidR="00487254" w:rsidRPr="00C41FDC">
        <w:rPr>
          <w:rFonts w:eastAsia="Times New Roman"/>
          <w:b w:val="0"/>
          <w:bCs w:val="0"/>
          <w:color w:val="000000" w:themeColor="text1"/>
          <w:sz w:val="24"/>
          <w:szCs w:val="24"/>
        </w:rPr>
        <w:t xml:space="preserve">that </w:t>
      </w:r>
      <w:r w:rsidR="00E33620" w:rsidRPr="00C41FDC">
        <w:rPr>
          <w:rFonts w:eastAsia="Times New Roman"/>
          <w:b w:val="0"/>
          <w:bCs w:val="0"/>
          <w:color w:val="000000" w:themeColor="text1"/>
          <w:sz w:val="24"/>
          <w:szCs w:val="24"/>
        </w:rPr>
        <w:t xml:space="preserve">geographic and/or genetic </w:t>
      </w:r>
      <w:r w:rsidR="00487254" w:rsidRPr="00C41FDC">
        <w:rPr>
          <w:rFonts w:eastAsia="Times New Roman"/>
          <w:b w:val="0"/>
          <w:bCs w:val="0"/>
          <w:color w:val="000000" w:themeColor="text1"/>
          <w:sz w:val="24"/>
          <w:szCs w:val="24"/>
        </w:rPr>
        <w:t>factors may influence</w:t>
      </w:r>
      <w:r w:rsidR="00E33620" w:rsidRPr="00C41FDC">
        <w:rPr>
          <w:rFonts w:eastAsia="Times New Roman"/>
          <w:b w:val="0"/>
          <w:bCs w:val="0"/>
          <w:color w:val="000000" w:themeColor="text1"/>
          <w:sz w:val="24"/>
          <w:szCs w:val="24"/>
        </w:rPr>
        <w:t xml:space="preserve"> PPFE </w:t>
      </w:r>
      <w:r w:rsidR="00D775D4" w:rsidRPr="00C41FDC">
        <w:rPr>
          <w:rFonts w:eastAsia="Times New Roman"/>
          <w:b w:val="0"/>
          <w:bCs w:val="0"/>
          <w:color w:val="000000" w:themeColor="text1"/>
          <w:sz w:val="24"/>
          <w:szCs w:val="24"/>
        </w:rPr>
        <w:t>prevalence.</w:t>
      </w:r>
      <w:r w:rsidR="000E3C60" w:rsidRPr="00C41FDC">
        <w:rPr>
          <w:rFonts w:eastAsia="Times New Roman"/>
          <w:b w:val="0"/>
          <w:bCs w:val="0"/>
          <w:color w:val="000000" w:themeColor="text1"/>
          <w:sz w:val="24"/>
          <w:szCs w:val="24"/>
        </w:rPr>
        <w:fldChar w:fldCharType="begin" w:fldLock="1"/>
      </w:r>
      <w:r w:rsidR="00C564FA" w:rsidRPr="00C41FDC">
        <w:rPr>
          <w:rFonts w:eastAsia="Times New Roman"/>
          <w:b w:val="0"/>
          <w:bCs w:val="0"/>
          <w:color w:val="000000" w:themeColor="text1"/>
          <w:sz w:val="24"/>
          <w:szCs w:val="24"/>
        </w:rPr>
        <w:instrText>ADDIN CSL_CITATION {"citationItems":[{"id":"ITEM-1","itemData":{"DOI":"10.1111/resp.13796","ISSN":"14401843","PMID":"32147954","abstract":"Background and objective: PPFE is characterized by fibrosis in the pleura and subpleural lung parenchyma in the upper lobes, while other types of ILD, mainly UIP, can be observed in about half of the patients in their lower lobes. The aim of this study was to evaluate the clinical significance of the radiologically defined PPFE in patients with IPF. Methods: Clinical data and chest CT images were retrospectively analysed in 445 patients with IPF (biopsy-proven cases, n = 165). The radiological criteria of PPFE were defined as follows: (i) bilateral subpleural dense fibrosis with or without pleural thickening in the upper lobes, (ii) evidence of disease progression and (iii) no clinical evidence of identifiable aetiologies. Results: The median follow-up period was 43.0 months. The mean age of the patients was 66.4 years and 76.4% were male. PPFE was identified in 28 patients (6.3%). The PPFE group showed lower BMI and lung function (FVC and TLC) at baseline, more frequent pneumothorax and pneumomediastinum, higher decline rates in lung function and poorer prognosis during follow-up than the no-PPFE group. PPFE was an independent risk factor (HR = 2.953, 95% CI: 1.350–6.460, P = 0.007) for pneumothorax or pneumomediastinum, but not for mortality in patients with IPF. Conclusion: Among patients with IPF, the PPFE group, when compared to the no-PPFE group, showed lower BMI and lung function and showed more frequent complications and poorer survival during follow-up.","author":[{"dropping-particle":"","family":"Lee","given":"Song I.","non-dropping-particle":"","parse-names":false,"suffix":""},{"dropping-particle":"","family":"Chae","given":"Eun Jin","non-dropping-particle":"","parse-names":false,"suffix":""},{"dropping-particle":"","family":"Song","given":"Joon Seon","non-dropping-particle":"","parse-names":false,"suffix":""},{"dropping-particle":"","family":"Lee","given":"Jae Ha","non-dropping-particle":"","parse-names":false,"suffix":""},{"dropping-particle":"","family":"Song","given":"Jin Woo","non-dropping-particle":"","parse-names":false,"suffix":""}],"container-title":"Respirology","id":"ITEM-1","issue":"10","issued":{"date-parts":[["2020"]]},"page":"1046–1052","title":"Pleuroparenchymal fibroelastosis in patients with idiopathic pulmonary fibrosis","type":"article-journal","volume":"25"},"uris":["http://www.mendeley.com/documents/?uuid=163b6fd3-be89-4b1b-808d-56729d23605e"]}],"mendeley":{"formattedCitation":"&lt;sup&gt;5&lt;/sup&gt;","plainTextFormattedCitation":"5","previouslyFormattedCitation":"&lt;sup&gt;5&lt;/sup&gt;"},"properties":{"noteIndex":0},"schema":"https://github.com/citation-style-language/schema/raw/master/csl-citation.json"}</w:instrText>
      </w:r>
      <w:r w:rsidR="000E3C60" w:rsidRPr="00C41FDC">
        <w:rPr>
          <w:rFonts w:eastAsia="Times New Roman"/>
          <w:b w:val="0"/>
          <w:bCs w:val="0"/>
          <w:color w:val="000000" w:themeColor="text1"/>
          <w:sz w:val="24"/>
          <w:szCs w:val="24"/>
        </w:rPr>
        <w:fldChar w:fldCharType="separate"/>
      </w:r>
      <w:r w:rsidR="00C564FA" w:rsidRPr="00C41FDC">
        <w:rPr>
          <w:rFonts w:eastAsia="Times New Roman"/>
          <w:b w:val="0"/>
          <w:bCs w:val="0"/>
          <w:noProof/>
          <w:color w:val="000000" w:themeColor="text1"/>
          <w:sz w:val="24"/>
          <w:szCs w:val="24"/>
          <w:vertAlign w:val="superscript"/>
        </w:rPr>
        <w:t>5</w:t>
      </w:r>
      <w:r w:rsidR="000E3C60" w:rsidRPr="00C41FDC">
        <w:rPr>
          <w:rFonts w:eastAsia="Times New Roman"/>
          <w:b w:val="0"/>
          <w:bCs w:val="0"/>
          <w:color w:val="000000" w:themeColor="text1"/>
          <w:sz w:val="24"/>
          <w:szCs w:val="24"/>
        </w:rPr>
        <w:fldChar w:fldCharType="end"/>
      </w:r>
      <w:r w:rsidR="00487254" w:rsidRPr="00C41FDC">
        <w:rPr>
          <w:rFonts w:eastAsia="Times New Roman"/>
          <w:b w:val="0"/>
          <w:bCs w:val="0"/>
          <w:color w:val="000000" w:themeColor="text1"/>
          <w:sz w:val="24"/>
          <w:szCs w:val="24"/>
        </w:rPr>
        <w:t xml:space="preserve"> In the Korean cohort, PPFE was associated with increased FVC decline on univariable analyses alone, and no beneficial impact of antifibrotic medication was seen on mortality in the limited cohort of patients with PPFE.</w:t>
      </w:r>
    </w:p>
    <w:p w14:paraId="40932B77" w14:textId="71208260" w:rsidR="00FA0B69" w:rsidRPr="00C41FDC" w:rsidRDefault="00487254" w:rsidP="007730BA">
      <w:pPr>
        <w:pStyle w:val="indent"/>
        <w:spacing w:before="0" w:beforeAutospacing="0" w:after="0" w:afterAutospacing="0" w:line="480" w:lineRule="auto"/>
        <w:rPr>
          <w:color w:val="000000" w:themeColor="text1"/>
        </w:rPr>
      </w:pPr>
      <w:r w:rsidRPr="00C41FDC">
        <w:rPr>
          <w:rFonts w:eastAsia="Times New Roman"/>
          <w:color w:val="000000" w:themeColor="text1"/>
        </w:rPr>
        <w:t xml:space="preserve">Our </w:t>
      </w:r>
      <w:r w:rsidR="00CF7203" w:rsidRPr="00C41FDC">
        <w:rPr>
          <w:rFonts w:eastAsia="Times New Roman"/>
          <w:color w:val="000000" w:themeColor="text1"/>
        </w:rPr>
        <w:t>multicentred</w:t>
      </w:r>
      <w:r w:rsidRPr="00C41FDC">
        <w:rPr>
          <w:rFonts w:eastAsia="Times New Roman"/>
          <w:color w:val="000000" w:themeColor="text1"/>
        </w:rPr>
        <w:t xml:space="preserve"> study has shown strong associations with FVC decline and mortality when PPFE is scored using a simple categorical scoring system restricted to the upper lobes. The observation that PPFE did not occur in the middle or lower lobes without originating in the upper lobes allowed our score to focus on the upper lobes alone, an area of lung distinct to IPF-related </w:t>
      </w:r>
      <w:r w:rsidRPr="00C41FDC">
        <w:rPr>
          <w:rFonts w:eastAsia="Times New Roman"/>
          <w:color w:val="000000" w:themeColor="text1"/>
        </w:rPr>
        <w:lastRenderedPageBreak/>
        <w:t>fibrosis</w:t>
      </w:r>
      <w:r w:rsidR="00593EA1" w:rsidRPr="00C41FDC">
        <w:rPr>
          <w:rFonts w:eastAsia="Times New Roman"/>
          <w:color w:val="000000" w:themeColor="text1"/>
        </w:rPr>
        <w:t xml:space="preserve">. </w:t>
      </w:r>
      <w:r w:rsidR="00FA0B69" w:rsidRPr="00C41FDC">
        <w:rPr>
          <w:color w:val="000000" w:themeColor="text1"/>
        </w:rPr>
        <w:t>A further consideration for focusing on the upper lobes of the lungs lay with the inherent non-monotonicity of the visual lobar score for total PPFE extent. For example, a score of 3 for total PPFE extent can indicate three lobes with a score 1, or one lobe of score 3, or one lobe of score 2 and one lobe of score 1, all of which may have differing impacts on patient prognosis and/or lung function decline. Restricting analysis to the upper lobes simplified visual scor</w:t>
      </w:r>
      <w:r w:rsidR="005F5DE8" w:rsidRPr="00C41FDC">
        <w:rPr>
          <w:color w:val="000000" w:themeColor="text1"/>
        </w:rPr>
        <w:t>ing</w:t>
      </w:r>
      <w:r w:rsidR="00FA0B69" w:rsidRPr="00C41FDC">
        <w:rPr>
          <w:color w:val="000000" w:themeColor="text1"/>
        </w:rPr>
        <w:t xml:space="preserve"> and improved its interpretability.</w:t>
      </w:r>
    </w:p>
    <w:p w14:paraId="4888A658" w14:textId="25C43C0D" w:rsidR="00593EA1" w:rsidRPr="00C41FDC" w:rsidRDefault="00593EA1" w:rsidP="001C4E70">
      <w:pPr>
        <w:pStyle w:val="Heading3"/>
        <w:spacing w:before="360" w:beforeAutospacing="0" w:after="120" w:afterAutospacing="0" w:line="480" w:lineRule="auto"/>
        <w:rPr>
          <w:rFonts w:eastAsia="Times New Roman"/>
          <w:b w:val="0"/>
          <w:bCs w:val="0"/>
          <w:color w:val="000000" w:themeColor="text1"/>
          <w:sz w:val="24"/>
          <w:szCs w:val="24"/>
        </w:rPr>
      </w:pPr>
      <w:r w:rsidRPr="00C41FDC">
        <w:rPr>
          <w:rFonts w:eastAsia="Times New Roman"/>
          <w:b w:val="0"/>
          <w:bCs w:val="0"/>
          <w:color w:val="000000" w:themeColor="text1"/>
          <w:sz w:val="24"/>
          <w:szCs w:val="24"/>
        </w:rPr>
        <w:t>The step-wise expansion of PPFE in a cranial to caudal axial distribution and its association with anatomical changes to the chest wall (platythorax) require further elucidation</w:t>
      </w:r>
      <w:r w:rsidR="00D775D4" w:rsidRPr="00C41FDC">
        <w:rPr>
          <w:rFonts w:eastAsia="Times New Roman"/>
          <w:b w:val="0"/>
          <w:bCs w:val="0"/>
          <w:color w:val="000000" w:themeColor="text1"/>
          <w:sz w:val="24"/>
          <w:szCs w:val="24"/>
        </w:rPr>
        <w:t>.</w:t>
      </w:r>
      <w:r w:rsidR="005F0EFD" w:rsidRPr="00C41FDC">
        <w:rPr>
          <w:rFonts w:eastAsia="Times New Roman"/>
          <w:b w:val="0"/>
          <w:bCs w:val="0"/>
          <w:color w:val="000000" w:themeColor="text1"/>
          <w:sz w:val="24"/>
          <w:szCs w:val="24"/>
        </w:rPr>
        <w:fldChar w:fldCharType="begin" w:fldLock="1"/>
      </w:r>
      <w:r w:rsidR="00C564FA" w:rsidRPr="00C41FDC">
        <w:rPr>
          <w:rFonts w:eastAsia="Times New Roman"/>
          <w:b w:val="0"/>
          <w:bCs w:val="0"/>
          <w:color w:val="000000" w:themeColor="text1"/>
          <w:sz w:val="24"/>
          <w:szCs w:val="24"/>
        </w:rPr>
        <w:instrText>ADDIN CSL_CITATION {"citationItems":[{"id":"ITEM-1","itemData":{"DOI":"10.1016/j.rmed.2018.03.031","ISSN":"15323064","PMID":"29724400","abstract":"BACKGROUND: Pleuroparenchymal fibroelastosis (PPFE) has been described in hypersensitivity pneumonitis (HP) yet its functional implications are unclear. Combined pulmonary fibrosis and emphysema (CPFE) has occasionally been described in never-smokers with HP, but epidemiological data regarding its prevalence is sparse. CTs in a large HP cohort were therefore examined to identify the prevalence and effects of PPFE and emphysema. Methods: 233 HP patients had CT extents of interstitial lung disease (ILD) and emphysema quantified to the nearest 5%. Lobar percentage pleural involvement of PPFE was quantified on a 4-point categorical scale: 0 = absent, 1 = affecting &lt;10%, 2 = affecting 10–33%, 3 = affecting &gt;33%. Marked PPFE reflected a total lung score of ≥3/18. Results were evaluated against FVC, DLco and mortality. RESULTS: Marked PPFE prevalence was 23% whilst 23% of never-smokers had emphysema. Following adjustment for patient age, gender, smoking status, and ILD and emphysema extents, marked PPFE independently linked to reduced baseline FVC (p = 0.0002) and DLco (p = 0.002) and when examined alongside the same covariates, independently linked to worsened survival (p = 0.01). CPFE in HP demonstrated a characteristic functional profile of artificial lung volume preservation and disproportionate DLco reduction. CPFE did not demonstrate a worsened outcome when compared to HP patients without emphysema beyond that explained by CT extents of ILD and emphysema. CONCLUSIONS: PPFE is not uncommon in HP, and is independently associated with impaired lung function and increased mortality. Emphysema was identified in 23% of HP never-smokers. CPFE appears not to link to a malignant microvascular phenotype as outcome is explained by ILD and emphysema extents.","author":[{"dropping-particle":"","family":"Jacob","given":"Joseph","non-dropping-particle":"","parse-names":false,"suffix":""},{"dropping-particle":"","family":"Odink","given":"Arlette","non-dropping-particle":"","parse-names":false,"suffix":""},{"dropping-particle":"","family":"Brun","given":"Anne Laure","non-dropping-particle":"","parse-names":false,"suffix":""},{"dropping-particle":"","family":"Macaluso","given":"Claudio","non-dropping-particle":"","parse-names":false,"suffix":""},{"dropping-particle":"","family":"Lauretis","given":"Angelo","non-dropping-particle":"de","parse-names":false,"suffix":""},{"dropping-particle":"","family":"Kokosi","given":"Maria","non-dropping-particle":"","parse-names":false,"suffix":""},{"dropping-particle":"","family":"Devaraj","given":"Anand","non-dropping-particle":"","parse-names":false,"suffix":""},{"dropping-particle":"","family":"Desai","given":"Sujal","non-dropping-particle":"","parse-names":false,"suffix":""},{"dropping-particle":"","family":"Renzoni","given":"Elisabetta","non-dropping-particle":"","parse-names":false,"suffix":""},{"dropping-particle":"","family":"Wells","given":"Athol U.","non-dropping-particle":"","parse-names":false,"suffix":""}],"container-title":"Respiratory Medicine","id":"ITEM-1","issue":"5","issued":{"date-parts":[["2018"]]},"page":"95–101","title":"Functional associations of pleuroparenchymal fibroelastosis and emphysema with hypersensitivity pneumonitis","type":"article-journal","volume":"138"},"uris":["http://www.mendeley.com/documents/?uuid=1e601dc0-48de-4ac9-a90e-4b08a7006ce9"]}],"mendeley":{"formattedCitation":"&lt;sup&gt;7&lt;/sup&gt;","plainTextFormattedCitation":"7","previouslyFormattedCitation":"&lt;sup&gt;7&lt;/sup&gt;"},"properties":{"noteIndex":0},"schema":"https://github.com/citation-style-language/schema/raw/master/csl-citation.json"}</w:instrText>
      </w:r>
      <w:r w:rsidR="005F0EFD" w:rsidRPr="00C41FDC">
        <w:rPr>
          <w:rFonts w:eastAsia="Times New Roman"/>
          <w:b w:val="0"/>
          <w:bCs w:val="0"/>
          <w:color w:val="000000" w:themeColor="text1"/>
          <w:sz w:val="24"/>
          <w:szCs w:val="24"/>
        </w:rPr>
        <w:fldChar w:fldCharType="separate"/>
      </w:r>
      <w:r w:rsidR="00C564FA" w:rsidRPr="00C41FDC">
        <w:rPr>
          <w:rFonts w:eastAsia="Times New Roman"/>
          <w:b w:val="0"/>
          <w:bCs w:val="0"/>
          <w:noProof/>
          <w:color w:val="000000" w:themeColor="text1"/>
          <w:sz w:val="24"/>
          <w:szCs w:val="24"/>
          <w:vertAlign w:val="superscript"/>
        </w:rPr>
        <w:t>7</w:t>
      </w:r>
      <w:r w:rsidR="005F0EFD" w:rsidRPr="00C41FDC">
        <w:rPr>
          <w:rFonts w:eastAsia="Times New Roman"/>
          <w:b w:val="0"/>
          <w:bCs w:val="0"/>
          <w:color w:val="000000" w:themeColor="text1"/>
          <w:sz w:val="24"/>
          <w:szCs w:val="24"/>
        </w:rPr>
        <w:fldChar w:fldCharType="end"/>
      </w:r>
      <w:r w:rsidRPr="00C41FDC">
        <w:rPr>
          <w:rFonts w:eastAsia="Times New Roman"/>
          <w:b w:val="0"/>
          <w:bCs w:val="0"/>
          <w:color w:val="000000" w:themeColor="text1"/>
          <w:sz w:val="24"/>
          <w:szCs w:val="24"/>
        </w:rPr>
        <w:t xml:space="preserve"> The occurrence of PPFE in lung distant to the bulk of IPF-related fibrosis, the striking morphological differences between PPFE and typical lung fibrosis and the weak correlations of PPFE with measures of interstitial damage suggest that different pathophysiological mechanisms are likely to be involved in PPFE development and progression. Though a survival benefit was seen from antifibrotic medication, it is possible that novel therapeutic targets might further </w:t>
      </w:r>
      <w:r w:rsidR="003C432A" w:rsidRPr="00C41FDC">
        <w:rPr>
          <w:rFonts w:eastAsia="Times New Roman"/>
          <w:b w:val="0"/>
          <w:bCs w:val="0"/>
          <w:color w:val="000000" w:themeColor="text1"/>
          <w:sz w:val="24"/>
          <w:szCs w:val="24"/>
        </w:rPr>
        <w:t>improve survival in IPF patients with PPFE.</w:t>
      </w:r>
    </w:p>
    <w:p w14:paraId="2518E870" w14:textId="0ACFF441" w:rsidR="009B56F7" w:rsidRPr="00C41FDC" w:rsidRDefault="00593EA1" w:rsidP="003C432A">
      <w:pPr>
        <w:pStyle w:val="Heading3"/>
        <w:spacing w:before="360" w:beforeAutospacing="0" w:after="120" w:afterAutospacing="0" w:line="480" w:lineRule="auto"/>
        <w:rPr>
          <w:b w:val="0"/>
          <w:bCs w:val="0"/>
          <w:color w:val="000000" w:themeColor="text1"/>
          <w:sz w:val="24"/>
          <w:szCs w:val="24"/>
        </w:rPr>
      </w:pPr>
      <w:r w:rsidRPr="00C41FDC">
        <w:rPr>
          <w:rFonts w:eastAsia="Times New Roman"/>
          <w:b w:val="0"/>
          <w:bCs w:val="0"/>
          <w:color w:val="000000" w:themeColor="text1"/>
          <w:sz w:val="24"/>
          <w:szCs w:val="24"/>
        </w:rPr>
        <w:t>The simplicity of our visual</w:t>
      </w:r>
      <w:r w:rsidR="00487254" w:rsidRPr="00C41FDC">
        <w:rPr>
          <w:rFonts w:eastAsia="Times New Roman"/>
          <w:b w:val="0"/>
          <w:bCs w:val="0"/>
          <w:color w:val="000000" w:themeColor="text1"/>
          <w:sz w:val="24"/>
          <w:szCs w:val="24"/>
        </w:rPr>
        <w:t xml:space="preserve"> scoring system </w:t>
      </w:r>
      <w:r w:rsidR="009B56F7" w:rsidRPr="00C41FDC">
        <w:rPr>
          <w:rFonts w:eastAsia="Times New Roman"/>
          <w:b w:val="0"/>
          <w:bCs w:val="0"/>
          <w:color w:val="000000" w:themeColor="text1"/>
          <w:sz w:val="24"/>
          <w:szCs w:val="24"/>
        </w:rPr>
        <w:t>ensures that</w:t>
      </w:r>
      <w:r w:rsidRPr="00C41FDC">
        <w:rPr>
          <w:rFonts w:eastAsia="Times New Roman"/>
          <w:b w:val="0"/>
          <w:bCs w:val="0"/>
          <w:color w:val="000000" w:themeColor="text1"/>
          <w:sz w:val="24"/>
          <w:szCs w:val="24"/>
        </w:rPr>
        <w:t xml:space="preserve"> it</w:t>
      </w:r>
      <w:r w:rsidR="009B56F7" w:rsidRPr="00C41FDC">
        <w:rPr>
          <w:rFonts w:eastAsia="Times New Roman"/>
          <w:b w:val="0"/>
          <w:bCs w:val="0"/>
          <w:color w:val="000000" w:themeColor="text1"/>
          <w:sz w:val="24"/>
          <w:szCs w:val="24"/>
        </w:rPr>
        <w:t xml:space="preserve"> is</w:t>
      </w:r>
      <w:r w:rsidRPr="00C41FDC">
        <w:rPr>
          <w:rFonts w:eastAsia="Times New Roman"/>
          <w:b w:val="0"/>
          <w:bCs w:val="0"/>
          <w:color w:val="000000" w:themeColor="text1"/>
          <w:sz w:val="24"/>
          <w:szCs w:val="24"/>
        </w:rPr>
        <w:t xml:space="preserve"> equitable and distinguishes two groups with different but worse outcomes </w:t>
      </w:r>
      <w:r w:rsidR="009B56F7" w:rsidRPr="00C41FDC">
        <w:rPr>
          <w:rFonts w:eastAsia="Times New Roman"/>
          <w:b w:val="0"/>
          <w:bCs w:val="0"/>
          <w:color w:val="000000" w:themeColor="text1"/>
          <w:sz w:val="24"/>
          <w:szCs w:val="24"/>
        </w:rPr>
        <w:t xml:space="preserve">compared </w:t>
      </w:r>
      <w:r w:rsidRPr="00C41FDC">
        <w:rPr>
          <w:rFonts w:eastAsia="Times New Roman"/>
          <w:b w:val="0"/>
          <w:bCs w:val="0"/>
          <w:color w:val="000000" w:themeColor="text1"/>
          <w:sz w:val="24"/>
          <w:szCs w:val="24"/>
        </w:rPr>
        <w:t xml:space="preserve">to IPF patients without PPFE. </w:t>
      </w:r>
      <w:r w:rsidR="009B56F7" w:rsidRPr="00C41FDC">
        <w:rPr>
          <w:rFonts w:eastAsia="Times New Roman"/>
          <w:b w:val="0"/>
          <w:bCs w:val="0"/>
          <w:color w:val="000000" w:themeColor="text1"/>
          <w:sz w:val="24"/>
          <w:szCs w:val="24"/>
        </w:rPr>
        <w:t>Our</w:t>
      </w:r>
      <w:r w:rsidR="003C432A" w:rsidRPr="00C41FDC">
        <w:rPr>
          <w:rFonts w:eastAsia="Times New Roman"/>
          <w:b w:val="0"/>
          <w:bCs w:val="0"/>
          <w:color w:val="000000" w:themeColor="text1"/>
          <w:sz w:val="24"/>
          <w:szCs w:val="24"/>
        </w:rPr>
        <w:t xml:space="preserve"> computer</w:t>
      </w:r>
      <w:r w:rsidR="00CF7203" w:rsidRPr="00C41FDC">
        <w:rPr>
          <w:rFonts w:eastAsia="Times New Roman"/>
          <w:b w:val="0"/>
          <w:bCs w:val="0"/>
          <w:color w:val="000000" w:themeColor="text1"/>
          <w:sz w:val="24"/>
          <w:szCs w:val="24"/>
        </w:rPr>
        <w:t>ise</w:t>
      </w:r>
      <w:r w:rsidR="003C432A" w:rsidRPr="00C41FDC">
        <w:rPr>
          <w:rFonts w:eastAsia="Times New Roman"/>
          <w:b w:val="0"/>
          <w:bCs w:val="0"/>
          <w:color w:val="000000" w:themeColor="text1"/>
          <w:sz w:val="24"/>
          <w:szCs w:val="24"/>
        </w:rPr>
        <w:t xml:space="preserve">d scoring system was developed to quantify disease extent with greater precision </w:t>
      </w:r>
      <w:r w:rsidR="009B56F7" w:rsidRPr="00C41FDC">
        <w:rPr>
          <w:rFonts w:eastAsia="Times New Roman"/>
          <w:b w:val="0"/>
          <w:bCs w:val="0"/>
          <w:color w:val="000000" w:themeColor="text1"/>
          <w:sz w:val="24"/>
          <w:szCs w:val="24"/>
        </w:rPr>
        <w:t xml:space="preserve">than visual scores </w:t>
      </w:r>
      <w:r w:rsidR="003C432A" w:rsidRPr="00C41FDC">
        <w:rPr>
          <w:rFonts w:eastAsia="Times New Roman"/>
          <w:b w:val="0"/>
          <w:bCs w:val="0"/>
          <w:color w:val="000000" w:themeColor="text1"/>
          <w:sz w:val="24"/>
          <w:szCs w:val="24"/>
        </w:rPr>
        <w:t xml:space="preserve">and fulfilled its ambition of detecting more patients with severe disease. </w:t>
      </w:r>
      <w:r w:rsidR="00F45EA0" w:rsidRPr="00C41FDC">
        <w:rPr>
          <w:b w:val="0"/>
          <w:bCs w:val="0"/>
          <w:color w:val="000000" w:themeColor="text1"/>
          <w:sz w:val="24"/>
          <w:szCs w:val="24"/>
        </w:rPr>
        <w:t>M</w:t>
      </w:r>
      <w:r w:rsidR="005F5DE8" w:rsidRPr="00C41FDC">
        <w:rPr>
          <w:b w:val="0"/>
          <w:bCs w:val="0"/>
          <w:color w:val="000000" w:themeColor="text1"/>
          <w:sz w:val="24"/>
          <w:szCs w:val="24"/>
        </w:rPr>
        <w:t>arked v</w:t>
      </w:r>
      <w:r w:rsidR="009B56F7" w:rsidRPr="00C41FDC">
        <w:rPr>
          <w:b w:val="0"/>
          <w:bCs w:val="0"/>
          <w:color w:val="000000" w:themeColor="text1"/>
          <w:sz w:val="24"/>
          <w:szCs w:val="24"/>
        </w:rPr>
        <w:t xml:space="preserve">PPFE was </w:t>
      </w:r>
      <w:r w:rsidR="00F45EA0" w:rsidRPr="00C41FDC">
        <w:rPr>
          <w:b w:val="0"/>
          <w:bCs w:val="0"/>
          <w:color w:val="000000" w:themeColor="text1"/>
          <w:sz w:val="24"/>
          <w:szCs w:val="24"/>
        </w:rPr>
        <w:t xml:space="preserve">observed </w:t>
      </w:r>
      <w:r w:rsidR="009B56F7" w:rsidRPr="00C41FDC">
        <w:rPr>
          <w:b w:val="0"/>
          <w:bCs w:val="0"/>
          <w:color w:val="000000" w:themeColor="text1"/>
          <w:sz w:val="24"/>
          <w:szCs w:val="24"/>
        </w:rPr>
        <w:t xml:space="preserve">in </w:t>
      </w:r>
      <w:r w:rsidR="001940DD" w:rsidRPr="00C41FDC">
        <w:rPr>
          <w:b w:val="0"/>
          <w:bCs w:val="0"/>
          <w:color w:val="000000" w:themeColor="text1"/>
          <w:sz w:val="24"/>
          <w:szCs w:val="24"/>
        </w:rPr>
        <w:t>10</w:t>
      </w:r>
      <w:r w:rsidR="009B56F7" w:rsidRPr="00C41FDC">
        <w:rPr>
          <w:b w:val="0"/>
          <w:bCs w:val="0"/>
          <w:color w:val="000000" w:themeColor="text1"/>
          <w:sz w:val="24"/>
          <w:szCs w:val="24"/>
        </w:rPr>
        <w:t xml:space="preserve">% and 12% of patients in the </w:t>
      </w:r>
      <w:r w:rsidR="00005AF0" w:rsidRPr="00C41FDC">
        <w:rPr>
          <w:b w:val="0"/>
          <w:bCs w:val="0"/>
          <w:color w:val="000000" w:themeColor="text1"/>
          <w:sz w:val="24"/>
          <w:szCs w:val="24"/>
        </w:rPr>
        <w:t xml:space="preserve">derivation </w:t>
      </w:r>
      <w:r w:rsidR="009B56F7" w:rsidRPr="00C41FDC">
        <w:rPr>
          <w:b w:val="0"/>
          <w:bCs w:val="0"/>
          <w:color w:val="000000" w:themeColor="text1"/>
          <w:sz w:val="24"/>
          <w:szCs w:val="24"/>
        </w:rPr>
        <w:t>and validation cohorts, respectively</w:t>
      </w:r>
      <w:r w:rsidR="00F45EA0" w:rsidRPr="00C41FDC">
        <w:rPr>
          <w:b w:val="0"/>
          <w:bCs w:val="0"/>
          <w:color w:val="000000" w:themeColor="text1"/>
          <w:sz w:val="24"/>
          <w:szCs w:val="24"/>
        </w:rPr>
        <w:t>, whilst</w:t>
      </w:r>
      <w:r w:rsidR="009B56F7" w:rsidRPr="00C41FDC">
        <w:rPr>
          <w:b w:val="0"/>
          <w:bCs w:val="0"/>
          <w:color w:val="000000" w:themeColor="text1"/>
          <w:sz w:val="24"/>
          <w:szCs w:val="24"/>
        </w:rPr>
        <w:t xml:space="preserve"> </w:t>
      </w:r>
      <w:r w:rsidR="005F5DE8" w:rsidRPr="00C41FDC">
        <w:rPr>
          <w:b w:val="0"/>
          <w:bCs w:val="0"/>
          <w:color w:val="000000" w:themeColor="text1"/>
          <w:sz w:val="24"/>
          <w:szCs w:val="24"/>
        </w:rPr>
        <w:t>c</w:t>
      </w:r>
      <w:r w:rsidR="009B56F7" w:rsidRPr="00C41FDC">
        <w:rPr>
          <w:b w:val="0"/>
          <w:bCs w:val="0"/>
          <w:color w:val="000000" w:themeColor="text1"/>
          <w:sz w:val="24"/>
          <w:szCs w:val="24"/>
        </w:rPr>
        <w:t xml:space="preserve">PPFE extent </w:t>
      </w:r>
      <w:r w:rsidR="009B56F7" w:rsidRPr="00C41FDC">
        <w:rPr>
          <w:rFonts w:eastAsia="Times New Roman"/>
          <w:b w:val="0"/>
          <w:bCs w:val="0"/>
          <w:color w:val="000000" w:themeColor="text1"/>
          <w:sz w:val="24"/>
          <w:szCs w:val="24"/>
        </w:rPr>
        <w:sym w:font="Symbol" w:char="F0B3"/>
      </w:r>
      <w:r w:rsidR="001E455A" w:rsidRPr="00C41FDC">
        <w:rPr>
          <w:rFonts w:eastAsia="Times New Roman"/>
          <w:b w:val="0"/>
          <w:bCs w:val="0"/>
          <w:color w:val="000000" w:themeColor="text1"/>
          <w:sz w:val="24"/>
          <w:szCs w:val="24"/>
        </w:rPr>
        <w:t>2·</w:t>
      </w:r>
      <w:r w:rsidR="009B56F7" w:rsidRPr="00C41FDC">
        <w:rPr>
          <w:b w:val="0"/>
          <w:bCs w:val="0"/>
          <w:color w:val="000000" w:themeColor="text1"/>
          <w:sz w:val="24"/>
          <w:szCs w:val="24"/>
        </w:rPr>
        <w:t>5% was found in 2</w:t>
      </w:r>
      <w:r w:rsidR="00671A88" w:rsidRPr="00C41FDC">
        <w:rPr>
          <w:b w:val="0"/>
          <w:bCs w:val="0"/>
          <w:color w:val="000000" w:themeColor="text1"/>
          <w:sz w:val="24"/>
          <w:szCs w:val="24"/>
        </w:rPr>
        <w:t>5</w:t>
      </w:r>
      <w:r w:rsidR="009B56F7" w:rsidRPr="00C41FDC">
        <w:rPr>
          <w:b w:val="0"/>
          <w:bCs w:val="0"/>
          <w:color w:val="000000" w:themeColor="text1"/>
          <w:sz w:val="24"/>
          <w:szCs w:val="24"/>
        </w:rPr>
        <w:t xml:space="preserve">% and 36% of patients in the </w:t>
      </w:r>
      <w:r w:rsidR="00005AF0" w:rsidRPr="00C41FDC">
        <w:rPr>
          <w:b w:val="0"/>
          <w:bCs w:val="0"/>
          <w:color w:val="000000" w:themeColor="text1"/>
          <w:sz w:val="24"/>
          <w:szCs w:val="24"/>
        </w:rPr>
        <w:t xml:space="preserve">derivation </w:t>
      </w:r>
      <w:r w:rsidR="009B56F7" w:rsidRPr="00C41FDC">
        <w:rPr>
          <w:b w:val="0"/>
          <w:bCs w:val="0"/>
          <w:color w:val="000000" w:themeColor="text1"/>
          <w:sz w:val="24"/>
          <w:szCs w:val="24"/>
        </w:rPr>
        <w:t>and validation cohorts</w:t>
      </w:r>
      <w:r w:rsidR="007033E0" w:rsidRPr="00C41FDC">
        <w:rPr>
          <w:b w:val="0"/>
          <w:bCs w:val="0"/>
          <w:color w:val="000000" w:themeColor="text1"/>
          <w:sz w:val="24"/>
          <w:szCs w:val="24"/>
        </w:rPr>
        <w:t>, respectively</w:t>
      </w:r>
      <w:r w:rsidR="00F45EA0" w:rsidRPr="00C41FDC">
        <w:rPr>
          <w:b w:val="0"/>
          <w:bCs w:val="0"/>
          <w:color w:val="000000" w:themeColor="text1"/>
          <w:sz w:val="24"/>
          <w:szCs w:val="24"/>
        </w:rPr>
        <w:t xml:space="preserve">. </w:t>
      </w:r>
      <w:bookmarkStart w:id="240" w:name="OLE_LINK122"/>
      <w:bookmarkStart w:id="241" w:name="OLE_LINK123"/>
      <w:bookmarkStart w:id="242" w:name="OLE_LINK132"/>
      <w:r w:rsidR="00F45EA0" w:rsidRPr="00C41FDC">
        <w:rPr>
          <w:b w:val="0"/>
          <w:bCs w:val="0"/>
          <w:color w:val="000000" w:themeColor="text1"/>
          <w:sz w:val="24"/>
          <w:szCs w:val="24"/>
        </w:rPr>
        <w:t xml:space="preserve">In the combined population with PPFE, </w:t>
      </w:r>
      <w:r w:rsidR="00F45EA0" w:rsidRPr="00C41FDC">
        <w:rPr>
          <w:b w:val="0"/>
          <w:bCs w:val="0"/>
          <w:color w:val="000000" w:themeColor="text1"/>
          <w:sz w:val="24"/>
          <w:szCs w:val="24"/>
        </w:rPr>
        <w:lastRenderedPageBreak/>
        <w:t>computerised scores demonstrated better discriminative ability and were more sensitive to poor survival outcomes than visual scores</w:t>
      </w:r>
      <w:r w:rsidR="009B56F7" w:rsidRPr="00C41FDC">
        <w:rPr>
          <w:b w:val="0"/>
          <w:bCs w:val="0"/>
          <w:color w:val="000000" w:themeColor="text1"/>
          <w:sz w:val="24"/>
          <w:szCs w:val="24"/>
        </w:rPr>
        <w:t xml:space="preserve"> (</w:t>
      </w:r>
      <w:r w:rsidR="00E33BA0" w:rsidRPr="00C41FDC">
        <w:rPr>
          <w:b w:val="0"/>
          <w:bCs w:val="0"/>
          <w:color w:val="000000" w:themeColor="text1"/>
          <w:sz w:val="24"/>
          <w:szCs w:val="24"/>
        </w:rPr>
        <w:t xml:space="preserve">Figure </w:t>
      </w:r>
      <w:r w:rsidR="007F32D5" w:rsidRPr="00C41FDC">
        <w:rPr>
          <w:b w:val="0"/>
          <w:bCs w:val="0"/>
          <w:color w:val="000000" w:themeColor="text1"/>
          <w:sz w:val="24"/>
          <w:szCs w:val="24"/>
        </w:rPr>
        <w:t>4</w:t>
      </w:r>
      <w:r w:rsidR="00E33BA0" w:rsidRPr="00C41FDC">
        <w:rPr>
          <w:b w:val="0"/>
          <w:bCs w:val="0"/>
          <w:color w:val="000000" w:themeColor="text1"/>
          <w:sz w:val="24"/>
          <w:szCs w:val="24"/>
        </w:rPr>
        <w:t xml:space="preserve">, </w:t>
      </w:r>
      <w:r w:rsidR="008D24C9" w:rsidRPr="00C41FDC">
        <w:rPr>
          <w:b w:val="0"/>
          <w:bCs w:val="0"/>
          <w:color w:val="000000" w:themeColor="text1"/>
          <w:sz w:val="24"/>
          <w:szCs w:val="24"/>
        </w:rPr>
        <w:t>Supplementary Table</w:t>
      </w:r>
      <w:r w:rsidR="009B56F7" w:rsidRPr="00C41FDC">
        <w:rPr>
          <w:b w:val="0"/>
          <w:bCs w:val="0"/>
          <w:color w:val="000000" w:themeColor="text1"/>
          <w:sz w:val="24"/>
          <w:szCs w:val="24"/>
        </w:rPr>
        <w:t xml:space="preserve"> </w:t>
      </w:r>
      <w:r w:rsidR="00FC511B" w:rsidRPr="00C41FDC">
        <w:rPr>
          <w:b w:val="0"/>
          <w:bCs w:val="0"/>
          <w:color w:val="000000" w:themeColor="text1"/>
          <w:sz w:val="24"/>
          <w:szCs w:val="24"/>
        </w:rPr>
        <w:t>18</w:t>
      </w:r>
      <w:r w:rsidR="009B56F7" w:rsidRPr="00C41FDC">
        <w:rPr>
          <w:b w:val="0"/>
          <w:bCs w:val="0"/>
          <w:color w:val="000000" w:themeColor="text1"/>
          <w:sz w:val="24"/>
          <w:szCs w:val="24"/>
        </w:rPr>
        <w:t xml:space="preserve">). </w:t>
      </w:r>
      <w:bookmarkEnd w:id="240"/>
      <w:bookmarkEnd w:id="241"/>
      <w:bookmarkEnd w:id="242"/>
    </w:p>
    <w:p w14:paraId="719AC795" w14:textId="296FD261" w:rsidR="00842D0B" w:rsidRPr="00C41FDC" w:rsidRDefault="009B56F7" w:rsidP="003C432A">
      <w:pPr>
        <w:pStyle w:val="Heading3"/>
        <w:spacing w:before="360" w:beforeAutospacing="0" w:after="120" w:afterAutospacing="0" w:line="480" w:lineRule="auto"/>
        <w:rPr>
          <w:rFonts w:eastAsia="Times New Roman"/>
          <w:b w:val="0"/>
          <w:bCs w:val="0"/>
          <w:color w:val="000000" w:themeColor="text1"/>
          <w:sz w:val="24"/>
          <w:szCs w:val="24"/>
        </w:rPr>
      </w:pPr>
      <w:r w:rsidRPr="00C41FDC">
        <w:rPr>
          <w:b w:val="0"/>
          <w:bCs w:val="0"/>
          <w:color w:val="000000" w:themeColor="text1"/>
          <w:sz w:val="24"/>
          <w:szCs w:val="24"/>
        </w:rPr>
        <w:t xml:space="preserve">We </w:t>
      </w:r>
      <w:r w:rsidR="00054D68" w:rsidRPr="00C41FDC">
        <w:rPr>
          <w:rFonts w:eastAsia="Times New Roman"/>
          <w:b w:val="0"/>
          <w:bCs w:val="0"/>
          <w:color w:val="000000" w:themeColor="text1"/>
          <w:sz w:val="24"/>
          <w:szCs w:val="24"/>
        </w:rPr>
        <w:t>required</w:t>
      </w:r>
      <w:r w:rsidR="003C432A" w:rsidRPr="00C41FDC">
        <w:rPr>
          <w:rFonts w:eastAsia="Times New Roman"/>
          <w:b w:val="0"/>
          <w:bCs w:val="0"/>
          <w:color w:val="000000" w:themeColor="text1"/>
          <w:sz w:val="24"/>
          <w:szCs w:val="24"/>
        </w:rPr>
        <w:t xml:space="preserve"> the radiologist to first assess the CT for the presence of </w:t>
      </w:r>
      <w:r w:rsidR="005F5DE8" w:rsidRPr="00C41FDC">
        <w:rPr>
          <w:rFonts w:eastAsia="Times New Roman"/>
          <w:b w:val="0"/>
          <w:bCs w:val="0"/>
          <w:color w:val="000000" w:themeColor="text1"/>
          <w:sz w:val="24"/>
          <w:szCs w:val="24"/>
        </w:rPr>
        <w:t xml:space="preserve">PPFE </w:t>
      </w:r>
      <w:r w:rsidR="003C432A" w:rsidRPr="00C41FDC">
        <w:rPr>
          <w:rFonts w:eastAsia="Times New Roman"/>
          <w:b w:val="0"/>
          <w:bCs w:val="0"/>
          <w:color w:val="000000" w:themeColor="text1"/>
          <w:sz w:val="24"/>
          <w:szCs w:val="24"/>
        </w:rPr>
        <w:t>as experience has shown that automated methods of disease prognostication work best when designed with the specialist-in-the-loop</w:t>
      </w:r>
      <w:r w:rsidR="00D775D4" w:rsidRPr="00C41FDC">
        <w:rPr>
          <w:rFonts w:eastAsia="Times New Roman"/>
          <w:b w:val="0"/>
          <w:bCs w:val="0"/>
          <w:color w:val="000000" w:themeColor="text1"/>
          <w:sz w:val="24"/>
          <w:szCs w:val="24"/>
        </w:rPr>
        <w:t>.</w:t>
      </w:r>
      <w:r w:rsidR="002C15BB" w:rsidRPr="00C41FDC">
        <w:rPr>
          <w:rFonts w:eastAsia="Times New Roman"/>
          <w:b w:val="0"/>
          <w:bCs w:val="0"/>
          <w:color w:val="000000" w:themeColor="text1"/>
          <w:sz w:val="24"/>
          <w:szCs w:val="24"/>
        </w:rPr>
        <w:fldChar w:fldCharType="begin" w:fldLock="1"/>
      </w:r>
      <w:r w:rsidR="002C459D">
        <w:rPr>
          <w:rFonts w:eastAsia="Times New Roman"/>
          <w:b w:val="0"/>
          <w:bCs w:val="0"/>
          <w:color w:val="000000" w:themeColor="text1"/>
          <w:sz w:val="24"/>
          <w:szCs w:val="24"/>
        </w:rPr>
        <w:instrText>ADDIN CSL_CITATION {"citationItems":[{"id":"ITEM-1","itemData":{"DOI":"10.1038/s41746-019-0189-7","ISSN":"23986352","abstract":"Human-in-the-loop (HITL) AI may enable an ideal symbiosis of human experts and AI models, harnessing the advantages of both while at the same time overcoming their respective limitations. The purpose of this study was to investigate a novel collective intelligence technology designed to amplify the diagnostic accuracy of networked human groups by forming real-time systems modeled on biological swarms. Using small groups of radiologists, the swarm-based technology was applied to the diagnosis of pneumonia on chest radiographs and compared against human experts alone, as well as two state-of-the-art deep learning AI models. Our work demonstrates that both the swarm-based technology and deep-learning technology achieved superior diagnostic accuracy than the human experts alone. Our work further demonstrates that when used in combination, the swarm-based technology and deep-learning technology outperformed either method alone. The superior diagnostic accuracy of the combined HITL AI solution compared to radiologists and AI alone has broad implications for the surging clinical AI deployment and implementation strategies in future practice.","author":[{"dropping-particle":"","family":"Patel","given":"Bhavik N.","non-dropping-particle":"","parse-names":false,"suffix":""},{"dropping-particle":"","family":"Rosenberg","given":"Louis","non-dropping-particle":"","parse-names":false,"suffix":""},{"dropping-particle":"","family":"Willcox","given":"Gregg","non-dropping-particle":"","parse-names":false,"suffix":""},{"dropping-particle":"","family":"Baltaxe","given":"David","non-dropping-particle":"","parse-names":false,"suffix":""},{"dropping-particle":"","family":"Lyons","given":"Mimi","non-dropping-particle":"","parse-names":false,"suffix":""},{"dropping-particle":"","family":"Irvin","given":"Jeremy","non-dropping-particle":"","parse-names":false,"suffix":""},{"dropping-particle":"","family":"Rajpurkar","given":"Pranav","non-dropping-particle":"","parse-names":false,"suffix":""},{"dropping-particle":"","family":"Amrhein","given":"Timothy","non-dropping-particle":"","parse-names":false,"suffix":""},{"dropping-particle":"","family":"Gupta","given":"Rajan","non-dropping-particle":"","parse-names":false,"suffix":""},{"dropping-particle":"","family":"Halabi","given":"Safwan","non-dropping-particle":"","parse-names":false,"suffix":""},{"dropping-particle":"","family":"Langlotz","given":"Curtis","non-dropping-particle":"","parse-names":false,"suffix":""},{"dropping-particle":"","family":"Lo","given":"Edward","non-dropping-particle":"","parse-names":false,"suffix":""},{"dropping-particle":"","family":"Mammarappallil","given":"Joseph","non-dropping-particle":"","parse-names":false,"suffix":""},{"dropping-particle":"","family":"Mariano","given":"A. J.","non-dropping-particle":"","parse-names":false,"suffix":""},{"dropping-particle":"","family":"Riley","given":"Geoffrey","non-dropping-particle":"","parse-names":false,"suffix":""},{"dropping-particle":"","family":"Seekins","given":"Jayne","non-dropping-particle":"","parse-names":false,"suffix":""},{"dropping-particle":"","family":"Shen","given":"Luyao","non-dropping-particle":"","parse-names":false,"suffix":""},{"dropping-particle":"","family":"Zucker","given":"Evan","non-dropping-particle":"","parse-names":false,"suffix":""},{"dropping-particle":"","family":"Lungren","given":"Matthew","non-dropping-particle":"","parse-names":false,"suffix":""}],"container-title":"npj Digital Medicine","id":"ITEM-1","issue":"1","issued":{"date-parts":[["2019"]]},"title":"Human–machine partnership with artificial intelligence for chest radiograph diagnosis","type":"article-journal","volume":"2"},"uris":["http://www.mendeley.com/documents/?uuid=3b8b6f55-5fcd-4b1f-abd4-c00a241eeb3a"]},{"id":"ITEM-2","itemData":{"DOI":"10.1038/s41591-020-0942-0","ISSN":"1546170X","PMID":"32572267","abstract":"The rapid increase in telemedicine coupled with recent advances in diagnostic artificial intelligence (AI) create the imperative to consider the opportunities and risks of inserting AI-based support into new paradigms of care. Here we build on recent achievements in the accuracy of image-based AI for skin cancer diagnosis to address the effects of varied representations of AI-based support across different levels of clinical expertise and multiple clinical workflows. We find that good quality AI-based support of clinical decision-making improves diagnostic accuracy over that of either AI or physicians alone, and that the least experienced clinicians gain the most from AI-based support. We further find that AI-based multiclass probabilities outperformed content-based image retrieval (CBIR) representations of AI in the mobile technology environment, and AI-based support had utility in simulations of second opinions and of telemedicine triage. In addition to demonstrating the potential benefits associated with good quality AI in the hands of non-expert clinicians, we find that faulty AI can mislead the entire spectrum of clinicians, including experts. Lastly, we show that insights derived from AI class-activation maps can inform improvements in human diagnosis. Together, our approach and findings offer a framework for future studies across the spectrum of image-based diagnostics to improve human–computer collaboration in clinical practice.","author":[{"dropping-particle":"","family":"Tschandl","given":"Philipp","non-dropping-particle":"","parse-names":false,"suffix":""},{"dropping-particle":"","family":"Rinner","given":"Christoph","non-dropping-particle":"","parse-names":false,"suffix":""},{"dropping-particle":"","family":"Apalla","given":"Zoe","non-dropping-particle":"","parse-names":false,"suffix":""},{"dropping-particle":"","family":"Argenziano","given":"Giuseppe","non-dropping-particle":"","parse-names":false,"suffix":""},{"dropping-particle":"","family":"Codella","given":"Noel","non-dropping-particle":"","parse-names":false,"suffix":""},{"dropping-particle":"","family":"Halpern","given":"Allan","non-dropping-particle":"","parse-names":false,"suffix":""},{"dropping-particle":"","family":"Janda","given":"Monika","non-dropping-particle":"","parse-names":false,"suffix":""},{"dropping-particle":"","family":"Lallas","given":"Aimilios","non-dropping-particle":"","parse-names":false,"suffix":""},{"dropping-particle":"","family":"Longo","given":"Caterina","non-dropping-particle":"","parse-names":false,"suffix":""},{"dropping-particle":"","family":"Malvehy","given":"Josep","non-dropping-particle":"","parse-names":false,"suffix":""},{"dropping-particle":"","family":"Paoli","given":"John","non-dropping-particle":"","parse-names":false,"suffix":""},{"dropping-particle":"","family":"Puig","given":"Susana","non-dropping-particle":"","parse-names":false,"suffix":""},{"dropping-particle":"","family":"Rosendahl","given":"Cliff","non-dropping-particle":"","parse-names":false,"suffix":""},{"dropping-particle":"","family":"Soyer","given":"H. Peter","non-dropping-particle":"","parse-names":false,"suffix":""},{"dropping-particle":"","family":"Zalaudek","given":"Iris","non-dropping-particle":"","parse-names":false,"suffix":""},{"dropping-particle":"","family":"Kittler","given":"Harald","non-dropping-particle":"","parse-names":false,"suffix":""}],"container-title":"Nature Medicine","id":"ITEM-2","issue":"8","issued":{"date-parts":[["2020"]]},"page":"1229–1234","title":"Human–computer collaboration for skin cancer recognition","type":"article-journal","volume":"26"},"uris":["http://www.mendeley.com/documents/?uuid=b6328e15-f33e-4f38-b047-3c04d11ab533"]}],"mendeley":{"formattedCitation":"&lt;sup&gt;23,24&lt;/sup&gt;","plainTextFormattedCitation":"23,24","previouslyFormattedCitation":"&lt;sup&gt;23,24&lt;/sup&gt;"},"properties":{"noteIndex":0},"schema":"https://github.com/citation-style-language/schema/raw/master/csl-citation.json"}</w:instrText>
      </w:r>
      <w:r w:rsidR="002C15BB" w:rsidRPr="00C41FDC">
        <w:rPr>
          <w:rFonts w:eastAsia="Times New Roman"/>
          <w:b w:val="0"/>
          <w:bCs w:val="0"/>
          <w:color w:val="000000" w:themeColor="text1"/>
          <w:sz w:val="24"/>
          <w:szCs w:val="24"/>
        </w:rPr>
        <w:fldChar w:fldCharType="separate"/>
      </w:r>
      <w:r w:rsidR="00933BDC" w:rsidRPr="00C41FDC">
        <w:rPr>
          <w:rFonts w:eastAsia="Times New Roman"/>
          <w:b w:val="0"/>
          <w:bCs w:val="0"/>
          <w:noProof/>
          <w:color w:val="000000" w:themeColor="text1"/>
          <w:sz w:val="24"/>
          <w:szCs w:val="24"/>
          <w:vertAlign w:val="superscript"/>
        </w:rPr>
        <w:t>23,24</w:t>
      </w:r>
      <w:r w:rsidR="002C15BB" w:rsidRPr="00C41FDC">
        <w:rPr>
          <w:rFonts w:eastAsia="Times New Roman"/>
          <w:b w:val="0"/>
          <w:bCs w:val="0"/>
          <w:color w:val="000000" w:themeColor="text1"/>
          <w:sz w:val="24"/>
          <w:szCs w:val="24"/>
        </w:rPr>
        <w:fldChar w:fldCharType="end"/>
      </w:r>
      <w:r w:rsidR="003C432A" w:rsidRPr="00C41FDC">
        <w:rPr>
          <w:rFonts w:eastAsia="Times New Roman"/>
          <w:b w:val="0"/>
          <w:bCs w:val="0"/>
          <w:color w:val="000000" w:themeColor="text1"/>
          <w:sz w:val="24"/>
          <w:szCs w:val="24"/>
        </w:rPr>
        <w:t xml:space="preserve"> The </w:t>
      </w:r>
      <w:r w:rsidRPr="00C41FDC">
        <w:rPr>
          <w:rFonts w:eastAsia="Times New Roman"/>
          <w:b w:val="0"/>
          <w:bCs w:val="0"/>
          <w:color w:val="000000" w:themeColor="text1"/>
          <w:sz w:val="24"/>
          <w:szCs w:val="24"/>
        </w:rPr>
        <w:t xml:space="preserve">further advantage of </w:t>
      </w:r>
      <w:r w:rsidR="005F5DE8" w:rsidRPr="00C41FDC">
        <w:rPr>
          <w:rFonts w:eastAsia="Times New Roman"/>
          <w:b w:val="0"/>
          <w:bCs w:val="0"/>
          <w:color w:val="000000" w:themeColor="text1"/>
          <w:sz w:val="24"/>
          <w:szCs w:val="24"/>
        </w:rPr>
        <w:t>c</w:t>
      </w:r>
      <w:r w:rsidR="003C432A" w:rsidRPr="00C41FDC">
        <w:rPr>
          <w:rFonts w:eastAsia="Times New Roman"/>
          <w:b w:val="0"/>
          <w:bCs w:val="0"/>
          <w:color w:val="000000" w:themeColor="text1"/>
          <w:sz w:val="24"/>
          <w:szCs w:val="24"/>
        </w:rPr>
        <w:t xml:space="preserve">PPFE </w:t>
      </w:r>
      <w:r w:rsidRPr="00C41FDC">
        <w:rPr>
          <w:rFonts w:eastAsia="Times New Roman"/>
          <w:b w:val="0"/>
          <w:bCs w:val="0"/>
          <w:color w:val="000000" w:themeColor="text1"/>
          <w:sz w:val="24"/>
          <w:szCs w:val="24"/>
        </w:rPr>
        <w:t>is</w:t>
      </w:r>
      <w:r w:rsidR="003C432A" w:rsidRPr="00C41FDC">
        <w:rPr>
          <w:rFonts w:eastAsia="Times New Roman"/>
          <w:b w:val="0"/>
          <w:bCs w:val="0"/>
          <w:color w:val="000000" w:themeColor="text1"/>
          <w:sz w:val="24"/>
          <w:szCs w:val="24"/>
        </w:rPr>
        <w:t xml:space="preserve"> the potential to sensitively detect disease progression o</w:t>
      </w:r>
      <w:r w:rsidRPr="00C41FDC">
        <w:rPr>
          <w:rFonts w:eastAsia="Times New Roman"/>
          <w:b w:val="0"/>
          <w:bCs w:val="0"/>
          <w:color w:val="000000" w:themeColor="text1"/>
          <w:sz w:val="24"/>
          <w:szCs w:val="24"/>
        </w:rPr>
        <w:t>n</w:t>
      </w:r>
      <w:r w:rsidR="003C432A" w:rsidRPr="00C41FDC">
        <w:rPr>
          <w:rFonts w:eastAsia="Times New Roman"/>
          <w:b w:val="0"/>
          <w:bCs w:val="0"/>
          <w:color w:val="000000" w:themeColor="text1"/>
          <w:sz w:val="24"/>
          <w:szCs w:val="24"/>
        </w:rPr>
        <w:t xml:space="preserve"> longitudinal imaging, and potentially arbitrate cases where radiologists disagree about the extent of PPFE on CT.</w:t>
      </w:r>
    </w:p>
    <w:p w14:paraId="3713BD7E" w14:textId="5FC7A1DD" w:rsidR="003C432A" w:rsidRPr="00C41FDC" w:rsidRDefault="003C432A" w:rsidP="00FA0B69">
      <w:pPr>
        <w:pStyle w:val="Heading3"/>
        <w:spacing w:before="360" w:beforeAutospacing="0" w:after="120" w:afterAutospacing="0" w:line="480" w:lineRule="auto"/>
        <w:rPr>
          <w:rFonts w:eastAsia="Times New Roman"/>
          <w:b w:val="0"/>
          <w:bCs w:val="0"/>
          <w:color w:val="000000" w:themeColor="text1"/>
          <w:sz w:val="24"/>
          <w:szCs w:val="24"/>
        </w:rPr>
      </w:pPr>
      <w:r w:rsidRPr="00C41FDC">
        <w:rPr>
          <w:rFonts w:eastAsia="Times New Roman"/>
          <w:b w:val="0"/>
          <w:bCs w:val="0"/>
          <w:color w:val="000000" w:themeColor="text1"/>
          <w:sz w:val="24"/>
          <w:szCs w:val="24"/>
        </w:rPr>
        <w:t xml:space="preserve">The </w:t>
      </w:r>
      <w:r w:rsidR="007109CD" w:rsidRPr="00C41FDC">
        <w:rPr>
          <w:rFonts w:eastAsia="Times New Roman"/>
          <w:b w:val="0"/>
          <w:bCs w:val="0"/>
          <w:color w:val="000000" w:themeColor="text1"/>
          <w:sz w:val="24"/>
          <w:szCs w:val="24"/>
        </w:rPr>
        <w:t xml:space="preserve">greater </w:t>
      </w:r>
      <w:r w:rsidRPr="00C41FDC">
        <w:rPr>
          <w:rFonts w:eastAsia="Times New Roman"/>
          <w:b w:val="0"/>
          <w:bCs w:val="0"/>
          <w:color w:val="000000" w:themeColor="text1"/>
          <w:sz w:val="24"/>
          <w:szCs w:val="24"/>
        </w:rPr>
        <w:t xml:space="preserve">decline in FVC seen with PPFE may have relevance for early phase II </w:t>
      </w:r>
      <w:r w:rsidR="006D3691" w:rsidRPr="00C41FDC">
        <w:rPr>
          <w:rFonts w:eastAsia="Times New Roman"/>
          <w:b w:val="0"/>
          <w:bCs w:val="0"/>
          <w:color w:val="000000" w:themeColor="text1"/>
          <w:sz w:val="24"/>
          <w:szCs w:val="24"/>
        </w:rPr>
        <w:t xml:space="preserve">IPF </w:t>
      </w:r>
      <w:r w:rsidRPr="00C41FDC">
        <w:rPr>
          <w:rFonts w:eastAsia="Times New Roman"/>
          <w:b w:val="0"/>
          <w:bCs w:val="0"/>
          <w:color w:val="000000" w:themeColor="text1"/>
          <w:sz w:val="24"/>
          <w:szCs w:val="24"/>
        </w:rPr>
        <w:t xml:space="preserve">trials </w:t>
      </w:r>
      <w:r w:rsidR="006D3691" w:rsidRPr="00C41FDC">
        <w:rPr>
          <w:rFonts w:eastAsia="Times New Roman"/>
          <w:b w:val="0"/>
          <w:bCs w:val="0"/>
          <w:color w:val="000000" w:themeColor="text1"/>
          <w:sz w:val="24"/>
          <w:szCs w:val="24"/>
        </w:rPr>
        <w:t>where mls change per year of FVC is a primary trial endpoint</w:t>
      </w:r>
      <w:r w:rsidR="00D775D4" w:rsidRPr="00C41FDC">
        <w:rPr>
          <w:rFonts w:eastAsia="Times New Roman"/>
          <w:b w:val="0"/>
          <w:bCs w:val="0"/>
          <w:color w:val="000000" w:themeColor="text1"/>
          <w:sz w:val="24"/>
          <w:szCs w:val="24"/>
        </w:rPr>
        <w:t>.</w:t>
      </w:r>
      <w:r w:rsidR="005F0EFD" w:rsidRPr="00C41FDC">
        <w:rPr>
          <w:rFonts w:eastAsia="Times New Roman"/>
          <w:b w:val="0"/>
          <w:bCs w:val="0"/>
          <w:color w:val="000000" w:themeColor="text1"/>
          <w:sz w:val="24"/>
          <w:szCs w:val="24"/>
        </w:rPr>
        <w:fldChar w:fldCharType="begin" w:fldLock="1"/>
      </w:r>
      <w:r w:rsidR="002C459D">
        <w:rPr>
          <w:rFonts w:eastAsia="Times New Roman"/>
          <w:b w:val="0"/>
          <w:bCs w:val="0"/>
          <w:color w:val="000000" w:themeColor="text1"/>
          <w:sz w:val="24"/>
          <w:szCs w:val="24"/>
        </w:rPr>
        <w:instrText>ADDIN CSL_CITATION {"citationItems":[{"id":"ITEM-1","itemData":{"DOI":"10.1056/nejmoa1402584","ISSN":"0028-4793","PMID":"24836310","abstract":"BACKGROUND Nintedanib (formerly known as BIBF 1120) is an intracellular inhibitor that targets multiple tyrosine kinases. A phase 2 trial suggested that treatment with 150 mg of nintedanib twice daily reduced lung-function decline and acute exacerbations in patients with idiopathic pulmonary fibrosis. METHODS We conducted two replicate 52-week, randomized, double-blind, phase 3 trials (INPULSIS-1 and INPULSIS-2) to evaluate the efficacy and safety of 150 mg of nintedanib twice daily as compared with placebo in patients with idiopathic pulmonary fibrosis. The primary end point was the annual rate of decline in forced vital capacity (FVC). Key secondary end points were the time to the first acute exacerbation and the change from baseline in the total score on the St. George's Respiratory Questionnaire, both assessed over a 52-week period. RESULTS A total of 1066 patients were randomly assigned in a 3:2 ratio to receive nintedanib or placebo. The adjusted annual rate of change in FVC was -114.7 ml with nintedanib versus -239.9 ml with placebo (difference, 125.3 ml; 95% confidence interval [CI], 77.7 to 172.8; P&lt;0.001) in INPULSIS-1 and -113.6 ml with nintedanib versus -207.3 ml with placebo (difference, 93.7 ml; 95% CI, 44.8 to 142.7; P&lt;0.001) in INPULSIS-2. In INPULSIS-1, there was no significant difference between the nintedanib and placebo groups in the time to the first acute exacerbation (hazard ratio with nintedanib, 1.15; 95% CI, 0.54 to 2.42; P=0.67); in INPULSIS-2, there was a significant benefit with nintedanib versus placebo (hazard ratio, 0.38; 95% CI, 0.19 to 0.77; P=0.005). The most frequent adverse event in the nintedanib groups was diarrhea, with rates of 61.5% and 18.6% in the nintedanib and placebo groups, respectively, in INPULSIS-1 and 63.2% and 18.3% in the two groups, respectively, in INPULSIS-2. CONCLUSIONS In patients with idiopathic pulmonary fibrosis, nintedanib reduced the decline in FVC, which is consistent with a slowing of disease progression; nintedanib was frequently associated with diarrhea, which led to discontinuation of the study medication in less than 5% of patients. (Funded by Boehringer Ingelheim; INPULSIS-1 and INPULSIS-2 ClinicalTrials.gov numbers, NCT01335464 and NCT01335477.).","author":[{"dropping-particle":"","family":"Richeldi","given":"Luca","non-dropping-particle":"","parse-names":false,"suffix":""},{"dropping-particle":"","family":"Bois","given":"Roland M.","non-dropping-particle":"du","parse-names":false,"suffix":""},{"dropping-particle":"","family":"Raghu","given":"Ganesh","non-dropping-particle":"","parse-names":false,"suffix":""},{"dropping-particle":"","family":"Azuma","given":"Arata","non-dropping-particle":"","parse-names":false,"suffix":""},{"dropping-particle":"","family":"Brown","given":"Kevin K.","non-dropping-particle":"","parse-names":false,"suffix":""},{"dropping-particle":"","family":"Costabel","given":"Ulrich","non-dropping-particle":"","parse-names":false,"suffix":""},{"dropping-particle":"","family":"Cottin","given":"Vincent","non-dropping-particle":"","parse-names":false,"suffix":""},{"dropping-particle":"","family":"Flaherty","given":"Kevin R.","non-dropping-particle":"","parse-names":false,"suffix":""},{"dropping-particle":"","family":"Hansell","given":"David M.","non-dropping-particle":"","parse-names":false,"suffix":""},{"dropping-particle":"","family":"Inoue","given":"Yoshikazu","non-dropping-particle":"","parse-names":false,"suffix":""},{"dropping-particle":"","family":"Kim","given":"Dong Soon","non-dropping-particle":"","parse-names":false,"suffix":""},{"dropping-particle":"","family":"Kolb","given":"Martin","non-dropping-particle":"","parse-names":false,"suffix":""},{"dropping-particle":"","family":"Nicholson","given":"Andrew G.","non-dropping-particle":"","parse-names":false,"suffix":""},{"dropping-particle":"","family":"Noble","given":"Paul W.","non-dropping-particle":"","parse-names":false,"suffix":""},{"dropping-particle":"","family":"Selman","given":"Moisés","non-dropping-particle":"","parse-names":false,"suffix":""},{"dropping-particle":"","family":"Taniguchi","given":"Hiroyuki","non-dropping-particle":"","parse-names":false,"suffix":""},{"dropping-particle":"","family":"Brun","given":"Michèle","non-dropping-particle":"","parse-names":false,"suffix":""},{"dropping-particle":"","family":"Maulf","given":"Florence","non-dropping-particle":"Le","parse-names":false,"suffix":""},{"dropping-particle":"","family":"Girard","given":"Mannaïg","non-dropping-particle":"","parse-names":false,"suffix":""},{"dropping-particle":"","family":"Stowasser","given":"Susanne","non-dropping-particle":"","parse-names":false,"suffix":""},{"dropping-particle":"","family":"Schlenker-Herceg","given":"Rozsa","non-dropping-particle":"","parse-names":false,"suffix":""},{"dropping-particle":"","family":"Disse","given":"Bernd","non-dropping-particle":"","parse-names":false,"suffix":""},{"dropping-particle":"","family":"Collard","given":"Harold R.","non-dropping-particle":"","parse-names":false,"suffix":""}],"container-title":"New England Journal of Medicine","id":"ITEM-1","issued":{"date-parts":[["2014"]]},"page":"2071–2082","title":"Efficacy and Safety of Nintedanib in Idiopathic Pulmonary Fibrosis","type":"article-journal","volume":"370"},"uris":["http://www.mendeley.com/documents/?uuid=249e77f1-7334-4f08-a856-d475acbda9f8"]},{"id":"ITEM-2","itemData":{"DOI":"10.1056/nejmoa1908681","ISSN":"0028-4793","PMID":"31566307","abstract":"BACKGROUND Preclinical data have suggested that nintedanib, an intracellular inhibitor of tyrosine kinases, inhibits processes involved in the progression of lung fibrosis. Although the efficacy of nintedanib has been shown in idiopathic pulmonary fibrosis, its efficacy across a broad range of fibrosing lung diseases is unknown. METHODS In this double-blind, placebo-controlled, phase 3 trial conducted in 15 countries, we randomly assigned patients with fibrosing lung disease affecting more than 10% of lung volume on high-resolution computed tomography (CT) to receive nintedanib at a dose of 150 mg twice daily or placebo. All the patients met criteria for progression of interstitial lung disease in the past 24 months despite treatment and had a forced vital capacity (FVC) of at least 45% of the predicted value and a diffusing capacity of the lung for carbon monoxide ranging from 30 to less than 80% of the predicted value. Randomization was stratified according to the fibrotic pattern (a pattern of usual interstitial pneumonia [UIP] or other fibrotic patterns) on high-resolution CT. The primary end point was the annual rate of decline in the FVC, as assessed over a 52-week period. The two primary populations for analysis were the overall population and patients with a UIP-like fibrotic pattern. RESULTS A total of 663 patients were treated. In the overall population, the adjusted rate of decline in the FVC was -80.8 ml per year with nintedanib and -187.8 ml per year with placebo, for a between-group difference of 107.0 ml per year (95% confidence interval [CI], 65.4 to 148.5; P&lt;0.001). In patients with a UIP-like fibrotic pattern, the adjusted rate of decline in the FVC was -82.9 ml per year with nintedanib and -211.1 ml per year with placebo, for a difference of 128.2 ml (95% CI, 70.8 to 185.6; P&lt;0.001). Diarrhea was the most common adverse event, as reported in 66.9% and 23.9% of patients treated with nintedanib and placebo, respectively. Abnormalities on liver-function testing were more common in the nintedanib group than in the placebo group. CONCLUSIONS In patients with progressive fibrosing interstitial lung diseases, the annual rate of decline in the FVC was significantly lower among patients who received nintedanib than among those who received placebo. Diarrhea was a common adverse event. (Funded by Boehringer Ingelheim; INBUILD ClinicalTrials.gov number, NCT02999178.).","author":[{"dropping-particle":"","family":"Flaherty","given":"Kevin R.","non-dropping-particle":"","parse-names":false,"suffix":""},{"dropping-particle":"","family":"Wells","given":"Athol U.","non-dropping-particle":"","parse-names":false,"suffix":""},{"dropping-particle":"","family":"Cottin","given":"Vincent","non-dropping-particle":"","parse-names":false,"suffix":""},{"dropping-particle":"","family":"Devaraj","given":"Anand","non-dropping-particle":"","parse-names":false,"suffix":""},{"dropping-particle":"","family":"Walsh","given":"Simon L.F.","non-dropping-particle":"","parse-names":false,"suffix":""},{"dropping-particle":"","family":"Inoue","given":"Yoshikazu","non-dropping-particle":"","parse-names":false,"suffix":""},{"dropping-particle":"","family":"Richeldi","given":"Luca","non-dropping-particle":"","parse-names":false,"suffix":""},{"dropping-particle":"","family":"Kolb","given":"Martin","non-dropping-particle":"","parse-names":false,"suffix":""},{"dropping-particle":"","family":"Tetzlaff","given":"Kay","non-dropping-particle":"","parse-names":false,"suffix":""},{"dropping-particle":"","family":"Stowasser","given":"Susanne","non-dropping-particle":"","parse-names":false,"suffix":""},{"dropping-particle":"","family":"Coeck","given":"Carl","non-dropping-particle":"","parse-names":false,"suffix":""},{"dropping-particle":"","family":"Clerisme-Beaty","given":"Emmanuelle","non-dropping-particle":"","parse-names":false,"suffix":""},{"dropping-particle":"","family":"Rosenstock","given":"Bernd","non-dropping-particle":"","parse-names":false,"suffix":""},{"dropping-particle":"","family":"Quaresma","given":"Manuel","non-dropping-particle":"","parse-names":false,"suffix":""},{"dropping-particle":"","family":"Haeufel","given":"Thomas","non-dropping-particle":"","parse-names":false,"suffix":""},{"dropping-particle":"","family":"Goeldner","given":"Rainer-Georg","non-dropping-particle":"","parse-names":false,"suffix":""},{"dropping-particle":"","family":"Schlenker-Herceg","given":"Rozsa","non-dropping-particle":"","parse-names":false,"suffix":""},{"dropping-particle":"","family":"Brown","given":"Kevin K.","non-dropping-particle":"","parse-names":false,"suffix":""}],"container-title":"New England Journal of Medicine","id":"ITEM-2","issue":"18","issued":{"date-parts":[["2019"]]},"page":"1718–1727","title":"Nintedanib in Progressive Fibrosing Interstitial Lung Diseases","type":"article-journal","volume":"381"},"uris":["http://www.mendeley.com/documents/?uuid=7332b680-c0e5-4c0f-a49b-e12cfac2dfcc"]}],"mendeley":{"formattedCitation":"&lt;sup&gt;12,25&lt;/sup&gt;","plainTextFormattedCitation":"12,25","previouslyFormattedCitation":"&lt;sup&gt;12,25&lt;/sup&gt;"},"properties":{"noteIndex":0},"schema":"https://github.com/citation-style-language/schema/raw/master/csl-citation.json"}</w:instrText>
      </w:r>
      <w:r w:rsidR="005F0EFD" w:rsidRPr="00C41FDC">
        <w:rPr>
          <w:rFonts w:eastAsia="Times New Roman"/>
          <w:b w:val="0"/>
          <w:bCs w:val="0"/>
          <w:color w:val="000000" w:themeColor="text1"/>
          <w:sz w:val="24"/>
          <w:szCs w:val="24"/>
        </w:rPr>
        <w:fldChar w:fldCharType="separate"/>
      </w:r>
      <w:r w:rsidR="00933BDC" w:rsidRPr="00C41FDC">
        <w:rPr>
          <w:rFonts w:eastAsia="Times New Roman"/>
          <w:b w:val="0"/>
          <w:bCs w:val="0"/>
          <w:noProof/>
          <w:color w:val="000000" w:themeColor="text1"/>
          <w:sz w:val="24"/>
          <w:szCs w:val="24"/>
          <w:vertAlign w:val="superscript"/>
        </w:rPr>
        <w:t>12,25</w:t>
      </w:r>
      <w:r w:rsidR="005F0EFD" w:rsidRPr="00C41FDC">
        <w:rPr>
          <w:rFonts w:eastAsia="Times New Roman"/>
          <w:b w:val="0"/>
          <w:bCs w:val="0"/>
          <w:color w:val="000000" w:themeColor="text1"/>
          <w:sz w:val="24"/>
          <w:szCs w:val="24"/>
        </w:rPr>
        <w:fldChar w:fldCharType="end"/>
      </w:r>
      <w:r w:rsidRPr="00C41FDC">
        <w:rPr>
          <w:rFonts w:eastAsia="Times New Roman"/>
          <w:b w:val="0"/>
          <w:bCs w:val="0"/>
          <w:color w:val="000000" w:themeColor="text1"/>
          <w:sz w:val="24"/>
          <w:szCs w:val="24"/>
        </w:rPr>
        <w:t xml:space="preserve"> If excessive PPFE patients were recruited to</w:t>
      </w:r>
      <w:r w:rsidR="006D3691" w:rsidRPr="00C41FDC">
        <w:rPr>
          <w:rFonts w:eastAsia="Times New Roman"/>
          <w:b w:val="0"/>
          <w:bCs w:val="0"/>
          <w:color w:val="000000" w:themeColor="text1"/>
          <w:sz w:val="24"/>
          <w:szCs w:val="24"/>
        </w:rPr>
        <w:t xml:space="preserve"> one </w:t>
      </w:r>
      <w:r w:rsidRPr="00C41FDC">
        <w:rPr>
          <w:rFonts w:eastAsia="Times New Roman"/>
          <w:b w:val="0"/>
          <w:bCs w:val="0"/>
          <w:color w:val="000000" w:themeColor="text1"/>
          <w:sz w:val="24"/>
          <w:szCs w:val="24"/>
        </w:rPr>
        <w:t>IPF study arm</w:t>
      </w:r>
      <w:r w:rsidR="006D3691" w:rsidRPr="00C41FDC">
        <w:rPr>
          <w:rFonts w:eastAsia="Times New Roman"/>
          <w:b w:val="0"/>
          <w:bCs w:val="0"/>
          <w:color w:val="000000" w:themeColor="text1"/>
          <w:sz w:val="24"/>
          <w:szCs w:val="24"/>
        </w:rPr>
        <w:t>, they may produce a disproportionate cohort-wide decline in FVC</w:t>
      </w:r>
      <w:r w:rsidR="009B56F7" w:rsidRPr="00C41FDC">
        <w:rPr>
          <w:rFonts w:eastAsia="Times New Roman"/>
          <w:b w:val="0"/>
          <w:bCs w:val="0"/>
          <w:color w:val="000000" w:themeColor="text1"/>
          <w:sz w:val="24"/>
          <w:szCs w:val="24"/>
        </w:rPr>
        <w:t>. This in turn could</w:t>
      </w:r>
      <w:r w:rsidR="006D3691" w:rsidRPr="00C41FDC">
        <w:rPr>
          <w:rFonts w:eastAsia="Times New Roman"/>
          <w:b w:val="0"/>
          <w:bCs w:val="0"/>
          <w:color w:val="000000" w:themeColor="text1"/>
          <w:sz w:val="24"/>
          <w:szCs w:val="24"/>
        </w:rPr>
        <w:t xml:space="preserve"> potentially offset any genuine therapeutic benefit from the drug that would have been captured by a reduction in FVC decline </w:t>
      </w:r>
      <w:r w:rsidR="009B56F7" w:rsidRPr="00C41FDC">
        <w:rPr>
          <w:rFonts w:eastAsia="Times New Roman"/>
          <w:b w:val="0"/>
          <w:bCs w:val="0"/>
          <w:color w:val="000000" w:themeColor="text1"/>
          <w:sz w:val="24"/>
          <w:szCs w:val="24"/>
        </w:rPr>
        <w:t xml:space="preserve">when </w:t>
      </w:r>
      <w:r w:rsidR="006D3691" w:rsidRPr="00C41FDC">
        <w:rPr>
          <w:rFonts w:eastAsia="Times New Roman"/>
          <w:b w:val="0"/>
          <w:bCs w:val="0"/>
          <w:color w:val="000000" w:themeColor="text1"/>
          <w:sz w:val="24"/>
          <w:szCs w:val="24"/>
        </w:rPr>
        <w:t xml:space="preserve">compared to the standard of care treatment arm. </w:t>
      </w:r>
      <w:r w:rsidR="009B56F7" w:rsidRPr="00C41FDC">
        <w:rPr>
          <w:rFonts w:eastAsia="Times New Roman"/>
          <w:b w:val="0"/>
          <w:bCs w:val="0"/>
          <w:color w:val="000000" w:themeColor="text1"/>
          <w:sz w:val="24"/>
          <w:szCs w:val="24"/>
        </w:rPr>
        <w:t>Our study results only serve to emphasise the importance of careful CT review when recruiting patients to therapeutic trials.</w:t>
      </w:r>
      <w:r w:rsidR="006D3691" w:rsidRPr="00C41FDC">
        <w:rPr>
          <w:rFonts w:eastAsia="Times New Roman"/>
          <w:b w:val="0"/>
          <w:bCs w:val="0"/>
          <w:color w:val="000000" w:themeColor="text1"/>
          <w:sz w:val="24"/>
          <w:szCs w:val="24"/>
        </w:rPr>
        <w:t xml:space="preserve"> </w:t>
      </w:r>
    </w:p>
    <w:p w14:paraId="7D6BDA79" w14:textId="2DC66754" w:rsidR="009227C9" w:rsidRPr="00C41FDC" w:rsidRDefault="00FA0B69" w:rsidP="007730BA">
      <w:pPr>
        <w:pStyle w:val="Heading3"/>
        <w:spacing w:line="480" w:lineRule="auto"/>
        <w:rPr>
          <w:b w:val="0"/>
          <w:bCs w:val="0"/>
          <w:color w:val="000000" w:themeColor="text1"/>
          <w:sz w:val="24"/>
          <w:szCs w:val="24"/>
        </w:rPr>
      </w:pPr>
      <w:r w:rsidRPr="00C41FDC">
        <w:rPr>
          <w:rFonts w:eastAsia="Times New Roman"/>
          <w:b w:val="0"/>
          <w:bCs w:val="0"/>
          <w:color w:val="000000" w:themeColor="text1"/>
          <w:sz w:val="24"/>
          <w:szCs w:val="24"/>
        </w:rPr>
        <w:t xml:space="preserve">There were </w:t>
      </w:r>
      <w:bookmarkStart w:id="243" w:name="OLE_LINK21"/>
      <w:bookmarkStart w:id="244" w:name="OLE_LINK22"/>
      <w:r w:rsidRPr="00C41FDC">
        <w:rPr>
          <w:b w:val="0"/>
          <w:bCs w:val="0"/>
          <w:color w:val="000000" w:themeColor="text1"/>
          <w:sz w:val="24"/>
          <w:szCs w:val="24"/>
        </w:rPr>
        <w:t>li</w:t>
      </w:r>
      <w:r w:rsidR="00797592" w:rsidRPr="00C41FDC">
        <w:rPr>
          <w:b w:val="0"/>
          <w:bCs w:val="0"/>
          <w:color w:val="000000" w:themeColor="text1"/>
          <w:sz w:val="24"/>
          <w:szCs w:val="24"/>
        </w:rPr>
        <w:t xml:space="preserve">mitations </w:t>
      </w:r>
      <w:r w:rsidRPr="00C41FDC">
        <w:rPr>
          <w:b w:val="0"/>
          <w:bCs w:val="0"/>
          <w:color w:val="000000" w:themeColor="text1"/>
          <w:sz w:val="24"/>
          <w:szCs w:val="24"/>
        </w:rPr>
        <w:t xml:space="preserve">to our study. </w:t>
      </w:r>
      <w:bookmarkStart w:id="245" w:name="OLE_LINK235"/>
      <w:bookmarkStart w:id="246" w:name="OLE_LINK236"/>
      <w:bookmarkStart w:id="247" w:name="OLE_LINK157"/>
      <w:bookmarkStart w:id="248" w:name="OLE_LINK158"/>
      <w:bookmarkStart w:id="249" w:name="OLE_LINK145"/>
      <w:bookmarkStart w:id="250" w:name="OLE_LINK194"/>
      <w:r w:rsidR="001153F7" w:rsidRPr="00C41FDC">
        <w:rPr>
          <w:b w:val="0"/>
          <w:bCs w:val="0"/>
          <w:color w:val="000000" w:themeColor="text1"/>
          <w:sz w:val="24"/>
          <w:szCs w:val="24"/>
        </w:rPr>
        <w:t xml:space="preserve">One limitation was the lack of a second reviewer for estimation of visual PPFE score. Interobserver agreement for the presence of PPFE on CT scans was found to be </w:t>
      </w:r>
      <w:r w:rsidR="007A10EA" w:rsidRPr="00C41FDC">
        <w:rPr>
          <w:b w:val="0"/>
          <w:bCs w:val="0"/>
          <w:color w:val="000000" w:themeColor="text1"/>
          <w:sz w:val="24"/>
          <w:szCs w:val="24"/>
        </w:rPr>
        <w:t xml:space="preserve">good (weighted Kappa = 0·67) and </w:t>
      </w:r>
      <w:r w:rsidR="001153F7" w:rsidRPr="00C41FDC">
        <w:rPr>
          <w:b w:val="0"/>
          <w:bCs w:val="0"/>
          <w:color w:val="000000" w:themeColor="text1"/>
          <w:sz w:val="24"/>
          <w:szCs w:val="24"/>
        </w:rPr>
        <w:t>moderate (Kappa = 0</w:t>
      </w:r>
      <w:bookmarkStart w:id="251" w:name="OLE_LINK143"/>
      <w:bookmarkStart w:id="252" w:name="OLE_LINK144"/>
      <w:r w:rsidR="007A10EA" w:rsidRPr="00C41FDC">
        <w:rPr>
          <w:b w:val="0"/>
          <w:bCs w:val="0"/>
          <w:color w:val="000000" w:themeColor="text1"/>
          <w:sz w:val="24"/>
          <w:szCs w:val="24"/>
        </w:rPr>
        <w:t>·</w:t>
      </w:r>
      <w:bookmarkEnd w:id="251"/>
      <w:bookmarkEnd w:id="252"/>
      <w:r w:rsidR="001153F7" w:rsidRPr="00C41FDC">
        <w:rPr>
          <w:b w:val="0"/>
          <w:bCs w:val="0"/>
          <w:color w:val="000000" w:themeColor="text1"/>
          <w:sz w:val="24"/>
          <w:szCs w:val="24"/>
        </w:rPr>
        <w:t>56) in previous stud</w:t>
      </w:r>
      <w:r w:rsidR="00927759" w:rsidRPr="00C41FDC">
        <w:rPr>
          <w:b w:val="0"/>
          <w:bCs w:val="0"/>
          <w:color w:val="000000" w:themeColor="text1"/>
          <w:sz w:val="24"/>
          <w:szCs w:val="24"/>
        </w:rPr>
        <w:t>ies</w:t>
      </w:r>
      <w:r w:rsidR="001153F7" w:rsidRPr="00C41FDC">
        <w:rPr>
          <w:b w:val="0"/>
          <w:bCs w:val="0"/>
          <w:color w:val="000000" w:themeColor="text1"/>
          <w:sz w:val="24"/>
          <w:szCs w:val="24"/>
        </w:rPr>
        <w:t xml:space="preserve"> on visual PPFE assessment in </w:t>
      </w:r>
      <w:r w:rsidR="007A10EA" w:rsidRPr="00C41FDC">
        <w:rPr>
          <w:b w:val="0"/>
          <w:bCs w:val="0"/>
          <w:color w:val="000000" w:themeColor="text1"/>
          <w:sz w:val="24"/>
          <w:szCs w:val="24"/>
        </w:rPr>
        <w:t xml:space="preserve">systemic sclerosis patients and </w:t>
      </w:r>
      <w:r w:rsidR="001153F7" w:rsidRPr="00C41FDC">
        <w:rPr>
          <w:b w:val="0"/>
          <w:bCs w:val="0"/>
          <w:color w:val="000000" w:themeColor="text1"/>
          <w:sz w:val="24"/>
          <w:szCs w:val="24"/>
        </w:rPr>
        <w:t>HP patients</w:t>
      </w:r>
      <w:r w:rsidR="007A10EA" w:rsidRPr="00C41FDC">
        <w:rPr>
          <w:b w:val="0"/>
          <w:bCs w:val="0"/>
          <w:color w:val="000000" w:themeColor="text1"/>
          <w:sz w:val="24"/>
          <w:szCs w:val="24"/>
        </w:rPr>
        <w:t>,</w:t>
      </w:r>
      <w:r w:rsidR="00F2483A" w:rsidRPr="00C41FDC">
        <w:rPr>
          <w:b w:val="0"/>
          <w:bCs w:val="0"/>
          <w:color w:val="000000" w:themeColor="text1"/>
          <w:sz w:val="24"/>
          <w:szCs w:val="24"/>
        </w:rPr>
        <w:t xml:space="preserve"> </w:t>
      </w:r>
      <w:r w:rsidR="007A10EA" w:rsidRPr="00C41FDC">
        <w:rPr>
          <w:b w:val="0"/>
          <w:bCs w:val="0"/>
          <w:color w:val="000000" w:themeColor="text1"/>
          <w:sz w:val="24"/>
          <w:szCs w:val="24"/>
        </w:rPr>
        <w:t>respectively</w:t>
      </w:r>
      <w:bookmarkEnd w:id="245"/>
      <w:bookmarkEnd w:id="246"/>
      <w:r w:rsidR="001153F7" w:rsidRPr="00C41FDC">
        <w:rPr>
          <w:b w:val="0"/>
          <w:bCs w:val="0"/>
          <w:color w:val="000000" w:themeColor="text1"/>
          <w:sz w:val="24"/>
          <w:szCs w:val="24"/>
        </w:rPr>
        <w:t>.</w:t>
      </w:r>
      <w:bookmarkEnd w:id="247"/>
      <w:bookmarkEnd w:id="248"/>
      <w:r w:rsidR="00F2483A" w:rsidRPr="00C41FDC">
        <w:rPr>
          <w:b w:val="0"/>
          <w:bCs w:val="0"/>
          <w:color w:val="000000" w:themeColor="text1"/>
          <w:sz w:val="24"/>
          <w:szCs w:val="24"/>
        </w:rPr>
        <w:fldChar w:fldCharType="begin" w:fldLock="1"/>
      </w:r>
      <w:r w:rsidR="0091233E" w:rsidRPr="00C41FDC">
        <w:rPr>
          <w:b w:val="0"/>
          <w:bCs w:val="0"/>
          <w:color w:val="000000" w:themeColor="text1"/>
          <w:sz w:val="24"/>
          <w:szCs w:val="24"/>
        </w:rPr>
        <w:instrText>ADDIN CSL_CITATION {"citationItems":[{"id":"ITEM-1","itemData":{"DOI":"10.1183/13993003.02135-2019","ISSN":"13993003","PMID":"32299855","abstract":"Interstitial lung disease (ILD) in systemic sclerosis (SSc) is a major cause of morbidity and mortality, mostly presenting as non-specific interstitial pneumonia. Little is known about the prevalence of pleuroparenchymal fibroelastosis (PPFE), a specific entity affecting the visceral pleura and subpleural parenchyma. We set out to estimate PPFE prevalence in two large cohorts of SSc patients and to assess its impact on survival and functional decline. A total of 359 SSc patients, derived from two referral centres in two different countries (UK and Italy), were included. The first available high-resolution computed tomography scan was independently evaluated by two radiologists blind to clinical information, to quantify ILD extent, freestanding bronchial abnormalities, and lobar percentage involvement of PPFE on a four-point categorical scale. Discordant scores were adjudicated by a third scorer. PPFE extent was further classified as limited (≤2/18) or extensive (&gt;2/18). Results were evaluated against functional decline and mortality. The overall prevalence of PPFE in the combined SSc population was 18% (11% with extensive PPFE), with no substantial difference between the two cohorts. PPFE was significantly linked to free-standing bronchial abnormalities (61% versus 25% in PPFE versus no PPFE; p&lt;0.0001) and to worse survival, independently of ILD severity or short-term lung function changes (HR 1.89, 95% CI 1.10.3.25; p=0.005). In the current study, we provide an exhaustive description of PPFE prevalence and clinical impact in the largest cohort of SSc subjects published so far. PPFE presence should be carefully considered, due to its significant prognostic implications.","author":[{"dropping-particle":"","family":"Bonifazi","given":"Martina","non-dropping-particle":"","parse-names":false,"suffix":""},{"dropping-particle":"","family":"Sverzellati","given":"Nicola","non-dropping-particle":"","parse-names":false,"suffix":""},{"dropping-particle":"","family":"Negri","given":"Eva","non-dropping-particle":"","parse-names":false,"suffix":""},{"dropping-particle":"","family":"Jacob","given":"Joseph","non-dropping-particle":"","parse-names":false,"suffix":""},{"dropping-particle":"","family":"Egashira","given":"Ryoko","non-dropping-particle":"","parse-names":false,"suffix":""},{"dropping-particle":"","family":"Moser","given":"Joanna","non-dropping-particle":"","parse-names":false,"suffix":""},{"dropping-particle":"","family":"Piciucchi","given":"Sara","non-dropping-particle":"","parse-names":false,"suffix":""},{"dropping-particle":"","family":"Mei","given":"Federico","non-dropping-particle":"","parse-names":false,"suffix":""},{"dropping-particle":"","family":"Lauretis","given":"Angelo","non-dropping-particle":"De","parse-names":false,"suffix":""},{"dropping-particle":"","family":"Visca","given":"Dina","non-dropping-particle":"","parse-names":false,"suffix":""},{"dropping-particle":"","family":"Goh","given":"Nicole","non-dropping-particle":"","parse-names":false,"suffix":""},{"dropping-particle":"","family":"Bonini","given":"Matteo","non-dropping-particle":"","parse-names":false,"suffix":""},{"dropping-particle":"","family":"Cirilli","given":"Laura","non-dropping-particle":"","parse-names":false,"suffix":""},{"dropping-particle":"","family":"Vecchia","given":"Carlo","non-dropping-particle":"La","parse-names":false,"suffix":""},{"dropping-particle":"","family":"Chua","given":"Felix","non-dropping-particle":"","parse-names":false,"suffix":""},{"dropping-particle":"","family":"Kouranos","given":"Vasileios","non-dropping-particle":"","parse-names":false,"suffix":""},{"dropping-particle":"","family":"Margaritopoulos","given":"George","non-dropping-particle":"","parse-names":false,"suffix":""},{"dropping-particle":"","family":"Kokosi","given":"Maria","non-dropping-particle":"","parse-names":false,"suffix":""},{"dropping-particle":"","family":"Maher","given":"Toby M.","non-dropping-particle":"","parse-names":false,"suffix":""},{"dropping-particle":"","family":"Gasparini","given":"Stefano","non-dropping-particle":"","parse-names":false,"suffix":""},{"dropping-particle":"","family":"Gabrielli","given":"Armando","non-dropping-particle":"","parse-names":false,"suffix":""},{"dropping-particle":"","family":"Wells","given":"Athol U.","non-dropping-particle":"","parse-names":false,"suffix":""},{"dropping-particle":"","family":"Renzoni","given":"Elisabetta A.","non-dropping-particle":"","parse-names":false,"suffix":""}],"container-title":"European Respiratory Journal","id":"ITEM-1","issued":{"date-parts":[["2020"]]},"title":"Pleuroparenchymal fibroelastosis in systemic sclerosis: Prevalence and prognostic impact","type":"article-journal"},"uris":["http://www.mendeley.com/documents/?uuid=87772415-dda4-4067-abc4-fe9b2cbe4592"]},{"id":"ITEM-2","itemData":{"DOI":"10.1016/j.rmed.2018.03.031","ISSN":"15323064","PMID":"29724400","abstract":"BACKGROUND: Pleuroparenchymal fibroelastosis (PPFE) has been described in hypersensitivity pneumonitis (HP) yet its functional implications are unclear. Combined pulmonary fibrosis and emphysema (CPFE) has occasionally been described in never-smokers with HP, but epidemiological data regarding its prevalence is sparse. CTs in a large HP cohort were therefore examined to identify the prevalence and effects of PPFE and emphysema. Methods: 233 HP patients had CT extents of interstitial lung disease (ILD) and emphysema quantified to the nearest 5%. Lobar percentage pleural involvement of PPFE was quantified on a 4-point categorical scale: 0 = absent, 1 = affecting &lt;10%, 2 = affecting 10–33%, 3 = affecting &gt;33%. Marked PPFE reflected a total lung score of ≥3/18. Results were evaluated against FVC, DLco and mortality. RESULTS: Marked PPFE prevalence was 23% whilst 23% of never-smokers had emphysema. Following adjustment for patient age, gender, smoking status, and ILD and emphysema extents, marked PPFE independently linked to reduced baseline FVC (p = 0.0002) and DLco (p = 0.002) and when examined alongside the same covariates, independently linked to worsened survival (p = 0.01). CPFE in HP demonstrated a characteristic functional profile of artificial lung volume preservation and disproportionate DLco reduction. CPFE did not demonstrate a worsened outcome when compared to HP patients without emphysema beyond that explained by CT extents of ILD and emphysema. CONCLUSIONS: PPFE is not uncommon in HP, and is independently associated with impaired lung function and increased mortality. Emphysema was identified in 23% of HP never-smokers. CPFE appears not to link to a malignant microvascular phenotype as outcome is explained by ILD and emphysema extents.","author":[{"dropping-particle":"","family":"Jacob","given":"Joseph","non-dropping-particle":"","parse-names":false,"suffix":""},{"dropping-particle":"","family":"Odink","given":"Arlette","non-dropping-particle":"","parse-names":false,"suffix":""},{"dropping-particle":"","family":"Brun","given":"Anne Laure","non-dropping-particle":"","parse-names":false,"suffix":""},{"dropping-particle":"","family":"Macaluso","given":"Claudio","non-dropping-particle":"","parse-names":false,"suffix":""},{"dropping-particle":"","family":"Lauretis","given":"Angelo","non-dropping-particle":"de","parse-names":false,"suffix":""},{"dropping-particle":"","family":"Kokosi","given":"Maria","non-dropping-particle":"","parse-names":false,"suffix":""},{"dropping-particle":"","family":"Devaraj","given":"Anand","non-dropping-particle":"","parse-names":false,"suffix":""},{"dropping-particle":"","family":"Desai","given":"Sujal","non-dropping-particle":"","parse-names":false,"suffix":""},{"dropping-particle":"","family":"Renzoni","given":"Elisabetta","non-dropping-particle":"","parse-names":false,"suffix":""},{"dropping-particle":"","family":"Wells","given":"Athol U.","non-dropping-particle":"","parse-names":false,"suffix":""}],"container-title":"Respiratory Medicine","id":"ITEM-2","issue":"5","issued":{"date-parts":[["2018"]]},"page":"95–101","title":"Functional associations of pleuroparenchymal fibroelastosis and emphysema with hypersensitivity pneumonitis","type":"article-journal","volume":"138"},"uris":["http://www.mendeley.com/documents/?uuid=1e601dc0-48de-4ac9-a90e-4b08a7006ce9"]}],"mendeley":{"formattedCitation":"&lt;sup&gt;7,8&lt;/sup&gt;","plainTextFormattedCitation":"7,8","previouslyFormattedCitation":"&lt;sup&gt;7,8&lt;/sup&gt;"},"properties":{"noteIndex":0},"schema":"https://github.com/citation-style-language/schema/raw/master/csl-citation.json"}</w:instrText>
      </w:r>
      <w:r w:rsidR="00F2483A" w:rsidRPr="00C41FDC">
        <w:rPr>
          <w:b w:val="0"/>
          <w:bCs w:val="0"/>
          <w:color w:val="000000" w:themeColor="text1"/>
          <w:sz w:val="24"/>
          <w:szCs w:val="24"/>
        </w:rPr>
        <w:fldChar w:fldCharType="separate"/>
      </w:r>
      <w:r w:rsidR="00F2483A" w:rsidRPr="00C41FDC">
        <w:rPr>
          <w:b w:val="0"/>
          <w:bCs w:val="0"/>
          <w:noProof/>
          <w:color w:val="000000" w:themeColor="text1"/>
          <w:sz w:val="24"/>
          <w:szCs w:val="24"/>
          <w:vertAlign w:val="superscript"/>
        </w:rPr>
        <w:t>7,8</w:t>
      </w:r>
      <w:r w:rsidR="00F2483A" w:rsidRPr="00C41FDC">
        <w:rPr>
          <w:b w:val="0"/>
          <w:bCs w:val="0"/>
          <w:color w:val="000000" w:themeColor="text1"/>
          <w:sz w:val="24"/>
          <w:szCs w:val="24"/>
        </w:rPr>
        <w:fldChar w:fldCharType="end"/>
      </w:r>
      <w:r w:rsidR="00F2483A" w:rsidRPr="00C41FDC">
        <w:rPr>
          <w:b w:val="0"/>
          <w:bCs w:val="0"/>
          <w:color w:val="000000" w:themeColor="text1"/>
          <w:sz w:val="24"/>
          <w:szCs w:val="24"/>
        </w:rPr>
        <w:t xml:space="preserve"> </w:t>
      </w:r>
      <w:bookmarkEnd w:id="249"/>
      <w:bookmarkEnd w:id="250"/>
      <w:r w:rsidR="001153F7" w:rsidRPr="00C41FDC">
        <w:rPr>
          <w:b w:val="0"/>
          <w:bCs w:val="0"/>
          <w:color w:val="000000" w:themeColor="text1"/>
          <w:sz w:val="24"/>
          <w:szCs w:val="24"/>
        </w:rPr>
        <w:t>Another limitation was a</w:t>
      </w:r>
      <w:r w:rsidR="00F0616B" w:rsidRPr="00C41FDC">
        <w:rPr>
          <w:b w:val="0"/>
          <w:bCs w:val="0"/>
          <w:color w:val="000000" w:themeColor="text1"/>
          <w:sz w:val="24"/>
          <w:szCs w:val="24"/>
        </w:rPr>
        <w:t xml:space="preserve"> lack of histopathological sampling of patients to confirm the presence of PPFE</w:t>
      </w:r>
      <w:r w:rsidR="007A1A5B" w:rsidRPr="00C41FDC">
        <w:rPr>
          <w:b w:val="0"/>
          <w:bCs w:val="0"/>
          <w:color w:val="000000" w:themeColor="text1"/>
          <w:sz w:val="24"/>
          <w:szCs w:val="24"/>
        </w:rPr>
        <w:t xml:space="preserve"> in our study</w:t>
      </w:r>
      <w:r w:rsidRPr="00C41FDC">
        <w:rPr>
          <w:b w:val="0"/>
          <w:bCs w:val="0"/>
          <w:color w:val="000000" w:themeColor="text1"/>
          <w:sz w:val="24"/>
          <w:szCs w:val="24"/>
        </w:rPr>
        <w:t>. Yet given the high pneumothorax rate documented in patients with PPFE</w:t>
      </w:r>
      <w:r w:rsidR="00D775D4" w:rsidRPr="00C41FDC">
        <w:rPr>
          <w:b w:val="0"/>
          <w:bCs w:val="0"/>
          <w:color w:val="000000" w:themeColor="text1"/>
          <w:sz w:val="24"/>
          <w:szCs w:val="24"/>
        </w:rPr>
        <w:t>,</w:t>
      </w:r>
      <w:r w:rsidR="002C15BB" w:rsidRPr="00C41FDC">
        <w:rPr>
          <w:b w:val="0"/>
          <w:bCs w:val="0"/>
          <w:color w:val="000000" w:themeColor="text1"/>
          <w:sz w:val="24"/>
          <w:szCs w:val="24"/>
        </w:rPr>
        <w:fldChar w:fldCharType="begin" w:fldLock="1"/>
      </w:r>
      <w:r w:rsidR="002C459D">
        <w:rPr>
          <w:b w:val="0"/>
          <w:bCs w:val="0"/>
          <w:color w:val="000000" w:themeColor="text1"/>
          <w:sz w:val="24"/>
          <w:szCs w:val="24"/>
        </w:rPr>
        <w:instrText>ADDIN CSL_CITATION {"citationItems":[{"id":"ITEM-1","itemData":{"DOI":"10.1183/09031936.00088414","ISSN":"13993003","PMID":"25082907","author":[{"dropping-particle":"","family":"Camus","given":"Philippe","non-dropping-particle":"","parse-names":false,"suffix":""},{"dropping-particle":"","family":"Thüsen","given":"Jan","non-dropping-particle":"Von Der","parse-names":false,"suffix":""},{"dropping-particle":"","family":"Hansell","given":"David M.","non-dropping-particle":"","parse-names":false,"suffix":""},{"dropping-particle":"V.","family":"Colby","given":"Thomas","non-dropping-particle":"","parse-names":false,"suffix":""}],"container-title":"European Respiratory Journal","id":"ITEM-1","issue":"2","issued":{"date-parts":[["2014"]]},"page":"289–296","title":"Pleuroparenchymal fibroelastosis: One more walk on the wild side of drugs?","type":"article-journal","volume":"44"},"uris":["http://www.mendeley.com/documents/?uuid=67fc2b07-8d72-4d54-bd87-8a951bbbff9e"]},{"id":"ITEM-2","itemData":{"DOI":"10.1378/chest.13-2866","ISSN":"19313543","PMID":"25367470","abstract":"BACKGROUND: Pleuroparenchymal fibroelastosis (PPFE) is a rare form of interstitial pneumonia and sometimes coexists with a histologic usual interstitial pneumonia (UIP) pattern. This study aimed to describe the distinct clinical features of PPFE with UIP pattern compared with idiopathic pulmonary fibrosis (IPF). METHODS: We conducted a retrospective review of the medical records of 110 consecutive patients with IPF with a histologic UIP pattern on surgical lung biopsy specimen. Patients meeting radiologic criteria for the diagnosis of PPFE based on high-resolution CT scan and with a histologic UIP pattern were included. RESULTS: Nine of eleven patients meeting radiologic criteria for the diagnosis of PPFE were histologically confirmed as having PPFE with UIP pattern. The PPFE with UIP pattern group showed a significantly higher residual volume (1.8 L vs 1.3 L, P&lt;.01), higher Paco2 (44.6 mm Hg vs 41.7 mm Hg, P=.04), and higher complication rate of pneumothorax and pneumomediastinum than the 99 patients with IPF/UIP. The ratio of anteroposterior to transthoracic diameter in patients with PPFE with UIP pattern was significantly lower than that in patients with IPF/UIP (P=.04). Survival time tended to be shorter in patients with PPFE with UIP pattern. CONCLUSIONS: The results support the view that PPFE with UIP pattern is a disease entity distinct from IPF/UIP and may well be classified as PPFE.","author":[{"dropping-particle":"","family":"Oda","given":"Tsuneyuki","non-dropping-particle":"","parse-names":false,"suffix":""},{"dropping-particle":"","family":"Ogura","given":"Takashi","non-dropping-particle":"","parse-names":false,"suffix":""},{"dropping-particle":"","family":"Kitamura","given":"Hideya","non-dropping-particle":"","parse-names":false,"suffix":""},{"dropping-particle":"","family":"Hagiwara","given":"Eri","non-dropping-particle":"","parse-names":false,"suffix":""},{"dropping-particle":"","family":"Baba","given":"Tomohisa","non-dropping-particle":"","parse-names":false,"suffix":""},{"dropping-particle":"","family":"Enomoto","given":"Yasunori","non-dropping-particle":"","parse-names":false,"suffix":""},{"dropping-particle":"","family":"Iwasawa","given":"Tae","non-dropping-particle":"","parse-names":false,"suffix":""},{"dropping-particle":"","family":"Okudela","given":"Koji","non-dropping-particle":"","parse-names":false,"suffix":""},{"dropping-particle":"","family":"Takemura","given":"Tamiko","non-dropping-particle":"","parse-names":false,"suffix":""},{"dropping-particle":"","family":"Sakai","given":"Fumikazu","non-dropping-particle":"","parse-names":false,"suffix":""},{"dropping-particle":"","family":"Hasegawa","given":"Yoshinori","non-dropping-particle":"","parse-names":false,"suffix":""}],"container-title":"Chest","id":"ITEM-2","issue":"5","issued":{"date-parts":[["2014"]]},"page":"1248–1255","title":"Distinct characteristics of pleuroparenchymal fibroelastosis with usual interstitial pneumonia compared with idiopathic pulmonary fibrosis","type":"article-journal","volume":"146"},"uris":["http://www.mendeley.com/documents/?uuid=b69ee520-7d07-4586-8692-369aded34e24"]}],"mendeley":{"formattedCitation":"&lt;sup&gt;26,27&lt;/sup&gt;","plainTextFormattedCitation":"26,27","previouslyFormattedCitation":"&lt;sup&gt;26,27&lt;/sup&gt;"},"properties":{"noteIndex":0},"schema":"https://github.com/citation-style-language/schema/raw/master/csl-citation.json"}</w:instrText>
      </w:r>
      <w:r w:rsidR="002C15BB" w:rsidRPr="00C41FDC">
        <w:rPr>
          <w:b w:val="0"/>
          <w:bCs w:val="0"/>
          <w:color w:val="000000" w:themeColor="text1"/>
          <w:sz w:val="24"/>
          <w:szCs w:val="24"/>
        </w:rPr>
        <w:fldChar w:fldCharType="separate"/>
      </w:r>
      <w:r w:rsidR="00933BDC" w:rsidRPr="00C41FDC">
        <w:rPr>
          <w:b w:val="0"/>
          <w:bCs w:val="0"/>
          <w:noProof/>
          <w:color w:val="000000" w:themeColor="text1"/>
          <w:sz w:val="24"/>
          <w:szCs w:val="24"/>
          <w:vertAlign w:val="superscript"/>
        </w:rPr>
        <w:t>26,27</w:t>
      </w:r>
      <w:r w:rsidR="002C15BB" w:rsidRPr="00C41FDC">
        <w:rPr>
          <w:b w:val="0"/>
          <w:bCs w:val="0"/>
          <w:color w:val="000000" w:themeColor="text1"/>
          <w:sz w:val="24"/>
          <w:szCs w:val="24"/>
        </w:rPr>
        <w:fldChar w:fldCharType="end"/>
      </w:r>
      <w:r w:rsidRPr="00C41FDC">
        <w:rPr>
          <w:b w:val="0"/>
          <w:bCs w:val="0"/>
          <w:color w:val="000000" w:themeColor="text1"/>
          <w:sz w:val="24"/>
          <w:szCs w:val="24"/>
        </w:rPr>
        <w:t xml:space="preserve"> and the general risks of lung biopsies in patients with fibrosing lung disease, histological proof of PPFE in a large proportion of patients in such studies is unlikely to be </w:t>
      </w:r>
      <w:r w:rsidRPr="00C41FDC">
        <w:rPr>
          <w:b w:val="0"/>
          <w:bCs w:val="0"/>
          <w:color w:val="000000" w:themeColor="text1"/>
          <w:sz w:val="24"/>
          <w:szCs w:val="24"/>
        </w:rPr>
        <w:lastRenderedPageBreak/>
        <w:t>forthcoming</w:t>
      </w:r>
      <w:r w:rsidR="00D775D4" w:rsidRPr="00C41FDC">
        <w:rPr>
          <w:b w:val="0"/>
          <w:bCs w:val="0"/>
          <w:color w:val="000000" w:themeColor="text1"/>
          <w:sz w:val="24"/>
          <w:szCs w:val="24"/>
        </w:rPr>
        <w:t>.</w:t>
      </w:r>
      <w:r w:rsidR="005F0EFD" w:rsidRPr="00C41FDC">
        <w:rPr>
          <w:b w:val="0"/>
          <w:bCs w:val="0"/>
          <w:color w:val="000000" w:themeColor="text1"/>
          <w:sz w:val="24"/>
          <w:szCs w:val="24"/>
        </w:rPr>
        <w:fldChar w:fldCharType="begin" w:fldLock="1"/>
      </w:r>
      <w:r w:rsidR="00C564FA" w:rsidRPr="00C41FDC">
        <w:rPr>
          <w:b w:val="0"/>
          <w:bCs w:val="0"/>
          <w:color w:val="000000" w:themeColor="text1"/>
          <w:sz w:val="24"/>
          <w:szCs w:val="24"/>
        </w:rPr>
        <w:instrText>ADDIN CSL_CITATION {"citationItems":[{"id":"ITEM-1","itemData":{"DOI":"10.1111/resp.13796","ISSN":"14401843","PMID":"32147954","abstract":"Background and objective: PPFE is characterized by fibrosis in the pleura and subpleural lung parenchyma in the upper lobes, while other types of ILD, mainly UIP, can be observed in about half of the patients in their lower lobes. The aim of this study was to evaluate the clinical significance of the radiologically defined PPFE in patients with IPF. Methods: Clinical data and chest CT images were retrospectively analysed in 445 patients with IPF (biopsy-proven cases, n = 165). The radiological criteria of PPFE were defined as follows: (i) bilateral subpleural dense fibrosis with or without pleural thickening in the upper lobes, (ii) evidence of disease progression and (iii) no clinical evidence of identifiable aetiologies. Results: The median follow-up period was 43.0 months. The mean age of the patients was 66.4 years and 76.4% were male. PPFE was identified in 28 patients (6.3%). The PPFE group showed lower BMI and lung function (FVC and TLC) at baseline, more frequent pneumothorax and pneumomediastinum, higher decline rates in lung function and poorer prognosis during follow-up than the no-PPFE group. PPFE was an independent risk factor (HR = 2.953, 95% CI: 1.350–6.460, P = 0.007) for pneumothorax or pneumomediastinum, but not for mortality in patients with IPF. Conclusion: Among patients with IPF, the PPFE group, when compared to the no-PPFE group, showed lower BMI and lung function and showed more frequent complications and poorer survival during follow-up.","author":[{"dropping-particle":"","family":"Lee","given":"Song I.","non-dropping-particle":"","parse-names":false,"suffix":""},{"dropping-particle":"","family":"Chae","given":"Eun Jin","non-dropping-particle":"","parse-names":false,"suffix":""},{"dropping-particle":"","family":"Song","given":"Joon Seon","non-dropping-particle":"","parse-names":false,"suffix":""},{"dropping-particle":"","family":"Lee","given":"Jae Ha","non-dropping-particle":"","parse-names":false,"suffix":""},{"dropping-particle":"","family":"Song","given":"Jin Woo","non-dropping-particle":"","parse-names":false,"suffix":""}],"container-title":"Respirology","id":"ITEM-1","issue":"10","issued":{"date-parts":[["2020"]]},"page":"1046–1052","title":"Pleuroparenchymal fibroelastosis in patients with idiopathic pulmonary fibrosis","type":"article-journal","volume":"25"},"uris":["http://www.mendeley.com/documents/?uuid=163b6fd3-be89-4b1b-808d-56729d23605e"]}],"mendeley":{"formattedCitation":"&lt;sup&gt;5&lt;/sup&gt;","plainTextFormattedCitation":"5","previouslyFormattedCitation":"&lt;sup&gt;5&lt;/sup&gt;"},"properties":{"noteIndex":0},"schema":"https://github.com/citation-style-language/schema/raw/master/csl-citation.json"}</w:instrText>
      </w:r>
      <w:r w:rsidR="005F0EFD" w:rsidRPr="00C41FDC">
        <w:rPr>
          <w:b w:val="0"/>
          <w:bCs w:val="0"/>
          <w:color w:val="000000" w:themeColor="text1"/>
          <w:sz w:val="24"/>
          <w:szCs w:val="24"/>
        </w:rPr>
        <w:fldChar w:fldCharType="separate"/>
      </w:r>
      <w:r w:rsidR="00C564FA" w:rsidRPr="00C41FDC">
        <w:rPr>
          <w:b w:val="0"/>
          <w:bCs w:val="0"/>
          <w:noProof/>
          <w:color w:val="000000" w:themeColor="text1"/>
          <w:sz w:val="24"/>
          <w:szCs w:val="24"/>
          <w:vertAlign w:val="superscript"/>
        </w:rPr>
        <w:t>5</w:t>
      </w:r>
      <w:r w:rsidR="005F0EFD" w:rsidRPr="00C41FDC">
        <w:rPr>
          <w:b w:val="0"/>
          <w:bCs w:val="0"/>
          <w:color w:val="000000" w:themeColor="text1"/>
          <w:sz w:val="24"/>
          <w:szCs w:val="24"/>
        </w:rPr>
        <w:fldChar w:fldCharType="end"/>
      </w:r>
      <w:r w:rsidRPr="00C41FDC">
        <w:rPr>
          <w:b w:val="0"/>
          <w:bCs w:val="0"/>
          <w:color w:val="000000" w:themeColor="text1"/>
          <w:sz w:val="24"/>
          <w:szCs w:val="24"/>
        </w:rPr>
        <w:t xml:space="preserve"> Established characterizations of PPFE appearances on CT in the literature and its descriptions in IPF management guidelines allow for a degree of confidence in the diagnosis of PPFE </w:t>
      </w:r>
      <w:r w:rsidR="00967E14" w:rsidRPr="00C41FDC">
        <w:rPr>
          <w:b w:val="0"/>
          <w:bCs w:val="0"/>
          <w:color w:val="000000" w:themeColor="text1"/>
          <w:sz w:val="24"/>
          <w:szCs w:val="24"/>
        </w:rPr>
        <w:t>using CT appe</w:t>
      </w:r>
      <w:r w:rsidR="007730BA" w:rsidRPr="00C41FDC">
        <w:rPr>
          <w:b w:val="0"/>
          <w:bCs w:val="0"/>
          <w:color w:val="000000" w:themeColor="text1"/>
          <w:sz w:val="24"/>
          <w:szCs w:val="24"/>
        </w:rPr>
        <w:t>a</w:t>
      </w:r>
      <w:r w:rsidR="00967E14" w:rsidRPr="00C41FDC">
        <w:rPr>
          <w:b w:val="0"/>
          <w:bCs w:val="0"/>
          <w:color w:val="000000" w:themeColor="text1"/>
          <w:sz w:val="24"/>
          <w:szCs w:val="24"/>
        </w:rPr>
        <w:t>rances</w:t>
      </w:r>
      <w:r w:rsidR="00B84C84" w:rsidRPr="00C41FDC">
        <w:rPr>
          <w:b w:val="0"/>
          <w:bCs w:val="0"/>
          <w:color w:val="000000" w:themeColor="text1"/>
          <w:sz w:val="24"/>
          <w:szCs w:val="24"/>
        </w:rPr>
        <w:t xml:space="preserve"> </w:t>
      </w:r>
      <w:r w:rsidR="00D775D4" w:rsidRPr="00C41FDC">
        <w:rPr>
          <w:b w:val="0"/>
          <w:bCs w:val="0"/>
          <w:color w:val="000000" w:themeColor="text1"/>
          <w:sz w:val="24"/>
          <w:szCs w:val="24"/>
        </w:rPr>
        <w:t>alone.</w:t>
      </w:r>
      <w:r w:rsidR="00EE13A4" w:rsidRPr="00C41FDC">
        <w:rPr>
          <w:b w:val="0"/>
          <w:bCs w:val="0"/>
          <w:color w:val="000000" w:themeColor="text1"/>
          <w:sz w:val="24"/>
          <w:szCs w:val="24"/>
        </w:rPr>
        <w:fldChar w:fldCharType="begin" w:fldLock="1"/>
      </w:r>
      <w:r w:rsidR="002C459D">
        <w:rPr>
          <w:b w:val="0"/>
          <w:bCs w:val="0"/>
          <w:color w:val="000000" w:themeColor="text1"/>
          <w:sz w:val="24"/>
          <w:szCs w:val="24"/>
        </w:rPr>
        <w:instrText>ADDIN CSL_CITATION {"citationItems":[{"id":"ITEM-1","itemData":{"DOI":"10.1183/09031936.00165111","ISSN":"09031936","PMID":"22441748","abstract":"Pleuroparenchymal fibroelastosis (PPFE) is a rare condition characterised by predominantly upper lobe pleural and subjacent parenchymal fibrosis, the latter being intraalveolar with accompanying elastosis of the alveolar walls. The aim of this study was to review cases fulfilling published imaging and histological criteria, and identify any common clinical features that may suggest an underlying aetiology for a condition that has previously been regarded as idiopathic. Of 12 patients (seven females, median age 57 yrs), the presenting symptoms were shortness of breath (11 out of 12 patients) and dry cough (six out of 12 patients). Seven patients reported recurrent infections during the course of their disease. Five demonstrated nonspecific autoantibody positivity. Two patients had a family history of interstitial lung disease (ILD). High-resolution computed tomography features of lung disease remote from the pleuroparenchymal changes were present in six out of 12 patients (coexistent fibrosis, n=5; bronchiectasis, n=1). Of seven patients with tissue sampled from the lower lobes, four patients showed less intense PPFE changes (one with additional features of hypersensitivity pneumonitis) and three showed usual interstitial pneumonia. PPFE is a distinct clinicopathological entity, with clinical data suggesting a link to recurrent pulmonary infection. Genetic and autoimmune mechanisms may also contribute to the development of these changes. PPFE may also present with more diffuse involvement than previously reported, and coexist with different patterns of ILD. Copyright©ERS 2012.","author":[{"dropping-particle":"","family":"Reddy","given":"Taryn L.","non-dropping-particle":"","parse-names":false,"suffix":""},{"dropping-particle":"","family":"Tominaga","given":"Masaki","non-dropping-particle":"","parse-names":false,"suffix":""},{"dropping-particle":"","family":"Hansell","given":"David M.","non-dropping-particle":"","parse-names":false,"suffix":""},{"dropping-particle":"","family":"Thusen","given":"Jan","non-dropping-particle":"Von Der","parse-names":false,"suffix":""},{"dropping-particle":"","family":"Rassl","given":"Doris","non-dropping-particle":"","parse-names":false,"suffix":""},{"dropping-particle":"","family":"Parfrey","given":"Helen","non-dropping-particle":"","parse-names":false,"suffix":""},{"dropping-particle":"","family":"Guy","given":"Suzy","non-dropping-particle":"","parse-names":false,"suffix":""},{"dropping-particle":"","family":"Twentyman","given":"Orion","non-dropping-particle":"","parse-names":false,"suffix":""},{"dropping-particle":"","family":"Rice","given":"Alexandra","non-dropping-particle":"","parse-names":false,"suffix":""},{"dropping-particle":"","family":"Maher","given":"Toby M.","non-dropping-particle":"","parse-names":false,"suffix":""},{"dropping-particle":"","family":"Renzoni","given":"Elisabetta A.","non-dropping-particle":"","parse-names":false,"suffix":""},{"dropping-particle":"","family":"Wells","given":"Athol U.","non-dropping-particle":"","parse-names":false,"suffix":""},{"dropping-particle":"","family":"Nicholson","given":"Andrew G.","non-dropping-particle":"","parse-names":false,"suffix":""}],"container-title":"European Respiratory Journal","id":"ITEM-1","issue":"2","issued":{"date-parts":[["2012"]]},"page":"377–385","title":"Pleuroparenchymal fibroelastosis: A spectrum of histopathological and imaging phenotypes","type":"article-journal","volume":"40"},"uris":["http://www.mendeley.com/documents/?uuid=fc29a4b4-2b0b-455a-a585-e64d980bc80b"]},{"id":"ITEM-2","itemData":{"DOI":"10.1164/rccm.201308-1483ST","ISSN":"1073449X","PMID":"24032382","abstract":"Background: In 2002 the American Thoracic Society/European Respiratory Society (ATS/ERS) classification of idiopathic interstitial pneumonias (IIPs)definedseven specific entities, andprovided standardized terminology anddiagnosticcriteria. Inaddition, thehistorical \"gold standard\" of histologic diagnosiswas replaced by amultidisciplinary approach. Since 2002 many publications have provided newinformation about IIPs. Purpose: The objective of this statement is to update the 2002 ATS/ ERS classification of IIPs. Methods: An international multidisciplinary panel was formed and developed key questions that were addressed through a review of the literature published between 2000 and 2011. Results: Substantial progress has been made in IIPs since the previous classification. Nonspecific interstitial pneumonia is now better defined. Respiratory bronchiolitis-interstitial lung disease is now commonly diagnosed without surgical biopsy. The clinical course of idiopathic pulmonary fibrosis and nonspecific interstitial pneumonia is recognized to be heterogeneous. Acute exacerbation of IIPs is now well defined. A substantial percentage of patients with IIP are difficult to classify, often due to mixed patterns of lung injury. A classification based on observed disease behavior is proposed for patients who are difficult to classify or for entities with heterogeneity in clinical course. A group of rare entities, including pleuroparenchymal fibroelastosis and rare histologic patterns, is introduced. The rapidly evolving field of molecular markers is reviewed with the intent of promoting additional investigations that may help in determining diagnosis, and potentially prognosis and treatment. Conclusions: This update is a supplement to the previous 2002 IIP classification document. It outlines advances in the past decade and potential areas for future investigation. Copyright © 2013 by the American Thoracic Society.","author":[{"dropping-particle":"","family":"Travis","given":"William D.","non-dropping-particle":"","parse-names":false,"suffix":""},{"dropping-particle":"","family":"Costabel","given":"Ulrich","non-dropping-particle":"","parse-names":false,"suffix":""},{"dropping-particle":"","family":"Hansell","given":"David M.","non-dropping-particle":"","parse-names":false,"suffix":""},{"dropping-particle":"","family":"King","given":"Talmadge E.","non-dropping-particle":"","parse-names":false,"suffix":""},{"dropping-particle":"","family":"Lynch","given":"David A.","non-dropping-particle":"","parse-names":false,"suffix":""},{"dropping-particle":"","family":"Nicholson","given":"Andrew G.","non-dropping-particle":"","parse-names":false,"suffix":""},{"dropping-particle":"","family":"Ryerson","given":"Christopher J.","non-dropping-particle":"","parse-names":false,"suffix":""},{"dropping-particle":"","family":"Ryu","given":"Jay H.","non-dropping-particle":"","parse-names":false,"suffix":""},{"dropping-particle":"","family":"Selman","given":"Moisés","non-dropping-particle":"","parse-names":false,"suffix":""},{"dropping-particle":"","family":"Wells","given":"Athol U.","non-dropping-particle":"","parse-names":false,"suffix":""},{"dropping-particle":"","family":"Behr","given":"Jurgen","non-dropping-particle":"","parse-names":false,"suffix":""},{"dropping-particle":"","family":"Bouros","given":"Demosthenes","non-dropping-particle":"","parse-names":false,"suffix":""},{"dropping-particle":"","family":"Brown","given":"Kevin K.","non-dropping-particle":"","parse-names":false,"suffix":""},{"dropping-particle":"V.","family":"Colby","given":"Thomas","non-dropping-particle":"","parse-names":false,"suffix":""},{"dropping-particle":"","family":"Collard","given":"Harold R.","non-dropping-particle":"","parse-names":false,"suffix":""},{"dropping-particle":"","family":"Cordeiro","given":"Carlos Robalo","non-dropping-particle":"","parse-names":false,"suffix":""},{"dropping-particle":"","family":"Cottin","given":"Vincent","non-dropping-particle":"","parse-names":false,"suffix":""},{"dropping-particle":"","family":"Crestani","given":"Bruno","non-dropping-particle":"","parse-names":false,"suffix":""},{"dropping-particle":"","family":"Drent","given":"Marjolein","non-dropping-particle":"","parse-names":false,"suffix":""},{"dropping-particle":"","family":"Dudden","given":"Rosalind F.","non-dropping-particle":"","parse-names":false,"suffix":""},{"dropping-particle":"","family":"Egan","given":"Jim","non-dropping-particle":"","parse-names":false,"suffix":""},{"dropping-particle":"","family":"Flaherty","given":"Kevin","non-dropping-particle":"","parse-names":false,"suffix":""},{"dropping-particle":"","family":"Hogaboam","given":"Cory","non-dropping-particle":"","parse-names":false,"suffix":""},{"dropping-particle":"","family":"Inoue","given":"Yoshikazu","non-dropping-particle":"","parse-names":false,"suffix":""},{"dropping-particle":"","family":"Johkoh","given":"Takeshi","non-dropping-particle":"","parse-names":false,"suffix":""},{"dropping-particle":"","family":"Kim","given":"Dong Soon","non-dropping-particle":"","parse-names":false,"suffix":""},{"dropping-particle":"","family":"Kitaichi","given":"Masanori","non-dropping-particle":"","parse-names":false,"suffix":""},{"dropping-particle":"","family":"Loyd","given":"James","non-dropping-particle":"","parse-names":false,"suffix":""},{"dropping-particle":"","family":"Martinez","given":"Fernando J.","non-dropping-particle":"","parse-names":false,"suffix":""},{"dropping-particle":"","family":"Myers","given":"Jeffrey","non-dropping-particle":"","parse-names":false,"suffix":""},{"dropping-particle":"","family":"Protzko","given":"Shandra","non-dropping-particle":"","parse-names":false,"suffix":""},{"dropping-particle":"","family":"Raghu","given":"Ganesh","non-dropping-particle":"","parse-names":false,"suffix":""},{"dropping-particle":"","family":"Richeldi","given":"Luca","non-dropping-particle":"","parse-names":false,"suffix":""},{"dropping-particle":"","family":"Sverzellati","given":"Nicola","non-dropping-particle":"","parse-names":false,"suffix":""},{"dropping-particle":"","family":"Swigris","given":"Jeffrey","non-dropping-particle":"","parse-names":false,"suffix":""},{"dropping-particle":"","family":"Valeyre","given":"Dominique","non-dropping-particle":"","parse-names":false,"suffix":""}],"container-title":"American Journal of Respiratory and Critical Care Medicine","id":"ITEM-2","issue":"6","issued":{"date-parts":[["2013"]]},"page":"733–748","title":"An official American Thoracic Society/European Respiratory Society statement: Update of the international multidisciplinary classification of the idiopathic interstitial pneumonias","type":"article-journal","volume":"188"},"uris":["http://www.mendeley.com/documents/?uuid=52ac78aa-206e-4823-a065-39b3f490bee4"]},{"id":"ITEM-3","itemData":{"DOI":"10.1016/j.rmed.2018.03.031","ISSN":"15323064","PMID":"29724400","abstract":"BACKGROUND: Pleuroparenchymal fibroelastosis (PPFE) has been described in hypersensitivity pneumonitis (HP) yet its functional implications are unclear. Combined pulmonary fibrosis and emphysema (CPFE) has occasionally been described in never-smokers with HP, but epidemiological data regarding its prevalence is sparse. CTs in a large HP cohort were therefore examined to identify the prevalence and effects of PPFE and emphysema. Methods: 233 HP patients had CT extents of interstitial lung disease (ILD) and emphysema quantified to the nearest 5%. Lobar percentage pleural involvement of PPFE was quantified on a 4-point categorical scale: 0 = absent, 1 = affecting &lt;10%, 2 = affecting 10–33%, 3 = affecting &gt;33%. Marked PPFE reflected a total lung score of ≥3/18. Results were evaluated against FVC, DLco and mortality. RESULTS: Marked PPFE prevalence was 23% whilst 23% of never-smokers had emphysema. Following adjustment for patient age, gender, smoking status, and ILD and emphysema extents, marked PPFE independently linked to reduced baseline FVC (p = 0.0002) and DLco (p = 0.002) and when examined alongside the same covariates, independently linked to worsened survival (p = 0.01). CPFE in HP demonstrated a characteristic functional profile of artificial lung volume preservation and disproportionate DLco reduction. CPFE did not demonstrate a worsened outcome when compared to HP patients without emphysema beyond that explained by CT extents of ILD and emphysema. CONCLUSIONS: PPFE is not uncommon in HP, and is independently associated with impaired lung function and increased mortality. Emphysema was identified in 23% of HP never-smokers. CPFE appears not to link to a malignant microvascular phenotype as outcome is explained by ILD and emphysema extents.","author":[{"dropping-particle":"","family":"Jacob","given":"Joseph","non-dropping-particle":"","parse-names":false,"suffix":""},{"dropping-particle":"","family":"Odink","given":"Arlette","non-dropping-particle":"","parse-names":false,"suffix":""},{"dropping-particle":"","family":"Brun","given":"Anne Laure","non-dropping-particle":"","parse-names":false,"suffix":""},{"dropping-particle":"","family":"Macaluso","given":"Claudio","non-dropping-particle":"","parse-names":false,"suffix":""},{"dropping-particle":"","family":"Lauretis","given":"Angelo","non-dropping-particle":"de","parse-names":false,"suffix":""},{"dropping-particle":"","family":"Kokosi","given":"Maria","non-dropping-particle":"","parse-names":false,"suffix":""},{"dropping-particle":"","family":"Devaraj","given":"Anand","non-dropping-particle":"","parse-names":false,"suffix":""},{"dropping-particle":"","family":"Desai","given":"Sujal","non-dropping-particle":"","parse-names":false,"suffix":""},{"dropping-particle":"","family":"Renzoni","given":"Elisabetta","non-dropping-particle":"","parse-names":false,"suffix":""},{"dropping-particle":"","family":"Wells","given":"Athol U.","non-dropping-particle":"","parse-names":false,"suffix":""}],"container-title":"Respiratory Medicine","id":"ITEM-3","issue":"5","issued":{"date-parts":[["2018"]]},"page":"95–101","title":"Functional associations of pleuroparenchymal fibroelastosis and emphysema with hypersensitivity pneumonitis","type":"article-journal","volume":"138"},"uris":["http://www.mendeley.com/documents/?uuid=1e601dc0-48de-4ac9-a90e-4b08a7006ce9"]},{"id":"ITEM-4","itemData":{"DOI":"10.1164/rccm.201807-1255ST","ISSN":"15354970","PMID":"30168753","abstract":"Background: This document provides clinical recommendations for the diagnosis of idiopathic pulmonary fibrosis (IPF). It represents a collaborative effort between the American Thoracic Society, European Respiratory Society, Japanese Respiratory Society, and Latin American Thoracic Society. Methods: The evidence syntheses were discussed and recommendations formulated by a multidisciplinary committee of IPF experts. The evidence was appraised and recommendations were formulated, written, and graded using the Grading of Recommendations, Assessment, Development, and Evaluation approach. Results: The guideline panel updated the diagnostic criteria for IPF Previously defined patterns of usual interstitial pneumonia (UIP) were refined to patterns of UIP, probable UIP, indeterminate, and alternate diagnosis. For patients with newly detected interstitial lung disease (ILD) who have a high-resolution computed tomography scan pattern of probable UIP, indeterminate, or an alternative diagnosis, conditional recommendations were made for performing BAL and surgical lung biopsy; because of lack of evidence, no recommendation was made for or against performing transbronchial lung biopsy or lung cryobiopsy. In contrast, for patients with newly detected ILD who have a high-resolution computed tomography scan pattern of UIP, strong recommendations were made against performing surgical lung biopsy, transbronchial lung biopsy, and lung cryobiopsy, and a conditional recommendation was made against performing BAL. Additional recommendations included a conditional recommendation for multidisciplinary discussion and a strong recommendation against measurement of serum biomarkers for the sole purpose of distinguishing IPF from other ILDs. Conclusions: The guideline panel provided recommendations related to the diagnosis of IPF.","author":[{"dropping-particle":"","family":"Raghu","given":"Ganesh","non-dropping-particle":"","parse-names":false,"suffix":""},{"dropping-particle":"","family":"Remy-Jardin","given":"Martine","non-dropping-particle":"","parse-names":false,"suffix":""},{"dropping-particle":"","family":"Myers","given":"Jeffrey L.","non-dropping-particle":"","parse-names":false,"suffix":""},{"dropping-particle":"","family":"Richeldi","given":"Luca","non-dropping-particle":"","parse-names":false,"suffix":""},{"dropping-particle":"","family":"Ryerson","given":"Christopher J.","non-dropping-particle":"","parse-names":false,"suffix":""},{"dropping-particle":"","family":"Lederer","given":"David J.","non-dropping-particle":"","parse-names":false,"suffix":""},{"dropping-particle":"","family":"Behr","given":"Juergen","non-dropping-particle":"","parse-names":false,"suffix":""},{"dropping-particle":"","family":"Cottin","given":"Vincent","non-dropping-particle":"","parse-names":false,"suffix":""},{"dropping-particle":"","family":"Danoff","given":"Sonye K.","non-dropping-particle":"","parse-names":false,"suffix":""},{"dropping-particle":"","family":"Morell","given":"Ferran","non-dropping-particle":"","parse-names":false,"suffix":""},{"dropping-particle":"","family":"Flaherty","given":"Kevin R.","non-dropping-particle":"","parse-names":false,"suffix":""},{"dropping-particle":"","family":"Wells","given":"Athol","non-dropping-particle":"","parse-names":false,"suffix":""},{"dropping-particle":"","family":"Martinez","given":"Fernando J.","non-dropping-particle":"","parse-names":false,"suffix":""},{"dropping-particle":"","family":"Azuma","given":"Arata","non-dropping-particle":"","parse-names":false,"suffix":""},{"dropping-particle":"","family":"Bice","given":"Thomas J.","non-dropping-particle":"","parse-names":false,"suffix":""},{"dropping-particle":"","family":"Bouros","given":"Demosthenes","non-dropping-particle":"","parse-names":false,"suffix":""},{"dropping-particle":"","family":"Brown","given":"Kevin K.","non-dropping-particle":"","parse-names":false,"suffix":""},{"dropping-particle":"","family":"Collard","given":"Harold R.","non-dropping-particle":"","parse-names":false,"suffix":""},{"dropping-particle":"","family":"Duggal","given":"Abhijit","non-dropping-particle":"","parse-names":false,"suffix":""},{"dropping-particle":"","family":"Galvin","given":"Liam","non-dropping-particle":"","parse-names":false,"suffix":""},{"dropping-particle":"","family":"Inoue","given":"Yoshikazu","non-dropping-particle":"","parse-names":false,"suffix":""},{"dropping-particle":"","family":"Gisli Jenkins","given":"R.","non-dropping-particle":"","parse-names":false,"suffix":""},{"dropping-particle":"","family":"Johkoh","given":"Takeshi","non-dropping-particle":"","parse-names":false,"suffix":""},{"dropping-particle":"","family":"Kazerooni","given":"Ella A.","non-dropping-particle":"","parse-names":false,"suffix":""},{"dropping-particle":"","family":"Kitaichi","given":"Masanori","non-dropping-particle":"","parse-names":false,"suffix":""},{"dropping-particle":"","family":"Knight","given":"Shandra L.","non-dropping-particle":"","parse-names":false,"suffix":""},{"dropping-particle":"","family":"Mansour","given":"George","non-dropping-particle":"","parse-names":false,"suffix":""},{"dropping-particle":"","family":"Nicholson","given":"Andrew G.","non-dropping-particle":"","parse-names":false,"suffix":""},{"dropping-particle":"","family":"Pipavath","given":"Sudhakar N.J.","non-dropping-particle":"","parse-names":false,"suffix":""},{"dropping-particle":"","family":"Buendía-Roldán","given":"Ivette","non-dropping-particle":"","parse-names":false,"suffix":""},{"dropping-particle":"","family":"Selman","given":"Moisés","non-dropping-particle":"","parse-names":false,"suffix":""},{"dropping-particle":"","family":"Travis","given":"William D.","non-dropping-particle":"","parse-names":false,"suffix":""},{"dropping-particle":"","family":"Walsh","given":"Simon","non-dropping-particle":"","parse-names":false,"suffix":""},{"dropping-particle":"","family":"Wilson","given":"Kevin C.","non-dropping-particle":"","parse-names":false,"suffix":""}],"container-title":"American Journal of Respiratory and Critical Care Medicine","id":"ITEM-4","issue":"5","issued":{"date-parts":[["2018"]]},"page":"e44–e68","title":"Diagnosis of idiopathic pulmonary fibrosis. An Official ATS/ERS/JRS/ALAT Clinical practice guideline","type":"article-journal","volume":"198"},"uris":["http://www.mendeley.com/documents/?uuid=59d64075-05e0-4ae9-8298-9bc5c0c93c58"]}],"mendeley":{"formattedCitation":"&lt;sup&gt;1,7,11,28&lt;/sup&gt;","plainTextFormattedCitation":"1,7,11,28","previouslyFormattedCitation":"&lt;sup&gt;1,7,11,28&lt;/sup&gt;"},"properties":{"noteIndex":0},"schema":"https://github.com/citation-style-language/schema/raw/master/csl-citation.json"}</w:instrText>
      </w:r>
      <w:r w:rsidR="00EE13A4" w:rsidRPr="00C41FDC">
        <w:rPr>
          <w:b w:val="0"/>
          <w:bCs w:val="0"/>
          <w:color w:val="000000" w:themeColor="text1"/>
          <w:sz w:val="24"/>
          <w:szCs w:val="24"/>
        </w:rPr>
        <w:fldChar w:fldCharType="separate"/>
      </w:r>
      <w:r w:rsidR="00933BDC" w:rsidRPr="00C41FDC">
        <w:rPr>
          <w:b w:val="0"/>
          <w:bCs w:val="0"/>
          <w:noProof/>
          <w:color w:val="000000" w:themeColor="text1"/>
          <w:sz w:val="24"/>
          <w:szCs w:val="24"/>
          <w:vertAlign w:val="superscript"/>
        </w:rPr>
        <w:t>1,7,11,28</w:t>
      </w:r>
      <w:r w:rsidR="00EE13A4" w:rsidRPr="00C41FDC">
        <w:rPr>
          <w:b w:val="0"/>
          <w:bCs w:val="0"/>
          <w:color w:val="000000" w:themeColor="text1"/>
          <w:sz w:val="24"/>
          <w:szCs w:val="24"/>
        </w:rPr>
        <w:fldChar w:fldCharType="end"/>
      </w:r>
      <w:r w:rsidR="009227C9" w:rsidRPr="00C41FDC">
        <w:rPr>
          <w:b w:val="0"/>
          <w:bCs w:val="0"/>
          <w:color w:val="000000" w:themeColor="text1"/>
          <w:sz w:val="24"/>
          <w:szCs w:val="24"/>
        </w:rPr>
        <w:t xml:space="preserve"> </w:t>
      </w:r>
      <w:r w:rsidR="00FA191A" w:rsidRPr="002C459D">
        <w:rPr>
          <w:b w:val="0"/>
          <w:bCs w:val="0"/>
          <w:color w:val="000000" w:themeColor="text1"/>
          <w:sz w:val="24"/>
          <w:szCs w:val="24"/>
        </w:rPr>
        <w:t>Finally, it could be considered that the patients in our study had relatively advanced IPF. However previous large published series of IPF patients and the cardinal drug trials of antifibrotic medication have examined cohorts with a greater severity of disease than the patients in the current study.</w:t>
      </w:r>
      <w:r w:rsidR="00FA191A" w:rsidRPr="002C459D">
        <w:rPr>
          <w:b w:val="0"/>
          <w:bCs w:val="0"/>
          <w:color w:val="000000" w:themeColor="text1"/>
          <w:sz w:val="24"/>
          <w:szCs w:val="24"/>
        </w:rPr>
        <w:fldChar w:fldCharType="begin" w:fldLock="1"/>
      </w:r>
      <w:r w:rsidR="002C459D">
        <w:rPr>
          <w:b w:val="0"/>
          <w:bCs w:val="0"/>
          <w:color w:val="000000" w:themeColor="text1"/>
          <w:sz w:val="24"/>
          <w:szCs w:val="24"/>
        </w:rPr>
        <w:instrText>ADDIN CSL_CITATION {"citationItems":[{"id":"ITEM-1","itemData":{"DOI":"10.1183/13993003.01011-2016","ISSN":"13993003","PMID":"27811068","abstract":"Computer-based computed tomography (CT) analysis can provide objective quantitation of disease in idiopathic pulmonary fibrosis (IPF). A computer algorithm, CALIPER, was compared with conventional CT and pulmonary function measures of disease severity for mortality prediction. CT and pulmonary function variables (forced expiratory volume in 1 s, forced vital capacity, diffusion capacity of the lung for carbon monoxide, transfer coefficient of the lung for carbon monoxide and composite physiologic index (CPI)) of 283 consecutive patients with a multidisciplinary diagnosis of IPF were evaluated against mortality. Visual and CALIPER CT features included total extent of interstitial lung disease, honeycombing, reticular pattern, ground glass opacities and emphysema. In addition, CALIPER scored pulmonary vessel volume (PVV) while traction bronchiectasis and consolidation were only scored visually. A combination of mortality predictors was compared with the Gender, Age, Physiology model. On univariate analyses, all visual and CALIPER-derived interstitial features and functional indices were predictive of mortality to a 0.01 level of significance. On multivariate analysis, visual CT parameters were discarded. Independent predictors of mortality were CPI (hazard ratio (95% CI) 1.05 (1.02–1.07), p&lt;0.001) and two CALIPER parameters: PVV (1.23 (1.08–1.40), p=0.001) and honeycombing (1.18 (1.06–1.32), p=0.002). A three-group staging system derived from this model was powerfully predictive of mortality (2.23 (1.85–2.69), p&lt;0.0001). CALIPER-derived parameters, in particular PVV, are more accurate prognostically than traditional visual CT scores. Quantitative tools such as CALIPER have the potential to improve staging systems in IPF.","author":[{"dropping-particle":"","family":"Jacob","given":"Joseph","non-dropping-particle":"","parse-names":false,"suffix":""},{"dropping-particle":"","family":"Bartholmai","given":"Brian J.","non-dropping-particle":"","parse-names":false,"suffix":""},{"dropping-particle":"","family":"Rajagopalan","given":"Srinivasan","non-dropping-particle":"","parse-names":false,"suffix":""},{"dropping-particle":"","family":"Kokosi","given":"Maria","non-dropping-particle":"","parse-names":false,"suffix":""},{"dropping-particle":"","family":"Nair","given":"Arjun","non-dropping-particle":"","parse-names":false,"suffix":""},{"dropping-particle":"","family":"Karwoski","given":"Ronald","non-dropping-particle":"","parse-names":false,"suffix":""},{"dropping-particle":"","family":"Walsh","given":"Simon L.F.","non-dropping-particle":"","parse-names":false,"suffix":""},{"dropping-particle":"","family":"Wells","given":"Athol U.","non-dropping-particle":"","parse-names":false,"suffix":""},{"dropping-particle":"","family":"Hansell","given":"David M.","non-dropping-particle":"","parse-names":false,"suffix":""}],"container-title":"European Respiratory Journal","id":"ITEM-1","issue":"1","issued":{"date-parts":[["2017"]]},"title":"Mortality prediction in idiopathic pulmonary fibrosis: evaluation of computer-based CT analysis with conventional severity measures","type":"article-journal","volume":"49"},"uris":["http://www.mendeley.com/documents/?uuid=f7941745-3649-45e1-8697-5099b5eafb03"]},{"id":"ITEM-2","itemData":{"DOI":"10.1186/s12890-018-0575-y","ISSN":"14712466","PMID":"29370786","abstract":"Background: Idiopathic pulmonary fibrosis (IPF) is a progressive and fatal fibrosing lung disease of unknown cause. The advent of anti-fibrotic medications known to slow disease progression has revolutionised IPF management in recent years. However, little is known about the natural history of IPF patients with mild physiological impairment. We aimed to assess the natural history of these patients using data from the Australian IPF Registry (AIPFR). Methods: Using our cohort of real-world IPF patients, we compared FVC criteria for mild physiological impairment (FVC ≥ 80%) against other proposed criteria: DLco ≥ 55%; CPI ≤40 and GAP stage 1 with regards agreement in classification and relationship with disease outcomes. Within the mild cohort (FVC ≥ 80%), we also explored markers associated with poorer prognosis at 12 months. Results: Of the 416 AIPFR patients (mean age 70.4 years, 70% male), 216 (52%) were classified as 'mild' using FVC ≥ 80%. There was only modest agreement between FVC and DLco (k = 0.30), with better agreement with GAP (k = 0.50) and CPI (k = 0.48). Patients who were mild had longer survival, regardless of how mild physiologic impairment was defined. There was, however, no difference in the annual decline in FVC% predicted between mild and moderate-severe groups (for all proposed criteria). For patients with mild impairment (n = 216, FVC ≥ 80%), the strongest predictor of outcomes at 12 months was oxygen desaturation on a 6 min walk test. Conclusion: IPF patients with mild physiological impairment have better survival than patients with moderate-severe disease. Their overall rate of disease progression however, is comparable, suggesting that they are simply at different points in the natural history of IPF disease.","author":[{"dropping-particle":"","family":"Jo","given":"Helen E.","non-dropping-particle":"","parse-names":false,"suffix":""},{"dropping-particle":"","family":"Glaspole","given":"Ian","non-dropping-particle":"","parse-names":false,"suffix":""},{"dropping-particle":"","family":"Moodley","given":"Yuben","non-dropping-particle":"","parse-names":false,"suffix":""},{"dropping-particle":"","family":"Chapman","given":"Sally","non-dropping-particle":"","parse-names":false,"suffix":""},{"dropping-particle":"","family":"Ellis","given":"Samantha","non-dropping-particle":"","parse-names":false,"suffix":""},{"dropping-particle":"","family":"Goh","given":"Nicole","non-dropping-particle":"","parse-names":false,"suffix":""},{"dropping-particle":"","family":"Hopkins","given":"Peter","non-dropping-particle":"","parse-names":false,"suffix":""},{"dropping-particle":"","family":"Keir","given":"Greg","non-dropping-particle":"","parse-names":false,"suffix":""},{"dropping-particle":"","family":"Mahar","given":"Annabelle","non-dropping-particle":"","parse-names":false,"suffix":""},{"dropping-particle":"","family":"Cooper","given":"Wendy","non-dropping-particle":"","parse-names":false,"suffix":""},{"dropping-particle":"","family":"Reynolds","given":"Paul","non-dropping-particle":"","parse-names":false,"suffix":""},{"dropping-particle":"","family":"Haydn Walters","given":"E.","non-dropping-particle":"","parse-names":false,"suffix":""},{"dropping-particle":"","family":"Zappala","given":"Christopher","non-dropping-particle":"","parse-names":false,"suffix":""},{"dropping-particle":"","family":"Grainge","given":"Christopher","non-dropping-particle":"","parse-names":false,"suffix":""},{"dropping-particle":"","family":"Allan","given":"Heather","non-dropping-particle":"","parse-names":false,"suffix":""},{"dropping-particle":"","family":"Macansh","given":"Sacha","non-dropping-particle":"","parse-names":false,"suffix":""},{"dropping-particle":"","family":"Corte","given":"Tamera J.","non-dropping-particle":"","parse-names":false,"suffix":""}],"container-title":"BMC Pulmonary Medicine","id":"ITEM-2","issued":{"date-parts":[["2018"]]},"title":"Disease progression in idiopathic pulmonary fibrosis with mild physiological impairment: Analysis from the Australian IPF registry","type":"article-journal","volume":"18"},"uris":["http://www.mendeley.com/documents/?uuid=df784556-6334-4eb3-8fdb-a39cbf732966"]},{"id":"ITEM-3","itemData":{"DOI":"10.1056/nejmoa1402584","ISSN":"0028-4793","PMID":"24836310","abstract":"BACKGROUND Nintedanib (formerly known as BIBF 1120) is an intracellular inhibitor that targets multiple tyrosine kinases. A phase 2 trial suggested that treatment with 150 mg of nintedanib twice daily reduced lung-function decline and acute exacerbations in patients with idiopathic pulmonary fibrosis. METHODS We conducted two replicate 52-week, randomized, double-blind, phase 3 trials (INPULSIS-1 and INPULSIS-2) to evaluate the efficacy and safety of 150 mg of nintedanib twice daily as compared with placebo in patients with idiopathic pulmonary fibrosis. The primary end point was the annual rate of decline in forced vital capacity (FVC). Key secondary end points were the time to the first acute exacerbation and the change from baseline in the total score on the St. George's Respiratory Questionnaire, both assessed over a 52-week period. RESULTS A total of 1066 patients were randomly assigned in a 3:2 ratio to receive nintedanib or placebo. The adjusted annual rate of change in FVC was -114.7 ml with nintedanib versus -239.9 ml with placebo (difference, 125.3 ml; 95% confidence interval [CI], 77.7 to 172.8; P&lt;0.001) in INPULSIS-1 and -113.6 ml with nintedanib versus -207.3 ml with placebo (difference, 93.7 ml; 95% CI, 44.8 to 142.7; P&lt;0.001) in INPULSIS-2. In INPULSIS-1, there was no significant difference between the nintedanib and placebo groups in the time to the first acute exacerbation (hazard ratio with nintedanib, 1.15; 95% CI, 0.54 to 2.42; P=0.67); in INPULSIS-2, there was a significant benefit with nintedanib versus placebo (hazard ratio, 0.38; 95% CI, 0.19 to 0.77; P=0.005). The most frequent adverse event in the nintedanib groups was diarrhea, with rates of 61.5% and 18.6% in the nintedanib and placebo groups, respectively, in INPULSIS-1 and 63.2% and 18.3% in the two groups, respectively, in INPULSIS-2. CONCLUSIONS In patients with idiopathic pulmonary fibrosis, nintedanib reduced the decline in FVC, which is consistent with a slowing of disease progression; nintedanib was frequently associated with diarrhea, which led to discontinuation of the study medication in less than 5% of patients. (Funded by Boehringer Ingelheim; INPULSIS-1 and INPULSIS-2 ClinicalTrials.gov numbers, NCT01335464 and NCT01335477.).","author":[{"dropping-particle":"","family":"Richeldi","given":"Luca","non-dropping-particle":"","parse-names":false,"suffix":""},{"dropping-particle":"","family":"Bois","given":"Roland M.","non-dropping-particle":"du","parse-names":false,"suffix":""},{"dropping-particle":"","family":"Raghu","given":"Ganesh","non-dropping-particle":"","parse-names":false,"suffix":""},{"dropping-particle":"","family":"Azuma","given":"Arata","non-dropping-particle":"","parse-names":false,"suffix":""},{"dropping-particle":"","family":"Brown","given":"Kevin K.","non-dropping-particle":"","parse-names":false,"suffix":""},{"dropping-particle":"","family":"Costabel","given":"Ulrich","non-dropping-particle":"","parse-names":false,"suffix":""},{"dropping-particle":"","family":"Cottin","given":"Vincent","non-dropping-particle":"","parse-names":false,"suffix":""},{"dropping-particle":"","family":"Flaherty","given":"Kevin R.","non-dropping-particle":"","parse-names":false,"suffix":""},{"dropping-particle":"","family":"Hansell","given":"David M.","non-dropping-particle":"","parse-names":false,"suffix":""},{"dropping-particle":"","family":"Inoue","given":"Yoshikazu","non-dropping-particle":"","parse-names":false,"suffix":""},{"dropping-particle":"","family":"Kim","given":"Dong Soon","non-dropping-particle":"","parse-names":false,"suffix":""},{"dropping-particle":"","family":"Kolb","given":"Martin","non-dropping-particle":"","parse-names":false,"suffix":""},{"dropping-particle":"","family":"Nicholson","given":"Andrew G.","non-dropping-particle":"","parse-names":false,"suffix":""},{"dropping-particle":"","family":"Noble","given":"Paul W.","non-dropping-particle":"","parse-names":false,"suffix":""},{"dropping-particle":"","family":"Selman","given":"Moisés","non-dropping-particle":"","parse-names":false,"suffix":""},{"dropping-particle":"","family":"Taniguchi","given":"Hiroyuki","non-dropping-particle":"","parse-names":false,"suffix":""},{"dropping-particle":"","family":"Brun","given":"Michèle","non-dropping-particle":"","parse-names":false,"suffix":""},{"dropping-particle":"","family":"Maulf","given":"Florence","non-dropping-particle":"Le","parse-names":false,"suffix":""},{"dropping-particle":"","family":"Girard","given":"Mannaïg","non-dropping-particle":"","parse-names":false,"suffix":""},{"dropping-particle":"","family":"Stowasser","given":"Susanne","non-dropping-particle":"","parse-names":false,"suffix":""},{"dropping-particle":"","family":"Schlenker-Herceg","given":"Rozsa","non-dropping-particle":"","parse-names":false,"suffix":""},{"dropping-particle":"","family":"Disse","given":"Bernd","non-dropping-particle":"","parse-names":false,"suffix":""},{"dropping-particle":"","family":"Collard","given":"Harold R.","non-dropping-particle":"","parse-names":false,"suffix":""}],"container-title":"New England Journal of Medicine","id":"ITEM-3","issued":{"date-parts":[["2014"]]},"page":"2071–2082","title":"Efficacy and Safety of Nintedanib in Idiopathic Pulmonary Fibrosis","type":"article-journal","volume":"370"},"uris":["http://www.mendeley.com/documents/?uuid=249e77f1-7334-4f08-a856-d475acbda9f8"]},{"id":"ITEM-4","itemData":{"DOI":"10.1056/nejmoa1402582","ISSN":"0028-4793","PMID":"24836312","abstract":"BACKGROUND In two of three phase 3 trials, pirfenidone, an oral antifibrotic therapy, reduced disease progression, as measured by the decline in forced vital capacity (FVC) or vital capacity, in patients with idiopathic pulmonary fibrosis; in the third trial, this end point was not achieved. We sought to confirm the beneficial effect of pirfenidone on disease progression in such patients. METHODS In this phase 3 study, we randomly assigned 555 patients with idiopathic pulmonary fibrosis to receive either oral pirfenidone (2403 mg per day) or placebo for 52 weeks. The primary end point was the change in FVC or death at week 52. Secondary end points were the 6-minute walk distance, progression-free survival, dyspnea, and death from any cause or from idiopathic pulmonary fibrosis. RESULTS In the pirfenidone group, as compared with the placebo group, there was a relative reduction of 47.9% in the proportion of patients who had an absolute decline of 10 percentage points or more in the percentage of the predicted FVC or who died; there was also a relative increase of 132.5% in the proportion of patients with no decline in FVC (P&lt;0.001). Pirfenidone reduced the decline in the 6-minute walk distance (P=0.04) and improved progression-free survival (P&lt;0.001). There was no significant between-group difference in dyspnea scores (P=0.16) or in rates of death from any cause (P=0.10) or from idiopathic pulmonary fibrosis (P=0.23). However, in a prespecified pooled analysis incorporating results from two previous phase 3 trials, the between-group difference favoring pirfenidone was significant for death from any cause (P=0.01) and from idiopathic pulmonary fibrosis (P=0.006). Gastrointestinal and skin-related adverse events were more common in the pirfenidone group than in the placebo group but rarely led to treatment discontinuation. CONCLUSIONS Pirfenidone, as compared with placebo, reduced disease progression, as reflected by lung function, exercise tolerance, and progression-free survival, in patients with idiopathic pulmonary fibrosis. Treatment was associated with an acceptable side-effect profile and fewer deaths. (Funded by InterMune; ASCEND ClinicalTrials.gov number, NCT01366209.).","author":[{"dropping-particle":"","family":"King","given":"Talmadge E.","non-dropping-particle":"","parse-names":false,"suffix":""},{"dropping-particle":"","family":"Bradford","given":"Williamson Z.","non-dropping-particle":"","parse-names":false,"suffix":""},{"dropping-particle":"","family":"Castro-Bernardini","given":"Socorro","non-dropping-particle":"","parse-names":false,"suffix":""},{"dropping-particle":"","family":"Fagan","given":"Elizabeth A.","non-dropping-particle":"","parse-names":false,"suffix":""},{"dropping-particle":"","family":"Glaspole","given":"Ian","non-dropping-particle":"","parse-names":false,"suffix":""},{"dropping-particle":"","family":"Glassberg","given":"Marilyn K.","non-dropping-particle":"","parse-names":false,"suffix":""},{"dropping-particle":"","family":"Gorina","given":"Eduard","non-dropping-particle":"","parse-names":false,"suffix":""},{"dropping-particle":"","family":"Hopkins","given":"Peter M.","non-dropping-particle":"","parse-names":false,"suffix":""},{"dropping-particle":"","family":"Kardatzke","given":"David","non-dropping-particle":"","parse-names":false,"suffix":""},{"dropping-particle":"","family":"Lancaster","given":"Lisa","non-dropping-particle":"","parse-names":false,"suffix":""},{"dropping-particle":"","family":"Lederer","given":"David J.","non-dropping-particle":"","parse-names":false,"suffix":""},{"dropping-particle":"","family":"Nathan","given":"Steven D.","non-dropping-particle":"","parse-names":false,"suffix":""},{"dropping-particle":"","family":"Pereira","given":"Carlos A.","non-dropping-particle":"","parse-names":false,"suffix":""},{"dropping-particle":"","family":"Sahn","given":"Steven A.","non-dropping-particle":"","parse-names":false,"suffix":""},{"dropping-particle":"","family":"Sussman","given":"Robert","non-dropping-particle":"","parse-names":false,"suffix":""},{"dropping-particle":"","family":"Swigris","given":"Jeffrey J.","non-dropping-particle":"","parse-names":false,"suffix":""},{"dropping-particle":"","family":"Noble","given":"Paul W.","non-dropping-particle":"","parse-names":false,"suffix":""}],"container-title":"New England Journal of Medicine","id":"ITEM-4","issued":{"date-parts":[["2014"]]},"page":"2083–2092","title":"A Phase 3 Trial of Pirfenidone in Patients with Idiopathic Pulmonary Fibrosis","type":"article-journal","volume":"370"},"uris":["http://www.mendeley.com/documents/?uuid=0f246437-9ea0-45ef-9e40-664d633e2bfb"]}],"mendeley":{"formattedCitation":"&lt;sup&gt;12,29–31&lt;/sup&gt;","plainTextFormattedCitation":"12,29–31","previouslyFormattedCitation":"&lt;sup&gt;12,29–31&lt;/sup&gt;"},"properties":{"noteIndex":0},"schema":"https://github.com/citation-style-language/schema/raw/master/csl-citation.json"}</w:instrText>
      </w:r>
      <w:r w:rsidR="00FA191A" w:rsidRPr="002C459D">
        <w:rPr>
          <w:b w:val="0"/>
          <w:bCs w:val="0"/>
          <w:color w:val="000000" w:themeColor="text1"/>
          <w:sz w:val="24"/>
          <w:szCs w:val="24"/>
        </w:rPr>
        <w:fldChar w:fldCharType="separate"/>
      </w:r>
      <w:r w:rsidR="00FA191A" w:rsidRPr="002C459D">
        <w:rPr>
          <w:b w:val="0"/>
          <w:bCs w:val="0"/>
          <w:noProof/>
          <w:color w:val="000000" w:themeColor="text1"/>
          <w:sz w:val="24"/>
          <w:szCs w:val="24"/>
          <w:vertAlign w:val="superscript"/>
        </w:rPr>
        <w:t>12,29–31</w:t>
      </w:r>
      <w:r w:rsidR="00FA191A" w:rsidRPr="002C459D">
        <w:rPr>
          <w:b w:val="0"/>
          <w:bCs w:val="0"/>
          <w:color w:val="000000" w:themeColor="text1"/>
          <w:sz w:val="24"/>
          <w:szCs w:val="24"/>
        </w:rPr>
        <w:fldChar w:fldCharType="end"/>
      </w:r>
      <w:r w:rsidR="00FA191A" w:rsidRPr="002C459D">
        <w:rPr>
          <w:b w:val="0"/>
          <w:bCs w:val="0"/>
          <w:color w:val="000000" w:themeColor="text1"/>
          <w:sz w:val="24"/>
          <w:szCs w:val="24"/>
        </w:rPr>
        <w:t xml:space="preserve"> Nevertheless, it will be important in future studies to see if the prognostic impact of PPFE remains consistent in IPF patients with less severe disease.</w:t>
      </w:r>
    </w:p>
    <w:p w14:paraId="7D4FE38E" w14:textId="16687E8A" w:rsidR="00FA0494" w:rsidRPr="00C41FDC" w:rsidRDefault="00FA0494" w:rsidP="00FA0B69">
      <w:pPr>
        <w:pStyle w:val="indent"/>
        <w:spacing w:before="0" w:beforeAutospacing="0" w:after="0" w:afterAutospacing="0" w:line="480" w:lineRule="auto"/>
        <w:rPr>
          <w:color w:val="000000" w:themeColor="text1"/>
        </w:rPr>
      </w:pPr>
      <w:r w:rsidRPr="00C41FDC">
        <w:rPr>
          <w:color w:val="000000" w:themeColor="text1"/>
        </w:rPr>
        <w:t xml:space="preserve">In conclusion, </w:t>
      </w:r>
      <w:r w:rsidR="00BD2367" w:rsidRPr="00C41FDC">
        <w:rPr>
          <w:color w:val="000000" w:themeColor="text1"/>
        </w:rPr>
        <w:t xml:space="preserve">our study </w:t>
      </w:r>
      <w:r w:rsidR="00967E14" w:rsidRPr="00C41FDC">
        <w:rPr>
          <w:color w:val="000000" w:themeColor="text1"/>
        </w:rPr>
        <w:t>emphas</w:t>
      </w:r>
      <w:r w:rsidR="00CF7203" w:rsidRPr="00C41FDC">
        <w:rPr>
          <w:color w:val="000000" w:themeColor="text1"/>
        </w:rPr>
        <w:t>ise</w:t>
      </w:r>
      <w:r w:rsidR="00967E14" w:rsidRPr="00C41FDC">
        <w:rPr>
          <w:color w:val="000000" w:themeColor="text1"/>
        </w:rPr>
        <w:t xml:space="preserve">s in two separate IPF populations, worsened </w:t>
      </w:r>
      <w:r w:rsidR="00553146" w:rsidRPr="00C41FDC">
        <w:rPr>
          <w:color w:val="000000" w:themeColor="text1"/>
        </w:rPr>
        <w:t xml:space="preserve">functional and prognostic </w:t>
      </w:r>
      <w:r w:rsidR="00967E14" w:rsidRPr="00C41FDC">
        <w:rPr>
          <w:color w:val="000000" w:themeColor="text1"/>
        </w:rPr>
        <w:t xml:space="preserve">features of a distinct </w:t>
      </w:r>
      <w:r w:rsidR="007109CD" w:rsidRPr="00C41FDC">
        <w:rPr>
          <w:color w:val="000000" w:themeColor="text1"/>
        </w:rPr>
        <w:t>endo</w:t>
      </w:r>
      <w:r w:rsidR="00967E14" w:rsidRPr="00C41FDC">
        <w:rPr>
          <w:color w:val="000000" w:themeColor="text1"/>
        </w:rPr>
        <w:t xml:space="preserve">type of IPF patient where PPFE is evident on CT imaging. A simple visual score of PPFE in the upper lobes clearly distinguishes poor outcome groups. </w:t>
      </w:r>
      <w:bookmarkStart w:id="253" w:name="OLE_LINK154"/>
      <w:bookmarkStart w:id="254" w:name="OLE_LINK155"/>
      <w:bookmarkStart w:id="255" w:name="OLE_LINK156"/>
      <w:bookmarkStart w:id="256" w:name="OLE_LINK124"/>
      <w:bookmarkStart w:id="257" w:name="OLE_LINK125"/>
      <w:bookmarkStart w:id="258" w:name="OLE_LINK126"/>
      <w:bookmarkStart w:id="259" w:name="OLE_LINK232"/>
      <w:r w:rsidR="00B05865" w:rsidRPr="00C41FDC">
        <w:rPr>
          <w:color w:val="000000" w:themeColor="text1"/>
        </w:rPr>
        <w:t>C</w:t>
      </w:r>
      <w:r w:rsidR="00785CCC" w:rsidRPr="00C41FDC">
        <w:rPr>
          <w:color w:val="000000" w:themeColor="text1"/>
        </w:rPr>
        <w:t xml:space="preserve">omputerised PPFE </w:t>
      </w:r>
      <w:r w:rsidR="00967E14" w:rsidRPr="00C41FDC">
        <w:rPr>
          <w:color w:val="000000" w:themeColor="text1"/>
        </w:rPr>
        <w:t>quantitation</w:t>
      </w:r>
      <w:r w:rsidR="00785CCC" w:rsidRPr="00C41FDC">
        <w:rPr>
          <w:color w:val="000000" w:themeColor="text1"/>
        </w:rPr>
        <w:t xml:space="preserve"> </w:t>
      </w:r>
      <w:r w:rsidR="005D10EB" w:rsidRPr="00C41FDC">
        <w:rPr>
          <w:color w:val="000000" w:themeColor="text1"/>
        </w:rPr>
        <w:t>was found to be associated with FVC decline and mortality,</w:t>
      </w:r>
      <w:r w:rsidR="00C008B9" w:rsidRPr="00C41FDC">
        <w:rPr>
          <w:color w:val="000000" w:themeColor="text1"/>
        </w:rPr>
        <w:t xml:space="preserve"> </w:t>
      </w:r>
      <w:r w:rsidR="005D10EB" w:rsidRPr="00C41FDC">
        <w:rPr>
          <w:color w:val="000000" w:themeColor="text1"/>
        </w:rPr>
        <w:t xml:space="preserve">and </w:t>
      </w:r>
      <w:r w:rsidR="00967E14" w:rsidRPr="00C41FDC">
        <w:rPr>
          <w:color w:val="000000" w:themeColor="text1"/>
        </w:rPr>
        <w:t>identifies more patients with the worst outcomes</w:t>
      </w:r>
      <w:r w:rsidR="005D10EB" w:rsidRPr="00C41FDC">
        <w:rPr>
          <w:color w:val="000000" w:themeColor="text1"/>
        </w:rPr>
        <w:t xml:space="preserve"> when compared with visual PPFE scores</w:t>
      </w:r>
      <w:r w:rsidR="00967E14" w:rsidRPr="00C41FDC">
        <w:rPr>
          <w:color w:val="000000" w:themeColor="text1"/>
        </w:rPr>
        <w:t>.</w:t>
      </w:r>
      <w:bookmarkEnd w:id="253"/>
      <w:bookmarkEnd w:id="254"/>
      <w:bookmarkEnd w:id="255"/>
      <w:r w:rsidR="00967E14" w:rsidRPr="00C41FDC">
        <w:rPr>
          <w:color w:val="000000" w:themeColor="text1"/>
        </w:rPr>
        <w:t xml:space="preserve"> </w:t>
      </w:r>
      <w:bookmarkEnd w:id="256"/>
      <w:bookmarkEnd w:id="257"/>
      <w:bookmarkEnd w:id="258"/>
      <w:bookmarkEnd w:id="259"/>
      <w:r w:rsidR="007730BA" w:rsidRPr="00C41FDC">
        <w:rPr>
          <w:color w:val="000000" w:themeColor="text1"/>
        </w:rPr>
        <w:t>PPFE is only weakly related to established measures of interstitial damage suggesting alternative pathophysiological mechanisms for disease progression compared to IPF patients without PPFE.</w:t>
      </w:r>
    </w:p>
    <w:bookmarkEnd w:id="243"/>
    <w:bookmarkEnd w:id="244"/>
    <w:p w14:paraId="22B67806" w14:textId="77777777" w:rsidR="00B4708F" w:rsidRPr="00C41FDC" w:rsidRDefault="00B4708F" w:rsidP="007B1066">
      <w:pPr>
        <w:pStyle w:val="indent"/>
        <w:spacing w:before="0" w:beforeAutospacing="0" w:after="0" w:afterAutospacing="0" w:line="480" w:lineRule="auto"/>
        <w:rPr>
          <w:color w:val="000000" w:themeColor="text1"/>
        </w:rPr>
      </w:pPr>
    </w:p>
    <w:p w14:paraId="2FB0CC88" w14:textId="77777777" w:rsidR="004032AD" w:rsidRPr="00C41FDC" w:rsidRDefault="004032AD">
      <w:pPr>
        <w:rPr>
          <w:rStyle w:val="titlemark"/>
          <w:rFonts w:eastAsia="Times New Roman"/>
          <w:b/>
          <w:bCs/>
          <w:color w:val="000000" w:themeColor="text1"/>
          <w:sz w:val="28"/>
          <w:szCs w:val="27"/>
        </w:rPr>
      </w:pPr>
      <w:r w:rsidRPr="00C41FDC">
        <w:rPr>
          <w:rStyle w:val="titlemark"/>
          <w:rFonts w:eastAsia="Times New Roman"/>
          <w:color w:val="000000" w:themeColor="text1"/>
          <w:sz w:val="28"/>
        </w:rPr>
        <w:br w:type="page"/>
      </w:r>
    </w:p>
    <w:p w14:paraId="49D72D60" w14:textId="77777777" w:rsidR="00526D59" w:rsidRPr="00526D59" w:rsidRDefault="00526D59" w:rsidP="00526D59">
      <w:pPr>
        <w:pStyle w:val="Heading3"/>
        <w:spacing w:before="360" w:beforeAutospacing="0" w:after="120" w:afterAutospacing="0" w:line="480" w:lineRule="auto"/>
        <w:rPr>
          <w:rFonts w:eastAsia="Times New Roman"/>
          <w:color w:val="000000" w:themeColor="text1"/>
          <w:sz w:val="28"/>
        </w:rPr>
      </w:pPr>
      <w:bookmarkStart w:id="260" w:name="OLE_LINK253"/>
      <w:bookmarkStart w:id="261" w:name="OLE_LINK254"/>
      <w:r w:rsidRPr="00526D59">
        <w:rPr>
          <w:rStyle w:val="titlemark"/>
          <w:rFonts w:eastAsia="Times New Roman"/>
          <w:color w:val="000000" w:themeColor="text1"/>
          <w:sz w:val="28"/>
        </w:rPr>
        <w:lastRenderedPageBreak/>
        <w:t>Acknowledgments</w:t>
      </w:r>
    </w:p>
    <w:p w14:paraId="6EC23DB5" w14:textId="77777777" w:rsidR="00704441" w:rsidRPr="00E97468" w:rsidRDefault="00704441" w:rsidP="00704441">
      <w:pPr>
        <w:spacing w:line="480" w:lineRule="auto"/>
        <w:rPr>
          <w:rFonts w:eastAsia="Times New Roman"/>
          <w:color w:val="000000" w:themeColor="text1"/>
          <w:bdr w:val="none" w:sz="0" w:space="0" w:color="auto" w:frame="1"/>
          <w:shd w:val="clear" w:color="auto" w:fill="FFFFFF"/>
        </w:rPr>
      </w:pPr>
      <w:bookmarkStart w:id="262" w:name="OLE_LINK255"/>
      <w:bookmarkStart w:id="263" w:name="OLE_LINK256"/>
      <w:bookmarkEnd w:id="260"/>
      <w:bookmarkEnd w:id="261"/>
      <w:r w:rsidRPr="00E97468">
        <w:rPr>
          <w:rFonts w:eastAsia="Times New Roman"/>
          <w:color w:val="000000" w:themeColor="text1"/>
          <w:bdr w:val="none" w:sz="0" w:space="0" w:color="auto" w:frame="1"/>
          <w:shd w:val="clear" w:color="auto" w:fill="FFFFFF"/>
        </w:rPr>
        <w:t>This research was funded in whole or in part by the Wellcome Trust [209553/Z/17/Z]. For the purpose of open access, the author has applied a CC-BY public copyright licence to any author accepted manuscript version arising from this submission.</w:t>
      </w:r>
      <w:bookmarkEnd w:id="262"/>
      <w:bookmarkEnd w:id="263"/>
      <w:r w:rsidRPr="00E97468">
        <w:rPr>
          <w:rFonts w:eastAsia="Times New Roman"/>
          <w:color w:val="000000" w:themeColor="text1"/>
          <w:bdr w:val="none" w:sz="0" w:space="0" w:color="auto" w:frame="1"/>
          <w:shd w:val="clear" w:color="auto" w:fill="FFFFFF"/>
        </w:rPr>
        <w:t xml:space="preserve"> This project, JJ, EG and SMJ were also supported by the NIHR UCLH Biomedical Research Centre, UK. MGJ and CB acknowledge the support of the NIHR Southampton Biomedical Research Centre. EPSRC grant EP/M020533/1 helped support this work.</w:t>
      </w:r>
    </w:p>
    <w:p w14:paraId="6773FDEA" w14:textId="77777777" w:rsidR="00526D59" w:rsidRPr="00526D59" w:rsidRDefault="00526D59" w:rsidP="00526D59">
      <w:pPr>
        <w:spacing w:line="480" w:lineRule="auto"/>
        <w:rPr>
          <w:rFonts w:eastAsia="Times New Roman"/>
          <w:color w:val="000000" w:themeColor="text1"/>
          <w:bdr w:val="none" w:sz="0" w:space="0" w:color="auto" w:frame="1"/>
          <w:shd w:val="clear" w:color="auto" w:fill="FFFFFF"/>
        </w:rPr>
      </w:pPr>
    </w:p>
    <w:p w14:paraId="578E442D" w14:textId="77777777" w:rsidR="00704441" w:rsidRPr="00704441" w:rsidRDefault="00704441" w:rsidP="00704441">
      <w:pPr>
        <w:pStyle w:val="Heading3"/>
        <w:spacing w:before="360" w:beforeAutospacing="0" w:after="120" w:afterAutospacing="0" w:line="480" w:lineRule="auto"/>
        <w:rPr>
          <w:rFonts w:eastAsia="Times New Roman"/>
          <w:color w:val="000000" w:themeColor="text1"/>
          <w:sz w:val="28"/>
        </w:rPr>
      </w:pPr>
      <w:bookmarkStart w:id="264" w:name="OLE_LINK257"/>
      <w:bookmarkStart w:id="265" w:name="OLE_LINK258"/>
      <w:r w:rsidRPr="00704441">
        <w:rPr>
          <w:rStyle w:val="titlemark"/>
          <w:rFonts w:eastAsia="Times New Roman"/>
          <w:color w:val="000000" w:themeColor="text1"/>
          <w:sz w:val="28"/>
        </w:rPr>
        <w:t>Funding</w:t>
      </w:r>
    </w:p>
    <w:bookmarkEnd w:id="264"/>
    <w:bookmarkEnd w:id="265"/>
    <w:p w14:paraId="07DA4E70" w14:textId="77777777" w:rsidR="00704441" w:rsidRPr="00704441" w:rsidRDefault="00704441" w:rsidP="00704441">
      <w:pPr>
        <w:spacing w:line="480" w:lineRule="auto"/>
        <w:rPr>
          <w:rFonts w:eastAsia="Times New Roman"/>
          <w:color w:val="000000" w:themeColor="text1"/>
          <w:bdr w:val="none" w:sz="0" w:space="0" w:color="auto" w:frame="1"/>
          <w:shd w:val="clear" w:color="auto" w:fill="FFFFFF"/>
        </w:rPr>
      </w:pPr>
      <w:r w:rsidRPr="00704441">
        <w:rPr>
          <w:color w:val="000000" w:themeColor="text1"/>
        </w:rPr>
        <w:t>The funders of this study had no role in the design of the study, data collection, data interpretation, data analysis, and writing of the report.</w:t>
      </w:r>
    </w:p>
    <w:p w14:paraId="2F70DE36" w14:textId="77777777" w:rsidR="00526D59" w:rsidRPr="00526D59" w:rsidRDefault="00526D59" w:rsidP="00526D59">
      <w:pPr>
        <w:spacing w:line="480" w:lineRule="auto"/>
        <w:rPr>
          <w:rFonts w:eastAsia="Times New Roman"/>
          <w:color w:val="000000" w:themeColor="text1"/>
          <w:bdr w:val="none" w:sz="0" w:space="0" w:color="auto" w:frame="1"/>
          <w:shd w:val="clear" w:color="auto" w:fill="FFFFFF"/>
        </w:rPr>
      </w:pPr>
    </w:p>
    <w:p w14:paraId="18098B52" w14:textId="77777777" w:rsidR="00526D59" w:rsidRPr="00526D59" w:rsidRDefault="00526D59" w:rsidP="00526D59">
      <w:pPr>
        <w:pStyle w:val="Heading3"/>
        <w:spacing w:before="360" w:beforeAutospacing="0" w:after="120" w:afterAutospacing="0" w:line="480" w:lineRule="auto"/>
        <w:rPr>
          <w:rFonts w:eastAsia="Times New Roman"/>
          <w:color w:val="000000" w:themeColor="text1"/>
          <w:sz w:val="28"/>
        </w:rPr>
      </w:pPr>
      <w:r w:rsidRPr="00526D59">
        <w:rPr>
          <w:rStyle w:val="titlemark"/>
          <w:rFonts w:eastAsia="Times New Roman"/>
          <w:color w:val="000000" w:themeColor="text1"/>
          <w:sz w:val="28"/>
        </w:rPr>
        <w:t>Data sharing statement</w:t>
      </w:r>
    </w:p>
    <w:p w14:paraId="41328A20" w14:textId="77777777" w:rsidR="00526D59" w:rsidRPr="00526D59" w:rsidRDefault="00526D59" w:rsidP="00526D59">
      <w:pPr>
        <w:spacing w:line="480" w:lineRule="auto"/>
        <w:rPr>
          <w:color w:val="000000" w:themeColor="text1"/>
        </w:rPr>
      </w:pPr>
      <w:r w:rsidRPr="00526D59">
        <w:rPr>
          <w:color w:val="000000" w:themeColor="text1"/>
        </w:rPr>
        <w:t>Ethical approval for sharing of the data for this study is not available.</w:t>
      </w:r>
    </w:p>
    <w:p w14:paraId="4AE9D673" w14:textId="77777777" w:rsidR="00526D59" w:rsidRPr="00526D59" w:rsidRDefault="00526D59" w:rsidP="00526D59">
      <w:pPr>
        <w:spacing w:line="480" w:lineRule="auto"/>
        <w:rPr>
          <w:color w:val="000000" w:themeColor="text1"/>
        </w:rPr>
      </w:pPr>
    </w:p>
    <w:p w14:paraId="07D4D80A" w14:textId="77777777" w:rsidR="00526D59" w:rsidRPr="00526D59" w:rsidRDefault="00526D59" w:rsidP="00526D59">
      <w:pPr>
        <w:pStyle w:val="Heading3"/>
        <w:spacing w:before="360" w:beforeAutospacing="0" w:after="120" w:afterAutospacing="0" w:line="480" w:lineRule="auto"/>
        <w:rPr>
          <w:rFonts w:eastAsia="Times New Roman"/>
          <w:color w:val="000000" w:themeColor="text1"/>
          <w:sz w:val="28"/>
        </w:rPr>
      </w:pPr>
      <w:bookmarkStart w:id="266" w:name="OLE_LINK10"/>
      <w:bookmarkStart w:id="267" w:name="OLE_LINK11"/>
      <w:r w:rsidRPr="00526D59">
        <w:rPr>
          <w:rStyle w:val="titlemark"/>
          <w:rFonts w:eastAsia="Times New Roman"/>
          <w:color w:val="000000" w:themeColor="text1"/>
          <w:sz w:val="28"/>
        </w:rPr>
        <w:t>Declarations of interests</w:t>
      </w:r>
    </w:p>
    <w:p w14:paraId="0B70BE72" w14:textId="77777777" w:rsidR="00526D59" w:rsidRPr="00526D59" w:rsidRDefault="00526D59" w:rsidP="00526D59">
      <w:pPr>
        <w:spacing w:line="480" w:lineRule="auto"/>
        <w:rPr>
          <w:rStyle w:val="ecrm-0900"/>
          <w:color w:val="000000" w:themeColor="text1"/>
        </w:rPr>
      </w:pPr>
      <w:bookmarkStart w:id="268" w:name="OLE_LINK227"/>
      <w:bookmarkStart w:id="269" w:name="OLE_LINK228"/>
      <w:r w:rsidRPr="00526D59">
        <w:rPr>
          <w:color w:val="000000" w:themeColor="text1"/>
        </w:rPr>
        <w:t xml:space="preserve">JJ </w:t>
      </w:r>
      <w:bookmarkStart w:id="270" w:name="OLE_LINK239"/>
      <w:bookmarkStart w:id="271" w:name="OLE_LINK240"/>
      <w:r w:rsidRPr="00526D59">
        <w:rPr>
          <w:color w:val="000000" w:themeColor="text1"/>
        </w:rPr>
        <w:t xml:space="preserve">reports fees from </w:t>
      </w:r>
      <w:bookmarkStart w:id="272" w:name="OLE_LINK241"/>
      <w:bookmarkStart w:id="273" w:name="OLE_LINK242"/>
      <w:r w:rsidRPr="00526D59">
        <w:rPr>
          <w:color w:val="000000" w:themeColor="text1"/>
        </w:rPr>
        <w:t xml:space="preserve">Boehringer Ingelheim, Roche, NHSX and GlaxoSmithKline unrelated to the </w:t>
      </w:r>
      <w:bookmarkEnd w:id="266"/>
      <w:bookmarkEnd w:id="267"/>
      <w:r w:rsidRPr="00526D59">
        <w:rPr>
          <w:color w:val="000000" w:themeColor="text1"/>
        </w:rPr>
        <w:t xml:space="preserve">submitted work. JJ was supported by </w:t>
      </w:r>
      <w:bookmarkStart w:id="274" w:name="OLE_LINK119"/>
      <w:bookmarkStart w:id="275" w:name="OLE_LINK120"/>
      <w:r w:rsidRPr="00526D59">
        <w:rPr>
          <w:color w:val="000000" w:themeColor="text1"/>
        </w:rPr>
        <w:t xml:space="preserve">Wellcome Trust </w:t>
      </w:r>
      <w:bookmarkEnd w:id="274"/>
      <w:bookmarkEnd w:id="275"/>
      <w:r w:rsidRPr="00526D59">
        <w:rPr>
          <w:color w:val="000000" w:themeColor="text1"/>
        </w:rPr>
        <w:t xml:space="preserve">Clinical Research Career Development Fellowship 209553/Z/17/Z. </w:t>
      </w:r>
      <w:bookmarkEnd w:id="268"/>
      <w:bookmarkEnd w:id="269"/>
      <w:bookmarkEnd w:id="270"/>
      <w:bookmarkEnd w:id="271"/>
      <w:bookmarkEnd w:id="272"/>
      <w:bookmarkEnd w:id="273"/>
      <w:r w:rsidRPr="00526D59">
        <w:rPr>
          <w:color w:val="000000" w:themeColor="text1"/>
        </w:rPr>
        <w:t xml:space="preserve">SMJ reports fees from Astra-Zeneca, Bard1 Bioscience, Achilles Therapeutics, and Jansen unrelated to the submitted work. SMJ received assistance for travel to </w:t>
      </w:r>
      <w:r w:rsidRPr="00526D59">
        <w:rPr>
          <w:color w:val="000000" w:themeColor="text1"/>
        </w:rPr>
        <w:lastRenderedPageBreak/>
        <w:t>meetings from Astra Zeneca to American Thoracic Conference 2018 and from Takeda to World Conference Lung Cancer 2019 and is the Investigator Lead on grants from GRAIL Inc, GlaxoSmithKline plc and Owlstone. AUW personal fees and non-financial support from Boehringer Ingelheim, Bayer and Roche Pharmaceuticals; and personal fees from Blade, outside of the submitted work. EG, AZ, NM, IS, MGJ, CvM, RS, CJB, HWvE, OU, KP, FvB, MV, BG, AN, DA report no relevant conflicts of interest.</w:t>
      </w:r>
    </w:p>
    <w:p w14:paraId="7F46C179" w14:textId="77777777" w:rsidR="00526D59" w:rsidRPr="00526D59" w:rsidRDefault="00526D59" w:rsidP="00526D59">
      <w:pPr>
        <w:rPr>
          <w:rStyle w:val="titlemark"/>
          <w:rFonts w:eastAsia="Times New Roman"/>
          <w:b/>
          <w:bCs/>
          <w:color w:val="000000" w:themeColor="text1"/>
          <w:sz w:val="28"/>
          <w:szCs w:val="27"/>
        </w:rPr>
      </w:pPr>
    </w:p>
    <w:p w14:paraId="587949A6" w14:textId="77777777" w:rsidR="00526D59" w:rsidRPr="00526D59" w:rsidRDefault="00526D59" w:rsidP="00526D59">
      <w:pPr>
        <w:pStyle w:val="Heading3"/>
        <w:spacing w:before="360" w:beforeAutospacing="0" w:after="120" w:afterAutospacing="0" w:line="480" w:lineRule="auto"/>
        <w:rPr>
          <w:rFonts w:eastAsia="Times New Roman"/>
          <w:color w:val="000000" w:themeColor="text1"/>
          <w:sz w:val="28"/>
        </w:rPr>
      </w:pPr>
      <w:r w:rsidRPr="00526D59">
        <w:rPr>
          <w:rStyle w:val="titlemark"/>
          <w:rFonts w:eastAsia="Times New Roman"/>
          <w:color w:val="000000" w:themeColor="text1"/>
          <w:sz w:val="28"/>
        </w:rPr>
        <w:t>Contributors</w:t>
      </w:r>
    </w:p>
    <w:p w14:paraId="2AE33C4D" w14:textId="400B4789" w:rsidR="004032AD" w:rsidRPr="00C41FDC" w:rsidRDefault="00526D59" w:rsidP="00526D59">
      <w:pPr>
        <w:spacing w:line="480" w:lineRule="auto"/>
        <w:rPr>
          <w:rStyle w:val="ecrm-0900"/>
          <w:rFonts w:eastAsia="Times New Roman"/>
          <w:b/>
          <w:bCs/>
          <w:color w:val="000000" w:themeColor="text1"/>
          <w:sz w:val="28"/>
          <w:szCs w:val="27"/>
        </w:rPr>
      </w:pPr>
      <w:bookmarkStart w:id="276" w:name="OLE_LINK13"/>
      <w:bookmarkStart w:id="277" w:name="OLE_LINK14"/>
      <w:r w:rsidRPr="00526D59">
        <w:rPr>
          <w:color w:val="000000" w:themeColor="text1"/>
        </w:rPr>
        <w:t xml:space="preserve">EG, AZ, IS, AUW, SMJ, DCA, and JJ contributed to study design and data interpretation. EG, AZ, NM, MGJ, CHMvM, RS, CJB, HWvE, OU, KP, FvB, MV, BG, AN, and JJ were responsible for data acquisition. EG, AZ, IS, AUW, and JJ contributed to the statistical analysis. EG and JJ prepared the first draft of the manuscript. EG and JJ were responsible for study data integrity. All authors reviewed the manuscript and approved the final submitted version. </w:t>
      </w:r>
      <w:bookmarkEnd w:id="276"/>
      <w:bookmarkEnd w:id="277"/>
      <w:r w:rsidR="004032AD" w:rsidRPr="00C41FDC">
        <w:rPr>
          <w:rStyle w:val="ecrm-0900"/>
          <w:rFonts w:eastAsia="Times New Roman"/>
          <w:color w:val="000000" w:themeColor="text1"/>
          <w:sz w:val="28"/>
        </w:rPr>
        <w:br w:type="page"/>
      </w:r>
    </w:p>
    <w:p w14:paraId="07CC19C5" w14:textId="6EED9111" w:rsidR="00CF1F6E" w:rsidRPr="00C41FDC" w:rsidRDefault="00725BED" w:rsidP="00CF1F6E">
      <w:pPr>
        <w:pStyle w:val="Heading3"/>
        <w:spacing w:before="360" w:beforeAutospacing="0" w:after="120" w:afterAutospacing="0" w:line="480" w:lineRule="auto"/>
        <w:rPr>
          <w:color w:val="000000" w:themeColor="text1"/>
        </w:rPr>
      </w:pPr>
      <w:r w:rsidRPr="00C41FDC">
        <w:rPr>
          <w:rStyle w:val="ecrm-0900"/>
          <w:rFonts w:eastAsia="Times New Roman"/>
          <w:color w:val="000000" w:themeColor="text1"/>
          <w:sz w:val="28"/>
        </w:rPr>
        <w:lastRenderedPageBreak/>
        <w:t>References</w:t>
      </w:r>
    </w:p>
    <w:p w14:paraId="0BC70CFE" w14:textId="6D8D86D6" w:rsidR="002C459D" w:rsidRPr="002C459D" w:rsidRDefault="00AD70AE" w:rsidP="002C459D">
      <w:pPr>
        <w:widowControl w:val="0"/>
        <w:autoSpaceDE w:val="0"/>
        <w:autoSpaceDN w:val="0"/>
        <w:adjustRightInd w:val="0"/>
        <w:spacing w:after="120" w:line="360" w:lineRule="auto"/>
        <w:ind w:left="640" w:hanging="640"/>
        <w:rPr>
          <w:noProof/>
        </w:rPr>
      </w:pPr>
      <w:r w:rsidRPr="00C41FDC">
        <w:rPr>
          <w:color w:val="000000" w:themeColor="text1"/>
        </w:rPr>
        <w:fldChar w:fldCharType="begin" w:fldLock="1"/>
      </w:r>
      <w:r w:rsidRPr="00C41FDC">
        <w:rPr>
          <w:color w:val="000000" w:themeColor="text1"/>
        </w:rPr>
        <w:instrText xml:space="preserve">ADDIN Mendeley Bibliography CSL_BIBLIOGRAPHY </w:instrText>
      </w:r>
      <w:r w:rsidRPr="00C41FDC">
        <w:rPr>
          <w:color w:val="000000" w:themeColor="text1"/>
        </w:rPr>
        <w:fldChar w:fldCharType="separate"/>
      </w:r>
      <w:r w:rsidR="002C459D" w:rsidRPr="002C459D">
        <w:rPr>
          <w:noProof/>
        </w:rPr>
        <w:t>1</w:t>
      </w:r>
      <w:r w:rsidR="002C459D" w:rsidRPr="002C459D">
        <w:rPr>
          <w:noProof/>
        </w:rPr>
        <w:tab/>
        <w:t xml:space="preserve">Travis WD, Costabel U, Hansell DM, </w:t>
      </w:r>
      <w:r w:rsidR="002C459D" w:rsidRPr="002C459D">
        <w:rPr>
          <w:i/>
          <w:iCs/>
          <w:noProof/>
        </w:rPr>
        <w:t>et al.</w:t>
      </w:r>
      <w:r w:rsidR="002C459D" w:rsidRPr="002C459D">
        <w:rPr>
          <w:noProof/>
        </w:rPr>
        <w:t xml:space="preserve"> An official American Thoracic Society/European Respiratory Society statement: Update of the international multidisciplinary classification of the idiopathic interstitial pneumonias. </w:t>
      </w:r>
      <w:r w:rsidR="002C459D" w:rsidRPr="002C459D">
        <w:rPr>
          <w:i/>
          <w:iCs/>
          <w:noProof/>
        </w:rPr>
        <w:t>Am J Respir Crit Care Med</w:t>
      </w:r>
      <w:r w:rsidR="002C459D" w:rsidRPr="002C459D">
        <w:rPr>
          <w:noProof/>
        </w:rPr>
        <w:t xml:space="preserve"> 2013; </w:t>
      </w:r>
      <w:r w:rsidR="002C459D" w:rsidRPr="002C459D">
        <w:rPr>
          <w:b/>
          <w:bCs/>
          <w:noProof/>
        </w:rPr>
        <w:t>188</w:t>
      </w:r>
      <w:r w:rsidR="002C459D" w:rsidRPr="002C459D">
        <w:rPr>
          <w:noProof/>
        </w:rPr>
        <w:t>: 733–748.</w:t>
      </w:r>
    </w:p>
    <w:p w14:paraId="6E4A1DCC" w14:textId="77777777" w:rsidR="002C459D" w:rsidRPr="002C459D" w:rsidRDefault="002C459D" w:rsidP="002C459D">
      <w:pPr>
        <w:widowControl w:val="0"/>
        <w:autoSpaceDE w:val="0"/>
        <w:autoSpaceDN w:val="0"/>
        <w:adjustRightInd w:val="0"/>
        <w:spacing w:after="120" w:line="360" w:lineRule="auto"/>
        <w:ind w:left="640" w:hanging="640"/>
        <w:rPr>
          <w:noProof/>
        </w:rPr>
      </w:pPr>
      <w:r w:rsidRPr="002C459D">
        <w:rPr>
          <w:noProof/>
        </w:rPr>
        <w:t>2</w:t>
      </w:r>
      <w:r w:rsidRPr="002C459D">
        <w:rPr>
          <w:noProof/>
        </w:rPr>
        <w:tab/>
        <w:t xml:space="preserve">Chua F, Desai SR, Nicholson AG, </w:t>
      </w:r>
      <w:r w:rsidRPr="002C459D">
        <w:rPr>
          <w:i/>
          <w:iCs/>
          <w:noProof/>
        </w:rPr>
        <w:t>et al.</w:t>
      </w:r>
      <w:r w:rsidRPr="002C459D">
        <w:rPr>
          <w:noProof/>
        </w:rPr>
        <w:t xml:space="preserve"> Pleuroparenchymal fibroelastosis a review of clinical, radiological, and pathological characteristics. </w:t>
      </w:r>
      <w:r w:rsidRPr="002C459D">
        <w:rPr>
          <w:i/>
          <w:iCs/>
          <w:noProof/>
        </w:rPr>
        <w:t>Ann Am Thorac Soc</w:t>
      </w:r>
      <w:r w:rsidRPr="002C459D">
        <w:rPr>
          <w:noProof/>
        </w:rPr>
        <w:t xml:space="preserve"> 2019; </w:t>
      </w:r>
      <w:r w:rsidRPr="002C459D">
        <w:rPr>
          <w:b/>
          <w:bCs/>
          <w:noProof/>
        </w:rPr>
        <w:t>16</w:t>
      </w:r>
      <w:r w:rsidRPr="002C459D">
        <w:rPr>
          <w:noProof/>
        </w:rPr>
        <w:t>: 1351–1359.</w:t>
      </w:r>
    </w:p>
    <w:p w14:paraId="2C661DC9" w14:textId="77777777" w:rsidR="002C459D" w:rsidRPr="002C459D" w:rsidRDefault="002C459D" w:rsidP="002C459D">
      <w:pPr>
        <w:widowControl w:val="0"/>
        <w:autoSpaceDE w:val="0"/>
        <w:autoSpaceDN w:val="0"/>
        <w:adjustRightInd w:val="0"/>
        <w:spacing w:after="120" w:line="360" w:lineRule="auto"/>
        <w:ind w:left="640" w:hanging="640"/>
        <w:rPr>
          <w:noProof/>
        </w:rPr>
      </w:pPr>
      <w:r w:rsidRPr="002C459D">
        <w:rPr>
          <w:noProof/>
        </w:rPr>
        <w:t>3</w:t>
      </w:r>
      <w:r w:rsidRPr="002C459D">
        <w:rPr>
          <w:noProof/>
        </w:rPr>
        <w:tab/>
        <w:t xml:space="preserve">Shioya M, Otsuka M, Yamada G, </w:t>
      </w:r>
      <w:r w:rsidRPr="002C459D">
        <w:rPr>
          <w:i/>
          <w:iCs/>
          <w:noProof/>
        </w:rPr>
        <w:t>et al.</w:t>
      </w:r>
      <w:r w:rsidRPr="002C459D">
        <w:rPr>
          <w:noProof/>
        </w:rPr>
        <w:t xml:space="preserve"> Poorer Prognosis of Idiopathic Pleuroparenchymal Fibroelastosis Compared with Idiopathic Pulmonary Fibrosis in Advanced Stage. </w:t>
      </w:r>
      <w:r w:rsidRPr="002C459D">
        <w:rPr>
          <w:i/>
          <w:iCs/>
          <w:noProof/>
        </w:rPr>
        <w:t>Can Respir J</w:t>
      </w:r>
      <w:r w:rsidRPr="002C459D">
        <w:rPr>
          <w:noProof/>
        </w:rPr>
        <w:t xml:space="preserve"> 2018. DOI:10.1155/2018/6043053.</w:t>
      </w:r>
    </w:p>
    <w:p w14:paraId="64917977" w14:textId="77777777" w:rsidR="002C459D" w:rsidRPr="002C459D" w:rsidRDefault="002C459D" w:rsidP="002C459D">
      <w:pPr>
        <w:widowControl w:val="0"/>
        <w:autoSpaceDE w:val="0"/>
        <w:autoSpaceDN w:val="0"/>
        <w:adjustRightInd w:val="0"/>
        <w:spacing w:after="120" w:line="360" w:lineRule="auto"/>
        <w:ind w:left="640" w:hanging="640"/>
        <w:rPr>
          <w:noProof/>
        </w:rPr>
      </w:pPr>
      <w:r w:rsidRPr="002C459D">
        <w:rPr>
          <w:noProof/>
        </w:rPr>
        <w:t>4</w:t>
      </w:r>
      <w:r w:rsidRPr="002C459D">
        <w:rPr>
          <w:noProof/>
        </w:rPr>
        <w:tab/>
        <w:t xml:space="preserve">Tanizawa K, Handa T, Kubo T, </w:t>
      </w:r>
      <w:r w:rsidRPr="002C459D">
        <w:rPr>
          <w:i/>
          <w:iCs/>
          <w:noProof/>
        </w:rPr>
        <w:t>et al.</w:t>
      </w:r>
      <w:r w:rsidRPr="002C459D">
        <w:rPr>
          <w:noProof/>
        </w:rPr>
        <w:t xml:space="preserve"> Clinical significance of radiological pleuroparenchymal fibroelastosis pattern in interstitial lung disease patients registered for lung transplantation: A retrospective cohort study. </w:t>
      </w:r>
      <w:r w:rsidRPr="002C459D">
        <w:rPr>
          <w:i/>
          <w:iCs/>
          <w:noProof/>
        </w:rPr>
        <w:t>Respir Res</w:t>
      </w:r>
      <w:r w:rsidRPr="002C459D">
        <w:rPr>
          <w:noProof/>
        </w:rPr>
        <w:t xml:space="preserve"> 2018; </w:t>
      </w:r>
      <w:r w:rsidRPr="002C459D">
        <w:rPr>
          <w:b/>
          <w:bCs/>
          <w:noProof/>
        </w:rPr>
        <w:t>19</w:t>
      </w:r>
      <w:r w:rsidRPr="002C459D">
        <w:rPr>
          <w:noProof/>
        </w:rPr>
        <w:t>: 162.</w:t>
      </w:r>
    </w:p>
    <w:p w14:paraId="3BEDB514" w14:textId="77777777" w:rsidR="002C459D" w:rsidRPr="002C459D" w:rsidRDefault="002C459D" w:rsidP="002C459D">
      <w:pPr>
        <w:widowControl w:val="0"/>
        <w:autoSpaceDE w:val="0"/>
        <w:autoSpaceDN w:val="0"/>
        <w:adjustRightInd w:val="0"/>
        <w:spacing w:after="120" w:line="360" w:lineRule="auto"/>
        <w:ind w:left="640" w:hanging="640"/>
        <w:rPr>
          <w:noProof/>
        </w:rPr>
      </w:pPr>
      <w:r w:rsidRPr="002C459D">
        <w:rPr>
          <w:noProof/>
        </w:rPr>
        <w:t>5</w:t>
      </w:r>
      <w:r w:rsidRPr="002C459D">
        <w:rPr>
          <w:noProof/>
        </w:rPr>
        <w:tab/>
        <w:t xml:space="preserve">Lee SI, Chae EJ, Song JS, Lee JH, Song JW. Pleuroparenchymal fibroelastosis in patients with idiopathic pulmonary fibrosis. </w:t>
      </w:r>
      <w:r w:rsidRPr="002C459D">
        <w:rPr>
          <w:i/>
          <w:iCs/>
          <w:noProof/>
        </w:rPr>
        <w:t>Respirology</w:t>
      </w:r>
      <w:r w:rsidRPr="002C459D">
        <w:rPr>
          <w:noProof/>
        </w:rPr>
        <w:t xml:space="preserve"> 2020; </w:t>
      </w:r>
      <w:r w:rsidRPr="002C459D">
        <w:rPr>
          <w:b/>
          <w:bCs/>
          <w:noProof/>
        </w:rPr>
        <w:t>25</w:t>
      </w:r>
      <w:r w:rsidRPr="002C459D">
        <w:rPr>
          <w:noProof/>
        </w:rPr>
        <w:t>: 1046–1052.</w:t>
      </w:r>
    </w:p>
    <w:p w14:paraId="29489ADB" w14:textId="77777777" w:rsidR="002C459D" w:rsidRPr="002C459D" w:rsidRDefault="002C459D" w:rsidP="002C459D">
      <w:pPr>
        <w:widowControl w:val="0"/>
        <w:autoSpaceDE w:val="0"/>
        <w:autoSpaceDN w:val="0"/>
        <w:adjustRightInd w:val="0"/>
        <w:spacing w:after="120" w:line="360" w:lineRule="auto"/>
        <w:ind w:left="640" w:hanging="640"/>
        <w:rPr>
          <w:noProof/>
        </w:rPr>
      </w:pPr>
      <w:r w:rsidRPr="002C459D">
        <w:rPr>
          <w:noProof/>
        </w:rPr>
        <w:t>6</w:t>
      </w:r>
      <w:r w:rsidRPr="002C459D">
        <w:rPr>
          <w:noProof/>
        </w:rPr>
        <w:tab/>
        <w:t xml:space="preserve">De Lauretis A, Basra H, Hakim W, </w:t>
      </w:r>
      <w:r w:rsidRPr="002C459D">
        <w:rPr>
          <w:i/>
          <w:iCs/>
          <w:noProof/>
        </w:rPr>
        <w:t>et al.</w:t>
      </w:r>
      <w:r w:rsidRPr="002C459D">
        <w:rPr>
          <w:noProof/>
        </w:rPr>
        <w:t xml:space="preserve"> Pleuroparenchymal Fibroelastosis (PPFE) Predicts Survival in Idiopathic Pulmonary Fibrosis (IPF). In: A24. AUTOIMMUNE INTERSTITIAL LUNG DISEASE. A1142–A1142.</w:t>
      </w:r>
    </w:p>
    <w:p w14:paraId="61698E2F" w14:textId="77777777" w:rsidR="002C459D" w:rsidRPr="002C459D" w:rsidRDefault="002C459D" w:rsidP="002C459D">
      <w:pPr>
        <w:widowControl w:val="0"/>
        <w:autoSpaceDE w:val="0"/>
        <w:autoSpaceDN w:val="0"/>
        <w:adjustRightInd w:val="0"/>
        <w:spacing w:after="120" w:line="360" w:lineRule="auto"/>
        <w:ind w:left="640" w:hanging="640"/>
        <w:rPr>
          <w:noProof/>
        </w:rPr>
      </w:pPr>
      <w:r w:rsidRPr="002C459D">
        <w:rPr>
          <w:noProof/>
        </w:rPr>
        <w:t>7</w:t>
      </w:r>
      <w:r w:rsidRPr="002C459D">
        <w:rPr>
          <w:noProof/>
        </w:rPr>
        <w:tab/>
        <w:t xml:space="preserve">Jacob J, Odink A, Brun AL, </w:t>
      </w:r>
      <w:r w:rsidRPr="002C459D">
        <w:rPr>
          <w:i/>
          <w:iCs/>
          <w:noProof/>
        </w:rPr>
        <w:t>et al.</w:t>
      </w:r>
      <w:r w:rsidRPr="002C459D">
        <w:rPr>
          <w:noProof/>
        </w:rPr>
        <w:t xml:space="preserve"> Functional associations of pleuroparenchymal fibroelastosis and emphysema with hypersensitivity pneumonitis. </w:t>
      </w:r>
      <w:r w:rsidRPr="002C459D">
        <w:rPr>
          <w:i/>
          <w:iCs/>
          <w:noProof/>
        </w:rPr>
        <w:t>Respir Med</w:t>
      </w:r>
      <w:r w:rsidRPr="002C459D">
        <w:rPr>
          <w:noProof/>
        </w:rPr>
        <w:t xml:space="preserve"> 2018; </w:t>
      </w:r>
      <w:r w:rsidRPr="002C459D">
        <w:rPr>
          <w:b/>
          <w:bCs/>
          <w:noProof/>
        </w:rPr>
        <w:t>138</w:t>
      </w:r>
      <w:r w:rsidRPr="002C459D">
        <w:rPr>
          <w:noProof/>
        </w:rPr>
        <w:t>: 95–101.</w:t>
      </w:r>
    </w:p>
    <w:p w14:paraId="29809DFB" w14:textId="77777777" w:rsidR="002C459D" w:rsidRPr="002C459D" w:rsidRDefault="002C459D" w:rsidP="002C459D">
      <w:pPr>
        <w:widowControl w:val="0"/>
        <w:autoSpaceDE w:val="0"/>
        <w:autoSpaceDN w:val="0"/>
        <w:adjustRightInd w:val="0"/>
        <w:spacing w:after="120" w:line="360" w:lineRule="auto"/>
        <w:ind w:left="640" w:hanging="640"/>
        <w:rPr>
          <w:noProof/>
        </w:rPr>
      </w:pPr>
      <w:r w:rsidRPr="002C459D">
        <w:rPr>
          <w:noProof/>
        </w:rPr>
        <w:t>8</w:t>
      </w:r>
      <w:r w:rsidRPr="002C459D">
        <w:rPr>
          <w:noProof/>
        </w:rPr>
        <w:tab/>
        <w:t xml:space="preserve">Bonifazi M, Sverzellati N, Negri E, </w:t>
      </w:r>
      <w:r w:rsidRPr="002C459D">
        <w:rPr>
          <w:i/>
          <w:iCs/>
          <w:noProof/>
        </w:rPr>
        <w:t>et al.</w:t>
      </w:r>
      <w:r w:rsidRPr="002C459D">
        <w:rPr>
          <w:noProof/>
        </w:rPr>
        <w:t xml:space="preserve"> Pleuroparenchymal fibroelastosis in systemic sclerosis: Prevalence and prognostic impact. </w:t>
      </w:r>
      <w:r w:rsidRPr="002C459D">
        <w:rPr>
          <w:i/>
          <w:iCs/>
          <w:noProof/>
        </w:rPr>
        <w:t>Eur Respir J</w:t>
      </w:r>
      <w:r w:rsidRPr="002C459D">
        <w:rPr>
          <w:noProof/>
        </w:rPr>
        <w:t xml:space="preserve"> 2020. DOI:10.1183/13993003.02135-2019.</w:t>
      </w:r>
    </w:p>
    <w:p w14:paraId="46397828" w14:textId="77777777" w:rsidR="002C459D" w:rsidRPr="002C459D" w:rsidRDefault="002C459D" w:rsidP="002C459D">
      <w:pPr>
        <w:widowControl w:val="0"/>
        <w:autoSpaceDE w:val="0"/>
        <w:autoSpaceDN w:val="0"/>
        <w:adjustRightInd w:val="0"/>
        <w:spacing w:after="120" w:line="360" w:lineRule="auto"/>
        <w:ind w:left="640" w:hanging="640"/>
        <w:rPr>
          <w:noProof/>
        </w:rPr>
      </w:pPr>
      <w:r w:rsidRPr="002C459D">
        <w:rPr>
          <w:noProof/>
        </w:rPr>
        <w:t>9</w:t>
      </w:r>
      <w:r w:rsidRPr="002C459D">
        <w:rPr>
          <w:noProof/>
        </w:rPr>
        <w:tab/>
        <w:t xml:space="preserve">Sumikawa H, Johkoh T, Egashira R, </w:t>
      </w:r>
      <w:r w:rsidRPr="002C459D">
        <w:rPr>
          <w:i/>
          <w:iCs/>
          <w:noProof/>
        </w:rPr>
        <w:t>et al.</w:t>
      </w:r>
      <w:r w:rsidRPr="002C459D">
        <w:rPr>
          <w:noProof/>
        </w:rPr>
        <w:t xml:space="preserve"> Pleuroparenchymal fibroelastosis-like lesions in patients with interstitial pneumonia diagnosed by multidisciplinary discussion with surgical lung biopsy. </w:t>
      </w:r>
      <w:r w:rsidRPr="002C459D">
        <w:rPr>
          <w:i/>
          <w:iCs/>
          <w:noProof/>
        </w:rPr>
        <w:t>Eur J Radiol Open</w:t>
      </w:r>
      <w:r w:rsidRPr="002C459D">
        <w:rPr>
          <w:noProof/>
        </w:rPr>
        <w:t xml:space="preserve"> 2020; </w:t>
      </w:r>
      <w:r w:rsidRPr="002C459D">
        <w:rPr>
          <w:b/>
          <w:bCs/>
          <w:noProof/>
        </w:rPr>
        <w:t>7</w:t>
      </w:r>
      <w:r w:rsidRPr="002C459D">
        <w:rPr>
          <w:noProof/>
        </w:rPr>
        <w:t>. DOI:10.1016/j.ejro.2020.100298.</w:t>
      </w:r>
    </w:p>
    <w:p w14:paraId="25C3656F" w14:textId="77777777" w:rsidR="002C459D" w:rsidRPr="002C459D" w:rsidRDefault="002C459D" w:rsidP="002C459D">
      <w:pPr>
        <w:widowControl w:val="0"/>
        <w:autoSpaceDE w:val="0"/>
        <w:autoSpaceDN w:val="0"/>
        <w:adjustRightInd w:val="0"/>
        <w:spacing w:after="120" w:line="360" w:lineRule="auto"/>
        <w:ind w:left="640" w:hanging="640"/>
        <w:rPr>
          <w:noProof/>
        </w:rPr>
      </w:pPr>
      <w:r w:rsidRPr="002C459D">
        <w:rPr>
          <w:noProof/>
        </w:rPr>
        <w:lastRenderedPageBreak/>
        <w:t>10</w:t>
      </w:r>
      <w:r w:rsidRPr="002C459D">
        <w:rPr>
          <w:noProof/>
        </w:rPr>
        <w:tab/>
        <w:t xml:space="preserve">Jacob J, Bartholmai BJ, Rajagopalan S, </w:t>
      </w:r>
      <w:r w:rsidRPr="002C459D">
        <w:rPr>
          <w:i/>
          <w:iCs/>
          <w:noProof/>
        </w:rPr>
        <w:t>et al.</w:t>
      </w:r>
      <w:r w:rsidRPr="002C459D">
        <w:rPr>
          <w:noProof/>
        </w:rPr>
        <w:t xml:space="preserve"> Functional and prognostic effects when emphysema complicates idiopathic pulmonary fibrosis. </w:t>
      </w:r>
      <w:r w:rsidRPr="002C459D">
        <w:rPr>
          <w:i/>
          <w:iCs/>
          <w:noProof/>
        </w:rPr>
        <w:t>Eur Respir J</w:t>
      </w:r>
      <w:r w:rsidRPr="002C459D">
        <w:rPr>
          <w:noProof/>
        </w:rPr>
        <w:t xml:space="preserve"> 2017; </w:t>
      </w:r>
      <w:r w:rsidRPr="002C459D">
        <w:rPr>
          <w:b/>
          <w:bCs/>
          <w:noProof/>
        </w:rPr>
        <w:t>50</w:t>
      </w:r>
      <w:r w:rsidRPr="002C459D">
        <w:rPr>
          <w:noProof/>
        </w:rPr>
        <w:t>. DOI:10.1183/13993003.00379-2017.</w:t>
      </w:r>
    </w:p>
    <w:p w14:paraId="54171110" w14:textId="77777777" w:rsidR="002C459D" w:rsidRPr="002C459D" w:rsidRDefault="002C459D" w:rsidP="002C459D">
      <w:pPr>
        <w:widowControl w:val="0"/>
        <w:autoSpaceDE w:val="0"/>
        <w:autoSpaceDN w:val="0"/>
        <w:adjustRightInd w:val="0"/>
        <w:spacing w:after="120" w:line="360" w:lineRule="auto"/>
        <w:ind w:left="640" w:hanging="640"/>
        <w:rPr>
          <w:noProof/>
        </w:rPr>
      </w:pPr>
      <w:r w:rsidRPr="002C459D">
        <w:rPr>
          <w:noProof/>
        </w:rPr>
        <w:t>11</w:t>
      </w:r>
      <w:r w:rsidRPr="002C459D">
        <w:rPr>
          <w:noProof/>
        </w:rPr>
        <w:tab/>
        <w:t xml:space="preserve">Reddy TL, Tominaga M, Hansell DM, </w:t>
      </w:r>
      <w:r w:rsidRPr="002C459D">
        <w:rPr>
          <w:i/>
          <w:iCs/>
          <w:noProof/>
        </w:rPr>
        <w:t>et al.</w:t>
      </w:r>
      <w:r w:rsidRPr="002C459D">
        <w:rPr>
          <w:noProof/>
        </w:rPr>
        <w:t xml:space="preserve"> Pleuroparenchymal fibroelastosis: A spectrum of histopathological and imaging phenotypes. </w:t>
      </w:r>
      <w:r w:rsidRPr="002C459D">
        <w:rPr>
          <w:i/>
          <w:iCs/>
          <w:noProof/>
        </w:rPr>
        <w:t>Eur Respir J</w:t>
      </w:r>
      <w:r w:rsidRPr="002C459D">
        <w:rPr>
          <w:noProof/>
        </w:rPr>
        <w:t xml:space="preserve"> 2012; </w:t>
      </w:r>
      <w:r w:rsidRPr="002C459D">
        <w:rPr>
          <w:b/>
          <w:bCs/>
          <w:noProof/>
        </w:rPr>
        <w:t>40</w:t>
      </w:r>
      <w:r w:rsidRPr="002C459D">
        <w:rPr>
          <w:noProof/>
        </w:rPr>
        <w:t>: 377–385.</w:t>
      </w:r>
    </w:p>
    <w:p w14:paraId="13F6866E" w14:textId="77777777" w:rsidR="002C459D" w:rsidRPr="002C459D" w:rsidRDefault="002C459D" w:rsidP="002C459D">
      <w:pPr>
        <w:widowControl w:val="0"/>
        <w:autoSpaceDE w:val="0"/>
        <w:autoSpaceDN w:val="0"/>
        <w:adjustRightInd w:val="0"/>
        <w:spacing w:after="120" w:line="360" w:lineRule="auto"/>
        <w:ind w:left="640" w:hanging="640"/>
        <w:rPr>
          <w:noProof/>
        </w:rPr>
      </w:pPr>
      <w:r w:rsidRPr="002C459D">
        <w:rPr>
          <w:noProof/>
        </w:rPr>
        <w:t>12</w:t>
      </w:r>
      <w:r w:rsidRPr="002C459D">
        <w:rPr>
          <w:noProof/>
        </w:rPr>
        <w:tab/>
        <w:t xml:space="preserve">Richeldi L, du Bois RM, Raghu G, </w:t>
      </w:r>
      <w:r w:rsidRPr="002C459D">
        <w:rPr>
          <w:i/>
          <w:iCs/>
          <w:noProof/>
        </w:rPr>
        <w:t>et al.</w:t>
      </w:r>
      <w:r w:rsidRPr="002C459D">
        <w:rPr>
          <w:noProof/>
        </w:rPr>
        <w:t xml:space="preserve"> Efficacy and Safety of Nintedanib in Idiopathic Pulmonary Fibrosis. </w:t>
      </w:r>
      <w:r w:rsidRPr="002C459D">
        <w:rPr>
          <w:i/>
          <w:iCs/>
          <w:noProof/>
        </w:rPr>
        <w:t>N Engl J Med</w:t>
      </w:r>
      <w:r w:rsidRPr="002C459D">
        <w:rPr>
          <w:noProof/>
        </w:rPr>
        <w:t xml:space="preserve"> 2014; </w:t>
      </w:r>
      <w:r w:rsidRPr="002C459D">
        <w:rPr>
          <w:b/>
          <w:bCs/>
          <w:noProof/>
        </w:rPr>
        <w:t>370</w:t>
      </w:r>
      <w:r w:rsidRPr="002C459D">
        <w:rPr>
          <w:noProof/>
        </w:rPr>
        <w:t>: 2071–2082.</w:t>
      </w:r>
    </w:p>
    <w:p w14:paraId="738FE7D9" w14:textId="77777777" w:rsidR="002C459D" w:rsidRPr="002C459D" w:rsidRDefault="002C459D" w:rsidP="002C459D">
      <w:pPr>
        <w:widowControl w:val="0"/>
        <w:autoSpaceDE w:val="0"/>
        <w:autoSpaceDN w:val="0"/>
        <w:adjustRightInd w:val="0"/>
        <w:spacing w:after="120" w:line="360" w:lineRule="auto"/>
        <w:ind w:left="640" w:hanging="640"/>
        <w:rPr>
          <w:noProof/>
        </w:rPr>
      </w:pPr>
      <w:r w:rsidRPr="002C459D">
        <w:rPr>
          <w:noProof/>
        </w:rPr>
        <w:t>13</w:t>
      </w:r>
      <w:r w:rsidRPr="002C459D">
        <w:rPr>
          <w:noProof/>
        </w:rPr>
        <w:tab/>
        <w:t xml:space="preserve">Frankel SK, Cool CD, Lynch DA, Brown KK. Idiopathic pleuroparenchymal fibroelastosis: Description of a novel clinicopathologic entity. </w:t>
      </w:r>
      <w:r w:rsidRPr="002C459D">
        <w:rPr>
          <w:i/>
          <w:iCs/>
          <w:noProof/>
        </w:rPr>
        <w:t>Chest</w:t>
      </w:r>
      <w:r w:rsidRPr="002C459D">
        <w:rPr>
          <w:noProof/>
        </w:rPr>
        <w:t xml:space="preserve"> 2004; </w:t>
      </w:r>
      <w:r w:rsidRPr="002C459D">
        <w:rPr>
          <w:b/>
          <w:bCs/>
          <w:noProof/>
        </w:rPr>
        <w:t>126</w:t>
      </w:r>
      <w:r w:rsidRPr="002C459D">
        <w:rPr>
          <w:noProof/>
        </w:rPr>
        <w:t>: 2007–2013.</w:t>
      </w:r>
    </w:p>
    <w:p w14:paraId="72BE7161" w14:textId="77777777" w:rsidR="002C459D" w:rsidRPr="002C459D" w:rsidRDefault="002C459D" w:rsidP="002C459D">
      <w:pPr>
        <w:widowControl w:val="0"/>
        <w:autoSpaceDE w:val="0"/>
        <w:autoSpaceDN w:val="0"/>
        <w:adjustRightInd w:val="0"/>
        <w:spacing w:after="120" w:line="360" w:lineRule="auto"/>
        <w:ind w:left="640" w:hanging="640"/>
        <w:rPr>
          <w:noProof/>
        </w:rPr>
      </w:pPr>
      <w:r w:rsidRPr="002C459D">
        <w:rPr>
          <w:noProof/>
        </w:rPr>
        <w:t>14</w:t>
      </w:r>
      <w:r w:rsidRPr="002C459D">
        <w:rPr>
          <w:noProof/>
        </w:rPr>
        <w:tab/>
        <w:t xml:space="preserve">Becker CD, Gil J, Padilla ML. Idiopathic pleuroparenchymal fibroelastosis: An unrecognized or misdiagnosed entity? </w:t>
      </w:r>
      <w:r w:rsidRPr="002C459D">
        <w:rPr>
          <w:i/>
          <w:iCs/>
          <w:noProof/>
        </w:rPr>
        <w:t>Mod Pathol</w:t>
      </w:r>
      <w:r w:rsidRPr="002C459D">
        <w:rPr>
          <w:noProof/>
        </w:rPr>
        <w:t xml:space="preserve"> 2008; </w:t>
      </w:r>
      <w:r w:rsidRPr="002C459D">
        <w:rPr>
          <w:b/>
          <w:bCs/>
          <w:noProof/>
        </w:rPr>
        <w:t>21</w:t>
      </w:r>
      <w:r w:rsidRPr="002C459D">
        <w:rPr>
          <w:noProof/>
        </w:rPr>
        <w:t>: 784–787.</w:t>
      </w:r>
    </w:p>
    <w:p w14:paraId="0F1098B1" w14:textId="77777777" w:rsidR="002C459D" w:rsidRPr="002C459D" w:rsidRDefault="002C459D" w:rsidP="002C459D">
      <w:pPr>
        <w:widowControl w:val="0"/>
        <w:autoSpaceDE w:val="0"/>
        <w:autoSpaceDN w:val="0"/>
        <w:adjustRightInd w:val="0"/>
        <w:spacing w:after="120" w:line="360" w:lineRule="auto"/>
        <w:ind w:left="640" w:hanging="640"/>
        <w:rPr>
          <w:noProof/>
        </w:rPr>
      </w:pPr>
      <w:r w:rsidRPr="002C459D">
        <w:rPr>
          <w:noProof/>
        </w:rPr>
        <w:t>15</w:t>
      </w:r>
      <w:r w:rsidRPr="002C459D">
        <w:rPr>
          <w:noProof/>
        </w:rPr>
        <w:tab/>
        <w:t xml:space="preserve">Harrison AP, Xu Z, George K, Lu L, Summers RM, Mollura DJ. Progressive and Multi-path Holistically Nested Neural Networks for Pathological Lung Segmentation from CT Images. </w:t>
      </w:r>
      <w:r w:rsidRPr="002C459D">
        <w:rPr>
          <w:i/>
          <w:iCs/>
          <w:noProof/>
        </w:rPr>
        <w:t>Lect Notes Comput Sci (including Subser Lect Notes Artif Intell Lect Notes Bioinformatics)</w:t>
      </w:r>
      <w:r w:rsidRPr="002C459D">
        <w:rPr>
          <w:noProof/>
        </w:rPr>
        <w:t xml:space="preserve"> 2017; : 621–9.</w:t>
      </w:r>
    </w:p>
    <w:p w14:paraId="0ABE7AEC" w14:textId="77777777" w:rsidR="002C459D" w:rsidRPr="002C459D" w:rsidRDefault="002C459D" w:rsidP="002C459D">
      <w:pPr>
        <w:widowControl w:val="0"/>
        <w:autoSpaceDE w:val="0"/>
        <w:autoSpaceDN w:val="0"/>
        <w:adjustRightInd w:val="0"/>
        <w:spacing w:after="120" w:line="360" w:lineRule="auto"/>
        <w:ind w:left="640" w:hanging="640"/>
        <w:rPr>
          <w:noProof/>
        </w:rPr>
      </w:pPr>
      <w:r w:rsidRPr="002C459D">
        <w:rPr>
          <w:noProof/>
        </w:rPr>
        <w:t>16</w:t>
      </w:r>
      <w:r w:rsidRPr="002C459D">
        <w:rPr>
          <w:noProof/>
        </w:rPr>
        <w:tab/>
        <w:t xml:space="preserve">Hofmanninger J, Prayer F, Pan J, Röhrich S, Prosch H, Langs G. Automatic lung segmentation in routine imaging is primarily a data diversity problem, not a methodology problem. </w:t>
      </w:r>
      <w:r w:rsidRPr="002C459D">
        <w:rPr>
          <w:i/>
          <w:iCs/>
          <w:noProof/>
        </w:rPr>
        <w:t>Eur Radiol Exp</w:t>
      </w:r>
      <w:r w:rsidRPr="002C459D">
        <w:rPr>
          <w:noProof/>
        </w:rPr>
        <w:t xml:space="preserve"> 2020; </w:t>
      </w:r>
      <w:r w:rsidRPr="002C459D">
        <w:rPr>
          <w:b/>
          <w:bCs/>
          <w:noProof/>
        </w:rPr>
        <w:t>4</w:t>
      </w:r>
      <w:r w:rsidRPr="002C459D">
        <w:rPr>
          <w:noProof/>
        </w:rPr>
        <w:t>: 1–13.</w:t>
      </w:r>
    </w:p>
    <w:p w14:paraId="487E6130" w14:textId="77777777" w:rsidR="002C459D" w:rsidRPr="002C459D" w:rsidRDefault="002C459D" w:rsidP="002C459D">
      <w:pPr>
        <w:widowControl w:val="0"/>
        <w:autoSpaceDE w:val="0"/>
        <w:autoSpaceDN w:val="0"/>
        <w:adjustRightInd w:val="0"/>
        <w:spacing w:after="120" w:line="360" w:lineRule="auto"/>
        <w:ind w:left="640" w:hanging="640"/>
        <w:rPr>
          <w:noProof/>
        </w:rPr>
      </w:pPr>
      <w:r w:rsidRPr="002C459D">
        <w:rPr>
          <w:noProof/>
        </w:rPr>
        <w:t>17</w:t>
      </w:r>
      <w:r w:rsidRPr="002C459D">
        <w:rPr>
          <w:noProof/>
        </w:rPr>
        <w:tab/>
        <w:t xml:space="preserve">Bartholmai BJ, Raghunath S, Karwoski RA, </w:t>
      </w:r>
      <w:r w:rsidRPr="002C459D">
        <w:rPr>
          <w:i/>
          <w:iCs/>
          <w:noProof/>
        </w:rPr>
        <w:t>et al.</w:t>
      </w:r>
      <w:r w:rsidRPr="002C459D">
        <w:rPr>
          <w:noProof/>
        </w:rPr>
        <w:t xml:space="preserve"> Quantitative computed tomography imaging of interstitial lung diseases. </w:t>
      </w:r>
      <w:r w:rsidRPr="002C459D">
        <w:rPr>
          <w:i/>
          <w:iCs/>
          <w:noProof/>
        </w:rPr>
        <w:t>J Thorac Imaging</w:t>
      </w:r>
      <w:r w:rsidRPr="002C459D">
        <w:rPr>
          <w:noProof/>
        </w:rPr>
        <w:t xml:space="preserve"> 2013; </w:t>
      </w:r>
      <w:r w:rsidRPr="002C459D">
        <w:rPr>
          <w:b/>
          <w:bCs/>
          <w:noProof/>
        </w:rPr>
        <w:t>28</w:t>
      </w:r>
      <w:r w:rsidRPr="002C459D">
        <w:rPr>
          <w:noProof/>
        </w:rPr>
        <w:t>: 298–307.</w:t>
      </w:r>
    </w:p>
    <w:p w14:paraId="336343C8" w14:textId="77777777" w:rsidR="002C459D" w:rsidRPr="002C459D" w:rsidRDefault="002C459D" w:rsidP="002C459D">
      <w:pPr>
        <w:widowControl w:val="0"/>
        <w:autoSpaceDE w:val="0"/>
        <w:autoSpaceDN w:val="0"/>
        <w:adjustRightInd w:val="0"/>
        <w:spacing w:after="120" w:line="360" w:lineRule="auto"/>
        <w:ind w:left="640" w:hanging="640"/>
        <w:rPr>
          <w:noProof/>
        </w:rPr>
      </w:pPr>
      <w:r w:rsidRPr="002C459D">
        <w:rPr>
          <w:noProof/>
        </w:rPr>
        <w:t>18</w:t>
      </w:r>
      <w:r w:rsidRPr="002C459D">
        <w:rPr>
          <w:noProof/>
        </w:rPr>
        <w:tab/>
        <w:t xml:space="preserve">Altman DG, Lausen B, Sauerbrei W, Schumacher M. Dangers of using ‘optimal’ cutpoints in the evaluation of prognostic factors. </w:t>
      </w:r>
      <w:r w:rsidRPr="002C459D">
        <w:rPr>
          <w:i/>
          <w:iCs/>
          <w:noProof/>
        </w:rPr>
        <w:t>J Natl Cancer Inst</w:t>
      </w:r>
      <w:r w:rsidRPr="002C459D">
        <w:rPr>
          <w:noProof/>
        </w:rPr>
        <w:t xml:space="preserve"> 1994; </w:t>
      </w:r>
      <w:r w:rsidRPr="002C459D">
        <w:rPr>
          <w:b/>
          <w:bCs/>
          <w:noProof/>
        </w:rPr>
        <w:t>86</w:t>
      </w:r>
      <w:r w:rsidRPr="002C459D">
        <w:rPr>
          <w:noProof/>
        </w:rPr>
        <w:t>: 829–835.</w:t>
      </w:r>
    </w:p>
    <w:p w14:paraId="022C253A" w14:textId="77777777" w:rsidR="002C459D" w:rsidRPr="002C459D" w:rsidRDefault="002C459D" w:rsidP="002C459D">
      <w:pPr>
        <w:widowControl w:val="0"/>
        <w:autoSpaceDE w:val="0"/>
        <w:autoSpaceDN w:val="0"/>
        <w:adjustRightInd w:val="0"/>
        <w:spacing w:after="120" w:line="360" w:lineRule="auto"/>
        <w:ind w:left="640" w:hanging="640"/>
        <w:rPr>
          <w:noProof/>
        </w:rPr>
      </w:pPr>
      <w:r w:rsidRPr="002C459D">
        <w:rPr>
          <w:noProof/>
        </w:rPr>
        <w:t>19</w:t>
      </w:r>
      <w:r w:rsidRPr="002C459D">
        <w:rPr>
          <w:noProof/>
        </w:rPr>
        <w:tab/>
        <w:t xml:space="preserve">Harrell FE, Califf RM, Pryor DB, Lee KL, Rosati RA. Evaluating the Yield of Medical Tests. </w:t>
      </w:r>
      <w:r w:rsidRPr="002C459D">
        <w:rPr>
          <w:i/>
          <w:iCs/>
          <w:noProof/>
        </w:rPr>
        <w:t>JAMA J Am Med Assoc</w:t>
      </w:r>
      <w:r w:rsidRPr="002C459D">
        <w:rPr>
          <w:noProof/>
        </w:rPr>
        <w:t xml:space="preserve"> 1982; </w:t>
      </w:r>
      <w:r w:rsidRPr="002C459D">
        <w:rPr>
          <w:b/>
          <w:bCs/>
          <w:noProof/>
        </w:rPr>
        <w:t>247</w:t>
      </w:r>
      <w:r w:rsidRPr="002C459D">
        <w:rPr>
          <w:noProof/>
        </w:rPr>
        <w:t>: 2543–2546.</w:t>
      </w:r>
    </w:p>
    <w:p w14:paraId="729CE62D" w14:textId="77777777" w:rsidR="002C459D" w:rsidRPr="002C459D" w:rsidRDefault="002C459D" w:rsidP="002C459D">
      <w:pPr>
        <w:widowControl w:val="0"/>
        <w:autoSpaceDE w:val="0"/>
        <w:autoSpaceDN w:val="0"/>
        <w:adjustRightInd w:val="0"/>
        <w:spacing w:after="120" w:line="360" w:lineRule="auto"/>
        <w:ind w:left="640" w:hanging="640"/>
        <w:rPr>
          <w:noProof/>
        </w:rPr>
      </w:pPr>
      <w:r w:rsidRPr="002C459D">
        <w:rPr>
          <w:noProof/>
        </w:rPr>
        <w:t>20</w:t>
      </w:r>
      <w:r w:rsidRPr="002C459D">
        <w:rPr>
          <w:noProof/>
        </w:rPr>
        <w:tab/>
        <w:t xml:space="preserve">Koenker R. A note on studentizing a test for heteroscedasticity. </w:t>
      </w:r>
      <w:r w:rsidRPr="002C459D">
        <w:rPr>
          <w:i/>
          <w:iCs/>
          <w:noProof/>
        </w:rPr>
        <w:t>J Econom</w:t>
      </w:r>
      <w:r w:rsidRPr="002C459D">
        <w:rPr>
          <w:noProof/>
        </w:rPr>
        <w:t xml:space="preserve"> 1981; </w:t>
      </w:r>
      <w:r w:rsidRPr="002C459D">
        <w:rPr>
          <w:b/>
          <w:bCs/>
          <w:noProof/>
        </w:rPr>
        <w:t>17</w:t>
      </w:r>
      <w:r w:rsidRPr="002C459D">
        <w:rPr>
          <w:noProof/>
        </w:rPr>
        <w:t>: 107–112.</w:t>
      </w:r>
    </w:p>
    <w:p w14:paraId="083750D4" w14:textId="77777777" w:rsidR="002C459D" w:rsidRPr="002C459D" w:rsidRDefault="002C459D" w:rsidP="002C459D">
      <w:pPr>
        <w:widowControl w:val="0"/>
        <w:autoSpaceDE w:val="0"/>
        <w:autoSpaceDN w:val="0"/>
        <w:adjustRightInd w:val="0"/>
        <w:spacing w:after="120" w:line="360" w:lineRule="auto"/>
        <w:ind w:left="640" w:hanging="640"/>
        <w:rPr>
          <w:noProof/>
        </w:rPr>
      </w:pPr>
      <w:r w:rsidRPr="002C459D">
        <w:rPr>
          <w:noProof/>
        </w:rPr>
        <w:t>21</w:t>
      </w:r>
      <w:r w:rsidRPr="002C459D">
        <w:rPr>
          <w:noProof/>
        </w:rPr>
        <w:tab/>
        <w:t xml:space="preserve">DeLong ER, DeLong DM, Clarke-Pearson DL. Comparing the Areas under Two or More </w:t>
      </w:r>
      <w:r w:rsidRPr="002C459D">
        <w:rPr>
          <w:noProof/>
        </w:rPr>
        <w:lastRenderedPageBreak/>
        <w:t xml:space="preserve">Correlated Receiver Operating Characteristic Curves: A Nonparametric Approach. </w:t>
      </w:r>
      <w:r w:rsidRPr="002C459D">
        <w:rPr>
          <w:i/>
          <w:iCs/>
          <w:noProof/>
        </w:rPr>
        <w:t>Biometrics</w:t>
      </w:r>
      <w:r w:rsidRPr="002C459D">
        <w:rPr>
          <w:noProof/>
        </w:rPr>
        <w:t xml:space="preserve"> 1988; </w:t>
      </w:r>
      <w:r w:rsidRPr="002C459D">
        <w:rPr>
          <w:b/>
          <w:bCs/>
          <w:noProof/>
        </w:rPr>
        <w:t>44</w:t>
      </w:r>
      <w:r w:rsidRPr="002C459D">
        <w:rPr>
          <w:noProof/>
        </w:rPr>
        <w:t>: 837–845.</w:t>
      </w:r>
    </w:p>
    <w:p w14:paraId="4D247E9A" w14:textId="77777777" w:rsidR="002C459D" w:rsidRPr="002C459D" w:rsidRDefault="002C459D" w:rsidP="002C459D">
      <w:pPr>
        <w:widowControl w:val="0"/>
        <w:autoSpaceDE w:val="0"/>
        <w:autoSpaceDN w:val="0"/>
        <w:adjustRightInd w:val="0"/>
        <w:spacing w:after="120" w:line="360" w:lineRule="auto"/>
        <w:ind w:left="640" w:hanging="640"/>
        <w:rPr>
          <w:noProof/>
        </w:rPr>
      </w:pPr>
      <w:r w:rsidRPr="002C459D">
        <w:rPr>
          <w:noProof/>
        </w:rPr>
        <w:t>22</w:t>
      </w:r>
      <w:r w:rsidRPr="002C459D">
        <w:rPr>
          <w:noProof/>
        </w:rPr>
        <w:tab/>
        <w:t xml:space="preserve">Dorey FJ, Korn EL. Effective sample sizes for confidence intervals for survival probabilities. </w:t>
      </w:r>
      <w:r w:rsidRPr="002C459D">
        <w:rPr>
          <w:i/>
          <w:iCs/>
          <w:noProof/>
        </w:rPr>
        <w:t>Stat Med</w:t>
      </w:r>
      <w:r w:rsidRPr="002C459D">
        <w:rPr>
          <w:noProof/>
        </w:rPr>
        <w:t xml:space="preserve"> 1987; </w:t>
      </w:r>
      <w:r w:rsidRPr="002C459D">
        <w:rPr>
          <w:b/>
          <w:bCs/>
          <w:noProof/>
        </w:rPr>
        <w:t>6</w:t>
      </w:r>
      <w:r w:rsidRPr="002C459D">
        <w:rPr>
          <w:noProof/>
        </w:rPr>
        <w:t>: 679–687.</w:t>
      </w:r>
    </w:p>
    <w:p w14:paraId="0C19AC85" w14:textId="77777777" w:rsidR="002C459D" w:rsidRPr="002C459D" w:rsidRDefault="002C459D" w:rsidP="002C459D">
      <w:pPr>
        <w:widowControl w:val="0"/>
        <w:autoSpaceDE w:val="0"/>
        <w:autoSpaceDN w:val="0"/>
        <w:adjustRightInd w:val="0"/>
        <w:spacing w:after="120" w:line="360" w:lineRule="auto"/>
        <w:ind w:left="640" w:hanging="640"/>
        <w:rPr>
          <w:noProof/>
        </w:rPr>
      </w:pPr>
      <w:r w:rsidRPr="002C459D">
        <w:rPr>
          <w:noProof/>
        </w:rPr>
        <w:t>23</w:t>
      </w:r>
      <w:r w:rsidRPr="002C459D">
        <w:rPr>
          <w:noProof/>
        </w:rPr>
        <w:tab/>
        <w:t xml:space="preserve">Patel BN, Rosenberg L, Willcox G, </w:t>
      </w:r>
      <w:r w:rsidRPr="002C459D">
        <w:rPr>
          <w:i/>
          <w:iCs/>
          <w:noProof/>
        </w:rPr>
        <w:t>et al.</w:t>
      </w:r>
      <w:r w:rsidRPr="002C459D">
        <w:rPr>
          <w:noProof/>
        </w:rPr>
        <w:t xml:space="preserve"> Human–machine partnership with artificial intelligence for chest radiograph diagnosis. </w:t>
      </w:r>
      <w:r w:rsidRPr="002C459D">
        <w:rPr>
          <w:i/>
          <w:iCs/>
          <w:noProof/>
        </w:rPr>
        <w:t>npj Digit Med</w:t>
      </w:r>
      <w:r w:rsidRPr="002C459D">
        <w:rPr>
          <w:noProof/>
        </w:rPr>
        <w:t xml:space="preserve"> 2019; </w:t>
      </w:r>
      <w:r w:rsidRPr="002C459D">
        <w:rPr>
          <w:b/>
          <w:bCs/>
          <w:noProof/>
        </w:rPr>
        <w:t>2</w:t>
      </w:r>
      <w:r w:rsidRPr="002C459D">
        <w:rPr>
          <w:noProof/>
        </w:rPr>
        <w:t>. DOI:10.1038/s41746-019-0189-7.</w:t>
      </w:r>
    </w:p>
    <w:p w14:paraId="4FFC243C" w14:textId="77777777" w:rsidR="002C459D" w:rsidRPr="002C459D" w:rsidRDefault="002C459D" w:rsidP="002C459D">
      <w:pPr>
        <w:widowControl w:val="0"/>
        <w:autoSpaceDE w:val="0"/>
        <w:autoSpaceDN w:val="0"/>
        <w:adjustRightInd w:val="0"/>
        <w:spacing w:after="120" w:line="360" w:lineRule="auto"/>
        <w:ind w:left="640" w:hanging="640"/>
        <w:rPr>
          <w:noProof/>
        </w:rPr>
      </w:pPr>
      <w:r w:rsidRPr="002C459D">
        <w:rPr>
          <w:noProof/>
        </w:rPr>
        <w:t>24</w:t>
      </w:r>
      <w:r w:rsidRPr="002C459D">
        <w:rPr>
          <w:noProof/>
        </w:rPr>
        <w:tab/>
        <w:t xml:space="preserve">Tschandl P, Rinner C, Apalla Z, </w:t>
      </w:r>
      <w:r w:rsidRPr="002C459D">
        <w:rPr>
          <w:i/>
          <w:iCs/>
          <w:noProof/>
        </w:rPr>
        <w:t>et al.</w:t>
      </w:r>
      <w:r w:rsidRPr="002C459D">
        <w:rPr>
          <w:noProof/>
        </w:rPr>
        <w:t xml:space="preserve"> Human–computer collaboration for skin cancer recognition. </w:t>
      </w:r>
      <w:r w:rsidRPr="002C459D">
        <w:rPr>
          <w:i/>
          <w:iCs/>
          <w:noProof/>
        </w:rPr>
        <w:t>Nat Med</w:t>
      </w:r>
      <w:r w:rsidRPr="002C459D">
        <w:rPr>
          <w:noProof/>
        </w:rPr>
        <w:t xml:space="preserve"> 2020; </w:t>
      </w:r>
      <w:r w:rsidRPr="002C459D">
        <w:rPr>
          <w:b/>
          <w:bCs/>
          <w:noProof/>
        </w:rPr>
        <w:t>26</w:t>
      </w:r>
      <w:r w:rsidRPr="002C459D">
        <w:rPr>
          <w:noProof/>
        </w:rPr>
        <w:t>: 1229–1234.</w:t>
      </w:r>
    </w:p>
    <w:p w14:paraId="1706FB4C" w14:textId="77777777" w:rsidR="002C459D" w:rsidRPr="002C459D" w:rsidRDefault="002C459D" w:rsidP="002C459D">
      <w:pPr>
        <w:widowControl w:val="0"/>
        <w:autoSpaceDE w:val="0"/>
        <w:autoSpaceDN w:val="0"/>
        <w:adjustRightInd w:val="0"/>
        <w:spacing w:after="120" w:line="360" w:lineRule="auto"/>
        <w:ind w:left="640" w:hanging="640"/>
        <w:rPr>
          <w:noProof/>
        </w:rPr>
      </w:pPr>
      <w:r w:rsidRPr="002C459D">
        <w:rPr>
          <w:noProof/>
        </w:rPr>
        <w:t>25</w:t>
      </w:r>
      <w:r w:rsidRPr="002C459D">
        <w:rPr>
          <w:noProof/>
        </w:rPr>
        <w:tab/>
        <w:t xml:space="preserve">Flaherty KR, Wells AU, Cottin V, </w:t>
      </w:r>
      <w:r w:rsidRPr="002C459D">
        <w:rPr>
          <w:i/>
          <w:iCs/>
          <w:noProof/>
        </w:rPr>
        <w:t>et al.</w:t>
      </w:r>
      <w:r w:rsidRPr="002C459D">
        <w:rPr>
          <w:noProof/>
        </w:rPr>
        <w:t xml:space="preserve"> Nintedanib in Progressive Fibrosing Interstitial Lung Diseases. </w:t>
      </w:r>
      <w:r w:rsidRPr="002C459D">
        <w:rPr>
          <w:i/>
          <w:iCs/>
          <w:noProof/>
        </w:rPr>
        <w:t>N Engl J Med</w:t>
      </w:r>
      <w:r w:rsidRPr="002C459D">
        <w:rPr>
          <w:noProof/>
        </w:rPr>
        <w:t xml:space="preserve"> 2019; </w:t>
      </w:r>
      <w:r w:rsidRPr="002C459D">
        <w:rPr>
          <w:b/>
          <w:bCs/>
          <w:noProof/>
        </w:rPr>
        <w:t>381</w:t>
      </w:r>
      <w:r w:rsidRPr="002C459D">
        <w:rPr>
          <w:noProof/>
        </w:rPr>
        <w:t>: 1718–1727.</w:t>
      </w:r>
    </w:p>
    <w:p w14:paraId="01E362DD" w14:textId="77777777" w:rsidR="002C459D" w:rsidRPr="002C459D" w:rsidRDefault="002C459D" w:rsidP="002C459D">
      <w:pPr>
        <w:widowControl w:val="0"/>
        <w:autoSpaceDE w:val="0"/>
        <w:autoSpaceDN w:val="0"/>
        <w:adjustRightInd w:val="0"/>
        <w:spacing w:after="120" w:line="360" w:lineRule="auto"/>
        <w:ind w:left="640" w:hanging="640"/>
        <w:rPr>
          <w:noProof/>
        </w:rPr>
      </w:pPr>
      <w:r w:rsidRPr="002C459D">
        <w:rPr>
          <w:noProof/>
        </w:rPr>
        <w:t>26</w:t>
      </w:r>
      <w:r w:rsidRPr="002C459D">
        <w:rPr>
          <w:noProof/>
        </w:rPr>
        <w:tab/>
        <w:t xml:space="preserve">Camus P, Von Der Thüsen J, Hansell DM, Colby T V. Pleuroparenchymal fibroelastosis: One more walk on the wild side of drugs? </w:t>
      </w:r>
      <w:r w:rsidRPr="002C459D">
        <w:rPr>
          <w:i/>
          <w:iCs/>
          <w:noProof/>
        </w:rPr>
        <w:t>Eur Respir J</w:t>
      </w:r>
      <w:r w:rsidRPr="002C459D">
        <w:rPr>
          <w:noProof/>
        </w:rPr>
        <w:t xml:space="preserve"> 2014; </w:t>
      </w:r>
      <w:r w:rsidRPr="002C459D">
        <w:rPr>
          <w:b/>
          <w:bCs/>
          <w:noProof/>
        </w:rPr>
        <w:t>44</w:t>
      </w:r>
      <w:r w:rsidRPr="002C459D">
        <w:rPr>
          <w:noProof/>
        </w:rPr>
        <w:t>: 289–296.</w:t>
      </w:r>
    </w:p>
    <w:p w14:paraId="0B545A02" w14:textId="77777777" w:rsidR="002C459D" w:rsidRPr="002C459D" w:rsidRDefault="002C459D" w:rsidP="002C459D">
      <w:pPr>
        <w:widowControl w:val="0"/>
        <w:autoSpaceDE w:val="0"/>
        <w:autoSpaceDN w:val="0"/>
        <w:adjustRightInd w:val="0"/>
        <w:spacing w:after="120" w:line="360" w:lineRule="auto"/>
        <w:ind w:left="640" w:hanging="640"/>
        <w:rPr>
          <w:noProof/>
        </w:rPr>
      </w:pPr>
      <w:r w:rsidRPr="002C459D">
        <w:rPr>
          <w:noProof/>
        </w:rPr>
        <w:t>27</w:t>
      </w:r>
      <w:r w:rsidRPr="002C459D">
        <w:rPr>
          <w:noProof/>
        </w:rPr>
        <w:tab/>
        <w:t xml:space="preserve">Oda T, Ogura T, Kitamura H, </w:t>
      </w:r>
      <w:r w:rsidRPr="002C459D">
        <w:rPr>
          <w:i/>
          <w:iCs/>
          <w:noProof/>
        </w:rPr>
        <w:t>et al.</w:t>
      </w:r>
      <w:r w:rsidRPr="002C459D">
        <w:rPr>
          <w:noProof/>
        </w:rPr>
        <w:t xml:space="preserve"> Distinct characteristics of pleuroparenchymal fibroelastosis with usual interstitial pneumonia compared with idiopathic pulmonary fibrosis. </w:t>
      </w:r>
      <w:r w:rsidRPr="002C459D">
        <w:rPr>
          <w:i/>
          <w:iCs/>
          <w:noProof/>
        </w:rPr>
        <w:t>Chest</w:t>
      </w:r>
      <w:r w:rsidRPr="002C459D">
        <w:rPr>
          <w:noProof/>
        </w:rPr>
        <w:t xml:space="preserve"> 2014; </w:t>
      </w:r>
      <w:r w:rsidRPr="002C459D">
        <w:rPr>
          <w:b/>
          <w:bCs/>
          <w:noProof/>
        </w:rPr>
        <w:t>146</w:t>
      </w:r>
      <w:r w:rsidRPr="002C459D">
        <w:rPr>
          <w:noProof/>
        </w:rPr>
        <w:t>: 1248–1255.</w:t>
      </w:r>
    </w:p>
    <w:p w14:paraId="3E0DA82A" w14:textId="77777777" w:rsidR="002C459D" w:rsidRPr="002C459D" w:rsidRDefault="002C459D" w:rsidP="002C459D">
      <w:pPr>
        <w:widowControl w:val="0"/>
        <w:autoSpaceDE w:val="0"/>
        <w:autoSpaceDN w:val="0"/>
        <w:adjustRightInd w:val="0"/>
        <w:spacing w:after="120" w:line="360" w:lineRule="auto"/>
        <w:ind w:left="640" w:hanging="640"/>
        <w:rPr>
          <w:noProof/>
        </w:rPr>
      </w:pPr>
      <w:r w:rsidRPr="002C459D">
        <w:rPr>
          <w:noProof/>
        </w:rPr>
        <w:t>28</w:t>
      </w:r>
      <w:r w:rsidRPr="002C459D">
        <w:rPr>
          <w:noProof/>
        </w:rPr>
        <w:tab/>
        <w:t xml:space="preserve">Raghu G, Remy-Jardin M, Myers JL, </w:t>
      </w:r>
      <w:r w:rsidRPr="002C459D">
        <w:rPr>
          <w:i/>
          <w:iCs/>
          <w:noProof/>
        </w:rPr>
        <w:t>et al.</w:t>
      </w:r>
      <w:r w:rsidRPr="002C459D">
        <w:rPr>
          <w:noProof/>
        </w:rPr>
        <w:t xml:space="preserve"> Diagnosis of idiopathic pulmonary fibrosis. An Official ATS/ERS/JRS/ALAT Clinical practice guideline. </w:t>
      </w:r>
      <w:r w:rsidRPr="002C459D">
        <w:rPr>
          <w:i/>
          <w:iCs/>
          <w:noProof/>
        </w:rPr>
        <w:t>Am J Respir Crit Care Med</w:t>
      </w:r>
      <w:r w:rsidRPr="002C459D">
        <w:rPr>
          <w:noProof/>
        </w:rPr>
        <w:t xml:space="preserve"> 2018; </w:t>
      </w:r>
      <w:r w:rsidRPr="002C459D">
        <w:rPr>
          <w:b/>
          <w:bCs/>
          <w:noProof/>
        </w:rPr>
        <w:t>198</w:t>
      </w:r>
      <w:r w:rsidRPr="002C459D">
        <w:rPr>
          <w:noProof/>
        </w:rPr>
        <w:t>: e44–e68.</w:t>
      </w:r>
    </w:p>
    <w:p w14:paraId="2CF92EE3" w14:textId="77777777" w:rsidR="002C459D" w:rsidRPr="002C459D" w:rsidRDefault="002C459D" w:rsidP="002C459D">
      <w:pPr>
        <w:widowControl w:val="0"/>
        <w:autoSpaceDE w:val="0"/>
        <w:autoSpaceDN w:val="0"/>
        <w:adjustRightInd w:val="0"/>
        <w:spacing w:after="120" w:line="360" w:lineRule="auto"/>
        <w:ind w:left="640" w:hanging="640"/>
        <w:rPr>
          <w:noProof/>
        </w:rPr>
      </w:pPr>
      <w:r w:rsidRPr="002C459D">
        <w:rPr>
          <w:noProof/>
        </w:rPr>
        <w:t>29</w:t>
      </w:r>
      <w:r w:rsidRPr="002C459D">
        <w:rPr>
          <w:noProof/>
        </w:rPr>
        <w:tab/>
        <w:t xml:space="preserve">Jacob J, Bartholmai BJ, Rajagopalan S, </w:t>
      </w:r>
      <w:r w:rsidRPr="002C459D">
        <w:rPr>
          <w:i/>
          <w:iCs/>
          <w:noProof/>
        </w:rPr>
        <w:t>et al.</w:t>
      </w:r>
      <w:r w:rsidRPr="002C459D">
        <w:rPr>
          <w:noProof/>
        </w:rPr>
        <w:t xml:space="preserve"> Mortality prediction in idiopathic pulmonary fibrosis: evaluation of computer-based CT analysis with conventional severity measures. </w:t>
      </w:r>
      <w:r w:rsidRPr="002C459D">
        <w:rPr>
          <w:i/>
          <w:iCs/>
          <w:noProof/>
        </w:rPr>
        <w:t>Eur Respir J</w:t>
      </w:r>
      <w:r w:rsidRPr="002C459D">
        <w:rPr>
          <w:noProof/>
        </w:rPr>
        <w:t xml:space="preserve"> 2017; </w:t>
      </w:r>
      <w:r w:rsidRPr="002C459D">
        <w:rPr>
          <w:b/>
          <w:bCs/>
          <w:noProof/>
        </w:rPr>
        <w:t>49</w:t>
      </w:r>
      <w:r w:rsidRPr="002C459D">
        <w:rPr>
          <w:noProof/>
        </w:rPr>
        <w:t>. DOI:10.1183/13993003.01011-2016.</w:t>
      </w:r>
    </w:p>
    <w:p w14:paraId="6E888AA3" w14:textId="77777777" w:rsidR="002C459D" w:rsidRPr="002C459D" w:rsidRDefault="002C459D" w:rsidP="002C459D">
      <w:pPr>
        <w:widowControl w:val="0"/>
        <w:autoSpaceDE w:val="0"/>
        <w:autoSpaceDN w:val="0"/>
        <w:adjustRightInd w:val="0"/>
        <w:spacing w:after="120" w:line="360" w:lineRule="auto"/>
        <w:ind w:left="640" w:hanging="640"/>
        <w:rPr>
          <w:noProof/>
        </w:rPr>
      </w:pPr>
      <w:r w:rsidRPr="002C459D">
        <w:rPr>
          <w:noProof/>
        </w:rPr>
        <w:t>30</w:t>
      </w:r>
      <w:r w:rsidRPr="002C459D">
        <w:rPr>
          <w:noProof/>
        </w:rPr>
        <w:tab/>
        <w:t xml:space="preserve">Jo HE, Glaspole I, Moodley Y, </w:t>
      </w:r>
      <w:r w:rsidRPr="002C459D">
        <w:rPr>
          <w:i/>
          <w:iCs/>
          <w:noProof/>
        </w:rPr>
        <w:t>et al.</w:t>
      </w:r>
      <w:r w:rsidRPr="002C459D">
        <w:rPr>
          <w:noProof/>
        </w:rPr>
        <w:t xml:space="preserve"> Disease progression in idiopathic pulmonary fibrosis with mild physiological impairment: Analysis from the Australian IPF registry. </w:t>
      </w:r>
      <w:r w:rsidRPr="002C459D">
        <w:rPr>
          <w:i/>
          <w:iCs/>
          <w:noProof/>
        </w:rPr>
        <w:t>BMC Pulm Med</w:t>
      </w:r>
      <w:r w:rsidRPr="002C459D">
        <w:rPr>
          <w:noProof/>
        </w:rPr>
        <w:t xml:space="preserve"> 2018; </w:t>
      </w:r>
      <w:r w:rsidRPr="002C459D">
        <w:rPr>
          <w:b/>
          <w:bCs/>
          <w:noProof/>
        </w:rPr>
        <w:t>18</w:t>
      </w:r>
      <w:r w:rsidRPr="002C459D">
        <w:rPr>
          <w:noProof/>
        </w:rPr>
        <w:t>. DOI:10.1186/s12890-018-0575-y.</w:t>
      </w:r>
    </w:p>
    <w:p w14:paraId="073B76B2" w14:textId="77777777" w:rsidR="002C459D" w:rsidRPr="002C459D" w:rsidRDefault="002C459D" w:rsidP="002C459D">
      <w:pPr>
        <w:widowControl w:val="0"/>
        <w:autoSpaceDE w:val="0"/>
        <w:autoSpaceDN w:val="0"/>
        <w:adjustRightInd w:val="0"/>
        <w:spacing w:after="120" w:line="360" w:lineRule="auto"/>
        <w:ind w:left="640" w:hanging="640"/>
        <w:rPr>
          <w:noProof/>
        </w:rPr>
      </w:pPr>
      <w:r w:rsidRPr="002C459D">
        <w:rPr>
          <w:noProof/>
        </w:rPr>
        <w:t>31</w:t>
      </w:r>
      <w:r w:rsidRPr="002C459D">
        <w:rPr>
          <w:noProof/>
        </w:rPr>
        <w:tab/>
        <w:t xml:space="preserve">King TE, Bradford WZ, Castro-Bernardini S, </w:t>
      </w:r>
      <w:r w:rsidRPr="002C459D">
        <w:rPr>
          <w:i/>
          <w:iCs/>
          <w:noProof/>
        </w:rPr>
        <w:t>et al.</w:t>
      </w:r>
      <w:r w:rsidRPr="002C459D">
        <w:rPr>
          <w:noProof/>
        </w:rPr>
        <w:t xml:space="preserve"> A Phase 3 Trial of Pirfenidone in Patients with Idiopathic Pulmonary Fibrosis. </w:t>
      </w:r>
      <w:r w:rsidRPr="002C459D">
        <w:rPr>
          <w:i/>
          <w:iCs/>
          <w:noProof/>
        </w:rPr>
        <w:t>N Engl J Med</w:t>
      </w:r>
      <w:r w:rsidRPr="002C459D">
        <w:rPr>
          <w:noProof/>
        </w:rPr>
        <w:t xml:space="preserve"> 2014; </w:t>
      </w:r>
      <w:r w:rsidRPr="002C459D">
        <w:rPr>
          <w:b/>
          <w:bCs/>
          <w:noProof/>
        </w:rPr>
        <w:t>370</w:t>
      </w:r>
      <w:r w:rsidRPr="002C459D">
        <w:rPr>
          <w:noProof/>
        </w:rPr>
        <w:t>: 2083–2092.</w:t>
      </w:r>
    </w:p>
    <w:p w14:paraId="69376A0D" w14:textId="0F45384C" w:rsidR="00BB2BE8" w:rsidRPr="00C41FDC" w:rsidRDefault="00AD70AE" w:rsidP="002C459D">
      <w:pPr>
        <w:widowControl w:val="0"/>
        <w:autoSpaceDE w:val="0"/>
        <w:autoSpaceDN w:val="0"/>
        <w:adjustRightInd w:val="0"/>
        <w:spacing w:after="120" w:line="360" w:lineRule="auto"/>
        <w:ind w:left="640" w:hanging="640"/>
        <w:rPr>
          <w:noProof/>
          <w:color w:val="000000" w:themeColor="text1"/>
        </w:rPr>
      </w:pPr>
      <w:r w:rsidRPr="00C41FDC">
        <w:rPr>
          <w:color w:val="000000" w:themeColor="text1"/>
        </w:rPr>
        <w:fldChar w:fldCharType="end"/>
      </w:r>
    </w:p>
    <w:p w14:paraId="22A36006" w14:textId="0DEC55E8" w:rsidR="006A66F1" w:rsidRPr="00C41FDC" w:rsidRDefault="006A66F1" w:rsidP="003333BD">
      <w:pPr>
        <w:widowControl w:val="0"/>
        <w:autoSpaceDE w:val="0"/>
        <w:autoSpaceDN w:val="0"/>
        <w:adjustRightInd w:val="0"/>
        <w:spacing w:after="120" w:line="360" w:lineRule="auto"/>
        <w:ind w:left="640" w:hanging="640"/>
        <w:rPr>
          <w:color w:val="000000" w:themeColor="text1"/>
        </w:rPr>
      </w:pPr>
    </w:p>
    <w:p w14:paraId="62157FA2" w14:textId="77777777" w:rsidR="006A66F1" w:rsidRPr="00C41FDC" w:rsidRDefault="006A66F1">
      <w:pPr>
        <w:rPr>
          <w:color w:val="000000" w:themeColor="text1"/>
        </w:rPr>
      </w:pPr>
      <w:r w:rsidRPr="00C41FDC">
        <w:rPr>
          <w:color w:val="000000" w:themeColor="text1"/>
        </w:rPr>
        <w:br w:type="page"/>
      </w:r>
    </w:p>
    <w:p w14:paraId="159844BC" w14:textId="5D51F51E" w:rsidR="006A66F1" w:rsidRPr="00C41FDC" w:rsidRDefault="006A66F1" w:rsidP="0007399C">
      <w:pPr>
        <w:spacing w:line="360" w:lineRule="auto"/>
        <w:rPr>
          <w:rFonts w:eastAsia="Times New Roman"/>
          <w:color w:val="000000" w:themeColor="text1"/>
        </w:rPr>
      </w:pPr>
      <w:r w:rsidRPr="00C41FDC">
        <w:rPr>
          <w:rStyle w:val="id"/>
          <w:rFonts w:eastAsia="Times New Roman"/>
          <w:b/>
          <w:color w:val="000000" w:themeColor="text1"/>
        </w:rPr>
        <w:lastRenderedPageBreak/>
        <w:t>Table 1</w:t>
      </w:r>
      <w:r w:rsidRPr="00C41FDC">
        <w:rPr>
          <w:rStyle w:val="id"/>
          <w:rFonts w:eastAsia="Times New Roman"/>
          <w:color w:val="000000" w:themeColor="text1"/>
        </w:rPr>
        <w:t xml:space="preserve">: </w:t>
      </w:r>
      <w:r w:rsidRPr="00C41FDC">
        <w:rPr>
          <w:rStyle w:val="content"/>
          <w:rFonts w:eastAsia="Times New Roman"/>
          <w:b/>
          <w:bCs/>
          <w:color w:val="000000" w:themeColor="text1"/>
        </w:rPr>
        <w:t>Patient demographics</w:t>
      </w:r>
      <w:r w:rsidR="00FA5910" w:rsidRPr="00C41FDC">
        <w:rPr>
          <w:rStyle w:val="content"/>
          <w:rFonts w:eastAsia="Times New Roman"/>
          <w:b/>
          <w:bCs/>
          <w:color w:val="000000" w:themeColor="text1"/>
        </w:rPr>
        <w:t>,</w:t>
      </w:r>
      <w:r w:rsidRPr="00C41FDC">
        <w:rPr>
          <w:rStyle w:val="content"/>
          <w:rFonts w:eastAsia="Times New Roman"/>
          <w:b/>
          <w:bCs/>
          <w:color w:val="000000" w:themeColor="text1"/>
        </w:rPr>
        <w:t xml:space="preserve"> pulmonary function indices and visual and computer-based scores of radiologic PPFE severity.</w:t>
      </w:r>
      <w:r w:rsidRPr="00C41FDC">
        <w:rPr>
          <w:rStyle w:val="content"/>
          <w:rFonts w:eastAsia="Times New Roman"/>
          <w:color w:val="000000" w:themeColor="text1"/>
        </w:rPr>
        <w:t xml:space="preserve"> </w:t>
      </w:r>
      <w:r w:rsidR="00FA5910" w:rsidRPr="00C41FDC">
        <w:rPr>
          <w:rStyle w:val="content"/>
          <w:rFonts w:eastAsia="Times New Roman"/>
          <w:color w:val="000000" w:themeColor="text1"/>
        </w:rPr>
        <w:t xml:space="preserve">Pulmonary function indices and PPFE scores in </w:t>
      </w:r>
      <w:r w:rsidR="009063EC" w:rsidRPr="00C41FDC">
        <w:rPr>
          <w:rStyle w:val="content"/>
          <w:rFonts w:eastAsia="Times New Roman"/>
          <w:color w:val="000000" w:themeColor="text1"/>
        </w:rPr>
        <w:t xml:space="preserve">derivation </w:t>
      </w:r>
      <w:r w:rsidR="00FA5910" w:rsidRPr="00C41FDC">
        <w:rPr>
          <w:rStyle w:val="content"/>
          <w:rFonts w:eastAsia="Times New Roman"/>
          <w:color w:val="000000" w:themeColor="text1"/>
        </w:rPr>
        <w:t>and validation cohorts of IPF patients are described as mean and standard deviations</w:t>
      </w:r>
      <w:r w:rsidR="00E60EC6" w:rsidRPr="00C41FDC">
        <w:rPr>
          <w:rStyle w:val="content"/>
          <w:rFonts w:eastAsia="Times New Roman"/>
          <w:color w:val="000000" w:themeColor="text1"/>
        </w:rPr>
        <w:t>, except where noted</w:t>
      </w:r>
      <w:r w:rsidR="00FA5910" w:rsidRPr="00C41FDC">
        <w:rPr>
          <w:rStyle w:val="content"/>
          <w:rFonts w:eastAsia="Times New Roman"/>
          <w:color w:val="000000" w:themeColor="text1"/>
        </w:rPr>
        <w:t xml:space="preserve">. </w:t>
      </w:r>
      <w:r w:rsidRPr="00C41FDC">
        <w:rPr>
          <w:rStyle w:val="content"/>
          <w:rFonts w:eastAsia="Times New Roman"/>
          <w:color w:val="000000" w:themeColor="text1"/>
        </w:rPr>
        <w:t xml:space="preserve">PPFE scores were only considered in patients with PPFE. FEV1 = forced expiratory volume in the first second, FVC = forced vital capacity, DLco = diffusing capacity for carbon monoxide, ILD = interstitial lung disease, PPFE = pleuroparenchymal fibroelastosis. </w:t>
      </w:r>
    </w:p>
    <w:tbl>
      <w:tblPr>
        <w:tblW w:w="9840" w:type="dxa"/>
        <w:tblInd w:w="-30" w:type="dxa"/>
        <w:tblLayout w:type="fixed"/>
        <w:tblCellMar>
          <w:top w:w="72" w:type="dxa"/>
          <w:left w:w="30" w:type="dxa"/>
          <w:bottom w:w="72" w:type="dxa"/>
          <w:right w:w="30" w:type="dxa"/>
        </w:tblCellMar>
        <w:tblLook w:val="0000" w:firstRow="0" w:lastRow="0" w:firstColumn="0" w:lastColumn="0" w:noHBand="0" w:noVBand="0"/>
      </w:tblPr>
      <w:tblGrid>
        <w:gridCol w:w="4800"/>
        <w:gridCol w:w="1800"/>
        <w:gridCol w:w="1890"/>
        <w:gridCol w:w="1350"/>
      </w:tblGrid>
      <w:tr w:rsidR="00C41FDC" w:rsidRPr="00C41FDC" w14:paraId="40D59C38" w14:textId="2C9CCC3B" w:rsidTr="006271B8">
        <w:trPr>
          <w:trHeight w:val="300"/>
        </w:trPr>
        <w:tc>
          <w:tcPr>
            <w:tcW w:w="4800" w:type="dxa"/>
            <w:tcBorders>
              <w:top w:val="single" w:sz="12" w:space="0" w:color="000000" w:themeColor="text1"/>
              <w:left w:val="nil"/>
              <w:bottom w:val="single" w:sz="12" w:space="0" w:color="000000" w:themeColor="text1"/>
              <w:right w:val="nil"/>
            </w:tcBorders>
          </w:tcPr>
          <w:p w14:paraId="0D918D08" w14:textId="77777777" w:rsidR="002C15BB" w:rsidRPr="00C41FDC" w:rsidRDefault="002C15BB" w:rsidP="009D0972">
            <w:pPr>
              <w:autoSpaceDE w:val="0"/>
              <w:autoSpaceDN w:val="0"/>
              <w:adjustRightInd w:val="0"/>
              <w:rPr>
                <w:rFonts w:eastAsia="Times New Roman"/>
                <w:color w:val="000000" w:themeColor="text1"/>
              </w:rPr>
            </w:pPr>
            <w:r w:rsidRPr="00C41FDC">
              <w:rPr>
                <w:rFonts w:eastAsia="Times New Roman"/>
                <w:color w:val="000000" w:themeColor="text1"/>
              </w:rPr>
              <w:t>Variable</w:t>
            </w:r>
          </w:p>
        </w:tc>
        <w:tc>
          <w:tcPr>
            <w:tcW w:w="1800" w:type="dxa"/>
            <w:tcBorders>
              <w:top w:val="single" w:sz="12" w:space="0" w:color="000000" w:themeColor="text1"/>
              <w:left w:val="nil"/>
              <w:bottom w:val="single" w:sz="12" w:space="0" w:color="000000" w:themeColor="text1"/>
              <w:right w:val="nil"/>
            </w:tcBorders>
          </w:tcPr>
          <w:p w14:paraId="23DC303E" w14:textId="05D7BA71" w:rsidR="002C15BB" w:rsidRPr="00C41FDC" w:rsidRDefault="002C15BB" w:rsidP="009D0972">
            <w:pPr>
              <w:autoSpaceDE w:val="0"/>
              <w:autoSpaceDN w:val="0"/>
              <w:adjustRightInd w:val="0"/>
              <w:rPr>
                <w:rFonts w:eastAsia="Times New Roman"/>
                <w:color w:val="000000" w:themeColor="text1"/>
              </w:rPr>
            </w:pPr>
            <w:r w:rsidRPr="00C41FDC">
              <w:rPr>
                <w:rFonts w:eastAsia="Times New Roman"/>
                <w:color w:val="000000" w:themeColor="text1"/>
              </w:rPr>
              <w:t xml:space="preserve">Derivation cohort </w:t>
            </w:r>
            <w:r w:rsidRPr="00C41FDC">
              <w:rPr>
                <w:rFonts w:eastAsia="Times New Roman"/>
                <w:color w:val="000000" w:themeColor="text1"/>
              </w:rPr>
              <w:br/>
              <w:t>(n = 14</w:t>
            </w:r>
            <w:r w:rsidR="00370E8E" w:rsidRPr="00C41FDC">
              <w:rPr>
                <w:rFonts w:eastAsia="Times New Roman"/>
                <w:color w:val="000000" w:themeColor="text1"/>
              </w:rPr>
              <w:t>2</w:t>
            </w:r>
            <w:r w:rsidRPr="00C41FDC">
              <w:rPr>
                <w:rFonts w:eastAsia="Times New Roman"/>
                <w:color w:val="000000" w:themeColor="text1"/>
              </w:rPr>
              <w:t>)</w:t>
            </w:r>
          </w:p>
        </w:tc>
        <w:tc>
          <w:tcPr>
            <w:tcW w:w="1890" w:type="dxa"/>
            <w:tcBorders>
              <w:top w:val="single" w:sz="12" w:space="0" w:color="000000" w:themeColor="text1"/>
              <w:left w:val="nil"/>
              <w:bottom w:val="single" w:sz="12" w:space="0" w:color="000000" w:themeColor="text1"/>
              <w:right w:val="nil"/>
            </w:tcBorders>
          </w:tcPr>
          <w:p w14:paraId="5133872D" w14:textId="4EBE37A5" w:rsidR="002C15BB" w:rsidRPr="00C41FDC" w:rsidRDefault="002C15BB" w:rsidP="009D0972">
            <w:pPr>
              <w:autoSpaceDE w:val="0"/>
              <w:autoSpaceDN w:val="0"/>
              <w:adjustRightInd w:val="0"/>
              <w:rPr>
                <w:rFonts w:eastAsia="Times New Roman"/>
                <w:color w:val="000000" w:themeColor="text1"/>
              </w:rPr>
            </w:pPr>
            <w:r w:rsidRPr="00C41FDC">
              <w:rPr>
                <w:rFonts w:eastAsia="Times New Roman"/>
                <w:color w:val="000000" w:themeColor="text1"/>
              </w:rPr>
              <w:t>Validation cohort</w:t>
            </w:r>
            <w:r w:rsidR="003E7EE3" w:rsidRPr="00C41FDC">
              <w:rPr>
                <w:rFonts w:eastAsia="Times New Roman"/>
                <w:color w:val="000000" w:themeColor="text1"/>
              </w:rPr>
              <w:t xml:space="preserve"> </w:t>
            </w:r>
            <w:r w:rsidRPr="00C41FDC">
              <w:rPr>
                <w:rFonts w:eastAsia="Times New Roman"/>
                <w:color w:val="000000" w:themeColor="text1"/>
              </w:rPr>
              <w:t>(n = 145)</w:t>
            </w:r>
          </w:p>
        </w:tc>
        <w:tc>
          <w:tcPr>
            <w:tcW w:w="1350" w:type="dxa"/>
            <w:tcBorders>
              <w:top w:val="single" w:sz="12" w:space="0" w:color="000000" w:themeColor="text1"/>
              <w:left w:val="nil"/>
              <w:bottom w:val="single" w:sz="12" w:space="0" w:color="000000" w:themeColor="text1"/>
              <w:right w:val="nil"/>
            </w:tcBorders>
          </w:tcPr>
          <w:p w14:paraId="1653B154" w14:textId="473D3ABC" w:rsidR="002C15BB" w:rsidRPr="00C41FDC" w:rsidRDefault="000D7C83" w:rsidP="009D0972">
            <w:pPr>
              <w:autoSpaceDE w:val="0"/>
              <w:autoSpaceDN w:val="0"/>
              <w:adjustRightInd w:val="0"/>
              <w:rPr>
                <w:rFonts w:eastAsia="Times New Roman"/>
                <w:color w:val="000000" w:themeColor="text1"/>
              </w:rPr>
            </w:pPr>
            <w:r w:rsidRPr="00C41FDC">
              <w:rPr>
                <w:rFonts w:eastAsia="Times New Roman"/>
                <w:color w:val="000000" w:themeColor="text1"/>
              </w:rPr>
              <w:t>p-value</w:t>
            </w:r>
          </w:p>
        </w:tc>
      </w:tr>
      <w:tr w:rsidR="00C41FDC" w:rsidRPr="00C41FDC" w14:paraId="18F89B92" w14:textId="23C69858" w:rsidTr="006271B8">
        <w:trPr>
          <w:trHeight w:val="300"/>
        </w:trPr>
        <w:tc>
          <w:tcPr>
            <w:tcW w:w="4800" w:type="dxa"/>
            <w:tcBorders>
              <w:top w:val="single" w:sz="12" w:space="0" w:color="000000" w:themeColor="text1"/>
              <w:left w:val="nil"/>
              <w:bottom w:val="nil"/>
              <w:right w:val="nil"/>
            </w:tcBorders>
          </w:tcPr>
          <w:p w14:paraId="5DD6E623" w14:textId="77777777" w:rsidR="002C15BB" w:rsidRPr="00C41FDC" w:rsidRDefault="002C15BB" w:rsidP="009D0972">
            <w:pPr>
              <w:autoSpaceDE w:val="0"/>
              <w:autoSpaceDN w:val="0"/>
              <w:adjustRightInd w:val="0"/>
              <w:rPr>
                <w:rFonts w:eastAsia="Times New Roman"/>
                <w:color w:val="000000" w:themeColor="text1"/>
              </w:rPr>
            </w:pPr>
            <w:r w:rsidRPr="00C41FDC">
              <w:rPr>
                <w:rFonts w:eastAsia="Times New Roman"/>
                <w:color w:val="000000" w:themeColor="text1"/>
              </w:rPr>
              <w:t xml:space="preserve">Median age (range) </w:t>
            </w:r>
          </w:p>
        </w:tc>
        <w:tc>
          <w:tcPr>
            <w:tcW w:w="1800" w:type="dxa"/>
            <w:tcBorders>
              <w:top w:val="single" w:sz="12" w:space="0" w:color="000000" w:themeColor="text1"/>
              <w:left w:val="nil"/>
              <w:bottom w:val="nil"/>
              <w:right w:val="nil"/>
            </w:tcBorders>
          </w:tcPr>
          <w:p w14:paraId="1847A5BB" w14:textId="77777777" w:rsidR="002C15BB" w:rsidRPr="00C41FDC" w:rsidRDefault="002C15BB" w:rsidP="009D0972">
            <w:pPr>
              <w:autoSpaceDE w:val="0"/>
              <w:autoSpaceDN w:val="0"/>
              <w:adjustRightInd w:val="0"/>
              <w:rPr>
                <w:rFonts w:eastAsia="Times New Roman"/>
                <w:color w:val="000000" w:themeColor="text1"/>
              </w:rPr>
            </w:pPr>
            <w:r w:rsidRPr="00C41FDC">
              <w:rPr>
                <w:rFonts w:eastAsia="Times New Roman"/>
                <w:color w:val="000000" w:themeColor="text1"/>
              </w:rPr>
              <w:t>66 (42 – 86)</w:t>
            </w:r>
          </w:p>
        </w:tc>
        <w:tc>
          <w:tcPr>
            <w:tcW w:w="1890" w:type="dxa"/>
            <w:tcBorders>
              <w:top w:val="single" w:sz="12" w:space="0" w:color="000000" w:themeColor="text1"/>
              <w:left w:val="nil"/>
              <w:bottom w:val="nil"/>
              <w:right w:val="nil"/>
            </w:tcBorders>
          </w:tcPr>
          <w:p w14:paraId="0FADC8AF" w14:textId="27C83E4A" w:rsidR="002C15BB" w:rsidRPr="00C41FDC" w:rsidRDefault="002C15BB" w:rsidP="009D0972">
            <w:pPr>
              <w:autoSpaceDE w:val="0"/>
              <w:autoSpaceDN w:val="0"/>
              <w:adjustRightInd w:val="0"/>
              <w:rPr>
                <w:rFonts w:eastAsia="Times New Roman"/>
                <w:color w:val="000000" w:themeColor="text1"/>
              </w:rPr>
            </w:pPr>
            <w:r w:rsidRPr="00C41FDC">
              <w:rPr>
                <w:rFonts w:eastAsia="Times New Roman"/>
                <w:color w:val="000000" w:themeColor="text1"/>
              </w:rPr>
              <w:t>69 (37 – 87)</w:t>
            </w:r>
          </w:p>
        </w:tc>
        <w:tc>
          <w:tcPr>
            <w:tcW w:w="1350" w:type="dxa"/>
            <w:tcBorders>
              <w:top w:val="single" w:sz="12" w:space="0" w:color="000000" w:themeColor="text1"/>
              <w:left w:val="nil"/>
              <w:bottom w:val="nil"/>
              <w:right w:val="nil"/>
            </w:tcBorders>
          </w:tcPr>
          <w:p w14:paraId="14CF1D9F" w14:textId="6F6487C6" w:rsidR="002C15BB" w:rsidRPr="00C41FDC" w:rsidRDefault="000D7C83" w:rsidP="009D0972">
            <w:pPr>
              <w:autoSpaceDE w:val="0"/>
              <w:autoSpaceDN w:val="0"/>
              <w:adjustRightInd w:val="0"/>
              <w:rPr>
                <w:rFonts w:eastAsia="Times New Roman"/>
                <w:color w:val="000000" w:themeColor="text1"/>
              </w:rPr>
            </w:pPr>
            <w:r w:rsidRPr="00C41FDC">
              <w:rPr>
                <w:rFonts w:eastAsia="Times New Roman"/>
                <w:color w:val="000000" w:themeColor="text1"/>
              </w:rPr>
              <w:t>0</w:t>
            </w:r>
            <w:r w:rsidR="00C323B9" w:rsidRPr="00C41FDC">
              <w:rPr>
                <w:rFonts w:eastAsia="Times New Roman"/>
                <w:color w:val="000000" w:themeColor="text1"/>
              </w:rPr>
              <w:t>·</w:t>
            </w:r>
            <w:r w:rsidRPr="00C41FDC">
              <w:rPr>
                <w:rFonts w:eastAsia="Times New Roman"/>
                <w:color w:val="000000" w:themeColor="text1"/>
              </w:rPr>
              <w:t>00</w:t>
            </w:r>
            <w:r w:rsidR="00122A70" w:rsidRPr="00C41FDC">
              <w:rPr>
                <w:rFonts w:eastAsia="Times New Roman"/>
                <w:color w:val="000000" w:themeColor="text1"/>
              </w:rPr>
              <w:t>4</w:t>
            </w:r>
          </w:p>
        </w:tc>
      </w:tr>
      <w:tr w:rsidR="00C41FDC" w:rsidRPr="00C41FDC" w14:paraId="28076A6A" w14:textId="68B01255" w:rsidTr="006271B8">
        <w:trPr>
          <w:trHeight w:val="300"/>
        </w:trPr>
        <w:tc>
          <w:tcPr>
            <w:tcW w:w="4800" w:type="dxa"/>
            <w:tcBorders>
              <w:top w:val="nil"/>
              <w:left w:val="nil"/>
              <w:bottom w:val="nil"/>
              <w:right w:val="nil"/>
            </w:tcBorders>
          </w:tcPr>
          <w:p w14:paraId="1474FA25" w14:textId="77777777" w:rsidR="002C15BB" w:rsidRPr="00C41FDC" w:rsidRDefault="002C15BB" w:rsidP="009D0972">
            <w:pPr>
              <w:autoSpaceDE w:val="0"/>
              <w:autoSpaceDN w:val="0"/>
              <w:adjustRightInd w:val="0"/>
              <w:rPr>
                <w:rFonts w:eastAsia="Times New Roman"/>
                <w:color w:val="000000" w:themeColor="text1"/>
              </w:rPr>
            </w:pPr>
            <w:r w:rsidRPr="00C41FDC">
              <w:rPr>
                <w:rFonts w:eastAsia="Times New Roman"/>
                <w:color w:val="000000" w:themeColor="text1"/>
              </w:rPr>
              <w:t xml:space="preserve">Male / female </w:t>
            </w:r>
          </w:p>
        </w:tc>
        <w:tc>
          <w:tcPr>
            <w:tcW w:w="1800" w:type="dxa"/>
            <w:tcBorders>
              <w:top w:val="nil"/>
              <w:left w:val="nil"/>
              <w:bottom w:val="nil"/>
              <w:right w:val="nil"/>
            </w:tcBorders>
          </w:tcPr>
          <w:p w14:paraId="66AD2991" w14:textId="7D6325DF" w:rsidR="002C15BB" w:rsidRPr="00C41FDC" w:rsidRDefault="002C15BB" w:rsidP="009D0972">
            <w:pPr>
              <w:autoSpaceDE w:val="0"/>
              <w:autoSpaceDN w:val="0"/>
              <w:adjustRightInd w:val="0"/>
              <w:rPr>
                <w:rFonts w:eastAsia="Times New Roman"/>
                <w:color w:val="000000" w:themeColor="text1"/>
              </w:rPr>
            </w:pPr>
            <w:r w:rsidRPr="00C41FDC">
              <w:rPr>
                <w:rFonts w:eastAsia="Times New Roman"/>
                <w:color w:val="000000" w:themeColor="text1"/>
              </w:rPr>
              <w:t>11</w:t>
            </w:r>
            <w:r w:rsidR="00122A70" w:rsidRPr="00C41FDC">
              <w:rPr>
                <w:rFonts w:eastAsia="Times New Roman"/>
                <w:color w:val="000000" w:themeColor="text1"/>
              </w:rPr>
              <w:t>3</w:t>
            </w:r>
            <w:r w:rsidRPr="00C41FDC">
              <w:rPr>
                <w:rFonts w:eastAsia="Times New Roman"/>
                <w:color w:val="000000" w:themeColor="text1"/>
              </w:rPr>
              <w:t xml:space="preserve"> / </w:t>
            </w:r>
            <w:r w:rsidR="00122A70" w:rsidRPr="00C41FDC">
              <w:rPr>
                <w:rFonts w:eastAsia="Times New Roman"/>
                <w:color w:val="000000" w:themeColor="text1"/>
              </w:rPr>
              <w:t>29</w:t>
            </w:r>
          </w:p>
        </w:tc>
        <w:tc>
          <w:tcPr>
            <w:tcW w:w="1890" w:type="dxa"/>
            <w:tcBorders>
              <w:top w:val="nil"/>
              <w:left w:val="nil"/>
              <w:bottom w:val="nil"/>
              <w:right w:val="nil"/>
            </w:tcBorders>
          </w:tcPr>
          <w:p w14:paraId="1C208E7F" w14:textId="480A5813" w:rsidR="002C15BB" w:rsidRPr="00C41FDC" w:rsidRDefault="002C15BB" w:rsidP="009D0972">
            <w:pPr>
              <w:autoSpaceDE w:val="0"/>
              <w:autoSpaceDN w:val="0"/>
              <w:adjustRightInd w:val="0"/>
              <w:rPr>
                <w:rFonts w:eastAsia="Times New Roman"/>
                <w:color w:val="000000" w:themeColor="text1"/>
              </w:rPr>
            </w:pPr>
            <w:r w:rsidRPr="00C41FDC">
              <w:rPr>
                <w:rFonts w:eastAsia="Times New Roman"/>
                <w:color w:val="000000" w:themeColor="text1"/>
              </w:rPr>
              <w:t xml:space="preserve">114 / 31 </w:t>
            </w:r>
          </w:p>
        </w:tc>
        <w:tc>
          <w:tcPr>
            <w:tcW w:w="1350" w:type="dxa"/>
            <w:tcBorders>
              <w:top w:val="nil"/>
              <w:left w:val="nil"/>
              <w:bottom w:val="nil"/>
              <w:right w:val="nil"/>
            </w:tcBorders>
          </w:tcPr>
          <w:p w14:paraId="45BC4236" w14:textId="32A86812" w:rsidR="002C15BB" w:rsidRPr="00C41FDC" w:rsidRDefault="000D7C83" w:rsidP="009D0972">
            <w:pPr>
              <w:autoSpaceDE w:val="0"/>
              <w:autoSpaceDN w:val="0"/>
              <w:adjustRightInd w:val="0"/>
              <w:rPr>
                <w:rFonts w:eastAsia="Times New Roman"/>
                <w:color w:val="000000" w:themeColor="text1"/>
              </w:rPr>
            </w:pPr>
            <w:r w:rsidRPr="00C41FDC">
              <w:rPr>
                <w:rFonts w:eastAsia="Times New Roman"/>
                <w:color w:val="000000" w:themeColor="text1"/>
              </w:rPr>
              <w:t>0</w:t>
            </w:r>
            <w:r w:rsidR="00C323B9" w:rsidRPr="00C41FDC">
              <w:rPr>
                <w:rFonts w:eastAsia="Times New Roman"/>
                <w:color w:val="000000" w:themeColor="text1"/>
              </w:rPr>
              <w:t>·</w:t>
            </w:r>
            <w:r w:rsidR="00122A70" w:rsidRPr="00C41FDC">
              <w:rPr>
                <w:rFonts w:eastAsia="Times New Roman"/>
                <w:color w:val="000000" w:themeColor="text1"/>
              </w:rPr>
              <w:t>84</w:t>
            </w:r>
          </w:p>
        </w:tc>
      </w:tr>
      <w:tr w:rsidR="00C41FDC" w:rsidRPr="00C41FDC" w14:paraId="0C3A9204" w14:textId="6244EAB5" w:rsidTr="006271B8">
        <w:trPr>
          <w:trHeight w:val="300"/>
        </w:trPr>
        <w:tc>
          <w:tcPr>
            <w:tcW w:w="4800" w:type="dxa"/>
            <w:tcBorders>
              <w:top w:val="nil"/>
              <w:left w:val="nil"/>
              <w:bottom w:val="nil"/>
              <w:right w:val="nil"/>
            </w:tcBorders>
          </w:tcPr>
          <w:p w14:paraId="3F8A3AE7" w14:textId="2137A6DF" w:rsidR="002C15BB" w:rsidRPr="00C41FDC" w:rsidRDefault="002C15BB" w:rsidP="009D0972">
            <w:pPr>
              <w:autoSpaceDE w:val="0"/>
              <w:autoSpaceDN w:val="0"/>
              <w:adjustRightInd w:val="0"/>
              <w:rPr>
                <w:rFonts w:eastAsia="Times New Roman"/>
                <w:color w:val="000000" w:themeColor="text1"/>
              </w:rPr>
            </w:pPr>
            <w:r w:rsidRPr="00C41FDC">
              <w:rPr>
                <w:rFonts w:eastAsia="Times New Roman"/>
                <w:color w:val="000000" w:themeColor="text1"/>
              </w:rPr>
              <w:t xml:space="preserve">Survival (alive / </w:t>
            </w:r>
            <w:r w:rsidR="00676968" w:rsidRPr="00C41FDC">
              <w:rPr>
                <w:rFonts w:eastAsia="Times New Roman"/>
                <w:color w:val="000000" w:themeColor="text1"/>
              </w:rPr>
              <w:t>dead</w:t>
            </w:r>
            <w:r w:rsidRPr="00C41FDC">
              <w:rPr>
                <w:rFonts w:eastAsia="Times New Roman"/>
                <w:color w:val="000000" w:themeColor="text1"/>
              </w:rPr>
              <w:t xml:space="preserve">) </w:t>
            </w:r>
          </w:p>
        </w:tc>
        <w:tc>
          <w:tcPr>
            <w:tcW w:w="1800" w:type="dxa"/>
            <w:tcBorders>
              <w:top w:val="nil"/>
              <w:left w:val="nil"/>
              <w:bottom w:val="nil"/>
              <w:right w:val="nil"/>
            </w:tcBorders>
          </w:tcPr>
          <w:p w14:paraId="350273F4" w14:textId="20A94863" w:rsidR="002C15BB" w:rsidRPr="00C41FDC" w:rsidRDefault="002C15BB" w:rsidP="009D0972">
            <w:pPr>
              <w:autoSpaceDE w:val="0"/>
              <w:autoSpaceDN w:val="0"/>
              <w:adjustRightInd w:val="0"/>
              <w:rPr>
                <w:rFonts w:eastAsia="Times New Roman"/>
                <w:color w:val="000000" w:themeColor="text1"/>
              </w:rPr>
            </w:pPr>
            <w:r w:rsidRPr="00C41FDC">
              <w:rPr>
                <w:rFonts w:eastAsia="Times New Roman"/>
                <w:color w:val="000000" w:themeColor="text1"/>
              </w:rPr>
              <w:t>72 / 7</w:t>
            </w:r>
            <w:r w:rsidR="00122A70" w:rsidRPr="00C41FDC">
              <w:rPr>
                <w:rFonts w:eastAsia="Times New Roman"/>
                <w:color w:val="000000" w:themeColor="text1"/>
              </w:rPr>
              <w:t>0</w:t>
            </w:r>
          </w:p>
        </w:tc>
        <w:tc>
          <w:tcPr>
            <w:tcW w:w="1890" w:type="dxa"/>
            <w:tcBorders>
              <w:top w:val="nil"/>
              <w:left w:val="nil"/>
              <w:bottom w:val="nil"/>
              <w:right w:val="nil"/>
            </w:tcBorders>
          </w:tcPr>
          <w:p w14:paraId="3A272EC8" w14:textId="4FE1BDC6" w:rsidR="002C15BB" w:rsidRPr="00C41FDC" w:rsidRDefault="002C15BB" w:rsidP="009D0972">
            <w:pPr>
              <w:autoSpaceDE w:val="0"/>
              <w:autoSpaceDN w:val="0"/>
              <w:adjustRightInd w:val="0"/>
              <w:rPr>
                <w:rFonts w:eastAsia="Times New Roman"/>
                <w:color w:val="000000" w:themeColor="text1"/>
              </w:rPr>
            </w:pPr>
            <w:r w:rsidRPr="00C41FDC">
              <w:rPr>
                <w:rFonts w:eastAsia="Times New Roman"/>
                <w:color w:val="000000" w:themeColor="text1"/>
              </w:rPr>
              <w:t xml:space="preserve">64 / 81 </w:t>
            </w:r>
          </w:p>
        </w:tc>
        <w:tc>
          <w:tcPr>
            <w:tcW w:w="1350" w:type="dxa"/>
            <w:tcBorders>
              <w:top w:val="nil"/>
              <w:left w:val="nil"/>
              <w:bottom w:val="nil"/>
              <w:right w:val="nil"/>
            </w:tcBorders>
          </w:tcPr>
          <w:p w14:paraId="08ECFA79" w14:textId="7220582F" w:rsidR="002C15BB" w:rsidRPr="00C41FDC" w:rsidRDefault="000D7C83" w:rsidP="009D0972">
            <w:pPr>
              <w:autoSpaceDE w:val="0"/>
              <w:autoSpaceDN w:val="0"/>
              <w:adjustRightInd w:val="0"/>
              <w:rPr>
                <w:rFonts w:eastAsia="Times New Roman"/>
                <w:color w:val="000000" w:themeColor="text1"/>
              </w:rPr>
            </w:pPr>
            <w:r w:rsidRPr="00C41FDC">
              <w:rPr>
                <w:rFonts w:eastAsia="Times New Roman"/>
                <w:color w:val="000000" w:themeColor="text1"/>
              </w:rPr>
              <w:t>0</w:t>
            </w:r>
            <w:r w:rsidR="00C323B9" w:rsidRPr="00C41FDC">
              <w:rPr>
                <w:rFonts w:eastAsia="Times New Roman"/>
                <w:color w:val="000000" w:themeColor="text1"/>
              </w:rPr>
              <w:t>·</w:t>
            </w:r>
            <w:r w:rsidR="00122A70" w:rsidRPr="00C41FDC">
              <w:rPr>
                <w:rFonts w:eastAsia="Times New Roman"/>
                <w:color w:val="000000" w:themeColor="text1"/>
              </w:rPr>
              <w:t>27</w:t>
            </w:r>
          </w:p>
        </w:tc>
      </w:tr>
      <w:tr w:rsidR="00C41FDC" w:rsidRPr="00C41FDC" w14:paraId="4298C7C2" w14:textId="77777777" w:rsidTr="006271B8">
        <w:trPr>
          <w:trHeight w:val="300"/>
        </w:trPr>
        <w:tc>
          <w:tcPr>
            <w:tcW w:w="4800" w:type="dxa"/>
            <w:tcBorders>
              <w:top w:val="nil"/>
              <w:left w:val="nil"/>
              <w:bottom w:val="nil"/>
              <w:right w:val="nil"/>
            </w:tcBorders>
          </w:tcPr>
          <w:p w14:paraId="4A84B27A" w14:textId="52F046ED" w:rsidR="0045754D" w:rsidRPr="00C41FDC" w:rsidRDefault="0045754D" w:rsidP="009D0972">
            <w:pPr>
              <w:autoSpaceDE w:val="0"/>
              <w:autoSpaceDN w:val="0"/>
              <w:adjustRightInd w:val="0"/>
              <w:rPr>
                <w:rFonts w:eastAsia="Times New Roman"/>
                <w:color w:val="000000" w:themeColor="text1"/>
              </w:rPr>
            </w:pPr>
            <w:r w:rsidRPr="00C41FDC">
              <w:rPr>
                <w:rFonts w:eastAsia="Times New Roman"/>
                <w:color w:val="000000" w:themeColor="text1"/>
              </w:rPr>
              <w:t xml:space="preserve">Median follow-up </w:t>
            </w:r>
            <w:r w:rsidR="00250EA4" w:rsidRPr="00C41FDC">
              <w:rPr>
                <w:rFonts w:eastAsia="Times New Roman"/>
                <w:color w:val="000000" w:themeColor="text1"/>
              </w:rPr>
              <w:t xml:space="preserve">in years </w:t>
            </w:r>
            <w:r w:rsidRPr="00C41FDC">
              <w:rPr>
                <w:rFonts w:eastAsia="Times New Roman"/>
                <w:color w:val="000000" w:themeColor="text1"/>
              </w:rPr>
              <w:t>(</w:t>
            </w:r>
            <w:r w:rsidR="00250EA4" w:rsidRPr="00C41FDC">
              <w:rPr>
                <w:rFonts w:eastAsia="Times New Roman"/>
                <w:color w:val="000000" w:themeColor="text1"/>
              </w:rPr>
              <w:t>range)</w:t>
            </w:r>
          </w:p>
        </w:tc>
        <w:tc>
          <w:tcPr>
            <w:tcW w:w="1800" w:type="dxa"/>
            <w:tcBorders>
              <w:top w:val="nil"/>
              <w:left w:val="nil"/>
              <w:bottom w:val="nil"/>
              <w:right w:val="nil"/>
            </w:tcBorders>
          </w:tcPr>
          <w:p w14:paraId="5FBFE09D" w14:textId="2137C252" w:rsidR="0045754D" w:rsidRPr="00C41FDC" w:rsidRDefault="00250EA4" w:rsidP="009D0972">
            <w:pPr>
              <w:autoSpaceDE w:val="0"/>
              <w:autoSpaceDN w:val="0"/>
              <w:adjustRightInd w:val="0"/>
              <w:rPr>
                <w:rFonts w:eastAsia="Times New Roman"/>
                <w:color w:val="000000" w:themeColor="text1"/>
              </w:rPr>
            </w:pPr>
            <w:r w:rsidRPr="00C41FDC">
              <w:rPr>
                <w:rFonts w:eastAsia="Times New Roman"/>
                <w:color w:val="000000" w:themeColor="text1"/>
              </w:rPr>
              <w:t>2</w:t>
            </w:r>
            <w:r w:rsidR="00423B83" w:rsidRPr="00C41FDC">
              <w:rPr>
                <w:rFonts w:eastAsia="Times New Roman"/>
                <w:color w:val="000000" w:themeColor="text1"/>
              </w:rPr>
              <w:t>·</w:t>
            </w:r>
            <w:r w:rsidRPr="00C41FDC">
              <w:rPr>
                <w:rFonts w:eastAsia="Times New Roman"/>
                <w:color w:val="000000" w:themeColor="text1"/>
              </w:rPr>
              <w:t>6 (0</w:t>
            </w:r>
            <w:r w:rsidR="00423B83" w:rsidRPr="00C41FDC">
              <w:rPr>
                <w:rFonts w:eastAsia="Times New Roman"/>
                <w:color w:val="000000" w:themeColor="text1"/>
              </w:rPr>
              <w:t>·</w:t>
            </w:r>
            <w:r w:rsidRPr="00C41FDC">
              <w:rPr>
                <w:rFonts w:eastAsia="Times New Roman"/>
                <w:color w:val="000000" w:themeColor="text1"/>
              </w:rPr>
              <w:t>5 – 11</w:t>
            </w:r>
            <w:r w:rsidR="00423B83" w:rsidRPr="00C41FDC">
              <w:rPr>
                <w:rFonts w:eastAsia="Times New Roman"/>
                <w:color w:val="000000" w:themeColor="text1"/>
              </w:rPr>
              <w:t>·</w:t>
            </w:r>
            <w:r w:rsidRPr="00C41FDC">
              <w:rPr>
                <w:rFonts w:eastAsia="Times New Roman"/>
                <w:color w:val="000000" w:themeColor="text1"/>
              </w:rPr>
              <w:t>3)</w:t>
            </w:r>
          </w:p>
        </w:tc>
        <w:tc>
          <w:tcPr>
            <w:tcW w:w="1890" w:type="dxa"/>
            <w:tcBorders>
              <w:top w:val="nil"/>
              <w:left w:val="nil"/>
              <w:bottom w:val="nil"/>
              <w:right w:val="nil"/>
            </w:tcBorders>
          </w:tcPr>
          <w:p w14:paraId="5F18CF42" w14:textId="7AA02449" w:rsidR="0045754D" w:rsidRPr="00C41FDC" w:rsidRDefault="00250EA4" w:rsidP="009D0972">
            <w:pPr>
              <w:autoSpaceDE w:val="0"/>
              <w:autoSpaceDN w:val="0"/>
              <w:adjustRightInd w:val="0"/>
              <w:rPr>
                <w:rFonts w:eastAsia="Times New Roman"/>
                <w:color w:val="000000" w:themeColor="text1"/>
              </w:rPr>
            </w:pPr>
            <w:r w:rsidRPr="00C41FDC">
              <w:rPr>
                <w:rFonts w:eastAsia="Times New Roman"/>
                <w:color w:val="000000" w:themeColor="text1"/>
              </w:rPr>
              <w:t>3</w:t>
            </w:r>
            <w:r w:rsidR="00423B83" w:rsidRPr="00C41FDC">
              <w:rPr>
                <w:rFonts w:eastAsia="Times New Roman"/>
                <w:color w:val="000000" w:themeColor="text1"/>
              </w:rPr>
              <w:t>·</w:t>
            </w:r>
            <w:r w:rsidRPr="00C41FDC">
              <w:rPr>
                <w:rFonts w:eastAsia="Times New Roman"/>
                <w:color w:val="000000" w:themeColor="text1"/>
              </w:rPr>
              <w:t>0 (0</w:t>
            </w:r>
            <w:r w:rsidR="00423B83" w:rsidRPr="00C41FDC">
              <w:rPr>
                <w:rFonts w:eastAsia="Times New Roman"/>
                <w:color w:val="000000" w:themeColor="text1"/>
              </w:rPr>
              <w:t>·</w:t>
            </w:r>
            <w:r w:rsidRPr="00C41FDC">
              <w:rPr>
                <w:rFonts w:eastAsia="Times New Roman"/>
                <w:color w:val="000000" w:themeColor="text1"/>
              </w:rPr>
              <w:t>3 – 8</w:t>
            </w:r>
            <w:r w:rsidR="00423B83" w:rsidRPr="00C41FDC">
              <w:rPr>
                <w:rFonts w:eastAsia="Times New Roman"/>
                <w:color w:val="000000" w:themeColor="text1"/>
              </w:rPr>
              <w:t>·</w:t>
            </w:r>
            <w:r w:rsidRPr="00C41FDC">
              <w:rPr>
                <w:rFonts w:eastAsia="Times New Roman"/>
                <w:color w:val="000000" w:themeColor="text1"/>
              </w:rPr>
              <w:t>9)</w:t>
            </w:r>
          </w:p>
        </w:tc>
        <w:tc>
          <w:tcPr>
            <w:tcW w:w="1350" w:type="dxa"/>
            <w:tcBorders>
              <w:top w:val="nil"/>
              <w:left w:val="nil"/>
              <w:bottom w:val="nil"/>
              <w:right w:val="nil"/>
            </w:tcBorders>
          </w:tcPr>
          <w:p w14:paraId="55D40A37" w14:textId="3A15A699" w:rsidR="0045754D" w:rsidRPr="00C41FDC" w:rsidRDefault="00250EA4" w:rsidP="009D0972">
            <w:pPr>
              <w:autoSpaceDE w:val="0"/>
              <w:autoSpaceDN w:val="0"/>
              <w:adjustRightInd w:val="0"/>
              <w:rPr>
                <w:rFonts w:eastAsia="Times New Roman"/>
                <w:color w:val="000000" w:themeColor="text1"/>
              </w:rPr>
            </w:pPr>
            <w:r w:rsidRPr="00C41FDC">
              <w:rPr>
                <w:rFonts w:eastAsia="Times New Roman"/>
                <w:color w:val="000000" w:themeColor="text1"/>
              </w:rPr>
              <w:t>0</w:t>
            </w:r>
            <w:r w:rsidR="00423B83" w:rsidRPr="00C41FDC">
              <w:rPr>
                <w:rFonts w:eastAsia="Times New Roman"/>
                <w:color w:val="000000" w:themeColor="text1"/>
              </w:rPr>
              <w:t>·</w:t>
            </w:r>
            <w:r w:rsidRPr="00C41FDC">
              <w:rPr>
                <w:rFonts w:eastAsia="Times New Roman"/>
                <w:color w:val="000000" w:themeColor="text1"/>
              </w:rPr>
              <w:t>03</w:t>
            </w:r>
          </w:p>
        </w:tc>
      </w:tr>
      <w:tr w:rsidR="00C41FDC" w:rsidRPr="00C41FDC" w14:paraId="2A33AF3F" w14:textId="0651A9D6" w:rsidTr="006271B8">
        <w:trPr>
          <w:trHeight w:val="300"/>
        </w:trPr>
        <w:tc>
          <w:tcPr>
            <w:tcW w:w="4800" w:type="dxa"/>
            <w:tcBorders>
              <w:top w:val="nil"/>
              <w:left w:val="nil"/>
              <w:bottom w:val="nil"/>
              <w:right w:val="nil"/>
            </w:tcBorders>
          </w:tcPr>
          <w:p w14:paraId="3E005162" w14:textId="77777777" w:rsidR="002C15BB" w:rsidRPr="00C41FDC" w:rsidRDefault="002C15BB" w:rsidP="009D0972">
            <w:pPr>
              <w:autoSpaceDE w:val="0"/>
              <w:autoSpaceDN w:val="0"/>
              <w:adjustRightInd w:val="0"/>
              <w:rPr>
                <w:rFonts w:eastAsia="Times New Roman"/>
                <w:color w:val="000000" w:themeColor="text1"/>
              </w:rPr>
            </w:pPr>
            <w:r w:rsidRPr="00C41FDC">
              <w:rPr>
                <w:rFonts w:eastAsia="Times New Roman"/>
                <w:color w:val="000000" w:themeColor="text1"/>
              </w:rPr>
              <w:t xml:space="preserve">Never / ever smokers </w:t>
            </w:r>
          </w:p>
        </w:tc>
        <w:tc>
          <w:tcPr>
            <w:tcW w:w="1800" w:type="dxa"/>
            <w:tcBorders>
              <w:top w:val="nil"/>
              <w:left w:val="nil"/>
              <w:bottom w:val="nil"/>
              <w:right w:val="nil"/>
            </w:tcBorders>
          </w:tcPr>
          <w:p w14:paraId="2D3F03B4" w14:textId="16AC10A2" w:rsidR="002C15BB" w:rsidRPr="00C41FDC" w:rsidRDefault="002C15BB" w:rsidP="009D0972">
            <w:pPr>
              <w:autoSpaceDE w:val="0"/>
              <w:autoSpaceDN w:val="0"/>
              <w:adjustRightInd w:val="0"/>
              <w:rPr>
                <w:rFonts w:eastAsia="Times New Roman"/>
                <w:color w:val="000000" w:themeColor="text1"/>
              </w:rPr>
            </w:pPr>
            <w:r w:rsidRPr="00C41FDC">
              <w:rPr>
                <w:rFonts w:eastAsia="Times New Roman"/>
                <w:color w:val="000000" w:themeColor="text1"/>
              </w:rPr>
              <w:t>4</w:t>
            </w:r>
            <w:r w:rsidR="00122A70" w:rsidRPr="00C41FDC">
              <w:rPr>
                <w:rFonts w:eastAsia="Times New Roman"/>
                <w:color w:val="000000" w:themeColor="text1"/>
              </w:rPr>
              <w:t>3</w:t>
            </w:r>
            <w:r w:rsidRPr="00C41FDC">
              <w:rPr>
                <w:rFonts w:eastAsia="Times New Roman"/>
                <w:color w:val="000000" w:themeColor="text1"/>
              </w:rPr>
              <w:t xml:space="preserve"> / </w:t>
            </w:r>
            <w:r w:rsidR="00122A70" w:rsidRPr="00C41FDC">
              <w:rPr>
                <w:rFonts w:eastAsia="Times New Roman"/>
                <w:color w:val="000000" w:themeColor="text1"/>
              </w:rPr>
              <w:t>99</w:t>
            </w:r>
          </w:p>
        </w:tc>
        <w:tc>
          <w:tcPr>
            <w:tcW w:w="1890" w:type="dxa"/>
            <w:tcBorders>
              <w:top w:val="nil"/>
              <w:left w:val="nil"/>
              <w:bottom w:val="nil"/>
              <w:right w:val="nil"/>
            </w:tcBorders>
          </w:tcPr>
          <w:p w14:paraId="657DE7D4" w14:textId="223A2BD9" w:rsidR="002C15BB" w:rsidRPr="00C41FDC" w:rsidRDefault="002C15BB" w:rsidP="009D0972">
            <w:pPr>
              <w:autoSpaceDE w:val="0"/>
              <w:autoSpaceDN w:val="0"/>
              <w:adjustRightInd w:val="0"/>
              <w:rPr>
                <w:rFonts w:eastAsia="Times New Roman"/>
                <w:color w:val="000000" w:themeColor="text1"/>
              </w:rPr>
            </w:pPr>
            <w:r w:rsidRPr="00C41FDC">
              <w:rPr>
                <w:rFonts w:eastAsia="Times New Roman"/>
                <w:color w:val="000000" w:themeColor="text1"/>
              </w:rPr>
              <w:t>40 / 105</w:t>
            </w:r>
          </w:p>
        </w:tc>
        <w:tc>
          <w:tcPr>
            <w:tcW w:w="1350" w:type="dxa"/>
            <w:tcBorders>
              <w:top w:val="nil"/>
              <w:left w:val="nil"/>
              <w:bottom w:val="nil"/>
              <w:right w:val="nil"/>
            </w:tcBorders>
          </w:tcPr>
          <w:p w14:paraId="05ED1ADD" w14:textId="0BEF0B0C" w:rsidR="002C15BB" w:rsidRPr="00C41FDC" w:rsidRDefault="000D7C83" w:rsidP="009D0972">
            <w:pPr>
              <w:autoSpaceDE w:val="0"/>
              <w:autoSpaceDN w:val="0"/>
              <w:adjustRightInd w:val="0"/>
              <w:rPr>
                <w:rFonts w:eastAsia="Times New Roman"/>
                <w:color w:val="000000" w:themeColor="text1"/>
              </w:rPr>
            </w:pPr>
            <w:r w:rsidRPr="00C41FDC">
              <w:rPr>
                <w:rFonts w:eastAsia="Times New Roman"/>
                <w:color w:val="000000" w:themeColor="text1"/>
              </w:rPr>
              <w:t>0</w:t>
            </w:r>
            <w:r w:rsidR="00C323B9" w:rsidRPr="00C41FDC">
              <w:rPr>
                <w:rFonts w:eastAsia="Times New Roman"/>
                <w:color w:val="000000" w:themeColor="text1"/>
              </w:rPr>
              <w:t>·</w:t>
            </w:r>
            <w:r w:rsidR="00122A70" w:rsidRPr="00C41FDC">
              <w:rPr>
                <w:rFonts w:eastAsia="Times New Roman"/>
                <w:color w:val="000000" w:themeColor="text1"/>
              </w:rPr>
              <w:t>61</w:t>
            </w:r>
          </w:p>
        </w:tc>
      </w:tr>
      <w:tr w:rsidR="00C41FDC" w:rsidRPr="00C41FDC" w14:paraId="6D42C49E" w14:textId="742C3286" w:rsidTr="006271B8">
        <w:trPr>
          <w:trHeight w:val="300"/>
        </w:trPr>
        <w:tc>
          <w:tcPr>
            <w:tcW w:w="4800" w:type="dxa"/>
            <w:tcBorders>
              <w:top w:val="nil"/>
              <w:left w:val="nil"/>
              <w:bottom w:val="nil"/>
              <w:right w:val="nil"/>
            </w:tcBorders>
          </w:tcPr>
          <w:p w14:paraId="1BD6C7B3" w14:textId="77777777" w:rsidR="002C15BB" w:rsidRPr="00C41FDC" w:rsidRDefault="002C15BB" w:rsidP="009D0972">
            <w:pPr>
              <w:autoSpaceDE w:val="0"/>
              <w:autoSpaceDN w:val="0"/>
              <w:adjustRightInd w:val="0"/>
              <w:rPr>
                <w:rFonts w:eastAsia="Times New Roman"/>
                <w:color w:val="000000" w:themeColor="text1"/>
              </w:rPr>
            </w:pPr>
            <w:r w:rsidRPr="00C41FDC">
              <w:rPr>
                <w:rFonts w:eastAsia="Times New Roman"/>
                <w:color w:val="000000" w:themeColor="text1"/>
              </w:rPr>
              <w:t xml:space="preserve">Pack years (smokers only) </w:t>
            </w:r>
          </w:p>
        </w:tc>
        <w:tc>
          <w:tcPr>
            <w:tcW w:w="1800" w:type="dxa"/>
            <w:tcBorders>
              <w:top w:val="nil"/>
              <w:left w:val="nil"/>
              <w:bottom w:val="nil"/>
              <w:right w:val="nil"/>
            </w:tcBorders>
          </w:tcPr>
          <w:p w14:paraId="19B7E044" w14:textId="22EEE260" w:rsidR="002C15BB" w:rsidRPr="00C41FDC" w:rsidRDefault="002C15BB" w:rsidP="009D0972">
            <w:pPr>
              <w:autoSpaceDE w:val="0"/>
              <w:autoSpaceDN w:val="0"/>
              <w:adjustRightInd w:val="0"/>
              <w:rPr>
                <w:rFonts w:eastAsia="Times New Roman"/>
                <w:color w:val="000000" w:themeColor="text1"/>
              </w:rPr>
            </w:pPr>
            <w:r w:rsidRPr="00C41FDC">
              <w:rPr>
                <w:rFonts w:eastAsia="Times New Roman"/>
                <w:color w:val="000000" w:themeColor="text1"/>
              </w:rPr>
              <w:t>3</w:t>
            </w:r>
            <w:r w:rsidR="00122A70" w:rsidRPr="00C41FDC">
              <w:rPr>
                <w:rFonts w:eastAsia="Times New Roman"/>
                <w:color w:val="000000" w:themeColor="text1"/>
              </w:rPr>
              <w:t>6</w:t>
            </w:r>
            <w:bookmarkStart w:id="278" w:name="OLE_LINK118"/>
            <w:bookmarkStart w:id="279" w:name="OLE_LINK121"/>
            <w:r w:rsidR="00C323B9" w:rsidRPr="00C41FDC">
              <w:rPr>
                <w:rFonts w:eastAsia="Times New Roman"/>
                <w:color w:val="000000" w:themeColor="text1"/>
              </w:rPr>
              <w:t>·</w:t>
            </w:r>
            <w:bookmarkEnd w:id="278"/>
            <w:bookmarkEnd w:id="279"/>
            <w:r w:rsidR="00122A70" w:rsidRPr="00C41FDC">
              <w:rPr>
                <w:rFonts w:eastAsia="Times New Roman"/>
                <w:color w:val="000000" w:themeColor="text1"/>
              </w:rPr>
              <w:t>0</w:t>
            </w:r>
            <w:r w:rsidRPr="00C41FDC">
              <w:rPr>
                <w:rFonts w:eastAsia="Times New Roman"/>
                <w:color w:val="000000" w:themeColor="text1"/>
              </w:rPr>
              <w:t xml:space="preserve"> +/- 3</w:t>
            </w:r>
            <w:r w:rsidR="00C323B9" w:rsidRPr="00C41FDC">
              <w:rPr>
                <w:rFonts w:eastAsia="Times New Roman"/>
                <w:color w:val="000000" w:themeColor="text1"/>
              </w:rPr>
              <w:t>1·</w:t>
            </w:r>
            <w:r w:rsidR="00122A70" w:rsidRPr="00C41FDC">
              <w:rPr>
                <w:rFonts w:eastAsia="Times New Roman"/>
                <w:color w:val="000000" w:themeColor="text1"/>
              </w:rPr>
              <w:t>2</w:t>
            </w:r>
          </w:p>
        </w:tc>
        <w:tc>
          <w:tcPr>
            <w:tcW w:w="1890" w:type="dxa"/>
            <w:tcBorders>
              <w:top w:val="nil"/>
              <w:left w:val="nil"/>
              <w:bottom w:val="nil"/>
              <w:right w:val="nil"/>
            </w:tcBorders>
          </w:tcPr>
          <w:p w14:paraId="3E235A0F" w14:textId="51996861" w:rsidR="002C15BB" w:rsidRPr="00C41FDC" w:rsidRDefault="002C15BB" w:rsidP="009D0972">
            <w:pPr>
              <w:autoSpaceDE w:val="0"/>
              <w:autoSpaceDN w:val="0"/>
              <w:adjustRightInd w:val="0"/>
              <w:rPr>
                <w:rFonts w:eastAsia="Times New Roman"/>
                <w:color w:val="000000" w:themeColor="text1"/>
              </w:rPr>
            </w:pPr>
            <w:r w:rsidRPr="00C41FDC">
              <w:rPr>
                <w:rFonts w:eastAsia="Times New Roman"/>
                <w:color w:val="000000" w:themeColor="text1"/>
              </w:rPr>
              <w:t>22</w:t>
            </w:r>
            <w:r w:rsidR="00C323B9" w:rsidRPr="00C41FDC">
              <w:rPr>
                <w:rFonts w:eastAsia="Times New Roman"/>
                <w:color w:val="000000" w:themeColor="text1"/>
              </w:rPr>
              <w:t>·</w:t>
            </w:r>
            <w:r w:rsidRPr="00C41FDC">
              <w:rPr>
                <w:rFonts w:eastAsia="Times New Roman"/>
                <w:color w:val="000000" w:themeColor="text1"/>
              </w:rPr>
              <w:t>4 +/- 14</w:t>
            </w:r>
            <w:r w:rsidR="00C323B9" w:rsidRPr="00C41FDC">
              <w:rPr>
                <w:rFonts w:eastAsia="Times New Roman"/>
                <w:color w:val="000000" w:themeColor="text1"/>
              </w:rPr>
              <w:t>·</w:t>
            </w:r>
            <w:r w:rsidRPr="00C41FDC">
              <w:rPr>
                <w:rFonts w:eastAsia="Times New Roman"/>
                <w:color w:val="000000" w:themeColor="text1"/>
              </w:rPr>
              <w:t>2</w:t>
            </w:r>
          </w:p>
        </w:tc>
        <w:tc>
          <w:tcPr>
            <w:tcW w:w="1350" w:type="dxa"/>
            <w:tcBorders>
              <w:top w:val="nil"/>
              <w:left w:val="nil"/>
              <w:bottom w:val="nil"/>
              <w:right w:val="nil"/>
            </w:tcBorders>
          </w:tcPr>
          <w:p w14:paraId="5E9B3F41" w14:textId="73C683B5" w:rsidR="002C15BB" w:rsidRPr="00C41FDC" w:rsidRDefault="000D7C83" w:rsidP="009D0972">
            <w:pPr>
              <w:autoSpaceDE w:val="0"/>
              <w:autoSpaceDN w:val="0"/>
              <w:adjustRightInd w:val="0"/>
              <w:rPr>
                <w:rFonts w:eastAsia="Times New Roman"/>
                <w:color w:val="000000" w:themeColor="text1"/>
              </w:rPr>
            </w:pPr>
            <w:r w:rsidRPr="00C41FDC">
              <w:rPr>
                <w:rFonts w:eastAsia="Times New Roman"/>
                <w:color w:val="000000" w:themeColor="text1"/>
              </w:rPr>
              <w:t>0</w:t>
            </w:r>
            <w:r w:rsidR="00C323B9" w:rsidRPr="00C41FDC">
              <w:rPr>
                <w:rFonts w:eastAsia="Times New Roman"/>
                <w:color w:val="000000" w:themeColor="text1"/>
              </w:rPr>
              <w:t>·</w:t>
            </w:r>
            <w:r w:rsidRPr="00C41FDC">
              <w:rPr>
                <w:rFonts w:eastAsia="Times New Roman"/>
                <w:color w:val="000000" w:themeColor="text1"/>
              </w:rPr>
              <w:t>00</w:t>
            </w:r>
            <w:r w:rsidR="00122A70" w:rsidRPr="00C41FDC">
              <w:rPr>
                <w:rFonts w:eastAsia="Times New Roman"/>
                <w:color w:val="000000" w:themeColor="text1"/>
              </w:rPr>
              <w:t>2</w:t>
            </w:r>
          </w:p>
        </w:tc>
      </w:tr>
      <w:tr w:rsidR="00C41FDC" w:rsidRPr="00C41FDC" w14:paraId="52429629" w14:textId="04D69521" w:rsidTr="006271B8">
        <w:trPr>
          <w:trHeight w:val="300"/>
        </w:trPr>
        <w:tc>
          <w:tcPr>
            <w:tcW w:w="4800" w:type="dxa"/>
            <w:tcBorders>
              <w:top w:val="nil"/>
              <w:left w:val="nil"/>
              <w:bottom w:val="nil"/>
              <w:right w:val="nil"/>
            </w:tcBorders>
          </w:tcPr>
          <w:p w14:paraId="357DD311" w14:textId="192CA4C9" w:rsidR="002C15BB" w:rsidRPr="00C41FDC" w:rsidRDefault="002C15BB" w:rsidP="009D0972">
            <w:pPr>
              <w:autoSpaceDE w:val="0"/>
              <w:autoSpaceDN w:val="0"/>
              <w:adjustRightInd w:val="0"/>
              <w:rPr>
                <w:rFonts w:eastAsia="Times New Roman"/>
                <w:color w:val="000000" w:themeColor="text1"/>
              </w:rPr>
            </w:pPr>
            <w:r w:rsidRPr="00C41FDC">
              <w:rPr>
                <w:rFonts w:eastAsia="Times New Roman"/>
                <w:color w:val="000000" w:themeColor="text1"/>
              </w:rPr>
              <w:t>Antifibrotic (never / ever)</w:t>
            </w:r>
          </w:p>
        </w:tc>
        <w:tc>
          <w:tcPr>
            <w:tcW w:w="1800" w:type="dxa"/>
            <w:tcBorders>
              <w:top w:val="nil"/>
              <w:left w:val="nil"/>
              <w:bottom w:val="nil"/>
              <w:right w:val="nil"/>
            </w:tcBorders>
          </w:tcPr>
          <w:p w14:paraId="3716FBC8" w14:textId="1DF44ABE" w:rsidR="002C15BB" w:rsidRPr="00C41FDC" w:rsidRDefault="002C15BB" w:rsidP="009D0972">
            <w:pPr>
              <w:autoSpaceDE w:val="0"/>
              <w:autoSpaceDN w:val="0"/>
              <w:adjustRightInd w:val="0"/>
              <w:rPr>
                <w:rFonts w:eastAsia="Times New Roman"/>
                <w:color w:val="000000" w:themeColor="text1"/>
              </w:rPr>
            </w:pPr>
            <w:r w:rsidRPr="00C41FDC">
              <w:rPr>
                <w:rFonts w:eastAsia="Times New Roman"/>
                <w:color w:val="000000" w:themeColor="text1"/>
              </w:rPr>
              <w:t>2</w:t>
            </w:r>
            <w:r w:rsidR="00122A70" w:rsidRPr="00C41FDC">
              <w:rPr>
                <w:rFonts w:eastAsia="Times New Roman"/>
                <w:color w:val="000000" w:themeColor="text1"/>
              </w:rPr>
              <w:t>5</w:t>
            </w:r>
            <w:r w:rsidRPr="00C41FDC">
              <w:rPr>
                <w:rFonts w:eastAsia="Times New Roman"/>
                <w:color w:val="000000" w:themeColor="text1"/>
              </w:rPr>
              <w:t xml:space="preserve"> / 117</w:t>
            </w:r>
          </w:p>
        </w:tc>
        <w:tc>
          <w:tcPr>
            <w:tcW w:w="1890" w:type="dxa"/>
            <w:tcBorders>
              <w:top w:val="nil"/>
              <w:left w:val="nil"/>
              <w:bottom w:val="nil"/>
              <w:right w:val="nil"/>
            </w:tcBorders>
          </w:tcPr>
          <w:p w14:paraId="07C601E0" w14:textId="1B4B94D1" w:rsidR="002C15BB" w:rsidRPr="00C41FDC" w:rsidRDefault="002C15BB" w:rsidP="009D0972">
            <w:pPr>
              <w:autoSpaceDE w:val="0"/>
              <w:autoSpaceDN w:val="0"/>
              <w:adjustRightInd w:val="0"/>
              <w:rPr>
                <w:rFonts w:eastAsia="Times New Roman"/>
                <w:color w:val="000000" w:themeColor="text1"/>
              </w:rPr>
            </w:pPr>
            <w:r w:rsidRPr="00C41FDC">
              <w:rPr>
                <w:rFonts w:eastAsia="Times New Roman"/>
                <w:color w:val="000000" w:themeColor="text1"/>
              </w:rPr>
              <w:t xml:space="preserve">69 / 76 </w:t>
            </w:r>
          </w:p>
        </w:tc>
        <w:tc>
          <w:tcPr>
            <w:tcW w:w="1350" w:type="dxa"/>
            <w:tcBorders>
              <w:top w:val="nil"/>
              <w:left w:val="nil"/>
              <w:bottom w:val="nil"/>
              <w:right w:val="nil"/>
            </w:tcBorders>
          </w:tcPr>
          <w:p w14:paraId="3723D7C6" w14:textId="1BA2D86A" w:rsidR="002C15BB" w:rsidRPr="00C41FDC" w:rsidRDefault="000D7C83" w:rsidP="009D0972">
            <w:pPr>
              <w:autoSpaceDE w:val="0"/>
              <w:autoSpaceDN w:val="0"/>
              <w:adjustRightInd w:val="0"/>
              <w:rPr>
                <w:rFonts w:eastAsia="Times New Roman"/>
                <w:color w:val="000000" w:themeColor="text1"/>
              </w:rPr>
            </w:pPr>
            <w:r w:rsidRPr="00C41FDC">
              <w:rPr>
                <w:rFonts w:eastAsia="Times New Roman"/>
                <w:color w:val="000000" w:themeColor="text1"/>
              </w:rPr>
              <w:t>&lt; 0</w:t>
            </w:r>
            <w:r w:rsidR="00C323B9" w:rsidRPr="00C41FDC">
              <w:rPr>
                <w:rFonts w:eastAsia="Times New Roman"/>
                <w:color w:val="000000" w:themeColor="text1"/>
              </w:rPr>
              <w:t>·</w:t>
            </w:r>
            <w:r w:rsidRPr="00C41FDC">
              <w:rPr>
                <w:rFonts w:eastAsia="Times New Roman"/>
                <w:color w:val="000000" w:themeColor="text1"/>
              </w:rPr>
              <w:t>0001</w:t>
            </w:r>
          </w:p>
        </w:tc>
      </w:tr>
      <w:tr w:rsidR="00C41FDC" w:rsidRPr="00C41FDC" w14:paraId="2615EA1D" w14:textId="75199706" w:rsidTr="006271B8">
        <w:trPr>
          <w:trHeight w:val="300"/>
        </w:trPr>
        <w:tc>
          <w:tcPr>
            <w:tcW w:w="4800" w:type="dxa"/>
            <w:tcBorders>
              <w:top w:val="nil"/>
              <w:left w:val="nil"/>
              <w:bottom w:val="nil"/>
              <w:right w:val="nil"/>
            </w:tcBorders>
          </w:tcPr>
          <w:p w14:paraId="5F878E0A" w14:textId="77777777" w:rsidR="002C15BB" w:rsidRPr="00C41FDC" w:rsidRDefault="002C15BB" w:rsidP="009D0972">
            <w:pPr>
              <w:autoSpaceDE w:val="0"/>
              <w:autoSpaceDN w:val="0"/>
              <w:adjustRightInd w:val="0"/>
              <w:rPr>
                <w:rFonts w:eastAsia="Times New Roman"/>
                <w:color w:val="000000" w:themeColor="text1"/>
              </w:rPr>
            </w:pPr>
            <w:r w:rsidRPr="00C41FDC">
              <w:rPr>
                <w:rFonts w:eastAsia="Times New Roman"/>
                <w:color w:val="000000" w:themeColor="text1"/>
              </w:rPr>
              <w:t xml:space="preserve">FEV1 % predicted </w:t>
            </w:r>
          </w:p>
        </w:tc>
        <w:tc>
          <w:tcPr>
            <w:tcW w:w="1800" w:type="dxa"/>
            <w:tcBorders>
              <w:top w:val="nil"/>
              <w:left w:val="nil"/>
              <w:bottom w:val="nil"/>
              <w:right w:val="nil"/>
            </w:tcBorders>
          </w:tcPr>
          <w:p w14:paraId="6E610C18" w14:textId="4970526A" w:rsidR="002C15BB" w:rsidRPr="00C41FDC" w:rsidRDefault="002C15BB" w:rsidP="009D0972">
            <w:pPr>
              <w:autoSpaceDE w:val="0"/>
              <w:autoSpaceDN w:val="0"/>
              <w:adjustRightInd w:val="0"/>
              <w:rPr>
                <w:rFonts w:eastAsia="Times New Roman"/>
                <w:color w:val="000000" w:themeColor="text1"/>
              </w:rPr>
            </w:pPr>
            <w:r w:rsidRPr="00C41FDC">
              <w:rPr>
                <w:rFonts w:eastAsia="Times New Roman"/>
                <w:color w:val="000000" w:themeColor="text1"/>
              </w:rPr>
              <w:t>7</w:t>
            </w:r>
            <w:r w:rsidR="001E455A" w:rsidRPr="00C41FDC">
              <w:rPr>
                <w:rFonts w:eastAsia="Times New Roman"/>
                <w:color w:val="000000" w:themeColor="text1"/>
              </w:rPr>
              <w:t>8·</w:t>
            </w:r>
            <w:r w:rsidR="00122A70" w:rsidRPr="00C41FDC">
              <w:rPr>
                <w:rFonts w:eastAsia="Times New Roman"/>
                <w:color w:val="000000" w:themeColor="text1"/>
              </w:rPr>
              <w:t>7</w:t>
            </w:r>
            <w:r w:rsidRPr="00C41FDC">
              <w:rPr>
                <w:rFonts w:eastAsia="Times New Roman"/>
                <w:color w:val="000000" w:themeColor="text1"/>
              </w:rPr>
              <w:t xml:space="preserve"> +/- 22</w:t>
            </w:r>
            <w:r w:rsidR="00C323B9" w:rsidRPr="00C41FDC">
              <w:rPr>
                <w:rFonts w:eastAsia="Times New Roman"/>
                <w:color w:val="000000" w:themeColor="text1"/>
              </w:rPr>
              <w:t>·</w:t>
            </w:r>
            <w:r w:rsidR="00122A70" w:rsidRPr="00C41FDC">
              <w:rPr>
                <w:rFonts w:eastAsia="Times New Roman"/>
                <w:color w:val="000000" w:themeColor="text1"/>
              </w:rPr>
              <w:t>0</w:t>
            </w:r>
          </w:p>
        </w:tc>
        <w:tc>
          <w:tcPr>
            <w:tcW w:w="1890" w:type="dxa"/>
            <w:tcBorders>
              <w:top w:val="nil"/>
              <w:left w:val="nil"/>
              <w:bottom w:val="nil"/>
              <w:right w:val="nil"/>
            </w:tcBorders>
          </w:tcPr>
          <w:p w14:paraId="1C19D53B" w14:textId="7B8EBD1D" w:rsidR="002C15BB" w:rsidRPr="00C41FDC" w:rsidRDefault="002C15BB" w:rsidP="009D0972">
            <w:pPr>
              <w:autoSpaceDE w:val="0"/>
              <w:autoSpaceDN w:val="0"/>
              <w:adjustRightInd w:val="0"/>
              <w:rPr>
                <w:rFonts w:eastAsia="Times New Roman"/>
                <w:color w:val="000000" w:themeColor="text1"/>
              </w:rPr>
            </w:pPr>
            <w:r w:rsidRPr="00C41FDC">
              <w:rPr>
                <w:rFonts w:eastAsia="Times New Roman"/>
                <w:color w:val="000000" w:themeColor="text1"/>
              </w:rPr>
              <w:t>85</w:t>
            </w:r>
            <w:r w:rsidR="00C323B9" w:rsidRPr="00C41FDC">
              <w:rPr>
                <w:rFonts w:eastAsia="Times New Roman"/>
                <w:color w:val="000000" w:themeColor="text1"/>
              </w:rPr>
              <w:t>·</w:t>
            </w:r>
            <w:r w:rsidRPr="00C41FDC">
              <w:rPr>
                <w:rFonts w:eastAsia="Times New Roman"/>
                <w:color w:val="000000" w:themeColor="text1"/>
              </w:rPr>
              <w:t>5 +/- 1</w:t>
            </w:r>
            <w:r w:rsidR="001E455A" w:rsidRPr="00C41FDC">
              <w:rPr>
                <w:rFonts w:eastAsia="Times New Roman"/>
                <w:color w:val="000000" w:themeColor="text1"/>
              </w:rPr>
              <w:t>8·</w:t>
            </w:r>
            <w:r w:rsidR="00122A70" w:rsidRPr="00C41FDC">
              <w:rPr>
                <w:rFonts w:eastAsia="Times New Roman"/>
                <w:color w:val="000000" w:themeColor="text1"/>
              </w:rPr>
              <w:t>6</w:t>
            </w:r>
          </w:p>
        </w:tc>
        <w:tc>
          <w:tcPr>
            <w:tcW w:w="1350" w:type="dxa"/>
            <w:tcBorders>
              <w:top w:val="nil"/>
              <w:left w:val="nil"/>
              <w:bottom w:val="nil"/>
              <w:right w:val="nil"/>
            </w:tcBorders>
          </w:tcPr>
          <w:p w14:paraId="71C3C80C" w14:textId="6A8C0821" w:rsidR="002C15BB" w:rsidRPr="00C41FDC" w:rsidRDefault="000D7C83" w:rsidP="009D0972">
            <w:pPr>
              <w:autoSpaceDE w:val="0"/>
              <w:autoSpaceDN w:val="0"/>
              <w:adjustRightInd w:val="0"/>
              <w:rPr>
                <w:rFonts w:eastAsia="Times New Roman"/>
                <w:color w:val="000000" w:themeColor="text1"/>
              </w:rPr>
            </w:pPr>
            <w:r w:rsidRPr="00C41FDC">
              <w:rPr>
                <w:rFonts w:eastAsia="Times New Roman"/>
                <w:color w:val="000000" w:themeColor="text1"/>
              </w:rPr>
              <w:t>0</w:t>
            </w:r>
            <w:r w:rsidR="00C323B9" w:rsidRPr="00C41FDC">
              <w:rPr>
                <w:rFonts w:eastAsia="Times New Roman"/>
                <w:color w:val="000000" w:themeColor="text1"/>
              </w:rPr>
              <w:t>·</w:t>
            </w:r>
            <w:r w:rsidRPr="00C41FDC">
              <w:rPr>
                <w:rFonts w:eastAsia="Times New Roman"/>
                <w:color w:val="000000" w:themeColor="text1"/>
              </w:rPr>
              <w:t>0</w:t>
            </w:r>
            <w:r w:rsidR="00122A70" w:rsidRPr="00C41FDC">
              <w:rPr>
                <w:rFonts w:eastAsia="Times New Roman"/>
                <w:color w:val="000000" w:themeColor="text1"/>
              </w:rPr>
              <w:t>05</w:t>
            </w:r>
          </w:p>
        </w:tc>
      </w:tr>
      <w:tr w:rsidR="00C41FDC" w:rsidRPr="00C41FDC" w14:paraId="34B07611" w14:textId="7EDE72C3" w:rsidTr="006271B8">
        <w:trPr>
          <w:trHeight w:val="300"/>
        </w:trPr>
        <w:tc>
          <w:tcPr>
            <w:tcW w:w="4800" w:type="dxa"/>
            <w:tcBorders>
              <w:top w:val="nil"/>
              <w:left w:val="nil"/>
              <w:bottom w:val="nil"/>
              <w:right w:val="nil"/>
            </w:tcBorders>
          </w:tcPr>
          <w:p w14:paraId="31C31E6C" w14:textId="77777777" w:rsidR="002C15BB" w:rsidRPr="00C41FDC" w:rsidRDefault="002C15BB" w:rsidP="009D0972">
            <w:pPr>
              <w:autoSpaceDE w:val="0"/>
              <w:autoSpaceDN w:val="0"/>
              <w:adjustRightInd w:val="0"/>
              <w:rPr>
                <w:rFonts w:eastAsia="Times New Roman"/>
                <w:color w:val="000000" w:themeColor="text1"/>
              </w:rPr>
            </w:pPr>
            <w:r w:rsidRPr="00C41FDC">
              <w:rPr>
                <w:rFonts w:eastAsia="Times New Roman"/>
                <w:color w:val="000000" w:themeColor="text1"/>
              </w:rPr>
              <w:t xml:space="preserve">FVC % predicted </w:t>
            </w:r>
          </w:p>
        </w:tc>
        <w:tc>
          <w:tcPr>
            <w:tcW w:w="1800" w:type="dxa"/>
            <w:tcBorders>
              <w:top w:val="nil"/>
              <w:left w:val="nil"/>
              <w:bottom w:val="nil"/>
              <w:right w:val="nil"/>
            </w:tcBorders>
          </w:tcPr>
          <w:p w14:paraId="2572DE71" w14:textId="1AF80BA4" w:rsidR="002C15BB" w:rsidRPr="00C41FDC" w:rsidRDefault="002C15BB" w:rsidP="009D0972">
            <w:pPr>
              <w:autoSpaceDE w:val="0"/>
              <w:autoSpaceDN w:val="0"/>
              <w:adjustRightInd w:val="0"/>
              <w:rPr>
                <w:rFonts w:eastAsia="Times New Roman"/>
                <w:color w:val="000000" w:themeColor="text1"/>
              </w:rPr>
            </w:pPr>
            <w:r w:rsidRPr="00C41FDC">
              <w:rPr>
                <w:rFonts w:eastAsia="Times New Roman"/>
                <w:color w:val="000000" w:themeColor="text1"/>
              </w:rPr>
              <w:t>7</w:t>
            </w:r>
            <w:r w:rsidR="00122A70" w:rsidRPr="00C41FDC">
              <w:rPr>
                <w:rFonts w:eastAsia="Times New Roman"/>
                <w:color w:val="000000" w:themeColor="text1"/>
              </w:rPr>
              <w:t>4</w:t>
            </w:r>
            <w:r w:rsidR="00C323B9" w:rsidRPr="00C41FDC">
              <w:rPr>
                <w:rFonts w:eastAsia="Times New Roman"/>
                <w:color w:val="000000" w:themeColor="text1"/>
              </w:rPr>
              <w:t>·</w:t>
            </w:r>
            <w:r w:rsidR="00122A70" w:rsidRPr="00C41FDC">
              <w:rPr>
                <w:rFonts w:eastAsia="Times New Roman"/>
                <w:color w:val="000000" w:themeColor="text1"/>
              </w:rPr>
              <w:t>4</w:t>
            </w:r>
            <w:r w:rsidRPr="00C41FDC">
              <w:rPr>
                <w:rFonts w:eastAsia="Times New Roman"/>
                <w:color w:val="000000" w:themeColor="text1"/>
              </w:rPr>
              <w:t xml:space="preserve"> +/- 2</w:t>
            </w:r>
            <w:r w:rsidR="00C323B9" w:rsidRPr="00C41FDC">
              <w:rPr>
                <w:rFonts w:eastAsia="Times New Roman"/>
                <w:color w:val="000000" w:themeColor="text1"/>
              </w:rPr>
              <w:t>1·</w:t>
            </w:r>
            <w:r w:rsidR="00122A70" w:rsidRPr="00C41FDC">
              <w:rPr>
                <w:rFonts w:eastAsia="Times New Roman"/>
                <w:color w:val="000000" w:themeColor="text1"/>
              </w:rPr>
              <w:t>8</w:t>
            </w:r>
          </w:p>
        </w:tc>
        <w:tc>
          <w:tcPr>
            <w:tcW w:w="1890" w:type="dxa"/>
            <w:tcBorders>
              <w:top w:val="nil"/>
              <w:left w:val="nil"/>
              <w:bottom w:val="nil"/>
              <w:right w:val="nil"/>
            </w:tcBorders>
          </w:tcPr>
          <w:p w14:paraId="42CC5A49" w14:textId="25614511" w:rsidR="002C15BB" w:rsidRPr="00C41FDC" w:rsidRDefault="002C15BB" w:rsidP="009D0972">
            <w:pPr>
              <w:autoSpaceDE w:val="0"/>
              <w:autoSpaceDN w:val="0"/>
              <w:adjustRightInd w:val="0"/>
              <w:rPr>
                <w:rFonts w:eastAsia="Times New Roman"/>
                <w:color w:val="000000" w:themeColor="text1"/>
              </w:rPr>
            </w:pPr>
            <w:r w:rsidRPr="00C41FDC">
              <w:rPr>
                <w:rFonts w:eastAsia="Times New Roman"/>
                <w:color w:val="000000" w:themeColor="text1"/>
              </w:rPr>
              <w:t>79</w:t>
            </w:r>
            <w:r w:rsidR="00C323B9" w:rsidRPr="00C41FDC">
              <w:rPr>
                <w:rFonts w:eastAsia="Times New Roman"/>
                <w:color w:val="000000" w:themeColor="text1"/>
              </w:rPr>
              <w:t>·</w:t>
            </w:r>
            <w:r w:rsidR="00122A70" w:rsidRPr="00C41FDC">
              <w:rPr>
                <w:rFonts w:eastAsia="Times New Roman"/>
                <w:color w:val="000000" w:themeColor="text1"/>
              </w:rPr>
              <w:t>7</w:t>
            </w:r>
            <w:r w:rsidRPr="00C41FDC">
              <w:rPr>
                <w:rFonts w:eastAsia="Times New Roman"/>
                <w:color w:val="000000" w:themeColor="text1"/>
              </w:rPr>
              <w:t xml:space="preserve"> +/- 17</w:t>
            </w:r>
            <w:r w:rsidR="00C323B9" w:rsidRPr="00C41FDC">
              <w:rPr>
                <w:rFonts w:eastAsia="Times New Roman"/>
                <w:color w:val="000000" w:themeColor="text1"/>
              </w:rPr>
              <w:t>·</w:t>
            </w:r>
            <w:r w:rsidR="00122A70" w:rsidRPr="00C41FDC">
              <w:rPr>
                <w:rFonts w:eastAsia="Times New Roman"/>
                <w:color w:val="000000" w:themeColor="text1"/>
              </w:rPr>
              <w:t>8</w:t>
            </w:r>
          </w:p>
        </w:tc>
        <w:tc>
          <w:tcPr>
            <w:tcW w:w="1350" w:type="dxa"/>
            <w:tcBorders>
              <w:top w:val="nil"/>
              <w:left w:val="nil"/>
              <w:bottom w:val="nil"/>
              <w:right w:val="nil"/>
            </w:tcBorders>
          </w:tcPr>
          <w:p w14:paraId="36E58D2A" w14:textId="57CFC309" w:rsidR="002C15BB" w:rsidRPr="00C41FDC" w:rsidRDefault="000D7C83" w:rsidP="009D0972">
            <w:pPr>
              <w:autoSpaceDE w:val="0"/>
              <w:autoSpaceDN w:val="0"/>
              <w:adjustRightInd w:val="0"/>
              <w:rPr>
                <w:rFonts w:eastAsia="Times New Roman"/>
                <w:color w:val="000000" w:themeColor="text1"/>
              </w:rPr>
            </w:pPr>
            <w:r w:rsidRPr="00C41FDC">
              <w:rPr>
                <w:rFonts w:eastAsia="Times New Roman"/>
                <w:color w:val="000000" w:themeColor="text1"/>
              </w:rPr>
              <w:t>0</w:t>
            </w:r>
            <w:r w:rsidR="00C323B9" w:rsidRPr="00C41FDC">
              <w:rPr>
                <w:rFonts w:eastAsia="Times New Roman"/>
                <w:color w:val="000000" w:themeColor="text1"/>
              </w:rPr>
              <w:t>·</w:t>
            </w:r>
            <w:r w:rsidRPr="00C41FDC">
              <w:rPr>
                <w:rFonts w:eastAsia="Times New Roman"/>
                <w:color w:val="000000" w:themeColor="text1"/>
              </w:rPr>
              <w:t>0</w:t>
            </w:r>
            <w:r w:rsidR="00122A70" w:rsidRPr="00C41FDC">
              <w:rPr>
                <w:rFonts w:eastAsia="Times New Roman"/>
                <w:color w:val="000000" w:themeColor="text1"/>
              </w:rPr>
              <w:t>3</w:t>
            </w:r>
          </w:p>
        </w:tc>
      </w:tr>
      <w:tr w:rsidR="00C41FDC" w:rsidRPr="00C41FDC" w14:paraId="532F0EAE" w14:textId="1F655482" w:rsidTr="006271B8">
        <w:trPr>
          <w:trHeight w:val="300"/>
        </w:trPr>
        <w:tc>
          <w:tcPr>
            <w:tcW w:w="4800" w:type="dxa"/>
            <w:tcBorders>
              <w:top w:val="nil"/>
              <w:left w:val="nil"/>
              <w:bottom w:val="nil"/>
              <w:right w:val="nil"/>
            </w:tcBorders>
          </w:tcPr>
          <w:p w14:paraId="70AE31F4" w14:textId="77777777" w:rsidR="002C15BB" w:rsidRPr="00C41FDC" w:rsidRDefault="002C15BB" w:rsidP="009D0972">
            <w:pPr>
              <w:autoSpaceDE w:val="0"/>
              <w:autoSpaceDN w:val="0"/>
              <w:adjustRightInd w:val="0"/>
              <w:rPr>
                <w:rFonts w:eastAsia="Times New Roman"/>
                <w:color w:val="000000" w:themeColor="text1"/>
              </w:rPr>
            </w:pPr>
            <w:r w:rsidRPr="00C41FDC">
              <w:rPr>
                <w:rFonts w:eastAsia="Times New Roman"/>
                <w:color w:val="000000" w:themeColor="text1"/>
              </w:rPr>
              <w:t>DLco % predicted</w:t>
            </w:r>
          </w:p>
        </w:tc>
        <w:tc>
          <w:tcPr>
            <w:tcW w:w="1800" w:type="dxa"/>
            <w:tcBorders>
              <w:top w:val="nil"/>
              <w:left w:val="nil"/>
              <w:bottom w:val="nil"/>
              <w:right w:val="nil"/>
            </w:tcBorders>
          </w:tcPr>
          <w:p w14:paraId="65BF5E4A" w14:textId="67AAFAC6" w:rsidR="002C15BB" w:rsidRPr="00C41FDC" w:rsidRDefault="002C15BB" w:rsidP="009D0972">
            <w:pPr>
              <w:autoSpaceDE w:val="0"/>
              <w:autoSpaceDN w:val="0"/>
              <w:adjustRightInd w:val="0"/>
              <w:rPr>
                <w:rFonts w:eastAsia="Times New Roman"/>
                <w:color w:val="000000" w:themeColor="text1"/>
              </w:rPr>
            </w:pPr>
            <w:r w:rsidRPr="00C41FDC">
              <w:rPr>
                <w:rFonts w:eastAsia="Times New Roman"/>
                <w:color w:val="000000" w:themeColor="text1"/>
              </w:rPr>
              <w:t>50</w:t>
            </w:r>
            <w:r w:rsidR="00C323B9" w:rsidRPr="00C41FDC">
              <w:rPr>
                <w:rFonts w:eastAsia="Times New Roman"/>
                <w:color w:val="000000" w:themeColor="text1"/>
              </w:rPr>
              <w:t>·</w:t>
            </w:r>
            <w:r w:rsidR="00122A70" w:rsidRPr="00C41FDC">
              <w:rPr>
                <w:rFonts w:eastAsia="Times New Roman"/>
                <w:color w:val="000000" w:themeColor="text1"/>
              </w:rPr>
              <w:t>2</w:t>
            </w:r>
            <w:r w:rsidRPr="00C41FDC">
              <w:rPr>
                <w:rFonts w:eastAsia="Times New Roman"/>
                <w:color w:val="000000" w:themeColor="text1"/>
              </w:rPr>
              <w:t xml:space="preserve"> +/- 1</w:t>
            </w:r>
            <w:r w:rsidR="00122A70" w:rsidRPr="00C41FDC">
              <w:rPr>
                <w:rFonts w:eastAsia="Times New Roman"/>
                <w:color w:val="000000" w:themeColor="text1"/>
              </w:rPr>
              <w:t>7</w:t>
            </w:r>
            <w:r w:rsidR="00C323B9" w:rsidRPr="00C41FDC">
              <w:rPr>
                <w:rFonts w:eastAsia="Times New Roman"/>
                <w:color w:val="000000" w:themeColor="text1"/>
              </w:rPr>
              <w:t>·</w:t>
            </w:r>
            <w:r w:rsidR="00122A70" w:rsidRPr="00C41FDC">
              <w:rPr>
                <w:rFonts w:eastAsia="Times New Roman"/>
                <w:color w:val="000000" w:themeColor="text1"/>
              </w:rPr>
              <w:t>5</w:t>
            </w:r>
          </w:p>
        </w:tc>
        <w:tc>
          <w:tcPr>
            <w:tcW w:w="1890" w:type="dxa"/>
            <w:tcBorders>
              <w:top w:val="nil"/>
              <w:left w:val="nil"/>
              <w:bottom w:val="nil"/>
              <w:right w:val="nil"/>
            </w:tcBorders>
          </w:tcPr>
          <w:p w14:paraId="79913870" w14:textId="703C05F3" w:rsidR="002C15BB" w:rsidRPr="00C41FDC" w:rsidRDefault="002C15BB" w:rsidP="009D0972">
            <w:pPr>
              <w:autoSpaceDE w:val="0"/>
              <w:autoSpaceDN w:val="0"/>
              <w:adjustRightInd w:val="0"/>
              <w:rPr>
                <w:rFonts w:eastAsia="Times New Roman"/>
                <w:color w:val="000000" w:themeColor="text1"/>
              </w:rPr>
            </w:pPr>
            <w:r w:rsidRPr="00C41FDC">
              <w:rPr>
                <w:rFonts w:eastAsia="Times New Roman"/>
                <w:color w:val="000000" w:themeColor="text1"/>
              </w:rPr>
              <w:t>4</w:t>
            </w:r>
            <w:r w:rsidR="001E455A" w:rsidRPr="00C41FDC">
              <w:rPr>
                <w:rFonts w:eastAsia="Times New Roman"/>
                <w:color w:val="000000" w:themeColor="text1"/>
              </w:rPr>
              <w:t>8·</w:t>
            </w:r>
            <w:r w:rsidRPr="00C41FDC">
              <w:rPr>
                <w:rFonts w:eastAsia="Times New Roman"/>
                <w:color w:val="000000" w:themeColor="text1"/>
              </w:rPr>
              <w:t>7 +/- 14</w:t>
            </w:r>
            <w:r w:rsidR="00C323B9" w:rsidRPr="00C41FDC">
              <w:rPr>
                <w:rFonts w:eastAsia="Times New Roman"/>
                <w:color w:val="000000" w:themeColor="text1"/>
              </w:rPr>
              <w:t>·</w:t>
            </w:r>
            <w:r w:rsidRPr="00C41FDC">
              <w:rPr>
                <w:rFonts w:eastAsia="Times New Roman"/>
                <w:color w:val="000000" w:themeColor="text1"/>
              </w:rPr>
              <w:t>6</w:t>
            </w:r>
          </w:p>
        </w:tc>
        <w:tc>
          <w:tcPr>
            <w:tcW w:w="1350" w:type="dxa"/>
            <w:tcBorders>
              <w:top w:val="nil"/>
              <w:left w:val="nil"/>
              <w:bottom w:val="nil"/>
              <w:right w:val="nil"/>
            </w:tcBorders>
          </w:tcPr>
          <w:p w14:paraId="0D67C750" w14:textId="7A609DB5" w:rsidR="002C15BB" w:rsidRPr="00C41FDC" w:rsidRDefault="000D7C83" w:rsidP="009D0972">
            <w:pPr>
              <w:autoSpaceDE w:val="0"/>
              <w:autoSpaceDN w:val="0"/>
              <w:adjustRightInd w:val="0"/>
              <w:rPr>
                <w:rFonts w:eastAsia="Times New Roman"/>
                <w:color w:val="000000" w:themeColor="text1"/>
              </w:rPr>
            </w:pPr>
            <w:r w:rsidRPr="00C41FDC">
              <w:rPr>
                <w:rFonts w:eastAsia="Times New Roman"/>
                <w:color w:val="000000" w:themeColor="text1"/>
              </w:rPr>
              <w:t>0</w:t>
            </w:r>
            <w:r w:rsidR="00C323B9" w:rsidRPr="00C41FDC">
              <w:rPr>
                <w:rFonts w:eastAsia="Times New Roman"/>
                <w:color w:val="000000" w:themeColor="text1"/>
              </w:rPr>
              <w:t>·</w:t>
            </w:r>
            <w:r w:rsidR="00122A70" w:rsidRPr="00C41FDC">
              <w:rPr>
                <w:rFonts w:eastAsia="Times New Roman"/>
                <w:color w:val="000000" w:themeColor="text1"/>
              </w:rPr>
              <w:t>42</w:t>
            </w:r>
          </w:p>
        </w:tc>
      </w:tr>
      <w:tr w:rsidR="00C41FDC" w:rsidRPr="00C41FDC" w14:paraId="6D84C9EF" w14:textId="6155F17F" w:rsidTr="006271B8">
        <w:trPr>
          <w:trHeight w:val="300"/>
        </w:trPr>
        <w:tc>
          <w:tcPr>
            <w:tcW w:w="4800" w:type="dxa"/>
            <w:tcBorders>
              <w:top w:val="nil"/>
              <w:left w:val="nil"/>
              <w:bottom w:val="nil"/>
              <w:right w:val="nil"/>
            </w:tcBorders>
          </w:tcPr>
          <w:p w14:paraId="020B55D2" w14:textId="15037674" w:rsidR="002C15BB" w:rsidRPr="00C41FDC" w:rsidRDefault="002C15BB" w:rsidP="009D0972">
            <w:pPr>
              <w:autoSpaceDE w:val="0"/>
              <w:autoSpaceDN w:val="0"/>
              <w:adjustRightInd w:val="0"/>
              <w:rPr>
                <w:rFonts w:eastAsia="Times New Roman"/>
                <w:color w:val="000000" w:themeColor="text1"/>
              </w:rPr>
            </w:pPr>
            <w:r w:rsidRPr="00C41FDC">
              <w:rPr>
                <w:rFonts w:eastAsia="Times New Roman"/>
                <w:color w:val="000000" w:themeColor="text1"/>
              </w:rPr>
              <w:t>Total visual ILD extent (%)</w:t>
            </w:r>
          </w:p>
        </w:tc>
        <w:tc>
          <w:tcPr>
            <w:tcW w:w="1800" w:type="dxa"/>
            <w:tcBorders>
              <w:top w:val="nil"/>
              <w:left w:val="nil"/>
              <w:bottom w:val="nil"/>
              <w:right w:val="nil"/>
            </w:tcBorders>
          </w:tcPr>
          <w:p w14:paraId="07E818FB" w14:textId="3A0A2B31" w:rsidR="002C15BB" w:rsidRPr="00C41FDC" w:rsidRDefault="002C15BB" w:rsidP="009D0972">
            <w:pPr>
              <w:autoSpaceDE w:val="0"/>
              <w:autoSpaceDN w:val="0"/>
              <w:adjustRightInd w:val="0"/>
              <w:rPr>
                <w:rFonts w:eastAsia="Times New Roman"/>
                <w:color w:val="000000" w:themeColor="text1"/>
              </w:rPr>
            </w:pPr>
            <w:r w:rsidRPr="00C41FDC">
              <w:rPr>
                <w:rFonts w:eastAsia="Times New Roman"/>
                <w:color w:val="000000" w:themeColor="text1"/>
              </w:rPr>
              <w:t>45</w:t>
            </w:r>
            <w:r w:rsidR="00C323B9" w:rsidRPr="00C41FDC">
              <w:rPr>
                <w:rFonts w:eastAsia="Times New Roman"/>
                <w:color w:val="000000" w:themeColor="text1"/>
              </w:rPr>
              <w:t>·</w:t>
            </w:r>
            <w:r w:rsidR="00122A70" w:rsidRPr="00C41FDC">
              <w:rPr>
                <w:rFonts w:eastAsia="Times New Roman"/>
                <w:color w:val="000000" w:themeColor="text1"/>
              </w:rPr>
              <w:t>2</w:t>
            </w:r>
            <w:r w:rsidRPr="00C41FDC">
              <w:rPr>
                <w:rFonts w:eastAsia="Times New Roman"/>
                <w:color w:val="000000" w:themeColor="text1"/>
              </w:rPr>
              <w:t xml:space="preserve"> +/- 12</w:t>
            </w:r>
            <w:r w:rsidR="00C323B9" w:rsidRPr="00C41FDC">
              <w:rPr>
                <w:rFonts w:eastAsia="Times New Roman"/>
                <w:color w:val="000000" w:themeColor="text1"/>
              </w:rPr>
              <w:t>·</w:t>
            </w:r>
            <w:r w:rsidR="00122A70" w:rsidRPr="00C41FDC">
              <w:rPr>
                <w:rFonts w:eastAsia="Times New Roman"/>
                <w:color w:val="000000" w:themeColor="text1"/>
              </w:rPr>
              <w:t>7</w:t>
            </w:r>
          </w:p>
        </w:tc>
        <w:tc>
          <w:tcPr>
            <w:tcW w:w="1890" w:type="dxa"/>
            <w:tcBorders>
              <w:top w:val="nil"/>
              <w:left w:val="nil"/>
              <w:bottom w:val="nil"/>
              <w:right w:val="nil"/>
            </w:tcBorders>
          </w:tcPr>
          <w:p w14:paraId="6E1317CB" w14:textId="0F7BEE04" w:rsidR="002C15BB" w:rsidRPr="00C41FDC" w:rsidRDefault="002C15BB" w:rsidP="009D0972">
            <w:pPr>
              <w:autoSpaceDE w:val="0"/>
              <w:autoSpaceDN w:val="0"/>
              <w:adjustRightInd w:val="0"/>
              <w:rPr>
                <w:rFonts w:eastAsia="Times New Roman"/>
                <w:color w:val="000000" w:themeColor="text1"/>
              </w:rPr>
            </w:pPr>
            <w:r w:rsidRPr="00C41FDC">
              <w:rPr>
                <w:rFonts w:eastAsia="Times New Roman"/>
                <w:color w:val="000000" w:themeColor="text1"/>
              </w:rPr>
              <w:t>35</w:t>
            </w:r>
            <w:r w:rsidR="00C323B9" w:rsidRPr="00C41FDC">
              <w:rPr>
                <w:rFonts w:eastAsia="Times New Roman"/>
                <w:color w:val="000000" w:themeColor="text1"/>
              </w:rPr>
              <w:t>·</w:t>
            </w:r>
            <w:r w:rsidRPr="00C41FDC">
              <w:rPr>
                <w:rFonts w:eastAsia="Times New Roman"/>
                <w:color w:val="000000" w:themeColor="text1"/>
              </w:rPr>
              <w:t>9 +/- 12</w:t>
            </w:r>
            <w:r w:rsidR="00C323B9" w:rsidRPr="00C41FDC">
              <w:rPr>
                <w:rFonts w:eastAsia="Times New Roman"/>
                <w:color w:val="000000" w:themeColor="text1"/>
              </w:rPr>
              <w:t>·</w:t>
            </w:r>
            <w:r w:rsidRPr="00C41FDC">
              <w:rPr>
                <w:rFonts w:eastAsia="Times New Roman"/>
                <w:color w:val="000000" w:themeColor="text1"/>
              </w:rPr>
              <w:t>6</w:t>
            </w:r>
          </w:p>
        </w:tc>
        <w:tc>
          <w:tcPr>
            <w:tcW w:w="1350" w:type="dxa"/>
            <w:tcBorders>
              <w:top w:val="nil"/>
              <w:left w:val="nil"/>
              <w:bottom w:val="nil"/>
              <w:right w:val="nil"/>
            </w:tcBorders>
          </w:tcPr>
          <w:p w14:paraId="391E8023" w14:textId="1FDE26D1" w:rsidR="002C15BB" w:rsidRPr="00C41FDC" w:rsidRDefault="000D7C83" w:rsidP="009D0972">
            <w:pPr>
              <w:autoSpaceDE w:val="0"/>
              <w:autoSpaceDN w:val="0"/>
              <w:adjustRightInd w:val="0"/>
              <w:rPr>
                <w:rFonts w:eastAsia="Times New Roman"/>
                <w:color w:val="000000" w:themeColor="text1"/>
              </w:rPr>
            </w:pPr>
            <w:r w:rsidRPr="00C41FDC">
              <w:rPr>
                <w:rFonts w:eastAsia="Times New Roman"/>
                <w:color w:val="000000" w:themeColor="text1"/>
              </w:rPr>
              <w:t>&lt; 0</w:t>
            </w:r>
            <w:r w:rsidR="00C323B9" w:rsidRPr="00C41FDC">
              <w:rPr>
                <w:rFonts w:eastAsia="Times New Roman"/>
                <w:color w:val="000000" w:themeColor="text1"/>
              </w:rPr>
              <w:t>·</w:t>
            </w:r>
            <w:r w:rsidRPr="00C41FDC">
              <w:rPr>
                <w:rFonts w:eastAsia="Times New Roman"/>
                <w:color w:val="000000" w:themeColor="text1"/>
              </w:rPr>
              <w:t>0001</w:t>
            </w:r>
          </w:p>
        </w:tc>
      </w:tr>
      <w:tr w:rsidR="00C41FDC" w:rsidRPr="00C41FDC" w14:paraId="3E4A27F1" w14:textId="622680E0" w:rsidTr="006271B8">
        <w:trPr>
          <w:trHeight w:val="300"/>
        </w:trPr>
        <w:tc>
          <w:tcPr>
            <w:tcW w:w="4800" w:type="dxa"/>
            <w:tcBorders>
              <w:top w:val="nil"/>
              <w:left w:val="nil"/>
              <w:bottom w:val="nil"/>
              <w:right w:val="nil"/>
            </w:tcBorders>
          </w:tcPr>
          <w:p w14:paraId="1A43C8D7" w14:textId="02DDD0FA" w:rsidR="002C15BB" w:rsidRPr="00C41FDC" w:rsidRDefault="002C15BB" w:rsidP="009D0972">
            <w:pPr>
              <w:autoSpaceDE w:val="0"/>
              <w:autoSpaceDN w:val="0"/>
              <w:adjustRightInd w:val="0"/>
              <w:rPr>
                <w:rFonts w:eastAsia="Times New Roman"/>
                <w:color w:val="000000" w:themeColor="text1"/>
              </w:rPr>
            </w:pPr>
            <w:r w:rsidRPr="00C41FDC">
              <w:rPr>
                <w:rFonts w:eastAsia="Times New Roman"/>
                <w:color w:val="000000" w:themeColor="text1"/>
              </w:rPr>
              <w:t>Total visual emphysema extent (%)</w:t>
            </w:r>
          </w:p>
        </w:tc>
        <w:tc>
          <w:tcPr>
            <w:tcW w:w="1800" w:type="dxa"/>
            <w:tcBorders>
              <w:top w:val="nil"/>
              <w:left w:val="nil"/>
              <w:bottom w:val="nil"/>
              <w:right w:val="nil"/>
            </w:tcBorders>
          </w:tcPr>
          <w:p w14:paraId="357CB30D" w14:textId="692E9017" w:rsidR="002C15BB" w:rsidRPr="00C41FDC" w:rsidRDefault="002C15BB" w:rsidP="009D0972">
            <w:pPr>
              <w:autoSpaceDE w:val="0"/>
              <w:autoSpaceDN w:val="0"/>
              <w:adjustRightInd w:val="0"/>
              <w:rPr>
                <w:rFonts w:eastAsia="Times New Roman"/>
                <w:color w:val="000000" w:themeColor="text1"/>
              </w:rPr>
            </w:pPr>
            <w:r w:rsidRPr="00C41FDC">
              <w:rPr>
                <w:rFonts w:eastAsia="Times New Roman"/>
                <w:color w:val="000000" w:themeColor="text1"/>
              </w:rPr>
              <w:t>10</w:t>
            </w:r>
            <w:r w:rsidR="00C323B9" w:rsidRPr="00C41FDC">
              <w:rPr>
                <w:rFonts w:eastAsia="Times New Roman"/>
                <w:color w:val="000000" w:themeColor="text1"/>
              </w:rPr>
              <w:t>·</w:t>
            </w:r>
            <w:r w:rsidR="00122A70" w:rsidRPr="00C41FDC">
              <w:rPr>
                <w:rFonts w:eastAsia="Times New Roman"/>
                <w:color w:val="000000" w:themeColor="text1"/>
              </w:rPr>
              <w:t>0</w:t>
            </w:r>
            <w:r w:rsidRPr="00C41FDC">
              <w:rPr>
                <w:rFonts w:eastAsia="Times New Roman"/>
                <w:color w:val="000000" w:themeColor="text1"/>
              </w:rPr>
              <w:t xml:space="preserve"> +/- 1</w:t>
            </w:r>
            <w:r w:rsidR="00C323B9" w:rsidRPr="00C41FDC">
              <w:rPr>
                <w:rFonts w:eastAsia="Times New Roman"/>
                <w:color w:val="000000" w:themeColor="text1"/>
              </w:rPr>
              <w:t>1·</w:t>
            </w:r>
            <w:r w:rsidRPr="00C41FDC">
              <w:rPr>
                <w:rFonts w:eastAsia="Times New Roman"/>
                <w:color w:val="000000" w:themeColor="text1"/>
              </w:rPr>
              <w:t>8</w:t>
            </w:r>
          </w:p>
        </w:tc>
        <w:tc>
          <w:tcPr>
            <w:tcW w:w="1890" w:type="dxa"/>
            <w:tcBorders>
              <w:top w:val="nil"/>
              <w:left w:val="nil"/>
              <w:bottom w:val="nil"/>
              <w:right w:val="nil"/>
            </w:tcBorders>
          </w:tcPr>
          <w:p w14:paraId="0BEDD67D" w14:textId="43E17C69" w:rsidR="002C15BB" w:rsidRPr="00C41FDC" w:rsidRDefault="002C15BB" w:rsidP="009D0972">
            <w:pPr>
              <w:autoSpaceDE w:val="0"/>
              <w:autoSpaceDN w:val="0"/>
              <w:adjustRightInd w:val="0"/>
              <w:rPr>
                <w:rFonts w:eastAsia="Times New Roman"/>
                <w:color w:val="000000" w:themeColor="text1"/>
              </w:rPr>
            </w:pPr>
            <w:r w:rsidRPr="00C41FDC">
              <w:rPr>
                <w:rFonts w:eastAsia="Times New Roman"/>
                <w:color w:val="000000" w:themeColor="text1"/>
              </w:rPr>
              <w:t>6</w:t>
            </w:r>
            <w:r w:rsidR="00C323B9" w:rsidRPr="00C41FDC">
              <w:rPr>
                <w:rFonts w:eastAsia="Times New Roman"/>
                <w:color w:val="000000" w:themeColor="text1"/>
              </w:rPr>
              <w:t>·</w:t>
            </w:r>
            <w:r w:rsidRPr="00C41FDC">
              <w:rPr>
                <w:rFonts w:eastAsia="Times New Roman"/>
                <w:color w:val="000000" w:themeColor="text1"/>
              </w:rPr>
              <w:t xml:space="preserve">6 +/- </w:t>
            </w:r>
            <w:r w:rsidR="001E455A" w:rsidRPr="00C41FDC">
              <w:rPr>
                <w:rFonts w:eastAsia="Times New Roman"/>
                <w:color w:val="000000" w:themeColor="text1"/>
              </w:rPr>
              <w:t>8·</w:t>
            </w:r>
            <w:r w:rsidRPr="00C41FDC">
              <w:rPr>
                <w:rFonts w:eastAsia="Times New Roman"/>
                <w:color w:val="000000" w:themeColor="text1"/>
              </w:rPr>
              <w:t>2</w:t>
            </w:r>
          </w:p>
        </w:tc>
        <w:tc>
          <w:tcPr>
            <w:tcW w:w="1350" w:type="dxa"/>
            <w:tcBorders>
              <w:top w:val="nil"/>
              <w:left w:val="nil"/>
              <w:bottom w:val="nil"/>
              <w:right w:val="nil"/>
            </w:tcBorders>
          </w:tcPr>
          <w:p w14:paraId="7A2AFA1F" w14:textId="7A9F79D8" w:rsidR="002C15BB" w:rsidRPr="00C41FDC" w:rsidRDefault="000D7C83" w:rsidP="009D0972">
            <w:pPr>
              <w:autoSpaceDE w:val="0"/>
              <w:autoSpaceDN w:val="0"/>
              <w:adjustRightInd w:val="0"/>
              <w:rPr>
                <w:rFonts w:eastAsia="Times New Roman"/>
                <w:color w:val="000000" w:themeColor="text1"/>
              </w:rPr>
            </w:pPr>
            <w:r w:rsidRPr="00C41FDC">
              <w:rPr>
                <w:rFonts w:eastAsia="Times New Roman"/>
                <w:color w:val="000000" w:themeColor="text1"/>
              </w:rPr>
              <w:t>0</w:t>
            </w:r>
            <w:r w:rsidR="00C323B9" w:rsidRPr="00C41FDC">
              <w:rPr>
                <w:rFonts w:eastAsia="Times New Roman"/>
                <w:color w:val="000000" w:themeColor="text1"/>
              </w:rPr>
              <w:t>·</w:t>
            </w:r>
            <w:r w:rsidRPr="00C41FDC">
              <w:rPr>
                <w:rFonts w:eastAsia="Times New Roman"/>
                <w:color w:val="000000" w:themeColor="text1"/>
              </w:rPr>
              <w:t>00</w:t>
            </w:r>
            <w:r w:rsidR="00122A70" w:rsidRPr="00C41FDC">
              <w:rPr>
                <w:rFonts w:eastAsia="Times New Roman"/>
                <w:color w:val="000000" w:themeColor="text1"/>
              </w:rPr>
              <w:t>6</w:t>
            </w:r>
          </w:p>
        </w:tc>
      </w:tr>
      <w:tr w:rsidR="00C41FDC" w:rsidRPr="00C41FDC" w14:paraId="078A0EF1" w14:textId="5DCA74EA" w:rsidTr="006271B8">
        <w:trPr>
          <w:trHeight w:val="300"/>
        </w:trPr>
        <w:tc>
          <w:tcPr>
            <w:tcW w:w="4800" w:type="dxa"/>
            <w:tcBorders>
              <w:top w:val="nil"/>
              <w:left w:val="nil"/>
              <w:right w:val="nil"/>
            </w:tcBorders>
          </w:tcPr>
          <w:p w14:paraId="0CFEE040" w14:textId="6F096CEF" w:rsidR="002C15BB" w:rsidRPr="00C41FDC" w:rsidRDefault="002C15BB" w:rsidP="009D0972">
            <w:pPr>
              <w:autoSpaceDE w:val="0"/>
              <w:autoSpaceDN w:val="0"/>
              <w:adjustRightInd w:val="0"/>
              <w:rPr>
                <w:rFonts w:eastAsia="Times New Roman"/>
                <w:color w:val="000000" w:themeColor="text1"/>
              </w:rPr>
            </w:pPr>
            <w:r w:rsidRPr="00C41FDC">
              <w:rPr>
                <w:rFonts w:eastAsia="Times New Roman"/>
                <w:color w:val="000000" w:themeColor="text1"/>
              </w:rPr>
              <w:t xml:space="preserve">Total visual PPFE extent (max. score = </w:t>
            </w:r>
            <w:r w:rsidR="00F90558" w:rsidRPr="00C41FDC">
              <w:rPr>
                <w:rFonts w:eastAsia="Times New Roman"/>
                <w:color w:val="000000" w:themeColor="text1"/>
              </w:rPr>
              <w:t>18</w:t>
            </w:r>
            <w:r w:rsidRPr="00C41FDC">
              <w:rPr>
                <w:rFonts w:eastAsia="Times New Roman"/>
                <w:color w:val="000000" w:themeColor="text1"/>
              </w:rPr>
              <w:t>)</w:t>
            </w:r>
          </w:p>
        </w:tc>
        <w:tc>
          <w:tcPr>
            <w:tcW w:w="1800" w:type="dxa"/>
            <w:tcBorders>
              <w:top w:val="nil"/>
              <w:left w:val="nil"/>
              <w:right w:val="nil"/>
            </w:tcBorders>
          </w:tcPr>
          <w:p w14:paraId="28EDB9CA" w14:textId="5100639B" w:rsidR="002C15BB" w:rsidRPr="00C41FDC" w:rsidRDefault="002C15BB" w:rsidP="009D0972">
            <w:pPr>
              <w:autoSpaceDE w:val="0"/>
              <w:autoSpaceDN w:val="0"/>
              <w:adjustRightInd w:val="0"/>
              <w:rPr>
                <w:rFonts w:eastAsia="Times New Roman"/>
                <w:color w:val="000000" w:themeColor="text1"/>
              </w:rPr>
            </w:pPr>
            <w:r w:rsidRPr="00C41FDC">
              <w:rPr>
                <w:rFonts w:eastAsia="Times New Roman"/>
                <w:color w:val="000000" w:themeColor="text1"/>
              </w:rPr>
              <w:t>3</w:t>
            </w:r>
            <w:r w:rsidR="00C323B9" w:rsidRPr="00C41FDC">
              <w:rPr>
                <w:rFonts w:eastAsia="Times New Roman"/>
                <w:color w:val="000000" w:themeColor="text1"/>
              </w:rPr>
              <w:t>·</w:t>
            </w:r>
            <w:r w:rsidRPr="00C41FDC">
              <w:rPr>
                <w:rFonts w:eastAsia="Times New Roman"/>
                <w:color w:val="000000" w:themeColor="text1"/>
              </w:rPr>
              <w:t>7 +/- 2</w:t>
            </w:r>
            <w:r w:rsidR="00C323B9" w:rsidRPr="00C41FDC">
              <w:rPr>
                <w:rFonts w:eastAsia="Times New Roman"/>
                <w:color w:val="000000" w:themeColor="text1"/>
              </w:rPr>
              <w:t>·</w:t>
            </w:r>
            <w:r w:rsidRPr="00C41FDC">
              <w:rPr>
                <w:rFonts w:eastAsia="Times New Roman"/>
                <w:color w:val="000000" w:themeColor="text1"/>
              </w:rPr>
              <w:t>6</w:t>
            </w:r>
          </w:p>
        </w:tc>
        <w:tc>
          <w:tcPr>
            <w:tcW w:w="1890" w:type="dxa"/>
            <w:tcBorders>
              <w:top w:val="nil"/>
              <w:left w:val="nil"/>
              <w:right w:val="nil"/>
            </w:tcBorders>
          </w:tcPr>
          <w:p w14:paraId="42FD393F" w14:textId="162A9B3C" w:rsidR="002C15BB" w:rsidRPr="00C41FDC" w:rsidRDefault="002C15BB" w:rsidP="009D0972">
            <w:pPr>
              <w:autoSpaceDE w:val="0"/>
              <w:autoSpaceDN w:val="0"/>
              <w:adjustRightInd w:val="0"/>
              <w:rPr>
                <w:rFonts w:eastAsia="Times New Roman"/>
                <w:color w:val="000000" w:themeColor="text1"/>
              </w:rPr>
            </w:pPr>
            <w:r w:rsidRPr="00C41FDC">
              <w:rPr>
                <w:rFonts w:eastAsia="Times New Roman"/>
                <w:color w:val="000000" w:themeColor="text1"/>
              </w:rPr>
              <w:t>3</w:t>
            </w:r>
            <w:r w:rsidR="00C323B9" w:rsidRPr="00C41FDC">
              <w:rPr>
                <w:rFonts w:eastAsia="Times New Roman"/>
                <w:color w:val="000000" w:themeColor="text1"/>
              </w:rPr>
              <w:t>·</w:t>
            </w:r>
            <w:r w:rsidRPr="00C41FDC">
              <w:rPr>
                <w:rFonts w:eastAsia="Times New Roman"/>
                <w:color w:val="000000" w:themeColor="text1"/>
              </w:rPr>
              <w:t>2 +/- 2</w:t>
            </w:r>
            <w:r w:rsidR="00C323B9" w:rsidRPr="00C41FDC">
              <w:rPr>
                <w:rFonts w:eastAsia="Times New Roman"/>
                <w:color w:val="000000" w:themeColor="text1"/>
              </w:rPr>
              <w:t>·</w:t>
            </w:r>
            <w:r w:rsidRPr="00C41FDC">
              <w:rPr>
                <w:rFonts w:eastAsia="Times New Roman"/>
                <w:color w:val="000000" w:themeColor="text1"/>
              </w:rPr>
              <w:t>4</w:t>
            </w:r>
          </w:p>
        </w:tc>
        <w:tc>
          <w:tcPr>
            <w:tcW w:w="1350" w:type="dxa"/>
            <w:tcBorders>
              <w:top w:val="nil"/>
              <w:left w:val="nil"/>
              <w:right w:val="nil"/>
            </w:tcBorders>
          </w:tcPr>
          <w:p w14:paraId="3AF42660" w14:textId="2CE1BAEE" w:rsidR="002C15BB" w:rsidRPr="00C41FDC" w:rsidRDefault="000D7C83" w:rsidP="009D0972">
            <w:pPr>
              <w:autoSpaceDE w:val="0"/>
              <w:autoSpaceDN w:val="0"/>
              <w:adjustRightInd w:val="0"/>
              <w:rPr>
                <w:rFonts w:eastAsia="Times New Roman"/>
                <w:color w:val="000000" w:themeColor="text1"/>
              </w:rPr>
            </w:pPr>
            <w:r w:rsidRPr="00C41FDC">
              <w:rPr>
                <w:rFonts w:eastAsia="Times New Roman"/>
                <w:color w:val="000000" w:themeColor="text1"/>
              </w:rPr>
              <w:t>0</w:t>
            </w:r>
            <w:r w:rsidR="00C323B9" w:rsidRPr="00C41FDC">
              <w:rPr>
                <w:rFonts w:eastAsia="Times New Roman"/>
                <w:color w:val="000000" w:themeColor="text1"/>
              </w:rPr>
              <w:t>·</w:t>
            </w:r>
            <w:r w:rsidRPr="00C41FDC">
              <w:rPr>
                <w:rFonts w:eastAsia="Times New Roman"/>
                <w:color w:val="000000" w:themeColor="text1"/>
              </w:rPr>
              <w:t>2</w:t>
            </w:r>
            <w:r w:rsidR="00122A70" w:rsidRPr="00C41FDC">
              <w:rPr>
                <w:rFonts w:eastAsia="Times New Roman"/>
                <w:color w:val="000000" w:themeColor="text1"/>
              </w:rPr>
              <w:t>2</w:t>
            </w:r>
          </w:p>
        </w:tc>
      </w:tr>
      <w:tr w:rsidR="00C41FDC" w:rsidRPr="00C41FDC" w14:paraId="4F71EF9C" w14:textId="437103E5" w:rsidTr="006271B8">
        <w:trPr>
          <w:trHeight w:val="300"/>
        </w:trPr>
        <w:tc>
          <w:tcPr>
            <w:tcW w:w="4800" w:type="dxa"/>
            <w:tcBorders>
              <w:top w:val="nil"/>
              <w:left w:val="nil"/>
              <w:right w:val="nil"/>
            </w:tcBorders>
          </w:tcPr>
          <w:p w14:paraId="236D7136" w14:textId="5C04E40B" w:rsidR="002C15BB" w:rsidRPr="00C41FDC" w:rsidRDefault="002C15BB" w:rsidP="009D0972">
            <w:pPr>
              <w:autoSpaceDE w:val="0"/>
              <w:autoSpaceDN w:val="0"/>
              <w:adjustRightInd w:val="0"/>
              <w:rPr>
                <w:rFonts w:eastAsia="Times New Roman"/>
                <w:color w:val="000000" w:themeColor="text1"/>
              </w:rPr>
            </w:pPr>
            <w:r w:rsidRPr="00C41FDC">
              <w:rPr>
                <w:rFonts w:eastAsia="Times New Roman"/>
                <w:color w:val="000000" w:themeColor="text1"/>
              </w:rPr>
              <w:t>Upper-lobe visual PPFE extent (max. score = 6)</w:t>
            </w:r>
          </w:p>
        </w:tc>
        <w:tc>
          <w:tcPr>
            <w:tcW w:w="1800" w:type="dxa"/>
            <w:tcBorders>
              <w:top w:val="nil"/>
              <w:left w:val="nil"/>
              <w:right w:val="nil"/>
            </w:tcBorders>
          </w:tcPr>
          <w:p w14:paraId="389CF910" w14:textId="163CC35D" w:rsidR="002C15BB" w:rsidRPr="00C41FDC" w:rsidRDefault="002C15BB" w:rsidP="009D0972">
            <w:pPr>
              <w:autoSpaceDE w:val="0"/>
              <w:autoSpaceDN w:val="0"/>
              <w:adjustRightInd w:val="0"/>
              <w:rPr>
                <w:rFonts w:eastAsia="Times New Roman"/>
                <w:color w:val="000000" w:themeColor="text1"/>
              </w:rPr>
            </w:pPr>
            <w:r w:rsidRPr="00C41FDC">
              <w:rPr>
                <w:rFonts w:eastAsia="Times New Roman"/>
                <w:color w:val="000000" w:themeColor="text1"/>
              </w:rPr>
              <w:t>2</w:t>
            </w:r>
            <w:r w:rsidR="00C323B9" w:rsidRPr="00C41FDC">
              <w:rPr>
                <w:rFonts w:eastAsia="Times New Roman"/>
                <w:color w:val="000000" w:themeColor="text1"/>
              </w:rPr>
              <w:t>·</w:t>
            </w:r>
            <w:r w:rsidRPr="00C41FDC">
              <w:rPr>
                <w:rFonts w:eastAsia="Times New Roman"/>
                <w:color w:val="000000" w:themeColor="text1"/>
              </w:rPr>
              <w:t>3 +/- 0</w:t>
            </w:r>
            <w:r w:rsidR="00C323B9" w:rsidRPr="00C41FDC">
              <w:rPr>
                <w:rFonts w:eastAsia="Times New Roman"/>
                <w:color w:val="000000" w:themeColor="text1"/>
              </w:rPr>
              <w:t>·</w:t>
            </w:r>
            <w:r w:rsidR="00122A70" w:rsidRPr="00C41FDC">
              <w:rPr>
                <w:rFonts w:eastAsia="Times New Roman"/>
                <w:color w:val="000000" w:themeColor="text1"/>
              </w:rPr>
              <w:t>8</w:t>
            </w:r>
          </w:p>
        </w:tc>
        <w:tc>
          <w:tcPr>
            <w:tcW w:w="1890" w:type="dxa"/>
            <w:tcBorders>
              <w:top w:val="nil"/>
              <w:left w:val="nil"/>
              <w:right w:val="nil"/>
            </w:tcBorders>
          </w:tcPr>
          <w:p w14:paraId="790BA97C" w14:textId="02F080AF" w:rsidR="002C15BB" w:rsidRPr="00C41FDC" w:rsidRDefault="002C15BB" w:rsidP="009D0972">
            <w:pPr>
              <w:autoSpaceDE w:val="0"/>
              <w:autoSpaceDN w:val="0"/>
              <w:adjustRightInd w:val="0"/>
              <w:rPr>
                <w:rFonts w:eastAsia="Times New Roman"/>
                <w:color w:val="000000" w:themeColor="text1"/>
              </w:rPr>
            </w:pPr>
            <w:r w:rsidRPr="00C41FDC">
              <w:rPr>
                <w:rFonts w:eastAsia="Times New Roman"/>
                <w:color w:val="000000" w:themeColor="text1"/>
              </w:rPr>
              <w:t>2</w:t>
            </w:r>
            <w:r w:rsidR="00C323B9" w:rsidRPr="00C41FDC">
              <w:rPr>
                <w:rFonts w:eastAsia="Times New Roman"/>
                <w:color w:val="000000" w:themeColor="text1"/>
              </w:rPr>
              <w:t>·</w:t>
            </w:r>
            <w:r w:rsidRPr="00C41FDC">
              <w:rPr>
                <w:rFonts w:eastAsia="Times New Roman"/>
                <w:color w:val="000000" w:themeColor="text1"/>
              </w:rPr>
              <w:t>2 +/- 0</w:t>
            </w:r>
            <w:r w:rsidR="00C323B9" w:rsidRPr="00C41FDC">
              <w:rPr>
                <w:rFonts w:eastAsia="Times New Roman"/>
                <w:color w:val="000000" w:themeColor="text1"/>
              </w:rPr>
              <w:t>·</w:t>
            </w:r>
            <w:r w:rsidRPr="00C41FDC">
              <w:rPr>
                <w:rFonts w:eastAsia="Times New Roman"/>
                <w:color w:val="000000" w:themeColor="text1"/>
              </w:rPr>
              <w:t>9</w:t>
            </w:r>
          </w:p>
        </w:tc>
        <w:tc>
          <w:tcPr>
            <w:tcW w:w="1350" w:type="dxa"/>
            <w:tcBorders>
              <w:top w:val="nil"/>
              <w:left w:val="nil"/>
              <w:right w:val="nil"/>
            </w:tcBorders>
          </w:tcPr>
          <w:p w14:paraId="61AF4BEB" w14:textId="1B1D2FC4" w:rsidR="002C15BB" w:rsidRPr="00C41FDC" w:rsidRDefault="000D7C83" w:rsidP="009D0972">
            <w:pPr>
              <w:autoSpaceDE w:val="0"/>
              <w:autoSpaceDN w:val="0"/>
              <w:adjustRightInd w:val="0"/>
              <w:rPr>
                <w:rFonts w:eastAsia="Times New Roman"/>
                <w:color w:val="000000" w:themeColor="text1"/>
              </w:rPr>
            </w:pPr>
            <w:r w:rsidRPr="00C41FDC">
              <w:rPr>
                <w:rFonts w:eastAsia="Times New Roman"/>
                <w:color w:val="000000" w:themeColor="text1"/>
              </w:rPr>
              <w:t>0</w:t>
            </w:r>
            <w:r w:rsidR="00C323B9" w:rsidRPr="00C41FDC">
              <w:rPr>
                <w:rFonts w:eastAsia="Times New Roman"/>
                <w:color w:val="000000" w:themeColor="text1"/>
              </w:rPr>
              <w:t>·</w:t>
            </w:r>
            <w:r w:rsidR="00122A70" w:rsidRPr="00C41FDC">
              <w:rPr>
                <w:rFonts w:eastAsia="Times New Roman"/>
                <w:color w:val="000000" w:themeColor="text1"/>
              </w:rPr>
              <w:t>29</w:t>
            </w:r>
          </w:p>
        </w:tc>
      </w:tr>
      <w:tr w:rsidR="00C41FDC" w:rsidRPr="00C41FDC" w14:paraId="17A75C4F" w14:textId="1D006D82" w:rsidTr="006271B8">
        <w:trPr>
          <w:trHeight w:val="300"/>
        </w:trPr>
        <w:tc>
          <w:tcPr>
            <w:tcW w:w="4800" w:type="dxa"/>
            <w:tcBorders>
              <w:left w:val="nil"/>
              <w:bottom w:val="single" w:sz="12" w:space="0" w:color="000000" w:themeColor="text1"/>
              <w:right w:val="nil"/>
            </w:tcBorders>
          </w:tcPr>
          <w:p w14:paraId="530F5CE9" w14:textId="1CB59BE9" w:rsidR="002C15BB" w:rsidRPr="00C41FDC" w:rsidRDefault="002C15BB" w:rsidP="009D0972">
            <w:pPr>
              <w:autoSpaceDE w:val="0"/>
              <w:autoSpaceDN w:val="0"/>
              <w:adjustRightInd w:val="0"/>
              <w:rPr>
                <w:rFonts w:eastAsia="Times New Roman"/>
                <w:color w:val="000000" w:themeColor="text1"/>
              </w:rPr>
            </w:pPr>
            <w:r w:rsidRPr="00C41FDC">
              <w:rPr>
                <w:rFonts w:eastAsia="Times New Roman"/>
                <w:color w:val="000000" w:themeColor="text1"/>
              </w:rPr>
              <w:t>Median computerised PPFE score (%)</w:t>
            </w:r>
          </w:p>
        </w:tc>
        <w:tc>
          <w:tcPr>
            <w:tcW w:w="1800" w:type="dxa"/>
            <w:tcBorders>
              <w:left w:val="nil"/>
              <w:bottom w:val="single" w:sz="12" w:space="0" w:color="000000" w:themeColor="text1"/>
              <w:right w:val="nil"/>
            </w:tcBorders>
          </w:tcPr>
          <w:p w14:paraId="0F6C2579" w14:textId="7F988792" w:rsidR="002C15BB" w:rsidRPr="00C41FDC" w:rsidRDefault="002C15BB" w:rsidP="009D0972">
            <w:pPr>
              <w:autoSpaceDE w:val="0"/>
              <w:autoSpaceDN w:val="0"/>
              <w:adjustRightInd w:val="0"/>
              <w:rPr>
                <w:rFonts w:eastAsia="Times New Roman"/>
                <w:color w:val="000000" w:themeColor="text1"/>
              </w:rPr>
            </w:pPr>
            <w:r w:rsidRPr="00C41FDC">
              <w:rPr>
                <w:rFonts w:eastAsia="Times New Roman"/>
                <w:color w:val="000000" w:themeColor="text1"/>
              </w:rPr>
              <w:t>2</w:t>
            </w:r>
            <w:r w:rsidR="00C323B9" w:rsidRPr="00C41FDC">
              <w:rPr>
                <w:rFonts w:eastAsia="Times New Roman"/>
                <w:color w:val="000000" w:themeColor="text1"/>
              </w:rPr>
              <w:t>·</w:t>
            </w:r>
            <w:r w:rsidRPr="00C41FDC">
              <w:rPr>
                <w:rFonts w:eastAsia="Times New Roman"/>
                <w:color w:val="000000" w:themeColor="text1"/>
              </w:rPr>
              <w:t>7 +/- 6</w:t>
            </w:r>
            <w:r w:rsidR="00C323B9" w:rsidRPr="00C41FDC">
              <w:rPr>
                <w:rFonts w:eastAsia="Times New Roman"/>
                <w:color w:val="000000" w:themeColor="text1"/>
              </w:rPr>
              <w:t>·</w:t>
            </w:r>
            <w:r w:rsidR="00122A70" w:rsidRPr="00C41FDC">
              <w:rPr>
                <w:rFonts w:eastAsia="Times New Roman"/>
                <w:color w:val="000000" w:themeColor="text1"/>
              </w:rPr>
              <w:t>1</w:t>
            </w:r>
          </w:p>
        </w:tc>
        <w:tc>
          <w:tcPr>
            <w:tcW w:w="1890" w:type="dxa"/>
            <w:tcBorders>
              <w:left w:val="nil"/>
              <w:bottom w:val="single" w:sz="12" w:space="0" w:color="000000" w:themeColor="text1"/>
              <w:right w:val="nil"/>
            </w:tcBorders>
          </w:tcPr>
          <w:p w14:paraId="42E649BB" w14:textId="65C113B0" w:rsidR="002C15BB" w:rsidRPr="00C41FDC" w:rsidRDefault="002C15BB" w:rsidP="009D0972">
            <w:pPr>
              <w:autoSpaceDE w:val="0"/>
              <w:autoSpaceDN w:val="0"/>
              <w:adjustRightInd w:val="0"/>
              <w:rPr>
                <w:rFonts w:eastAsia="Times New Roman"/>
                <w:color w:val="000000" w:themeColor="text1"/>
              </w:rPr>
            </w:pPr>
            <w:r w:rsidRPr="00C41FDC">
              <w:rPr>
                <w:rFonts w:eastAsia="Times New Roman"/>
                <w:color w:val="000000" w:themeColor="text1"/>
              </w:rPr>
              <w:t>2</w:t>
            </w:r>
            <w:r w:rsidR="00C323B9" w:rsidRPr="00C41FDC">
              <w:rPr>
                <w:rFonts w:eastAsia="Times New Roman"/>
                <w:color w:val="000000" w:themeColor="text1"/>
              </w:rPr>
              <w:t>·</w:t>
            </w:r>
            <w:r w:rsidRPr="00C41FDC">
              <w:rPr>
                <w:rFonts w:eastAsia="Times New Roman"/>
                <w:color w:val="000000" w:themeColor="text1"/>
              </w:rPr>
              <w:t>5 +/- 3</w:t>
            </w:r>
            <w:r w:rsidR="00C323B9" w:rsidRPr="00C41FDC">
              <w:rPr>
                <w:rFonts w:eastAsia="Times New Roman"/>
                <w:color w:val="000000" w:themeColor="text1"/>
              </w:rPr>
              <w:t>·</w:t>
            </w:r>
            <w:r w:rsidRPr="00C41FDC">
              <w:rPr>
                <w:rFonts w:eastAsia="Times New Roman"/>
                <w:color w:val="000000" w:themeColor="text1"/>
              </w:rPr>
              <w:t>0</w:t>
            </w:r>
          </w:p>
        </w:tc>
        <w:tc>
          <w:tcPr>
            <w:tcW w:w="1350" w:type="dxa"/>
            <w:tcBorders>
              <w:left w:val="nil"/>
              <w:bottom w:val="single" w:sz="12" w:space="0" w:color="000000" w:themeColor="text1"/>
              <w:right w:val="nil"/>
            </w:tcBorders>
          </w:tcPr>
          <w:p w14:paraId="3475E6B9" w14:textId="6A0606DD" w:rsidR="002C15BB" w:rsidRPr="00C41FDC" w:rsidRDefault="000D7C83" w:rsidP="009D0972">
            <w:pPr>
              <w:autoSpaceDE w:val="0"/>
              <w:autoSpaceDN w:val="0"/>
              <w:adjustRightInd w:val="0"/>
              <w:rPr>
                <w:rFonts w:eastAsia="Times New Roman"/>
                <w:color w:val="000000" w:themeColor="text1"/>
              </w:rPr>
            </w:pPr>
            <w:r w:rsidRPr="00C41FDC">
              <w:rPr>
                <w:rFonts w:eastAsia="Times New Roman"/>
                <w:color w:val="000000" w:themeColor="text1"/>
              </w:rPr>
              <w:t>&lt; 0</w:t>
            </w:r>
            <w:r w:rsidR="00C323B9" w:rsidRPr="00C41FDC">
              <w:rPr>
                <w:rFonts w:eastAsia="Times New Roman"/>
                <w:color w:val="000000" w:themeColor="text1"/>
              </w:rPr>
              <w:t>·</w:t>
            </w:r>
            <w:r w:rsidRPr="00C41FDC">
              <w:rPr>
                <w:rFonts w:eastAsia="Times New Roman"/>
                <w:color w:val="000000" w:themeColor="text1"/>
              </w:rPr>
              <w:t>0001</w:t>
            </w:r>
          </w:p>
        </w:tc>
      </w:tr>
      <w:tr w:rsidR="00C41FDC" w:rsidRPr="00C41FDC" w14:paraId="684A2DA6" w14:textId="2A212086" w:rsidTr="006271B8">
        <w:trPr>
          <w:trHeight w:val="300"/>
        </w:trPr>
        <w:tc>
          <w:tcPr>
            <w:tcW w:w="4800" w:type="dxa"/>
            <w:tcBorders>
              <w:top w:val="single" w:sz="12" w:space="0" w:color="000000" w:themeColor="text1"/>
              <w:left w:val="nil"/>
              <w:bottom w:val="nil"/>
              <w:right w:val="nil"/>
            </w:tcBorders>
          </w:tcPr>
          <w:p w14:paraId="0A8D0038" w14:textId="77777777" w:rsidR="002C15BB" w:rsidRPr="00C41FDC" w:rsidRDefault="002C15BB" w:rsidP="009D0972">
            <w:pPr>
              <w:autoSpaceDE w:val="0"/>
              <w:autoSpaceDN w:val="0"/>
              <w:adjustRightInd w:val="0"/>
              <w:rPr>
                <w:rFonts w:eastAsia="Times New Roman"/>
                <w:color w:val="000000" w:themeColor="text1"/>
              </w:rPr>
            </w:pPr>
          </w:p>
        </w:tc>
        <w:tc>
          <w:tcPr>
            <w:tcW w:w="1800" w:type="dxa"/>
            <w:tcBorders>
              <w:top w:val="single" w:sz="12" w:space="0" w:color="000000" w:themeColor="text1"/>
              <w:left w:val="nil"/>
              <w:bottom w:val="nil"/>
              <w:right w:val="nil"/>
            </w:tcBorders>
          </w:tcPr>
          <w:p w14:paraId="5E4E1CB0" w14:textId="77777777" w:rsidR="002C15BB" w:rsidRPr="00C41FDC" w:rsidRDefault="002C15BB" w:rsidP="009D0972">
            <w:pPr>
              <w:autoSpaceDE w:val="0"/>
              <w:autoSpaceDN w:val="0"/>
              <w:adjustRightInd w:val="0"/>
              <w:rPr>
                <w:rFonts w:eastAsia="Times New Roman"/>
                <w:color w:val="000000" w:themeColor="text1"/>
              </w:rPr>
            </w:pPr>
          </w:p>
        </w:tc>
        <w:tc>
          <w:tcPr>
            <w:tcW w:w="1890" w:type="dxa"/>
            <w:tcBorders>
              <w:top w:val="single" w:sz="12" w:space="0" w:color="000000" w:themeColor="text1"/>
              <w:left w:val="nil"/>
              <w:bottom w:val="nil"/>
              <w:right w:val="nil"/>
            </w:tcBorders>
          </w:tcPr>
          <w:p w14:paraId="75AF7C8D" w14:textId="77777777" w:rsidR="002C15BB" w:rsidRPr="00C41FDC" w:rsidRDefault="002C15BB" w:rsidP="009D0972">
            <w:pPr>
              <w:autoSpaceDE w:val="0"/>
              <w:autoSpaceDN w:val="0"/>
              <w:adjustRightInd w:val="0"/>
              <w:rPr>
                <w:rFonts w:eastAsia="Times New Roman"/>
                <w:color w:val="000000" w:themeColor="text1"/>
              </w:rPr>
            </w:pPr>
          </w:p>
        </w:tc>
        <w:tc>
          <w:tcPr>
            <w:tcW w:w="1350" w:type="dxa"/>
            <w:tcBorders>
              <w:top w:val="single" w:sz="12" w:space="0" w:color="000000" w:themeColor="text1"/>
              <w:left w:val="nil"/>
              <w:bottom w:val="nil"/>
              <w:right w:val="nil"/>
            </w:tcBorders>
          </w:tcPr>
          <w:p w14:paraId="53E97BF0" w14:textId="77777777" w:rsidR="002C15BB" w:rsidRPr="00C41FDC" w:rsidRDefault="002C15BB" w:rsidP="009D0972">
            <w:pPr>
              <w:autoSpaceDE w:val="0"/>
              <w:autoSpaceDN w:val="0"/>
              <w:adjustRightInd w:val="0"/>
              <w:rPr>
                <w:rFonts w:eastAsia="Times New Roman"/>
                <w:color w:val="000000" w:themeColor="text1"/>
              </w:rPr>
            </w:pPr>
          </w:p>
        </w:tc>
      </w:tr>
    </w:tbl>
    <w:p w14:paraId="36059726" w14:textId="5B824373" w:rsidR="006A66F1" w:rsidRPr="00C41FDC" w:rsidRDefault="006A66F1" w:rsidP="00927C79">
      <w:pPr>
        <w:widowControl w:val="0"/>
        <w:autoSpaceDE w:val="0"/>
        <w:autoSpaceDN w:val="0"/>
        <w:adjustRightInd w:val="0"/>
        <w:spacing w:after="120" w:line="360" w:lineRule="auto"/>
        <w:ind w:left="640" w:hanging="640"/>
        <w:rPr>
          <w:color w:val="000000" w:themeColor="text1"/>
        </w:rPr>
      </w:pPr>
    </w:p>
    <w:p w14:paraId="2F628352" w14:textId="77777777" w:rsidR="006A66F1" w:rsidRPr="00C41FDC" w:rsidRDefault="006A66F1">
      <w:pPr>
        <w:rPr>
          <w:color w:val="000000" w:themeColor="text1"/>
        </w:rPr>
      </w:pPr>
      <w:r w:rsidRPr="00C41FDC">
        <w:rPr>
          <w:color w:val="000000" w:themeColor="text1"/>
        </w:rPr>
        <w:br w:type="page"/>
      </w:r>
    </w:p>
    <w:p w14:paraId="69ACE423" w14:textId="6C3628E9" w:rsidR="007D5BDD" w:rsidRPr="00C41FDC" w:rsidRDefault="0057683E" w:rsidP="00AE4E9B">
      <w:pPr>
        <w:spacing w:line="360" w:lineRule="auto"/>
        <w:rPr>
          <w:rStyle w:val="content"/>
          <w:rFonts w:eastAsia="Times New Roman"/>
          <w:color w:val="000000" w:themeColor="text1"/>
          <w:sz w:val="20"/>
          <w:szCs w:val="20"/>
          <w:lang w:val="en-US"/>
        </w:rPr>
      </w:pPr>
      <w:bookmarkStart w:id="280" w:name="OLE_LINK260"/>
      <w:bookmarkStart w:id="281" w:name="OLE_LINK261"/>
      <w:bookmarkStart w:id="282" w:name="OLE_LINK93"/>
      <w:bookmarkStart w:id="283" w:name="OLE_LINK94"/>
      <w:r w:rsidRPr="00C41FDC">
        <w:rPr>
          <w:rStyle w:val="content"/>
          <w:b/>
          <w:bCs/>
          <w:color w:val="000000" w:themeColor="text1"/>
        </w:rPr>
        <w:lastRenderedPageBreak/>
        <w:t xml:space="preserve">Table 2: </w:t>
      </w:r>
      <w:r w:rsidR="007D5BDD" w:rsidRPr="00C41FDC">
        <w:rPr>
          <w:rStyle w:val="content"/>
          <w:b/>
          <w:bCs/>
          <w:color w:val="000000" w:themeColor="text1"/>
        </w:rPr>
        <w:t>Demographic data stratified based on visual presence of PPFE.</w:t>
      </w:r>
      <w:bookmarkEnd w:id="280"/>
      <w:bookmarkEnd w:id="281"/>
      <w:r w:rsidR="007D5BDD" w:rsidRPr="00C41FDC">
        <w:rPr>
          <w:rStyle w:val="content"/>
          <w:color w:val="000000" w:themeColor="text1"/>
        </w:rPr>
        <w:t xml:space="preserve"> Baseline demographic data, </w:t>
      </w:r>
      <w:r w:rsidR="007D5BDD" w:rsidRPr="00C41FDC">
        <w:rPr>
          <w:rStyle w:val="content"/>
          <w:rFonts w:eastAsia="Times New Roman"/>
          <w:color w:val="000000" w:themeColor="text1"/>
        </w:rPr>
        <w:t>pulmonary function indices and visual and computerised scores of PPFE severity in the derivation and validation IPF cohorts stratified based on visual presence of PPFE. FEV1 = forced expiratory volume in the first second, FVC = forced vital capacity, DLco = diffusing capacity for carbon monoxide, ILD = interstitial lung disease, PPFE = pleuroparenchymal fibroelastosis, UL = upper lobe.</w:t>
      </w:r>
    </w:p>
    <w:p w14:paraId="28B912C5" w14:textId="77777777" w:rsidR="007D5BDD" w:rsidRPr="00C41FDC" w:rsidRDefault="007D5BDD" w:rsidP="007D5BDD">
      <w:pPr>
        <w:jc w:val="center"/>
        <w:rPr>
          <w:rFonts w:eastAsia="Times New Roman"/>
          <w:color w:val="000000" w:themeColor="text1"/>
          <w:sz w:val="20"/>
          <w:szCs w:val="20"/>
          <w:lang w:val="en-US"/>
        </w:rPr>
      </w:pPr>
    </w:p>
    <w:tbl>
      <w:tblPr>
        <w:tblW w:w="9390" w:type="dxa"/>
        <w:tblInd w:w="-30" w:type="dxa"/>
        <w:tblLayout w:type="fixed"/>
        <w:tblLook w:val="0000" w:firstRow="0" w:lastRow="0" w:firstColumn="0" w:lastColumn="0" w:noHBand="0" w:noVBand="0"/>
      </w:tblPr>
      <w:tblGrid>
        <w:gridCol w:w="4170"/>
        <w:gridCol w:w="2160"/>
        <w:gridCol w:w="1890"/>
        <w:gridCol w:w="1170"/>
      </w:tblGrid>
      <w:tr w:rsidR="00C41FDC" w:rsidRPr="00C41FDC" w14:paraId="708486BF" w14:textId="77777777" w:rsidTr="00AE4E9B">
        <w:trPr>
          <w:trHeight w:val="160"/>
        </w:trPr>
        <w:tc>
          <w:tcPr>
            <w:tcW w:w="4170" w:type="dxa"/>
            <w:tcBorders>
              <w:top w:val="single" w:sz="12" w:space="0" w:color="000000" w:themeColor="text1"/>
              <w:left w:val="nil"/>
              <w:bottom w:val="single" w:sz="4" w:space="0" w:color="000000"/>
              <w:right w:val="nil"/>
            </w:tcBorders>
          </w:tcPr>
          <w:p w14:paraId="5F11D34D" w14:textId="77777777" w:rsidR="007D5BDD" w:rsidRPr="00C41FDC" w:rsidRDefault="007D5BDD" w:rsidP="0057683E">
            <w:pPr>
              <w:autoSpaceDE w:val="0"/>
              <w:autoSpaceDN w:val="0"/>
              <w:adjustRightInd w:val="0"/>
              <w:rPr>
                <w:rFonts w:eastAsia="Times New Roman"/>
                <w:b/>
                <w:bCs/>
                <w:color w:val="000000" w:themeColor="text1"/>
              </w:rPr>
            </w:pPr>
            <w:r w:rsidRPr="00C41FDC">
              <w:rPr>
                <w:rFonts w:eastAsia="Times New Roman"/>
                <w:b/>
                <w:bCs/>
                <w:color w:val="000000" w:themeColor="text1"/>
              </w:rPr>
              <w:t>Variable</w:t>
            </w:r>
          </w:p>
        </w:tc>
        <w:tc>
          <w:tcPr>
            <w:tcW w:w="2160" w:type="dxa"/>
            <w:tcBorders>
              <w:top w:val="single" w:sz="12" w:space="0" w:color="000000" w:themeColor="text1"/>
              <w:left w:val="nil"/>
              <w:bottom w:val="single" w:sz="4" w:space="0" w:color="000000"/>
              <w:right w:val="nil"/>
            </w:tcBorders>
          </w:tcPr>
          <w:p w14:paraId="49E4129B" w14:textId="4410B53F" w:rsidR="007D5BDD" w:rsidRPr="00C41FDC" w:rsidRDefault="007D5BDD" w:rsidP="0057683E">
            <w:pPr>
              <w:autoSpaceDE w:val="0"/>
              <w:autoSpaceDN w:val="0"/>
              <w:adjustRightInd w:val="0"/>
              <w:rPr>
                <w:rFonts w:eastAsia="Times New Roman"/>
                <w:b/>
                <w:bCs/>
                <w:color w:val="000000" w:themeColor="text1"/>
              </w:rPr>
            </w:pPr>
            <w:r w:rsidRPr="00C41FDC">
              <w:rPr>
                <w:rFonts w:eastAsia="Times New Roman"/>
                <w:b/>
                <w:bCs/>
                <w:color w:val="000000" w:themeColor="text1"/>
              </w:rPr>
              <w:t>Patients with</w:t>
            </w:r>
            <w:r w:rsidR="0057683E" w:rsidRPr="00C41FDC">
              <w:rPr>
                <w:rFonts w:eastAsia="Times New Roman"/>
                <w:b/>
                <w:bCs/>
                <w:color w:val="000000" w:themeColor="text1"/>
              </w:rPr>
              <w:t xml:space="preserve"> </w:t>
            </w:r>
            <w:r w:rsidRPr="00C41FDC">
              <w:rPr>
                <w:rFonts w:eastAsia="Times New Roman"/>
                <w:b/>
                <w:bCs/>
                <w:color w:val="000000" w:themeColor="text1"/>
              </w:rPr>
              <w:t xml:space="preserve">PPFE </w:t>
            </w:r>
          </w:p>
        </w:tc>
        <w:tc>
          <w:tcPr>
            <w:tcW w:w="1890" w:type="dxa"/>
            <w:tcBorders>
              <w:top w:val="single" w:sz="12" w:space="0" w:color="000000" w:themeColor="text1"/>
              <w:left w:val="nil"/>
              <w:bottom w:val="single" w:sz="4" w:space="0" w:color="000000"/>
              <w:right w:val="nil"/>
            </w:tcBorders>
          </w:tcPr>
          <w:p w14:paraId="4DAA91C9" w14:textId="75C05D44" w:rsidR="007D5BDD" w:rsidRPr="00C41FDC" w:rsidRDefault="007D5BDD" w:rsidP="0057683E">
            <w:pPr>
              <w:autoSpaceDE w:val="0"/>
              <w:autoSpaceDN w:val="0"/>
              <w:adjustRightInd w:val="0"/>
              <w:rPr>
                <w:rFonts w:eastAsia="Times New Roman"/>
                <w:b/>
                <w:bCs/>
                <w:color w:val="000000" w:themeColor="text1"/>
              </w:rPr>
            </w:pPr>
            <w:r w:rsidRPr="00C41FDC">
              <w:rPr>
                <w:rFonts w:eastAsia="Times New Roman"/>
                <w:b/>
                <w:bCs/>
                <w:color w:val="000000" w:themeColor="text1"/>
              </w:rPr>
              <w:t>Patients without</w:t>
            </w:r>
            <w:r w:rsidR="0057683E" w:rsidRPr="00C41FDC">
              <w:rPr>
                <w:rFonts w:eastAsia="Times New Roman"/>
                <w:b/>
                <w:bCs/>
                <w:color w:val="000000" w:themeColor="text1"/>
              </w:rPr>
              <w:t xml:space="preserve"> </w:t>
            </w:r>
            <w:r w:rsidRPr="00C41FDC">
              <w:rPr>
                <w:rFonts w:eastAsia="Times New Roman"/>
                <w:b/>
                <w:bCs/>
                <w:color w:val="000000" w:themeColor="text1"/>
              </w:rPr>
              <w:t>PPFE</w:t>
            </w:r>
          </w:p>
        </w:tc>
        <w:tc>
          <w:tcPr>
            <w:tcW w:w="1170" w:type="dxa"/>
            <w:tcBorders>
              <w:top w:val="single" w:sz="12" w:space="0" w:color="000000" w:themeColor="text1"/>
              <w:left w:val="nil"/>
              <w:bottom w:val="single" w:sz="4" w:space="0" w:color="000000"/>
              <w:right w:val="nil"/>
            </w:tcBorders>
          </w:tcPr>
          <w:p w14:paraId="23A79ED1" w14:textId="77777777" w:rsidR="007D5BDD" w:rsidRPr="00C41FDC" w:rsidRDefault="007D5BDD" w:rsidP="0057683E">
            <w:pPr>
              <w:autoSpaceDE w:val="0"/>
              <w:autoSpaceDN w:val="0"/>
              <w:adjustRightInd w:val="0"/>
              <w:rPr>
                <w:rFonts w:eastAsia="Times New Roman"/>
                <w:b/>
                <w:bCs/>
                <w:color w:val="000000" w:themeColor="text1"/>
              </w:rPr>
            </w:pPr>
            <w:r w:rsidRPr="00C41FDC">
              <w:rPr>
                <w:rFonts w:eastAsia="Times New Roman"/>
                <w:b/>
                <w:bCs/>
                <w:color w:val="000000" w:themeColor="text1"/>
              </w:rPr>
              <w:t>p-value</w:t>
            </w:r>
          </w:p>
        </w:tc>
      </w:tr>
      <w:tr w:rsidR="00C41FDC" w:rsidRPr="00C41FDC" w14:paraId="2AEEBC6A" w14:textId="77777777" w:rsidTr="00AE4E9B">
        <w:trPr>
          <w:trHeight w:val="160"/>
        </w:trPr>
        <w:tc>
          <w:tcPr>
            <w:tcW w:w="4170" w:type="dxa"/>
            <w:tcBorders>
              <w:top w:val="single" w:sz="4" w:space="0" w:color="000000"/>
              <w:left w:val="nil"/>
              <w:right w:val="nil"/>
            </w:tcBorders>
          </w:tcPr>
          <w:p w14:paraId="273250E3" w14:textId="77777777" w:rsidR="007D5BDD" w:rsidRPr="00C41FDC" w:rsidRDefault="007D5BDD" w:rsidP="0057683E">
            <w:pPr>
              <w:autoSpaceDE w:val="0"/>
              <w:autoSpaceDN w:val="0"/>
              <w:adjustRightInd w:val="0"/>
              <w:rPr>
                <w:rFonts w:eastAsia="Times New Roman"/>
                <w:color w:val="000000" w:themeColor="text1"/>
              </w:rPr>
            </w:pPr>
            <w:bookmarkStart w:id="284" w:name="_Hlk64475716"/>
            <w:r w:rsidRPr="00C41FDC">
              <w:rPr>
                <w:rFonts w:eastAsia="Times New Roman"/>
                <w:color w:val="000000" w:themeColor="text1"/>
              </w:rPr>
              <w:t>Derivation cohort:</w:t>
            </w:r>
          </w:p>
        </w:tc>
        <w:tc>
          <w:tcPr>
            <w:tcW w:w="2160" w:type="dxa"/>
            <w:tcBorders>
              <w:top w:val="single" w:sz="4" w:space="0" w:color="000000"/>
              <w:left w:val="nil"/>
              <w:right w:val="nil"/>
            </w:tcBorders>
          </w:tcPr>
          <w:p w14:paraId="5055E5E9"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(n = 69)</w:t>
            </w:r>
          </w:p>
        </w:tc>
        <w:tc>
          <w:tcPr>
            <w:tcW w:w="1890" w:type="dxa"/>
            <w:tcBorders>
              <w:top w:val="single" w:sz="4" w:space="0" w:color="000000"/>
              <w:left w:val="nil"/>
              <w:right w:val="nil"/>
            </w:tcBorders>
          </w:tcPr>
          <w:p w14:paraId="0A62067F"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(n = 73)</w:t>
            </w:r>
          </w:p>
        </w:tc>
        <w:tc>
          <w:tcPr>
            <w:tcW w:w="1170" w:type="dxa"/>
            <w:tcBorders>
              <w:top w:val="single" w:sz="4" w:space="0" w:color="000000"/>
              <w:left w:val="nil"/>
              <w:right w:val="nil"/>
            </w:tcBorders>
          </w:tcPr>
          <w:p w14:paraId="6D9FEA5C" w14:textId="77777777" w:rsidR="007D5BDD" w:rsidRPr="00C41FDC" w:rsidRDefault="007D5BDD" w:rsidP="0057683E">
            <w:pPr>
              <w:autoSpaceDE w:val="0"/>
              <w:autoSpaceDN w:val="0"/>
              <w:adjustRightInd w:val="0"/>
              <w:rPr>
                <w:rFonts w:eastAsia="Times New Roman"/>
                <w:color w:val="000000" w:themeColor="text1"/>
              </w:rPr>
            </w:pPr>
          </w:p>
        </w:tc>
      </w:tr>
      <w:bookmarkEnd w:id="284"/>
      <w:tr w:rsidR="00C41FDC" w:rsidRPr="00C41FDC" w14:paraId="17A3CA12" w14:textId="77777777" w:rsidTr="00AE4E9B">
        <w:trPr>
          <w:trHeight w:val="160"/>
        </w:trPr>
        <w:tc>
          <w:tcPr>
            <w:tcW w:w="4170" w:type="dxa"/>
            <w:tcBorders>
              <w:left w:val="nil"/>
              <w:bottom w:val="nil"/>
              <w:right w:val="nil"/>
            </w:tcBorders>
          </w:tcPr>
          <w:p w14:paraId="23BF050D"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 xml:space="preserve">Median age (range) </w:t>
            </w:r>
          </w:p>
        </w:tc>
        <w:tc>
          <w:tcPr>
            <w:tcW w:w="2160" w:type="dxa"/>
            <w:tcBorders>
              <w:left w:val="nil"/>
              <w:bottom w:val="nil"/>
              <w:right w:val="nil"/>
            </w:tcBorders>
          </w:tcPr>
          <w:p w14:paraId="723195B1"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66 (42 – 83)</w:t>
            </w:r>
          </w:p>
        </w:tc>
        <w:tc>
          <w:tcPr>
            <w:tcW w:w="1890" w:type="dxa"/>
            <w:tcBorders>
              <w:left w:val="nil"/>
              <w:bottom w:val="nil"/>
              <w:right w:val="nil"/>
            </w:tcBorders>
          </w:tcPr>
          <w:p w14:paraId="73489C90"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66 (44 – 86)</w:t>
            </w:r>
          </w:p>
        </w:tc>
        <w:tc>
          <w:tcPr>
            <w:tcW w:w="1170" w:type="dxa"/>
            <w:tcBorders>
              <w:left w:val="nil"/>
              <w:bottom w:val="nil"/>
              <w:right w:val="nil"/>
            </w:tcBorders>
          </w:tcPr>
          <w:p w14:paraId="43AB247E"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0·45</w:t>
            </w:r>
          </w:p>
        </w:tc>
      </w:tr>
      <w:tr w:rsidR="00C41FDC" w:rsidRPr="00C41FDC" w14:paraId="1A5BCA5D" w14:textId="77777777" w:rsidTr="00AE4E9B">
        <w:trPr>
          <w:trHeight w:val="160"/>
        </w:trPr>
        <w:tc>
          <w:tcPr>
            <w:tcW w:w="4170" w:type="dxa"/>
            <w:tcBorders>
              <w:top w:val="nil"/>
              <w:left w:val="nil"/>
              <w:bottom w:val="nil"/>
              <w:right w:val="nil"/>
            </w:tcBorders>
          </w:tcPr>
          <w:p w14:paraId="018BD548"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 xml:space="preserve">Male/female </w:t>
            </w:r>
          </w:p>
        </w:tc>
        <w:tc>
          <w:tcPr>
            <w:tcW w:w="2160" w:type="dxa"/>
            <w:tcBorders>
              <w:top w:val="nil"/>
              <w:left w:val="nil"/>
              <w:bottom w:val="nil"/>
              <w:right w:val="nil"/>
            </w:tcBorders>
          </w:tcPr>
          <w:p w14:paraId="6C81DC3B"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57 / 12</w:t>
            </w:r>
          </w:p>
        </w:tc>
        <w:tc>
          <w:tcPr>
            <w:tcW w:w="1890" w:type="dxa"/>
            <w:tcBorders>
              <w:top w:val="nil"/>
              <w:left w:val="nil"/>
              <w:bottom w:val="nil"/>
              <w:right w:val="nil"/>
            </w:tcBorders>
          </w:tcPr>
          <w:p w14:paraId="4CEAC2AA"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 xml:space="preserve">56 / 17 </w:t>
            </w:r>
          </w:p>
        </w:tc>
        <w:tc>
          <w:tcPr>
            <w:tcW w:w="1170" w:type="dxa"/>
            <w:tcBorders>
              <w:top w:val="nil"/>
              <w:left w:val="nil"/>
              <w:bottom w:val="nil"/>
              <w:right w:val="nil"/>
            </w:tcBorders>
          </w:tcPr>
          <w:p w14:paraId="653AC31B"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0·38</w:t>
            </w:r>
          </w:p>
        </w:tc>
      </w:tr>
      <w:tr w:rsidR="00C41FDC" w:rsidRPr="00C41FDC" w14:paraId="42C15690" w14:textId="77777777" w:rsidTr="00AE4E9B">
        <w:trPr>
          <w:trHeight w:val="160"/>
        </w:trPr>
        <w:tc>
          <w:tcPr>
            <w:tcW w:w="4170" w:type="dxa"/>
            <w:tcBorders>
              <w:top w:val="nil"/>
              <w:left w:val="nil"/>
              <w:bottom w:val="nil"/>
              <w:right w:val="nil"/>
            </w:tcBorders>
          </w:tcPr>
          <w:p w14:paraId="4E6F064F"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 xml:space="preserve">Survival (alive/dead) </w:t>
            </w:r>
          </w:p>
        </w:tc>
        <w:tc>
          <w:tcPr>
            <w:tcW w:w="2160" w:type="dxa"/>
            <w:tcBorders>
              <w:top w:val="nil"/>
              <w:left w:val="nil"/>
              <w:bottom w:val="nil"/>
              <w:right w:val="nil"/>
            </w:tcBorders>
          </w:tcPr>
          <w:p w14:paraId="1451EB34"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25 / 44</w:t>
            </w:r>
          </w:p>
        </w:tc>
        <w:tc>
          <w:tcPr>
            <w:tcW w:w="1890" w:type="dxa"/>
            <w:tcBorders>
              <w:top w:val="nil"/>
              <w:left w:val="nil"/>
              <w:bottom w:val="nil"/>
              <w:right w:val="nil"/>
            </w:tcBorders>
          </w:tcPr>
          <w:p w14:paraId="25B8EFF3"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 xml:space="preserve">47 / 26 </w:t>
            </w:r>
          </w:p>
        </w:tc>
        <w:tc>
          <w:tcPr>
            <w:tcW w:w="1170" w:type="dxa"/>
            <w:tcBorders>
              <w:top w:val="nil"/>
              <w:left w:val="nil"/>
              <w:bottom w:val="nil"/>
              <w:right w:val="nil"/>
            </w:tcBorders>
          </w:tcPr>
          <w:p w14:paraId="42DA10BF"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0</w:t>
            </w:r>
            <w:bookmarkStart w:id="285" w:name="OLE_LINK117"/>
            <w:r w:rsidRPr="00C41FDC">
              <w:rPr>
                <w:rFonts w:eastAsia="Times New Roman"/>
                <w:color w:val="000000" w:themeColor="text1"/>
              </w:rPr>
              <w:t>·0</w:t>
            </w:r>
            <w:bookmarkEnd w:id="285"/>
            <w:r w:rsidRPr="00C41FDC">
              <w:rPr>
                <w:rFonts w:eastAsia="Times New Roman"/>
                <w:color w:val="000000" w:themeColor="text1"/>
              </w:rPr>
              <w:t>008</w:t>
            </w:r>
          </w:p>
        </w:tc>
      </w:tr>
      <w:tr w:rsidR="00C41FDC" w:rsidRPr="00C41FDC" w14:paraId="7299DD0C" w14:textId="77777777" w:rsidTr="00AE4E9B">
        <w:trPr>
          <w:trHeight w:val="160"/>
        </w:trPr>
        <w:tc>
          <w:tcPr>
            <w:tcW w:w="4170" w:type="dxa"/>
            <w:tcBorders>
              <w:top w:val="nil"/>
              <w:left w:val="nil"/>
              <w:bottom w:val="nil"/>
              <w:right w:val="nil"/>
            </w:tcBorders>
          </w:tcPr>
          <w:p w14:paraId="0E22B0BA" w14:textId="77777777" w:rsidR="007D5BDD" w:rsidRPr="00C41FDC" w:rsidRDefault="007D5BDD" w:rsidP="0057683E">
            <w:pPr>
              <w:autoSpaceDE w:val="0"/>
              <w:autoSpaceDN w:val="0"/>
              <w:adjustRightInd w:val="0"/>
              <w:rPr>
                <w:rFonts w:eastAsia="Times New Roman"/>
                <w:color w:val="000000" w:themeColor="text1"/>
              </w:rPr>
            </w:pPr>
            <w:bookmarkStart w:id="286" w:name="_Hlk72934345"/>
            <w:r w:rsidRPr="00C41FDC">
              <w:rPr>
                <w:rFonts w:eastAsia="Times New Roman"/>
                <w:color w:val="000000" w:themeColor="text1"/>
              </w:rPr>
              <w:t>Median follow-up in years (range)</w:t>
            </w:r>
          </w:p>
        </w:tc>
        <w:tc>
          <w:tcPr>
            <w:tcW w:w="2160" w:type="dxa"/>
            <w:tcBorders>
              <w:top w:val="nil"/>
              <w:left w:val="nil"/>
              <w:bottom w:val="nil"/>
              <w:right w:val="nil"/>
            </w:tcBorders>
          </w:tcPr>
          <w:p w14:paraId="63E27DF3"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1·9 (0·6 – 11·3)</w:t>
            </w:r>
          </w:p>
        </w:tc>
        <w:tc>
          <w:tcPr>
            <w:tcW w:w="1890" w:type="dxa"/>
            <w:tcBorders>
              <w:top w:val="nil"/>
              <w:left w:val="nil"/>
              <w:bottom w:val="nil"/>
              <w:right w:val="nil"/>
            </w:tcBorders>
          </w:tcPr>
          <w:p w14:paraId="0306BDD4"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3·1 (0·5 – 7·4)</w:t>
            </w:r>
          </w:p>
        </w:tc>
        <w:tc>
          <w:tcPr>
            <w:tcW w:w="1170" w:type="dxa"/>
            <w:tcBorders>
              <w:top w:val="nil"/>
              <w:left w:val="nil"/>
              <w:bottom w:val="nil"/>
              <w:right w:val="nil"/>
            </w:tcBorders>
          </w:tcPr>
          <w:p w14:paraId="34AD2CBB"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&lt; 0·0001</w:t>
            </w:r>
          </w:p>
        </w:tc>
      </w:tr>
      <w:bookmarkEnd w:id="286"/>
      <w:tr w:rsidR="00C41FDC" w:rsidRPr="00C41FDC" w14:paraId="620B2B67" w14:textId="77777777" w:rsidTr="00AE4E9B">
        <w:trPr>
          <w:trHeight w:val="160"/>
        </w:trPr>
        <w:tc>
          <w:tcPr>
            <w:tcW w:w="4170" w:type="dxa"/>
            <w:tcBorders>
              <w:top w:val="nil"/>
              <w:left w:val="nil"/>
              <w:bottom w:val="nil"/>
              <w:right w:val="nil"/>
            </w:tcBorders>
          </w:tcPr>
          <w:p w14:paraId="13C20169"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 xml:space="preserve">Never/ever smokers </w:t>
            </w:r>
          </w:p>
        </w:tc>
        <w:tc>
          <w:tcPr>
            <w:tcW w:w="2160" w:type="dxa"/>
            <w:tcBorders>
              <w:top w:val="nil"/>
              <w:left w:val="nil"/>
              <w:bottom w:val="nil"/>
              <w:right w:val="nil"/>
            </w:tcBorders>
          </w:tcPr>
          <w:p w14:paraId="14BCC9ED"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19 / 50</w:t>
            </w:r>
          </w:p>
        </w:tc>
        <w:tc>
          <w:tcPr>
            <w:tcW w:w="1890" w:type="dxa"/>
            <w:tcBorders>
              <w:top w:val="nil"/>
              <w:left w:val="nil"/>
              <w:bottom w:val="nil"/>
              <w:right w:val="nil"/>
            </w:tcBorders>
          </w:tcPr>
          <w:p w14:paraId="299B4617"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 xml:space="preserve">24 / 49 </w:t>
            </w:r>
          </w:p>
        </w:tc>
        <w:tc>
          <w:tcPr>
            <w:tcW w:w="1170" w:type="dxa"/>
            <w:tcBorders>
              <w:top w:val="nil"/>
              <w:left w:val="nil"/>
              <w:bottom w:val="nil"/>
              <w:right w:val="nil"/>
            </w:tcBorders>
          </w:tcPr>
          <w:p w14:paraId="44DCB4A6"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0·49</w:t>
            </w:r>
          </w:p>
        </w:tc>
      </w:tr>
      <w:tr w:rsidR="00C41FDC" w:rsidRPr="00C41FDC" w14:paraId="3CA72B92" w14:textId="77777777" w:rsidTr="00AE4E9B">
        <w:trPr>
          <w:trHeight w:val="160"/>
        </w:trPr>
        <w:tc>
          <w:tcPr>
            <w:tcW w:w="4170" w:type="dxa"/>
            <w:tcBorders>
              <w:top w:val="nil"/>
              <w:left w:val="nil"/>
              <w:bottom w:val="nil"/>
              <w:right w:val="nil"/>
            </w:tcBorders>
          </w:tcPr>
          <w:p w14:paraId="618D0C39"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 xml:space="preserve">Pack years (smokers only) </w:t>
            </w:r>
          </w:p>
        </w:tc>
        <w:tc>
          <w:tcPr>
            <w:tcW w:w="2160" w:type="dxa"/>
            <w:tcBorders>
              <w:top w:val="nil"/>
              <w:left w:val="nil"/>
              <w:bottom w:val="nil"/>
              <w:right w:val="nil"/>
            </w:tcBorders>
          </w:tcPr>
          <w:p w14:paraId="7B1ABF92"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37·5 +/- 31·3</w:t>
            </w:r>
          </w:p>
        </w:tc>
        <w:tc>
          <w:tcPr>
            <w:tcW w:w="1890" w:type="dxa"/>
            <w:tcBorders>
              <w:top w:val="nil"/>
              <w:left w:val="nil"/>
              <w:bottom w:val="nil"/>
              <w:right w:val="nil"/>
            </w:tcBorders>
          </w:tcPr>
          <w:p w14:paraId="4C342E36"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 xml:space="preserve">34·4 +/- 31·4 </w:t>
            </w:r>
          </w:p>
        </w:tc>
        <w:tc>
          <w:tcPr>
            <w:tcW w:w="1170" w:type="dxa"/>
            <w:tcBorders>
              <w:top w:val="nil"/>
              <w:left w:val="nil"/>
              <w:bottom w:val="nil"/>
              <w:right w:val="nil"/>
            </w:tcBorders>
          </w:tcPr>
          <w:p w14:paraId="08DDB64C"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0·44</w:t>
            </w:r>
          </w:p>
        </w:tc>
      </w:tr>
      <w:tr w:rsidR="00C41FDC" w:rsidRPr="00C41FDC" w14:paraId="6BE9E508" w14:textId="77777777" w:rsidTr="00AE4E9B">
        <w:trPr>
          <w:trHeight w:val="160"/>
        </w:trPr>
        <w:tc>
          <w:tcPr>
            <w:tcW w:w="4170" w:type="dxa"/>
            <w:tcBorders>
              <w:top w:val="nil"/>
              <w:left w:val="nil"/>
              <w:bottom w:val="nil"/>
              <w:right w:val="nil"/>
            </w:tcBorders>
          </w:tcPr>
          <w:p w14:paraId="743F4F16"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 xml:space="preserve">Antifibrotic (never/ever) </w:t>
            </w:r>
          </w:p>
        </w:tc>
        <w:tc>
          <w:tcPr>
            <w:tcW w:w="2160" w:type="dxa"/>
            <w:tcBorders>
              <w:top w:val="nil"/>
              <w:left w:val="nil"/>
              <w:bottom w:val="nil"/>
              <w:right w:val="nil"/>
            </w:tcBorders>
          </w:tcPr>
          <w:p w14:paraId="3BC9F109"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15 / 54</w:t>
            </w:r>
          </w:p>
        </w:tc>
        <w:tc>
          <w:tcPr>
            <w:tcW w:w="1890" w:type="dxa"/>
            <w:tcBorders>
              <w:top w:val="nil"/>
              <w:left w:val="nil"/>
              <w:bottom w:val="nil"/>
              <w:right w:val="nil"/>
            </w:tcBorders>
          </w:tcPr>
          <w:p w14:paraId="4D30AB6E"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 xml:space="preserve">10 / 63 </w:t>
            </w:r>
          </w:p>
        </w:tc>
        <w:tc>
          <w:tcPr>
            <w:tcW w:w="1170" w:type="dxa"/>
            <w:tcBorders>
              <w:top w:val="nil"/>
              <w:left w:val="nil"/>
              <w:bottom w:val="nil"/>
              <w:right w:val="nil"/>
            </w:tcBorders>
          </w:tcPr>
          <w:p w14:paraId="5F2D6789"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0·21</w:t>
            </w:r>
          </w:p>
        </w:tc>
      </w:tr>
      <w:tr w:rsidR="00C41FDC" w:rsidRPr="00C41FDC" w14:paraId="575224ED" w14:textId="77777777" w:rsidTr="00AE4E9B">
        <w:trPr>
          <w:trHeight w:val="160"/>
        </w:trPr>
        <w:tc>
          <w:tcPr>
            <w:tcW w:w="4170" w:type="dxa"/>
            <w:tcBorders>
              <w:top w:val="nil"/>
              <w:left w:val="nil"/>
              <w:bottom w:val="nil"/>
              <w:right w:val="nil"/>
            </w:tcBorders>
          </w:tcPr>
          <w:p w14:paraId="07046430" w14:textId="6F22E434"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FEV1</w:t>
            </w:r>
            <w:r w:rsidR="00112A68" w:rsidRPr="00C41FDC">
              <w:rPr>
                <w:rFonts w:eastAsia="Times New Roman"/>
                <w:color w:val="000000" w:themeColor="text1"/>
              </w:rPr>
              <w:t xml:space="preserve"> </w:t>
            </w:r>
            <w:r w:rsidRPr="00C41FDC">
              <w:rPr>
                <w:rFonts w:eastAsia="Times New Roman"/>
                <w:color w:val="000000" w:themeColor="text1"/>
              </w:rPr>
              <w:t xml:space="preserve">% predicted </w:t>
            </w:r>
          </w:p>
        </w:tc>
        <w:tc>
          <w:tcPr>
            <w:tcW w:w="2160" w:type="dxa"/>
            <w:tcBorders>
              <w:top w:val="nil"/>
              <w:left w:val="nil"/>
              <w:bottom w:val="nil"/>
              <w:right w:val="nil"/>
            </w:tcBorders>
          </w:tcPr>
          <w:p w14:paraId="4E8437B7"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73·5 +/- 21·9</w:t>
            </w:r>
          </w:p>
        </w:tc>
        <w:tc>
          <w:tcPr>
            <w:tcW w:w="1890" w:type="dxa"/>
            <w:tcBorders>
              <w:top w:val="nil"/>
              <w:left w:val="nil"/>
              <w:bottom w:val="nil"/>
              <w:right w:val="nil"/>
            </w:tcBorders>
          </w:tcPr>
          <w:p w14:paraId="415A3CC0"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 xml:space="preserve">83·7 +/- 21·1 </w:t>
            </w:r>
          </w:p>
        </w:tc>
        <w:tc>
          <w:tcPr>
            <w:tcW w:w="1170" w:type="dxa"/>
            <w:tcBorders>
              <w:top w:val="nil"/>
              <w:left w:val="nil"/>
              <w:bottom w:val="nil"/>
              <w:right w:val="nil"/>
            </w:tcBorders>
          </w:tcPr>
          <w:p w14:paraId="3DD9605A"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0·006</w:t>
            </w:r>
          </w:p>
        </w:tc>
      </w:tr>
      <w:tr w:rsidR="00C41FDC" w:rsidRPr="00C41FDC" w14:paraId="78C3A2D2" w14:textId="77777777" w:rsidTr="00AE4E9B">
        <w:trPr>
          <w:trHeight w:val="160"/>
        </w:trPr>
        <w:tc>
          <w:tcPr>
            <w:tcW w:w="4170" w:type="dxa"/>
            <w:tcBorders>
              <w:top w:val="nil"/>
              <w:left w:val="nil"/>
              <w:bottom w:val="nil"/>
              <w:right w:val="nil"/>
            </w:tcBorders>
          </w:tcPr>
          <w:p w14:paraId="055F75D6" w14:textId="2899A28B"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FVC</w:t>
            </w:r>
            <w:r w:rsidR="00112A68" w:rsidRPr="00C41FDC">
              <w:rPr>
                <w:rFonts w:eastAsia="Times New Roman"/>
                <w:color w:val="000000" w:themeColor="text1"/>
              </w:rPr>
              <w:t xml:space="preserve"> </w:t>
            </w:r>
            <w:r w:rsidRPr="00C41FDC">
              <w:rPr>
                <w:rFonts w:eastAsia="Times New Roman"/>
                <w:color w:val="000000" w:themeColor="text1"/>
              </w:rPr>
              <w:t xml:space="preserve">% predicted </w:t>
            </w:r>
          </w:p>
        </w:tc>
        <w:tc>
          <w:tcPr>
            <w:tcW w:w="2160" w:type="dxa"/>
            <w:tcBorders>
              <w:top w:val="nil"/>
              <w:left w:val="nil"/>
              <w:bottom w:val="nil"/>
              <w:right w:val="nil"/>
            </w:tcBorders>
          </w:tcPr>
          <w:p w14:paraId="3A384F23"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68·6 +/- 20·5</w:t>
            </w:r>
          </w:p>
        </w:tc>
        <w:tc>
          <w:tcPr>
            <w:tcW w:w="1890" w:type="dxa"/>
            <w:tcBorders>
              <w:top w:val="nil"/>
              <w:left w:val="nil"/>
              <w:bottom w:val="nil"/>
              <w:right w:val="nil"/>
            </w:tcBorders>
          </w:tcPr>
          <w:p w14:paraId="1D40B4A1"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79·8 +/- 21·7</w:t>
            </w:r>
          </w:p>
        </w:tc>
        <w:tc>
          <w:tcPr>
            <w:tcW w:w="1170" w:type="dxa"/>
            <w:tcBorders>
              <w:top w:val="nil"/>
              <w:left w:val="nil"/>
              <w:bottom w:val="nil"/>
              <w:right w:val="nil"/>
            </w:tcBorders>
          </w:tcPr>
          <w:p w14:paraId="565E3FD5"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0·002</w:t>
            </w:r>
          </w:p>
        </w:tc>
      </w:tr>
      <w:tr w:rsidR="00C41FDC" w:rsidRPr="00C41FDC" w14:paraId="11ED9FFE" w14:textId="77777777" w:rsidTr="00AE4E9B">
        <w:trPr>
          <w:trHeight w:val="160"/>
        </w:trPr>
        <w:tc>
          <w:tcPr>
            <w:tcW w:w="4170" w:type="dxa"/>
            <w:tcBorders>
              <w:top w:val="nil"/>
              <w:left w:val="nil"/>
              <w:bottom w:val="nil"/>
              <w:right w:val="nil"/>
            </w:tcBorders>
          </w:tcPr>
          <w:p w14:paraId="044A4755" w14:textId="610DF2A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DLco</w:t>
            </w:r>
            <w:r w:rsidR="00112A68" w:rsidRPr="00C41FDC">
              <w:rPr>
                <w:rFonts w:eastAsia="Times New Roman"/>
                <w:color w:val="000000" w:themeColor="text1"/>
              </w:rPr>
              <w:t xml:space="preserve"> </w:t>
            </w:r>
            <w:r w:rsidRPr="00C41FDC">
              <w:rPr>
                <w:rFonts w:eastAsia="Times New Roman"/>
                <w:color w:val="000000" w:themeColor="text1"/>
              </w:rPr>
              <w:t>% predicted</w:t>
            </w:r>
          </w:p>
        </w:tc>
        <w:tc>
          <w:tcPr>
            <w:tcW w:w="2160" w:type="dxa"/>
            <w:tcBorders>
              <w:top w:val="nil"/>
              <w:left w:val="nil"/>
              <w:bottom w:val="nil"/>
              <w:right w:val="nil"/>
            </w:tcBorders>
          </w:tcPr>
          <w:p w14:paraId="309F30DE"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46·4 +/- 16·7</w:t>
            </w:r>
          </w:p>
        </w:tc>
        <w:tc>
          <w:tcPr>
            <w:tcW w:w="1890" w:type="dxa"/>
            <w:tcBorders>
              <w:top w:val="nil"/>
              <w:left w:val="nil"/>
              <w:bottom w:val="nil"/>
              <w:right w:val="nil"/>
            </w:tcBorders>
          </w:tcPr>
          <w:p w14:paraId="662275D6"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53·8 +/- 17·5</w:t>
            </w:r>
          </w:p>
        </w:tc>
        <w:tc>
          <w:tcPr>
            <w:tcW w:w="1170" w:type="dxa"/>
            <w:tcBorders>
              <w:top w:val="nil"/>
              <w:left w:val="nil"/>
              <w:bottom w:val="nil"/>
              <w:right w:val="nil"/>
            </w:tcBorders>
          </w:tcPr>
          <w:p w14:paraId="530F6DA1"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0·01</w:t>
            </w:r>
          </w:p>
        </w:tc>
      </w:tr>
      <w:tr w:rsidR="00C41FDC" w:rsidRPr="00C41FDC" w14:paraId="311934F6" w14:textId="77777777" w:rsidTr="00AE4E9B">
        <w:trPr>
          <w:trHeight w:val="160"/>
        </w:trPr>
        <w:tc>
          <w:tcPr>
            <w:tcW w:w="4170" w:type="dxa"/>
            <w:tcBorders>
              <w:top w:val="nil"/>
              <w:left w:val="nil"/>
              <w:bottom w:val="nil"/>
              <w:right w:val="nil"/>
            </w:tcBorders>
          </w:tcPr>
          <w:p w14:paraId="641F9954"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Total ILD extent (%)</w:t>
            </w:r>
          </w:p>
        </w:tc>
        <w:tc>
          <w:tcPr>
            <w:tcW w:w="2160" w:type="dxa"/>
            <w:tcBorders>
              <w:top w:val="nil"/>
              <w:left w:val="nil"/>
              <w:bottom w:val="nil"/>
              <w:right w:val="nil"/>
            </w:tcBorders>
          </w:tcPr>
          <w:p w14:paraId="2B4A255A"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49·8 +/- 12·1</w:t>
            </w:r>
          </w:p>
        </w:tc>
        <w:tc>
          <w:tcPr>
            <w:tcW w:w="1890" w:type="dxa"/>
            <w:tcBorders>
              <w:top w:val="nil"/>
              <w:left w:val="nil"/>
              <w:bottom w:val="nil"/>
              <w:right w:val="nil"/>
            </w:tcBorders>
          </w:tcPr>
          <w:p w14:paraId="5687AE82"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40·8 +/- 11·8</w:t>
            </w:r>
          </w:p>
        </w:tc>
        <w:tc>
          <w:tcPr>
            <w:tcW w:w="1170" w:type="dxa"/>
            <w:tcBorders>
              <w:top w:val="nil"/>
              <w:left w:val="nil"/>
              <w:bottom w:val="nil"/>
              <w:right w:val="nil"/>
            </w:tcBorders>
          </w:tcPr>
          <w:p w14:paraId="2E3E8FA3"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&lt; 0·0001</w:t>
            </w:r>
          </w:p>
        </w:tc>
      </w:tr>
      <w:tr w:rsidR="00C41FDC" w:rsidRPr="00C41FDC" w14:paraId="20B33654" w14:textId="77777777" w:rsidTr="00AE4E9B">
        <w:trPr>
          <w:trHeight w:val="160"/>
        </w:trPr>
        <w:tc>
          <w:tcPr>
            <w:tcW w:w="4170" w:type="dxa"/>
            <w:tcBorders>
              <w:top w:val="nil"/>
              <w:left w:val="nil"/>
              <w:bottom w:val="nil"/>
              <w:right w:val="nil"/>
            </w:tcBorders>
          </w:tcPr>
          <w:p w14:paraId="2F11858E"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Emphysema (%)</w:t>
            </w:r>
          </w:p>
        </w:tc>
        <w:tc>
          <w:tcPr>
            <w:tcW w:w="2160" w:type="dxa"/>
            <w:tcBorders>
              <w:top w:val="nil"/>
              <w:left w:val="nil"/>
              <w:bottom w:val="nil"/>
              <w:right w:val="nil"/>
            </w:tcBorders>
          </w:tcPr>
          <w:p w14:paraId="4E3D574D"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10·1 +/- 12·1</w:t>
            </w:r>
          </w:p>
        </w:tc>
        <w:tc>
          <w:tcPr>
            <w:tcW w:w="1890" w:type="dxa"/>
            <w:tcBorders>
              <w:top w:val="nil"/>
              <w:left w:val="nil"/>
              <w:bottom w:val="nil"/>
              <w:right w:val="nil"/>
            </w:tcBorders>
          </w:tcPr>
          <w:p w14:paraId="224B0016"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 xml:space="preserve">9·9 +/- 11·7 </w:t>
            </w:r>
          </w:p>
        </w:tc>
        <w:tc>
          <w:tcPr>
            <w:tcW w:w="1170" w:type="dxa"/>
            <w:tcBorders>
              <w:top w:val="nil"/>
              <w:left w:val="nil"/>
              <w:bottom w:val="nil"/>
              <w:right w:val="nil"/>
            </w:tcBorders>
          </w:tcPr>
          <w:p w14:paraId="324F2109"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0·90</w:t>
            </w:r>
          </w:p>
        </w:tc>
      </w:tr>
      <w:tr w:rsidR="00C41FDC" w:rsidRPr="00C41FDC" w14:paraId="02C6A00A" w14:textId="77777777" w:rsidTr="00AE4E9B">
        <w:trPr>
          <w:trHeight w:val="160"/>
        </w:trPr>
        <w:tc>
          <w:tcPr>
            <w:tcW w:w="4170" w:type="dxa"/>
            <w:tcBorders>
              <w:top w:val="nil"/>
              <w:left w:val="nil"/>
              <w:bottom w:val="nil"/>
              <w:right w:val="nil"/>
            </w:tcBorders>
          </w:tcPr>
          <w:p w14:paraId="1638091D" w14:textId="77F4DC77" w:rsidR="007D5BDD" w:rsidRPr="00C41FDC" w:rsidRDefault="007D5BDD" w:rsidP="0057683E">
            <w:pPr>
              <w:autoSpaceDE w:val="0"/>
              <w:autoSpaceDN w:val="0"/>
              <w:adjustRightInd w:val="0"/>
              <w:rPr>
                <w:rFonts w:eastAsia="Times New Roman"/>
                <w:color w:val="000000" w:themeColor="text1"/>
              </w:rPr>
            </w:pPr>
            <w:bookmarkStart w:id="287" w:name="_Hlk65690464"/>
            <w:r w:rsidRPr="00C41FDC">
              <w:rPr>
                <w:rFonts w:eastAsia="Times New Roman"/>
                <w:color w:val="000000" w:themeColor="text1"/>
              </w:rPr>
              <w:t>PPFE visual extent (max</w:t>
            </w:r>
            <w:r w:rsidR="00112A68" w:rsidRPr="00C41FDC">
              <w:rPr>
                <w:rFonts w:eastAsia="Times New Roman"/>
                <w:color w:val="000000" w:themeColor="text1"/>
              </w:rPr>
              <w:t>.</w:t>
            </w:r>
            <w:r w:rsidRPr="00C41FDC">
              <w:rPr>
                <w:rFonts w:eastAsia="Times New Roman"/>
                <w:color w:val="000000" w:themeColor="text1"/>
              </w:rPr>
              <w:t xml:space="preserve"> score</w:t>
            </w:r>
            <w:r w:rsidR="0057683E" w:rsidRPr="00C41FDC">
              <w:rPr>
                <w:rFonts w:eastAsia="Times New Roman"/>
                <w:color w:val="000000" w:themeColor="text1"/>
              </w:rPr>
              <w:t xml:space="preserve"> </w:t>
            </w:r>
            <w:r w:rsidRPr="00C41FDC">
              <w:rPr>
                <w:rFonts w:eastAsia="Times New Roman"/>
                <w:color w:val="000000" w:themeColor="text1"/>
              </w:rPr>
              <w:t>=</w:t>
            </w:r>
            <w:r w:rsidR="0057683E" w:rsidRPr="00C41FDC">
              <w:rPr>
                <w:rFonts w:eastAsia="Times New Roman"/>
                <w:color w:val="000000" w:themeColor="text1"/>
              </w:rPr>
              <w:t xml:space="preserve"> </w:t>
            </w:r>
            <w:r w:rsidRPr="00C41FDC">
              <w:rPr>
                <w:rFonts w:eastAsia="Times New Roman"/>
                <w:color w:val="000000" w:themeColor="text1"/>
              </w:rPr>
              <w:t>18)</w:t>
            </w:r>
          </w:p>
        </w:tc>
        <w:tc>
          <w:tcPr>
            <w:tcW w:w="2160" w:type="dxa"/>
            <w:tcBorders>
              <w:top w:val="nil"/>
              <w:left w:val="nil"/>
              <w:bottom w:val="nil"/>
              <w:right w:val="nil"/>
            </w:tcBorders>
          </w:tcPr>
          <w:p w14:paraId="7EC253C8"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3·7 +/- 2·6</w:t>
            </w:r>
          </w:p>
        </w:tc>
        <w:tc>
          <w:tcPr>
            <w:tcW w:w="1890" w:type="dxa"/>
            <w:tcBorders>
              <w:top w:val="nil"/>
              <w:left w:val="nil"/>
              <w:bottom w:val="nil"/>
              <w:right w:val="nil"/>
            </w:tcBorders>
          </w:tcPr>
          <w:p w14:paraId="00150CFB"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w:t>
            </w:r>
          </w:p>
        </w:tc>
        <w:tc>
          <w:tcPr>
            <w:tcW w:w="1170" w:type="dxa"/>
            <w:tcBorders>
              <w:top w:val="nil"/>
              <w:left w:val="nil"/>
              <w:bottom w:val="nil"/>
              <w:right w:val="nil"/>
            </w:tcBorders>
          </w:tcPr>
          <w:p w14:paraId="429FAD42"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w:t>
            </w:r>
          </w:p>
        </w:tc>
      </w:tr>
      <w:tr w:rsidR="00C41FDC" w:rsidRPr="00C41FDC" w14:paraId="16F14F94" w14:textId="77777777" w:rsidTr="00AE4E9B">
        <w:trPr>
          <w:trHeight w:val="160"/>
        </w:trPr>
        <w:tc>
          <w:tcPr>
            <w:tcW w:w="4170" w:type="dxa"/>
            <w:tcBorders>
              <w:top w:val="nil"/>
              <w:left w:val="nil"/>
              <w:right w:val="nil"/>
            </w:tcBorders>
          </w:tcPr>
          <w:p w14:paraId="18F63F55" w14:textId="07BABB71"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UL PPFE visual extent (max</w:t>
            </w:r>
            <w:r w:rsidR="00112A68" w:rsidRPr="00C41FDC">
              <w:rPr>
                <w:rFonts w:eastAsia="Times New Roman"/>
                <w:color w:val="000000" w:themeColor="text1"/>
              </w:rPr>
              <w:t>.</w:t>
            </w:r>
            <w:r w:rsidRPr="00C41FDC">
              <w:rPr>
                <w:rFonts w:eastAsia="Times New Roman"/>
                <w:color w:val="000000" w:themeColor="text1"/>
              </w:rPr>
              <w:t xml:space="preserve"> score</w:t>
            </w:r>
            <w:r w:rsidR="0057683E" w:rsidRPr="00C41FDC">
              <w:rPr>
                <w:rFonts w:eastAsia="Times New Roman"/>
                <w:color w:val="000000" w:themeColor="text1"/>
              </w:rPr>
              <w:t xml:space="preserve"> </w:t>
            </w:r>
            <w:r w:rsidRPr="00C41FDC">
              <w:rPr>
                <w:rFonts w:eastAsia="Times New Roman"/>
                <w:color w:val="000000" w:themeColor="text1"/>
              </w:rPr>
              <w:t>=</w:t>
            </w:r>
            <w:r w:rsidR="0057683E" w:rsidRPr="00C41FDC">
              <w:rPr>
                <w:rFonts w:eastAsia="Times New Roman"/>
                <w:color w:val="000000" w:themeColor="text1"/>
              </w:rPr>
              <w:t xml:space="preserve"> </w:t>
            </w:r>
            <w:r w:rsidRPr="00C41FDC">
              <w:rPr>
                <w:rFonts w:eastAsia="Times New Roman"/>
                <w:color w:val="000000" w:themeColor="text1"/>
              </w:rPr>
              <w:t>6)</w:t>
            </w:r>
          </w:p>
        </w:tc>
        <w:tc>
          <w:tcPr>
            <w:tcW w:w="2160" w:type="dxa"/>
            <w:tcBorders>
              <w:top w:val="nil"/>
              <w:left w:val="nil"/>
              <w:right w:val="nil"/>
            </w:tcBorders>
          </w:tcPr>
          <w:p w14:paraId="39E84CFD"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2·3 +/- 0·8</w:t>
            </w:r>
          </w:p>
        </w:tc>
        <w:tc>
          <w:tcPr>
            <w:tcW w:w="1890" w:type="dxa"/>
            <w:tcBorders>
              <w:top w:val="nil"/>
              <w:left w:val="nil"/>
              <w:right w:val="nil"/>
            </w:tcBorders>
          </w:tcPr>
          <w:p w14:paraId="1FDE5DBA"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w:t>
            </w:r>
          </w:p>
        </w:tc>
        <w:tc>
          <w:tcPr>
            <w:tcW w:w="1170" w:type="dxa"/>
            <w:tcBorders>
              <w:top w:val="nil"/>
              <w:left w:val="nil"/>
              <w:right w:val="nil"/>
            </w:tcBorders>
          </w:tcPr>
          <w:p w14:paraId="30BE7DEA"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w:t>
            </w:r>
          </w:p>
        </w:tc>
      </w:tr>
      <w:tr w:rsidR="00C41FDC" w:rsidRPr="00C41FDC" w14:paraId="4C130B3B" w14:textId="77777777" w:rsidTr="00AE4E9B">
        <w:trPr>
          <w:trHeight w:val="160"/>
        </w:trPr>
        <w:tc>
          <w:tcPr>
            <w:tcW w:w="4170" w:type="dxa"/>
            <w:tcBorders>
              <w:top w:val="nil"/>
              <w:left w:val="nil"/>
              <w:bottom w:val="single" w:sz="4" w:space="0" w:color="000000"/>
              <w:right w:val="nil"/>
            </w:tcBorders>
          </w:tcPr>
          <w:p w14:paraId="4286A4E0" w14:textId="1F87F8B8"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 xml:space="preserve">Median </w:t>
            </w:r>
            <w:r w:rsidR="00CE417A" w:rsidRPr="00C41FDC">
              <w:rPr>
                <w:rFonts w:eastAsia="Times New Roman"/>
                <w:color w:val="000000" w:themeColor="text1"/>
              </w:rPr>
              <w:t>c</w:t>
            </w:r>
            <w:r w:rsidRPr="00C41FDC">
              <w:rPr>
                <w:rFonts w:eastAsia="Times New Roman"/>
                <w:color w:val="000000" w:themeColor="text1"/>
              </w:rPr>
              <w:t>PPFE score (%)</w:t>
            </w:r>
          </w:p>
        </w:tc>
        <w:tc>
          <w:tcPr>
            <w:tcW w:w="2160" w:type="dxa"/>
            <w:tcBorders>
              <w:top w:val="nil"/>
              <w:left w:val="nil"/>
              <w:bottom w:val="single" w:sz="4" w:space="0" w:color="000000"/>
              <w:right w:val="nil"/>
            </w:tcBorders>
          </w:tcPr>
          <w:p w14:paraId="4270037C"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2·7 +/- 6·1</w:t>
            </w:r>
          </w:p>
        </w:tc>
        <w:tc>
          <w:tcPr>
            <w:tcW w:w="1890" w:type="dxa"/>
            <w:tcBorders>
              <w:top w:val="nil"/>
              <w:left w:val="nil"/>
              <w:bottom w:val="single" w:sz="4" w:space="0" w:color="000000"/>
              <w:right w:val="nil"/>
            </w:tcBorders>
          </w:tcPr>
          <w:p w14:paraId="5E428B47"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w:t>
            </w:r>
          </w:p>
        </w:tc>
        <w:tc>
          <w:tcPr>
            <w:tcW w:w="1170" w:type="dxa"/>
            <w:tcBorders>
              <w:top w:val="nil"/>
              <w:left w:val="nil"/>
              <w:bottom w:val="single" w:sz="4" w:space="0" w:color="000000"/>
              <w:right w:val="nil"/>
            </w:tcBorders>
          </w:tcPr>
          <w:p w14:paraId="39E61DD3"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w:t>
            </w:r>
          </w:p>
        </w:tc>
      </w:tr>
      <w:bookmarkEnd w:id="287"/>
      <w:tr w:rsidR="00C41FDC" w:rsidRPr="00C41FDC" w14:paraId="059ED892" w14:textId="77777777" w:rsidTr="00AE4E9B">
        <w:trPr>
          <w:trHeight w:val="160"/>
        </w:trPr>
        <w:tc>
          <w:tcPr>
            <w:tcW w:w="4170" w:type="dxa"/>
            <w:tcBorders>
              <w:top w:val="single" w:sz="4" w:space="0" w:color="000000"/>
              <w:left w:val="nil"/>
              <w:right w:val="nil"/>
            </w:tcBorders>
          </w:tcPr>
          <w:p w14:paraId="11A2BFA3"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Validation cohort:</w:t>
            </w:r>
          </w:p>
        </w:tc>
        <w:tc>
          <w:tcPr>
            <w:tcW w:w="2160" w:type="dxa"/>
            <w:tcBorders>
              <w:top w:val="single" w:sz="4" w:space="0" w:color="000000"/>
              <w:left w:val="nil"/>
              <w:right w:val="nil"/>
            </w:tcBorders>
          </w:tcPr>
          <w:p w14:paraId="2B9E8497"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(n = 104)</w:t>
            </w:r>
          </w:p>
        </w:tc>
        <w:tc>
          <w:tcPr>
            <w:tcW w:w="1890" w:type="dxa"/>
            <w:tcBorders>
              <w:top w:val="single" w:sz="4" w:space="0" w:color="000000"/>
              <w:left w:val="nil"/>
              <w:right w:val="nil"/>
            </w:tcBorders>
          </w:tcPr>
          <w:p w14:paraId="7B516D6B"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(n = 41)</w:t>
            </w:r>
          </w:p>
        </w:tc>
        <w:tc>
          <w:tcPr>
            <w:tcW w:w="1170" w:type="dxa"/>
            <w:tcBorders>
              <w:top w:val="single" w:sz="4" w:space="0" w:color="000000"/>
              <w:left w:val="nil"/>
              <w:right w:val="nil"/>
            </w:tcBorders>
          </w:tcPr>
          <w:p w14:paraId="7DDF9688" w14:textId="77777777" w:rsidR="007D5BDD" w:rsidRPr="00C41FDC" w:rsidRDefault="007D5BDD" w:rsidP="0057683E">
            <w:pPr>
              <w:autoSpaceDE w:val="0"/>
              <w:autoSpaceDN w:val="0"/>
              <w:adjustRightInd w:val="0"/>
              <w:rPr>
                <w:rFonts w:eastAsia="Times New Roman"/>
                <w:color w:val="000000" w:themeColor="text1"/>
              </w:rPr>
            </w:pPr>
          </w:p>
        </w:tc>
      </w:tr>
      <w:tr w:rsidR="00C41FDC" w:rsidRPr="00C41FDC" w14:paraId="46C6AE76" w14:textId="77777777" w:rsidTr="00AE4E9B">
        <w:trPr>
          <w:trHeight w:val="160"/>
        </w:trPr>
        <w:tc>
          <w:tcPr>
            <w:tcW w:w="4170" w:type="dxa"/>
            <w:tcBorders>
              <w:top w:val="nil"/>
              <w:left w:val="nil"/>
              <w:right w:val="nil"/>
            </w:tcBorders>
          </w:tcPr>
          <w:p w14:paraId="39E70193"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 xml:space="preserve">Median age (range) </w:t>
            </w:r>
          </w:p>
        </w:tc>
        <w:tc>
          <w:tcPr>
            <w:tcW w:w="2160" w:type="dxa"/>
            <w:tcBorders>
              <w:top w:val="nil"/>
              <w:left w:val="nil"/>
              <w:right w:val="nil"/>
            </w:tcBorders>
          </w:tcPr>
          <w:p w14:paraId="6E344881"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69 (37 – 86)</w:t>
            </w:r>
          </w:p>
        </w:tc>
        <w:tc>
          <w:tcPr>
            <w:tcW w:w="1890" w:type="dxa"/>
            <w:tcBorders>
              <w:top w:val="nil"/>
              <w:left w:val="nil"/>
              <w:right w:val="nil"/>
            </w:tcBorders>
          </w:tcPr>
          <w:p w14:paraId="66CE707A"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69 (42 – 87)</w:t>
            </w:r>
          </w:p>
        </w:tc>
        <w:tc>
          <w:tcPr>
            <w:tcW w:w="1170" w:type="dxa"/>
            <w:tcBorders>
              <w:top w:val="nil"/>
              <w:left w:val="nil"/>
              <w:right w:val="nil"/>
            </w:tcBorders>
          </w:tcPr>
          <w:p w14:paraId="18BDDCA7"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0·52</w:t>
            </w:r>
          </w:p>
        </w:tc>
      </w:tr>
      <w:tr w:rsidR="00C41FDC" w:rsidRPr="00C41FDC" w14:paraId="7BC3F3DF" w14:textId="77777777" w:rsidTr="00AE4E9B">
        <w:trPr>
          <w:trHeight w:val="160"/>
        </w:trPr>
        <w:tc>
          <w:tcPr>
            <w:tcW w:w="4170" w:type="dxa"/>
            <w:tcBorders>
              <w:top w:val="nil"/>
              <w:left w:val="nil"/>
              <w:right w:val="nil"/>
            </w:tcBorders>
          </w:tcPr>
          <w:p w14:paraId="4F1FBCC2"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 xml:space="preserve">Male/female </w:t>
            </w:r>
          </w:p>
        </w:tc>
        <w:tc>
          <w:tcPr>
            <w:tcW w:w="2160" w:type="dxa"/>
            <w:tcBorders>
              <w:top w:val="nil"/>
              <w:left w:val="nil"/>
              <w:right w:val="nil"/>
            </w:tcBorders>
          </w:tcPr>
          <w:p w14:paraId="0F993ACB"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81 / 23</w:t>
            </w:r>
          </w:p>
        </w:tc>
        <w:tc>
          <w:tcPr>
            <w:tcW w:w="1890" w:type="dxa"/>
            <w:tcBorders>
              <w:top w:val="nil"/>
              <w:left w:val="nil"/>
              <w:right w:val="nil"/>
            </w:tcBorders>
          </w:tcPr>
          <w:p w14:paraId="047128D5"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 xml:space="preserve">33 / 8 </w:t>
            </w:r>
          </w:p>
        </w:tc>
        <w:tc>
          <w:tcPr>
            <w:tcW w:w="1170" w:type="dxa"/>
            <w:tcBorders>
              <w:top w:val="nil"/>
              <w:left w:val="nil"/>
              <w:right w:val="nil"/>
            </w:tcBorders>
          </w:tcPr>
          <w:p w14:paraId="043837DE"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0·73</w:t>
            </w:r>
          </w:p>
        </w:tc>
      </w:tr>
      <w:tr w:rsidR="00C41FDC" w:rsidRPr="00C41FDC" w14:paraId="0C0E3229" w14:textId="77777777" w:rsidTr="00AE4E9B">
        <w:trPr>
          <w:trHeight w:val="160"/>
        </w:trPr>
        <w:tc>
          <w:tcPr>
            <w:tcW w:w="4170" w:type="dxa"/>
            <w:tcBorders>
              <w:top w:val="nil"/>
              <w:left w:val="nil"/>
              <w:right w:val="nil"/>
            </w:tcBorders>
          </w:tcPr>
          <w:p w14:paraId="276FA301"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 xml:space="preserve">Survival (alive/dead) </w:t>
            </w:r>
          </w:p>
        </w:tc>
        <w:tc>
          <w:tcPr>
            <w:tcW w:w="2160" w:type="dxa"/>
            <w:tcBorders>
              <w:top w:val="nil"/>
              <w:left w:val="nil"/>
              <w:right w:val="nil"/>
            </w:tcBorders>
          </w:tcPr>
          <w:p w14:paraId="00CD33E9"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37 / 67</w:t>
            </w:r>
          </w:p>
        </w:tc>
        <w:tc>
          <w:tcPr>
            <w:tcW w:w="1890" w:type="dxa"/>
            <w:tcBorders>
              <w:top w:val="nil"/>
              <w:left w:val="nil"/>
              <w:right w:val="nil"/>
            </w:tcBorders>
          </w:tcPr>
          <w:p w14:paraId="5B4D1D40"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27 / 14</w:t>
            </w:r>
          </w:p>
        </w:tc>
        <w:tc>
          <w:tcPr>
            <w:tcW w:w="1170" w:type="dxa"/>
            <w:tcBorders>
              <w:top w:val="nil"/>
              <w:left w:val="nil"/>
              <w:right w:val="nil"/>
            </w:tcBorders>
          </w:tcPr>
          <w:p w14:paraId="38681584"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0·0009</w:t>
            </w:r>
          </w:p>
        </w:tc>
      </w:tr>
      <w:tr w:rsidR="00C41FDC" w:rsidRPr="00C41FDC" w14:paraId="27EE9987" w14:textId="77777777" w:rsidTr="00AE4E9B">
        <w:trPr>
          <w:trHeight w:val="160"/>
        </w:trPr>
        <w:tc>
          <w:tcPr>
            <w:tcW w:w="4170" w:type="dxa"/>
            <w:tcBorders>
              <w:top w:val="nil"/>
              <w:left w:val="nil"/>
              <w:right w:val="nil"/>
            </w:tcBorders>
          </w:tcPr>
          <w:p w14:paraId="17A71422"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Median follow-up in years (range)</w:t>
            </w:r>
          </w:p>
        </w:tc>
        <w:tc>
          <w:tcPr>
            <w:tcW w:w="2160" w:type="dxa"/>
            <w:tcBorders>
              <w:top w:val="nil"/>
              <w:left w:val="nil"/>
              <w:right w:val="nil"/>
            </w:tcBorders>
          </w:tcPr>
          <w:p w14:paraId="7FBC0988"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3·0 (0·3 – 8·9)</w:t>
            </w:r>
          </w:p>
        </w:tc>
        <w:tc>
          <w:tcPr>
            <w:tcW w:w="1890" w:type="dxa"/>
            <w:tcBorders>
              <w:top w:val="nil"/>
              <w:left w:val="nil"/>
              <w:right w:val="nil"/>
            </w:tcBorders>
          </w:tcPr>
          <w:p w14:paraId="6BC6948C"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3·2 (0·5 – 8·5)</w:t>
            </w:r>
          </w:p>
        </w:tc>
        <w:tc>
          <w:tcPr>
            <w:tcW w:w="1170" w:type="dxa"/>
            <w:tcBorders>
              <w:top w:val="nil"/>
              <w:left w:val="nil"/>
              <w:right w:val="nil"/>
            </w:tcBorders>
          </w:tcPr>
          <w:p w14:paraId="3C3DBFA9"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0·94</w:t>
            </w:r>
          </w:p>
        </w:tc>
      </w:tr>
      <w:tr w:rsidR="00C41FDC" w:rsidRPr="00C41FDC" w14:paraId="5D73F4F3" w14:textId="77777777" w:rsidTr="00AE4E9B">
        <w:trPr>
          <w:trHeight w:val="160"/>
        </w:trPr>
        <w:tc>
          <w:tcPr>
            <w:tcW w:w="4170" w:type="dxa"/>
            <w:tcBorders>
              <w:top w:val="nil"/>
              <w:left w:val="nil"/>
              <w:right w:val="nil"/>
            </w:tcBorders>
          </w:tcPr>
          <w:p w14:paraId="07848F70"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 xml:space="preserve">Never/ever smokers </w:t>
            </w:r>
          </w:p>
        </w:tc>
        <w:tc>
          <w:tcPr>
            <w:tcW w:w="2160" w:type="dxa"/>
            <w:tcBorders>
              <w:top w:val="nil"/>
              <w:left w:val="nil"/>
              <w:right w:val="nil"/>
            </w:tcBorders>
          </w:tcPr>
          <w:p w14:paraId="037F626E"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27 / 77</w:t>
            </w:r>
          </w:p>
        </w:tc>
        <w:tc>
          <w:tcPr>
            <w:tcW w:w="1890" w:type="dxa"/>
            <w:tcBorders>
              <w:top w:val="nil"/>
              <w:left w:val="nil"/>
              <w:right w:val="nil"/>
            </w:tcBorders>
          </w:tcPr>
          <w:p w14:paraId="48EFC5EA"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13 / 28</w:t>
            </w:r>
          </w:p>
        </w:tc>
        <w:tc>
          <w:tcPr>
            <w:tcW w:w="1170" w:type="dxa"/>
            <w:tcBorders>
              <w:top w:val="nil"/>
              <w:left w:val="nil"/>
              <w:right w:val="nil"/>
            </w:tcBorders>
          </w:tcPr>
          <w:p w14:paraId="31888570"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0·49</w:t>
            </w:r>
          </w:p>
        </w:tc>
      </w:tr>
      <w:tr w:rsidR="00C41FDC" w:rsidRPr="00C41FDC" w14:paraId="34E48435" w14:textId="77777777" w:rsidTr="00AE4E9B">
        <w:trPr>
          <w:trHeight w:val="160"/>
        </w:trPr>
        <w:tc>
          <w:tcPr>
            <w:tcW w:w="4170" w:type="dxa"/>
            <w:tcBorders>
              <w:top w:val="nil"/>
              <w:left w:val="nil"/>
              <w:right w:val="nil"/>
            </w:tcBorders>
          </w:tcPr>
          <w:p w14:paraId="4488F142"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 xml:space="preserve">Pack years (smokers only) </w:t>
            </w:r>
          </w:p>
        </w:tc>
        <w:tc>
          <w:tcPr>
            <w:tcW w:w="2160" w:type="dxa"/>
            <w:tcBorders>
              <w:top w:val="nil"/>
              <w:left w:val="nil"/>
              <w:right w:val="nil"/>
            </w:tcBorders>
          </w:tcPr>
          <w:p w14:paraId="549C48CB"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21</w:t>
            </w:r>
            <w:bookmarkStart w:id="288" w:name="OLE_LINK131"/>
            <w:r w:rsidRPr="00C41FDC">
              <w:rPr>
                <w:rFonts w:eastAsia="Times New Roman"/>
                <w:color w:val="000000" w:themeColor="text1"/>
              </w:rPr>
              <w:t>·</w:t>
            </w:r>
            <w:bookmarkEnd w:id="288"/>
            <w:r w:rsidRPr="00C41FDC">
              <w:rPr>
                <w:rFonts w:eastAsia="Times New Roman"/>
                <w:color w:val="000000" w:themeColor="text1"/>
              </w:rPr>
              <w:t>8 +/- 13·7</w:t>
            </w:r>
          </w:p>
        </w:tc>
        <w:tc>
          <w:tcPr>
            <w:tcW w:w="1890" w:type="dxa"/>
            <w:tcBorders>
              <w:top w:val="nil"/>
              <w:left w:val="nil"/>
              <w:right w:val="nil"/>
            </w:tcBorders>
          </w:tcPr>
          <w:p w14:paraId="0AA16918"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23·7 +/- 15·5</w:t>
            </w:r>
          </w:p>
        </w:tc>
        <w:tc>
          <w:tcPr>
            <w:tcW w:w="1170" w:type="dxa"/>
            <w:tcBorders>
              <w:top w:val="nil"/>
              <w:left w:val="nil"/>
              <w:right w:val="nil"/>
            </w:tcBorders>
          </w:tcPr>
          <w:p w14:paraId="6D496CEC"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0·97</w:t>
            </w:r>
          </w:p>
        </w:tc>
      </w:tr>
      <w:tr w:rsidR="00C41FDC" w:rsidRPr="00C41FDC" w14:paraId="49F3C4B1" w14:textId="77777777" w:rsidTr="00AE4E9B">
        <w:trPr>
          <w:trHeight w:val="160"/>
        </w:trPr>
        <w:tc>
          <w:tcPr>
            <w:tcW w:w="4170" w:type="dxa"/>
            <w:tcBorders>
              <w:top w:val="nil"/>
              <w:left w:val="nil"/>
              <w:right w:val="nil"/>
            </w:tcBorders>
          </w:tcPr>
          <w:p w14:paraId="3DB0C370"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Antifibrotic (never/ever)</w:t>
            </w:r>
          </w:p>
        </w:tc>
        <w:tc>
          <w:tcPr>
            <w:tcW w:w="2160" w:type="dxa"/>
            <w:tcBorders>
              <w:top w:val="nil"/>
              <w:left w:val="nil"/>
              <w:right w:val="nil"/>
            </w:tcBorders>
          </w:tcPr>
          <w:p w14:paraId="414685E4"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46 / 58</w:t>
            </w:r>
          </w:p>
        </w:tc>
        <w:tc>
          <w:tcPr>
            <w:tcW w:w="1890" w:type="dxa"/>
            <w:tcBorders>
              <w:top w:val="nil"/>
              <w:left w:val="nil"/>
              <w:right w:val="nil"/>
            </w:tcBorders>
          </w:tcPr>
          <w:p w14:paraId="498B4C60"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 xml:space="preserve">23 / 18 </w:t>
            </w:r>
          </w:p>
        </w:tc>
        <w:tc>
          <w:tcPr>
            <w:tcW w:w="1170" w:type="dxa"/>
            <w:tcBorders>
              <w:top w:val="nil"/>
              <w:left w:val="nil"/>
              <w:right w:val="nil"/>
            </w:tcBorders>
          </w:tcPr>
          <w:p w14:paraId="7FFDE2D3"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0·20</w:t>
            </w:r>
          </w:p>
        </w:tc>
      </w:tr>
      <w:tr w:rsidR="00C41FDC" w:rsidRPr="00C41FDC" w14:paraId="45570E56" w14:textId="77777777" w:rsidTr="00AE4E9B">
        <w:trPr>
          <w:trHeight w:val="160"/>
        </w:trPr>
        <w:tc>
          <w:tcPr>
            <w:tcW w:w="4170" w:type="dxa"/>
            <w:tcBorders>
              <w:top w:val="nil"/>
              <w:left w:val="nil"/>
              <w:right w:val="nil"/>
            </w:tcBorders>
          </w:tcPr>
          <w:p w14:paraId="27CDA6E0" w14:textId="28FD6785"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FEV1</w:t>
            </w:r>
            <w:r w:rsidR="00112A68" w:rsidRPr="00C41FDC">
              <w:rPr>
                <w:rFonts w:eastAsia="Times New Roman"/>
                <w:color w:val="000000" w:themeColor="text1"/>
              </w:rPr>
              <w:t xml:space="preserve"> </w:t>
            </w:r>
            <w:r w:rsidRPr="00C41FDC">
              <w:rPr>
                <w:rFonts w:eastAsia="Times New Roman"/>
                <w:color w:val="000000" w:themeColor="text1"/>
              </w:rPr>
              <w:t xml:space="preserve">% predicted </w:t>
            </w:r>
          </w:p>
        </w:tc>
        <w:tc>
          <w:tcPr>
            <w:tcW w:w="2160" w:type="dxa"/>
            <w:tcBorders>
              <w:top w:val="nil"/>
              <w:left w:val="nil"/>
              <w:right w:val="nil"/>
            </w:tcBorders>
          </w:tcPr>
          <w:p w14:paraId="17879A6C"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84·2 +/- 18·1</w:t>
            </w:r>
          </w:p>
        </w:tc>
        <w:tc>
          <w:tcPr>
            <w:tcW w:w="1890" w:type="dxa"/>
            <w:tcBorders>
              <w:top w:val="nil"/>
              <w:left w:val="nil"/>
              <w:right w:val="nil"/>
            </w:tcBorders>
          </w:tcPr>
          <w:p w14:paraId="483BD9CE"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88·7 +/- 20·0</w:t>
            </w:r>
          </w:p>
        </w:tc>
        <w:tc>
          <w:tcPr>
            <w:tcW w:w="1170" w:type="dxa"/>
            <w:tcBorders>
              <w:top w:val="nil"/>
              <w:left w:val="nil"/>
              <w:right w:val="nil"/>
            </w:tcBorders>
          </w:tcPr>
          <w:p w14:paraId="3B1F92FF"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0·20</w:t>
            </w:r>
          </w:p>
        </w:tc>
      </w:tr>
      <w:tr w:rsidR="00C41FDC" w:rsidRPr="00C41FDC" w14:paraId="2EAC78D9" w14:textId="77777777" w:rsidTr="00AE4E9B">
        <w:trPr>
          <w:trHeight w:val="160"/>
        </w:trPr>
        <w:tc>
          <w:tcPr>
            <w:tcW w:w="4170" w:type="dxa"/>
            <w:tcBorders>
              <w:left w:val="nil"/>
              <w:right w:val="nil"/>
            </w:tcBorders>
          </w:tcPr>
          <w:p w14:paraId="37CDE0F2" w14:textId="1C791590"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FVC</w:t>
            </w:r>
            <w:r w:rsidR="00112A68" w:rsidRPr="00C41FDC">
              <w:rPr>
                <w:rFonts w:eastAsia="Times New Roman"/>
                <w:color w:val="000000" w:themeColor="text1"/>
              </w:rPr>
              <w:t xml:space="preserve"> </w:t>
            </w:r>
            <w:r w:rsidRPr="00C41FDC">
              <w:rPr>
                <w:rFonts w:eastAsia="Times New Roman"/>
                <w:color w:val="000000" w:themeColor="text1"/>
              </w:rPr>
              <w:t xml:space="preserve">% predicted </w:t>
            </w:r>
          </w:p>
        </w:tc>
        <w:tc>
          <w:tcPr>
            <w:tcW w:w="2160" w:type="dxa"/>
            <w:tcBorders>
              <w:left w:val="nil"/>
              <w:right w:val="nil"/>
            </w:tcBorders>
          </w:tcPr>
          <w:p w14:paraId="703B665F"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77·9 +/- 17·1</w:t>
            </w:r>
          </w:p>
        </w:tc>
        <w:tc>
          <w:tcPr>
            <w:tcW w:w="1890" w:type="dxa"/>
            <w:tcBorders>
              <w:left w:val="nil"/>
              <w:right w:val="nil"/>
            </w:tcBorders>
          </w:tcPr>
          <w:p w14:paraId="31D34F23"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84·0 +/- 19·3</w:t>
            </w:r>
          </w:p>
        </w:tc>
        <w:tc>
          <w:tcPr>
            <w:tcW w:w="1170" w:type="dxa"/>
            <w:tcBorders>
              <w:left w:val="nil"/>
              <w:right w:val="nil"/>
            </w:tcBorders>
          </w:tcPr>
          <w:p w14:paraId="128FB8AD"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0·07</w:t>
            </w:r>
          </w:p>
        </w:tc>
      </w:tr>
      <w:tr w:rsidR="00C41FDC" w:rsidRPr="00C41FDC" w14:paraId="119A2231" w14:textId="77777777" w:rsidTr="00AE4E9B">
        <w:trPr>
          <w:trHeight w:val="160"/>
        </w:trPr>
        <w:tc>
          <w:tcPr>
            <w:tcW w:w="4170" w:type="dxa"/>
            <w:tcBorders>
              <w:left w:val="nil"/>
              <w:right w:val="nil"/>
            </w:tcBorders>
          </w:tcPr>
          <w:p w14:paraId="29A4F8EC" w14:textId="6C3CEA49"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DLco</w:t>
            </w:r>
            <w:r w:rsidR="00112A68" w:rsidRPr="00C41FDC">
              <w:rPr>
                <w:rFonts w:eastAsia="Times New Roman"/>
                <w:color w:val="000000" w:themeColor="text1"/>
              </w:rPr>
              <w:t xml:space="preserve"> </w:t>
            </w:r>
            <w:r w:rsidRPr="00C41FDC">
              <w:rPr>
                <w:rFonts w:eastAsia="Times New Roman"/>
                <w:color w:val="000000" w:themeColor="text1"/>
              </w:rPr>
              <w:t>% predicted</w:t>
            </w:r>
          </w:p>
        </w:tc>
        <w:tc>
          <w:tcPr>
            <w:tcW w:w="2160" w:type="dxa"/>
            <w:tcBorders>
              <w:left w:val="nil"/>
              <w:right w:val="nil"/>
            </w:tcBorders>
          </w:tcPr>
          <w:p w14:paraId="38EE3247"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47·0 +/- 12·8</w:t>
            </w:r>
          </w:p>
        </w:tc>
        <w:tc>
          <w:tcPr>
            <w:tcW w:w="1890" w:type="dxa"/>
            <w:tcBorders>
              <w:left w:val="nil"/>
              <w:right w:val="nil"/>
            </w:tcBorders>
          </w:tcPr>
          <w:p w14:paraId="250B9EA4"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52·9 +/- 17·7</w:t>
            </w:r>
          </w:p>
        </w:tc>
        <w:tc>
          <w:tcPr>
            <w:tcW w:w="1170" w:type="dxa"/>
            <w:tcBorders>
              <w:left w:val="nil"/>
              <w:right w:val="nil"/>
            </w:tcBorders>
          </w:tcPr>
          <w:p w14:paraId="49D1D30B"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0·03</w:t>
            </w:r>
          </w:p>
        </w:tc>
      </w:tr>
      <w:tr w:rsidR="00C41FDC" w:rsidRPr="00C41FDC" w14:paraId="1046DCED" w14:textId="77777777" w:rsidTr="00AE4E9B">
        <w:trPr>
          <w:trHeight w:val="160"/>
        </w:trPr>
        <w:tc>
          <w:tcPr>
            <w:tcW w:w="4170" w:type="dxa"/>
            <w:tcBorders>
              <w:top w:val="nil"/>
              <w:left w:val="nil"/>
              <w:right w:val="nil"/>
            </w:tcBorders>
          </w:tcPr>
          <w:p w14:paraId="611E796E"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Total ILD extent (%)</w:t>
            </w:r>
          </w:p>
        </w:tc>
        <w:tc>
          <w:tcPr>
            <w:tcW w:w="2160" w:type="dxa"/>
            <w:tcBorders>
              <w:top w:val="nil"/>
              <w:left w:val="nil"/>
              <w:right w:val="nil"/>
            </w:tcBorders>
          </w:tcPr>
          <w:p w14:paraId="692563AD"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37·4 +/- 12·0</w:t>
            </w:r>
          </w:p>
        </w:tc>
        <w:tc>
          <w:tcPr>
            <w:tcW w:w="1890" w:type="dxa"/>
            <w:tcBorders>
              <w:top w:val="nil"/>
              <w:left w:val="nil"/>
              <w:right w:val="nil"/>
            </w:tcBorders>
          </w:tcPr>
          <w:p w14:paraId="5A6DC135"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32·1 +/- 13·6</w:t>
            </w:r>
          </w:p>
        </w:tc>
        <w:tc>
          <w:tcPr>
            <w:tcW w:w="1170" w:type="dxa"/>
            <w:tcBorders>
              <w:top w:val="nil"/>
              <w:left w:val="nil"/>
              <w:right w:val="nil"/>
            </w:tcBorders>
          </w:tcPr>
          <w:p w14:paraId="3F99F488"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0·02</w:t>
            </w:r>
          </w:p>
        </w:tc>
      </w:tr>
      <w:tr w:rsidR="00C41FDC" w:rsidRPr="00C41FDC" w14:paraId="725ACC3A" w14:textId="77777777" w:rsidTr="00AE4E9B">
        <w:trPr>
          <w:trHeight w:val="160"/>
        </w:trPr>
        <w:tc>
          <w:tcPr>
            <w:tcW w:w="4170" w:type="dxa"/>
            <w:tcBorders>
              <w:top w:val="nil"/>
              <w:left w:val="nil"/>
              <w:right w:val="nil"/>
            </w:tcBorders>
          </w:tcPr>
          <w:p w14:paraId="09962992"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Emphysema (%)</w:t>
            </w:r>
          </w:p>
        </w:tc>
        <w:tc>
          <w:tcPr>
            <w:tcW w:w="2160" w:type="dxa"/>
            <w:tcBorders>
              <w:top w:val="nil"/>
              <w:left w:val="nil"/>
              <w:right w:val="nil"/>
            </w:tcBorders>
          </w:tcPr>
          <w:p w14:paraId="60C585BA"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6·0 +/- 7·4</w:t>
            </w:r>
          </w:p>
        </w:tc>
        <w:tc>
          <w:tcPr>
            <w:tcW w:w="1890" w:type="dxa"/>
            <w:tcBorders>
              <w:top w:val="nil"/>
              <w:left w:val="nil"/>
              <w:right w:val="nil"/>
            </w:tcBorders>
          </w:tcPr>
          <w:p w14:paraId="14A8198C"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8·4 +/- 9·9</w:t>
            </w:r>
          </w:p>
        </w:tc>
        <w:tc>
          <w:tcPr>
            <w:tcW w:w="1170" w:type="dxa"/>
            <w:tcBorders>
              <w:top w:val="nil"/>
              <w:left w:val="nil"/>
              <w:right w:val="nil"/>
            </w:tcBorders>
          </w:tcPr>
          <w:p w14:paraId="0FE8D5B2"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0·11</w:t>
            </w:r>
          </w:p>
        </w:tc>
      </w:tr>
      <w:tr w:rsidR="00C41FDC" w:rsidRPr="00C41FDC" w14:paraId="2D6681E5" w14:textId="77777777" w:rsidTr="00AE4E9B">
        <w:trPr>
          <w:trHeight w:val="160"/>
        </w:trPr>
        <w:tc>
          <w:tcPr>
            <w:tcW w:w="4170" w:type="dxa"/>
            <w:tcBorders>
              <w:top w:val="nil"/>
              <w:left w:val="nil"/>
              <w:right w:val="nil"/>
            </w:tcBorders>
          </w:tcPr>
          <w:p w14:paraId="2059C09D" w14:textId="21B59B6B" w:rsidR="007D5BDD" w:rsidRPr="00C41FDC" w:rsidRDefault="007D5BDD" w:rsidP="0057683E">
            <w:pPr>
              <w:autoSpaceDE w:val="0"/>
              <w:autoSpaceDN w:val="0"/>
              <w:adjustRightInd w:val="0"/>
              <w:rPr>
                <w:rFonts w:eastAsia="Times New Roman"/>
                <w:color w:val="000000" w:themeColor="text1"/>
              </w:rPr>
            </w:pPr>
            <w:bookmarkStart w:id="289" w:name="_Hlk65690470"/>
            <w:r w:rsidRPr="00C41FDC">
              <w:rPr>
                <w:rFonts w:eastAsia="Times New Roman"/>
                <w:color w:val="000000" w:themeColor="text1"/>
              </w:rPr>
              <w:t>PPFE visual extent (ma</w:t>
            </w:r>
            <w:r w:rsidR="00CE417A" w:rsidRPr="00C41FDC">
              <w:rPr>
                <w:rFonts w:eastAsia="Times New Roman"/>
                <w:color w:val="000000" w:themeColor="text1"/>
              </w:rPr>
              <w:t>x</w:t>
            </w:r>
            <w:r w:rsidR="00112A68" w:rsidRPr="00C41FDC">
              <w:rPr>
                <w:rFonts w:eastAsia="Times New Roman"/>
                <w:color w:val="000000" w:themeColor="text1"/>
              </w:rPr>
              <w:t>.</w:t>
            </w:r>
            <w:r w:rsidR="00CE417A" w:rsidRPr="00C41FDC">
              <w:rPr>
                <w:rFonts w:eastAsia="Times New Roman"/>
                <w:color w:val="000000" w:themeColor="text1"/>
              </w:rPr>
              <w:t xml:space="preserve"> </w:t>
            </w:r>
            <w:r w:rsidRPr="00C41FDC">
              <w:rPr>
                <w:rFonts w:eastAsia="Times New Roman"/>
                <w:color w:val="000000" w:themeColor="text1"/>
              </w:rPr>
              <w:t>score</w:t>
            </w:r>
            <w:r w:rsidR="0057683E" w:rsidRPr="00C41FDC">
              <w:rPr>
                <w:rFonts w:eastAsia="Times New Roman"/>
                <w:color w:val="000000" w:themeColor="text1"/>
              </w:rPr>
              <w:t xml:space="preserve"> </w:t>
            </w:r>
            <w:r w:rsidRPr="00C41FDC">
              <w:rPr>
                <w:rFonts w:eastAsia="Times New Roman"/>
                <w:color w:val="000000" w:themeColor="text1"/>
              </w:rPr>
              <w:t>=</w:t>
            </w:r>
            <w:r w:rsidR="0057683E" w:rsidRPr="00C41FDC">
              <w:rPr>
                <w:rFonts w:eastAsia="Times New Roman"/>
                <w:color w:val="000000" w:themeColor="text1"/>
              </w:rPr>
              <w:t xml:space="preserve"> </w:t>
            </w:r>
            <w:r w:rsidRPr="00C41FDC">
              <w:rPr>
                <w:rFonts w:eastAsia="Times New Roman"/>
                <w:color w:val="000000" w:themeColor="text1"/>
              </w:rPr>
              <w:t>1</w:t>
            </w:r>
            <w:r w:rsidR="0057683E" w:rsidRPr="00C41FDC">
              <w:rPr>
                <w:rFonts w:eastAsia="Times New Roman"/>
                <w:color w:val="000000" w:themeColor="text1"/>
              </w:rPr>
              <w:t>8</w:t>
            </w:r>
            <w:r w:rsidRPr="00C41FDC">
              <w:rPr>
                <w:rFonts w:eastAsia="Times New Roman"/>
                <w:color w:val="000000" w:themeColor="text1"/>
              </w:rPr>
              <w:t>)</w:t>
            </w:r>
          </w:p>
        </w:tc>
        <w:tc>
          <w:tcPr>
            <w:tcW w:w="2160" w:type="dxa"/>
            <w:tcBorders>
              <w:top w:val="nil"/>
              <w:left w:val="nil"/>
              <w:right w:val="nil"/>
            </w:tcBorders>
          </w:tcPr>
          <w:p w14:paraId="2E3EFE1C"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3·2 +/- 2·4</w:t>
            </w:r>
          </w:p>
        </w:tc>
        <w:tc>
          <w:tcPr>
            <w:tcW w:w="1890" w:type="dxa"/>
            <w:tcBorders>
              <w:top w:val="nil"/>
              <w:left w:val="nil"/>
              <w:right w:val="nil"/>
            </w:tcBorders>
          </w:tcPr>
          <w:p w14:paraId="41A73F0E"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w:t>
            </w:r>
          </w:p>
        </w:tc>
        <w:tc>
          <w:tcPr>
            <w:tcW w:w="1170" w:type="dxa"/>
            <w:tcBorders>
              <w:top w:val="nil"/>
              <w:left w:val="nil"/>
              <w:right w:val="nil"/>
            </w:tcBorders>
          </w:tcPr>
          <w:p w14:paraId="482ACF7B"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w:t>
            </w:r>
          </w:p>
        </w:tc>
      </w:tr>
      <w:tr w:rsidR="00C41FDC" w:rsidRPr="00C41FDC" w14:paraId="2CFAEF1C" w14:textId="77777777" w:rsidTr="00AE4E9B">
        <w:trPr>
          <w:trHeight w:val="160"/>
        </w:trPr>
        <w:tc>
          <w:tcPr>
            <w:tcW w:w="4170" w:type="dxa"/>
            <w:tcBorders>
              <w:top w:val="nil"/>
              <w:left w:val="nil"/>
              <w:right w:val="nil"/>
            </w:tcBorders>
          </w:tcPr>
          <w:p w14:paraId="5091EA5C" w14:textId="4F1828A5"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UL PPFE visual extent (max</w:t>
            </w:r>
            <w:r w:rsidR="00112A68" w:rsidRPr="00C41FDC">
              <w:rPr>
                <w:rFonts w:eastAsia="Times New Roman"/>
                <w:color w:val="000000" w:themeColor="text1"/>
              </w:rPr>
              <w:t>.</w:t>
            </w:r>
            <w:r w:rsidRPr="00C41FDC">
              <w:rPr>
                <w:rFonts w:eastAsia="Times New Roman"/>
                <w:color w:val="000000" w:themeColor="text1"/>
              </w:rPr>
              <w:t xml:space="preserve"> score</w:t>
            </w:r>
            <w:r w:rsidR="0057683E" w:rsidRPr="00C41FDC">
              <w:rPr>
                <w:rFonts w:eastAsia="Times New Roman"/>
                <w:color w:val="000000" w:themeColor="text1"/>
              </w:rPr>
              <w:t xml:space="preserve"> </w:t>
            </w:r>
            <w:r w:rsidRPr="00C41FDC">
              <w:rPr>
                <w:rFonts w:eastAsia="Times New Roman"/>
                <w:color w:val="000000" w:themeColor="text1"/>
              </w:rPr>
              <w:t>=</w:t>
            </w:r>
            <w:r w:rsidR="0057683E" w:rsidRPr="00C41FDC">
              <w:rPr>
                <w:rFonts w:eastAsia="Times New Roman"/>
                <w:color w:val="000000" w:themeColor="text1"/>
              </w:rPr>
              <w:t xml:space="preserve"> </w:t>
            </w:r>
            <w:r w:rsidRPr="00C41FDC">
              <w:rPr>
                <w:rFonts w:eastAsia="Times New Roman"/>
                <w:color w:val="000000" w:themeColor="text1"/>
              </w:rPr>
              <w:t>6)</w:t>
            </w:r>
          </w:p>
        </w:tc>
        <w:tc>
          <w:tcPr>
            <w:tcW w:w="2160" w:type="dxa"/>
            <w:tcBorders>
              <w:top w:val="nil"/>
              <w:left w:val="nil"/>
              <w:right w:val="nil"/>
            </w:tcBorders>
          </w:tcPr>
          <w:p w14:paraId="08D89FCB"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2·2 +/- 0·9</w:t>
            </w:r>
          </w:p>
        </w:tc>
        <w:tc>
          <w:tcPr>
            <w:tcW w:w="1890" w:type="dxa"/>
            <w:tcBorders>
              <w:top w:val="nil"/>
              <w:left w:val="nil"/>
              <w:right w:val="nil"/>
            </w:tcBorders>
          </w:tcPr>
          <w:p w14:paraId="7976F673"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w:t>
            </w:r>
          </w:p>
        </w:tc>
        <w:tc>
          <w:tcPr>
            <w:tcW w:w="1170" w:type="dxa"/>
            <w:tcBorders>
              <w:top w:val="nil"/>
              <w:left w:val="nil"/>
              <w:right w:val="nil"/>
            </w:tcBorders>
          </w:tcPr>
          <w:p w14:paraId="63D99376"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w:t>
            </w:r>
          </w:p>
        </w:tc>
      </w:tr>
      <w:tr w:rsidR="00C41FDC" w:rsidRPr="00C41FDC" w14:paraId="6888B451" w14:textId="77777777" w:rsidTr="00AE4E9B">
        <w:trPr>
          <w:trHeight w:val="160"/>
        </w:trPr>
        <w:tc>
          <w:tcPr>
            <w:tcW w:w="4170" w:type="dxa"/>
            <w:tcBorders>
              <w:top w:val="nil"/>
              <w:left w:val="nil"/>
              <w:bottom w:val="single" w:sz="12" w:space="0" w:color="000000" w:themeColor="text1"/>
              <w:right w:val="nil"/>
            </w:tcBorders>
          </w:tcPr>
          <w:p w14:paraId="31B3C576" w14:textId="65084A13"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 xml:space="preserve">Median </w:t>
            </w:r>
            <w:r w:rsidR="00CE417A" w:rsidRPr="00C41FDC">
              <w:rPr>
                <w:rFonts w:eastAsia="Times New Roman"/>
                <w:color w:val="000000" w:themeColor="text1"/>
              </w:rPr>
              <w:t>c</w:t>
            </w:r>
            <w:r w:rsidRPr="00C41FDC">
              <w:rPr>
                <w:rFonts w:eastAsia="Times New Roman"/>
                <w:color w:val="000000" w:themeColor="text1"/>
              </w:rPr>
              <w:t>PPFE score (%)</w:t>
            </w:r>
          </w:p>
        </w:tc>
        <w:tc>
          <w:tcPr>
            <w:tcW w:w="2160" w:type="dxa"/>
            <w:tcBorders>
              <w:top w:val="nil"/>
              <w:left w:val="nil"/>
              <w:bottom w:val="single" w:sz="12" w:space="0" w:color="000000" w:themeColor="text1"/>
              <w:right w:val="nil"/>
            </w:tcBorders>
          </w:tcPr>
          <w:p w14:paraId="58AB13DC"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2·5 +/- 3·0</w:t>
            </w:r>
          </w:p>
        </w:tc>
        <w:tc>
          <w:tcPr>
            <w:tcW w:w="1890" w:type="dxa"/>
            <w:tcBorders>
              <w:top w:val="nil"/>
              <w:left w:val="nil"/>
              <w:bottom w:val="single" w:sz="12" w:space="0" w:color="000000" w:themeColor="text1"/>
              <w:right w:val="nil"/>
            </w:tcBorders>
          </w:tcPr>
          <w:p w14:paraId="3625D084"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w:t>
            </w:r>
          </w:p>
        </w:tc>
        <w:tc>
          <w:tcPr>
            <w:tcW w:w="1170" w:type="dxa"/>
            <w:tcBorders>
              <w:top w:val="nil"/>
              <w:left w:val="nil"/>
              <w:bottom w:val="single" w:sz="12" w:space="0" w:color="000000" w:themeColor="text1"/>
              <w:right w:val="nil"/>
            </w:tcBorders>
          </w:tcPr>
          <w:p w14:paraId="63BD1983" w14:textId="77777777" w:rsidR="007D5BDD" w:rsidRPr="00C41FDC" w:rsidRDefault="007D5BDD" w:rsidP="0057683E">
            <w:pPr>
              <w:autoSpaceDE w:val="0"/>
              <w:autoSpaceDN w:val="0"/>
              <w:adjustRightInd w:val="0"/>
              <w:rPr>
                <w:rFonts w:eastAsia="Times New Roman"/>
                <w:color w:val="000000" w:themeColor="text1"/>
              </w:rPr>
            </w:pPr>
            <w:r w:rsidRPr="00C41FDC">
              <w:rPr>
                <w:rFonts w:eastAsia="Times New Roman"/>
                <w:color w:val="000000" w:themeColor="text1"/>
              </w:rPr>
              <w:t>··</w:t>
            </w:r>
          </w:p>
        </w:tc>
      </w:tr>
      <w:bookmarkEnd w:id="289"/>
    </w:tbl>
    <w:p w14:paraId="4D433512" w14:textId="5715C687" w:rsidR="007D5BDD" w:rsidRPr="00C41FDC" w:rsidRDefault="007D5BDD">
      <w:pPr>
        <w:rPr>
          <w:rStyle w:val="id"/>
          <w:rFonts w:eastAsia="Times New Roman"/>
          <w:b/>
          <w:color w:val="000000" w:themeColor="text1"/>
          <w:sz w:val="20"/>
          <w:szCs w:val="20"/>
          <w:lang w:val="en-US"/>
        </w:rPr>
      </w:pPr>
      <w:r w:rsidRPr="00C41FDC">
        <w:rPr>
          <w:rStyle w:val="id"/>
          <w:rFonts w:eastAsia="Times New Roman"/>
          <w:b/>
          <w:color w:val="000000" w:themeColor="text1"/>
          <w:sz w:val="20"/>
          <w:szCs w:val="20"/>
          <w:lang w:val="en-US"/>
        </w:rPr>
        <w:br w:type="page"/>
      </w:r>
    </w:p>
    <w:p w14:paraId="569471FE" w14:textId="57A5084E" w:rsidR="004032AD" w:rsidRPr="00C41FDC" w:rsidRDefault="004032AD" w:rsidP="0007399C">
      <w:pPr>
        <w:spacing w:line="360" w:lineRule="auto"/>
        <w:rPr>
          <w:rFonts w:eastAsia="Times New Roman"/>
          <w:color w:val="000000" w:themeColor="text1"/>
        </w:rPr>
      </w:pPr>
      <w:r w:rsidRPr="00C41FDC">
        <w:rPr>
          <w:rStyle w:val="id"/>
          <w:rFonts w:eastAsia="Times New Roman"/>
          <w:b/>
          <w:color w:val="000000" w:themeColor="text1"/>
        </w:rPr>
        <w:lastRenderedPageBreak/>
        <w:t xml:space="preserve">Table </w:t>
      </w:r>
      <w:r w:rsidR="0057683E" w:rsidRPr="00C41FDC">
        <w:rPr>
          <w:rStyle w:val="id"/>
          <w:rFonts w:eastAsia="Times New Roman"/>
          <w:b/>
          <w:color w:val="000000" w:themeColor="text1"/>
        </w:rPr>
        <w:t>3</w:t>
      </w:r>
      <w:r w:rsidRPr="00C41FDC">
        <w:rPr>
          <w:rStyle w:val="id"/>
          <w:rFonts w:eastAsia="Times New Roman"/>
          <w:color w:val="000000" w:themeColor="text1"/>
        </w:rPr>
        <w:t xml:space="preserve">: </w:t>
      </w:r>
      <w:r w:rsidRPr="00C41FDC">
        <w:rPr>
          <w:rStyle w:val="content"/>
          <w:rFonts w:eastAsia="Times New Roman"/>
          <w:b/>
          <w:bCs/>
          <w:color w:val="000000" w:themeColor="text1"/>
        </w:rPr>
        <w:t xml:space="preserve">Multivariable </w:t>
      </w:r>
      <w:r w:rsidR="00AC445C" w:rsidRPr="00C41FDC">
        <w:rPr>
          <w:rStyle w:val="content"/>
          <w:rFonts w:eastAsia="Times New Roman"/>
          <w:b/>
          <w:bCs/>
          <w:color w:val="000000" w:themeColor="text1"/>
        </w:rPr>
        <w:t xml:space="preserve">linear regression </w:t>
      </w:r>
      <w:r w:rsidRPr="00C41FDC">
        <w:rPr>
          <w:rStyle w:val="content"/>
          <w:rFonts w:eastAsia="Times New Roman"/>
          <w:b/>
          <w:bCs/>
          <w:color w:val="000000" w:themeColor="text1"/>
        </w:rPr>
        <w:t xml:space="preserve">analyses </w:t>
      </w:r>
      <w:r w:rsidR="001B2E11" w:rsidRPr="00C41FDC">
        <w:rPr>
          <w:rStyle w:val="content"/>
          <w:rFonts w:eastAsia="Times New Roman"/>
          <w:b/>
          <w:bCs/>
          <w:color w:val="000000" w:themeColor="text1"/>
        </w:rPr>
        <w:t xml:space="preserve">in derivation (n = 126) and validation (n = 135) IPF cohorts </w:t>
      </w:r>
      <w:r w:rsidR="00AC445C" w:rsidRPr="00C41FDC">
        <w:rPr>
          <w:rStyle w:val="content"/>
          <w:rFonts w:eastAsia="Times New Roman"/>
          <w:b/>
          <w:bCs/>
          <w:color w:val="000000" w:themeColor="text1"/>
        </w:rPr>
        <w:t xml:space="preserve">of </w:t>
      </w:r>
      <w:r w:rsidRPr="00C41FDC">
        <w:rPr>
          <w:rStyle w:val="content"/>
          <w:rFonts w:eastAsia="Times New Roman"/>
          <w:b/>
          <w:bCs/>
          <w:color w:val="000000" w:themeColor="text1"/>
        </w:rPr>
        <w:t xml:space="preserve">relationships between </w:t>
      </w:r>
      <w:r w:rsidR="00890EEB" w:rsidRPr="00C41FDC">
        <w:rPr>
          <w:rStyle w:val="content"/>
          <w:rFonts w:eastAsia="Times New Roman"/>
          <w:b/>
          <w:bCs/>
          <w:color w:val="000000" w:themeColor="text1"/>
        </w:rPr>
        <w:t xml:space="preserve">LME-predicted </w:t>
      </w:r>
      <w:r w:rsidR="00E53EFB" w:rsidRPr="00C41FDC">
        <w:rPr>
          <w:rStyle w:val="content"/>
          <w:rFonts w:eastAsia="Times New Roman"/>
          <w:b/>
          <w:bCs/>
          <w:color w:val="000000" w:themeColor="text1"/>
        </w:rPr>
        <w:t xml:space="preserve">1-year </w:t>
      </w:r>
      <w:r w:rsidR="00D372B5" w:rsidRPr="00C41FDC">
        <w:rPr>
          <w:rStyle w:val="content"/>
          <w:rFonts w:eastAsia="Times New Roman"/>
          <w:b/>
          <w:bCs/>
          <w:color w:val="000000" w:themeColor="text1"/>
        </w:rPr>
        <w:t>FVC decline</w:t>
      </w:r>
      <w:r w:rsidR="00F41704" w:rsidRPr="00C41FDC">
        <w:rPr>
          <w:rStyle w:val="content"/>
          <w:rFonts w:eastAsia="Times New Roman"/>
          <w:b/>
          <w:bCs/>
          <w:color w:val="000000" w:themeColor="text1"/>
        </w:rPr>
        <w:t xml:space="preserve"> (</w:t>
      </w:r>
      <w:r w:rsidR="00B74560" w:rsidRPr="00C41FDC">
        <w:rPr>
          <w:rStyle w:val="content"/>
          <w:rFonts w:eastAsia="Times New Roman"/>
          <w:b/>
          <w:bCs/>
          <w:color w:val="000000" w:themeColor="text1"/>
        </w:rPr>
        <w:t xml:space="preserve">as </w:t>
      </w:r>
      <w:r w:rsidR="00F41704" w:rsidRPr="00C41FDC">
        <w:rPr>
          <w:rStyle w:val="content"/>
          <w:rFonts w:eastAsia="Times New Roman"/>
          <w:b/>
          <w:bCs/>
          <w:color w:val="000000" w:themeColor="text1"/>
        </w:rPr>
        <w:t>percentage</w:t>
      </w:r>
      <w:r w:rsidR="00D372B5" w:rsidRPr="00C41FDC">
        <w:rPr>
          <w:rStyle w:val="content"/>
          <w:rFonts w:eastAsia="Times New Roman"/>
          <w:b/>
          <w:bCs/>
          <w:color w:val="000000" w:themeColor="text1"/>
        </w:rPr>
        <w:t xml:space="preserve"> </w:t>
      </w:r>
      <w:r w:rsidR="00F41704" w:rsidRPr="00C41FDC">
        <w:rPr>
          <w:rStyle w:val="content"/>
          <w:rFonts w:eastAsia="Times New Roman"/>
          <w:b/>
          <w:bCs/>
          <w:color w:val="000000" w:themeColor="text1"/>
        </w:rPr>
        <w:t>change</w:t>
      </w:r>
      <w:r w:rsidR="00476AC5" w:rsidRPr="00C41FDC">
        <w:rPr>
          <w:rStyle w:val="content"/>
          <w:rFonts w:eastAsia="Times New Roman"/>
          <w:b/>
          <w:bCs/>
          <w:color w:val="000000" w:themeColor="text1"/>
        </w:rPr>
        <w:t xml:space="preserve"> from baseline</w:t>
      </w:r>
      <w:r w:rsidR="00F41704" w:rsidRPr="00C41FDC">
        <w:rPr>
          <w:rStyle w:val="content"/>
          <w:rFonts w:eastAsia="Times New Roman"/>
          <w:b/>
          <w:bCs/>
          <w:color w:val="000000" w:themeColor="text1"/>
        </w:rPr>
        <w:t xml:space="preserve">) </w:t>
      </w:r>
      <w:r w:rsidR="00D372B5" w:rsidRPr="00C41FDC">
        <w:rPr>
          <w:rStyle w:val="content"/>
          <w:rFonts w:eastAsia="Times New Roman"/>
          <w:b/>
          <w:bCs/>
          <w:color w:val="000000" w:themeColor="text1"/>
        </w:rPr>
        <w:t xml:space="preserve">and </w:t>
      </w:r>
      <w:r w:rsidRPr="00C41FDC">
        <w:rPr>
          <w:rStyle w:val="content"/>
          <w:rFonts w:eastAsia="Times New Roman"/>
          <w:b/>
          <w:bCs/>
          <w:color w:val="000000" w:themeColor="text1"/>
        </w:rPr>
        <w:t>DLco</w:t>
      </w:r>
      <w:r w:rsidR="00890EEB" w:rsidRPr="00C41FDC">
        <w:rPr>
          <w:rStyle w:val="content"/>
          <w:rFonts w:eastAsia="Times New Roman"/>
          <w:b/>
          <w:bCs/>
          <w:color w:val="000000" w:themeColor="text1"/>
        </w:rPr>
        <w:t>,</w:t>
      </w:r>
      <w:r w:rsidR="00D372B5" w:rsidRPr="00C41FDC">
        <w:rPr>
          <w:rStyle w:val="content"/>
          <w:rFonts w:eastAsia="Times New Roman"/>
          <w:b/>
          <w:bCs/>
          <w:color w:val="000000" w:themeColor="text1"/>
        </w:rPr>
        <w:t xml:space="preserve"> </w:t>
      </w:r>
      <w:r w:rsidR="00F41704" w:rsidRPr="00C41FDC">
        <w:rPr>
          <w:rStyle w:val="content"/>
          <w:rFonts w:eastAsia="Times New Roman"/>
          <w:b/>
          <w:bCs/>
          <w:color w:val="000000" w:themeColor="text1"/>
        </w:rPr>
        <w:t>v</w:t>
      </w:r>
      <w:r w:rsidRPr="00C41FDC">
        <w:rPr>
          <w:rStyle w:val="content"/>
          <w:rFonts w:eastAsia="Times New Roman"/>
          <w:b/>
          <w:bCs/>
          <w:color w:val="000000" w:themeColor="text1"/>
        </w:rPr>
        <w:t>PPFE</w:t>
      </w:r>
      <w:r w:rsidR="00B74560" w:rsidRPr="00C41FDC">
        <w:rPr>
          <w:rStyle w:val="content"/>
          <w:rFonts w:eastAsia="Times New Roman"/>
          <w:b/>
          <w:bCs/>
          <w:color w:val="000000" w:themeColor="text1"/>
        </w:rPr>
        <w:t>,</w:t>
      </w:r>
      <w:r w:rsidRPr="00C41FDC">
        <w:rPr>
          <w:rStyle w:val="content"/>
          <w:rFonts w:eastAsia="Times New Roman"/>
          <w:b/>
          <w:bCs/>
          <w:color w:val="000000" w:themeColor="text1"/>
        </w:rPr>
        <w:t xml:space="preserve"> </w:t>
      </w:r>
      <w:r w:rsidR="00890EEB" w:rsidRPr="00C41FDC">
        <w:rPr>
          <w:rStyle w:val="content"/>
          <w:rFonts w:eastAsia="Times New Roman"/>
          <w:b/>
          <w:bCs/>
          <w:color w:val="000000" w:themeColor="text1"/>
        </w:rPr>
        <w:t>or cPPFE</w:t>
      </w:r>
      <w:r w:rsidR="00AC445C" w:rsidRPr="00C41FDC">
        <w:rPr>
          <w:rStyle w:val="content"/>
          <w:rFonts w:eastAsia="Times New Roman"/>
          <w:b/>
          <w:bCs/>
          <w:color w:val="000000" w:themeColor="text1"/>
        </w:rPr>
        <w:t xml:space="preserve">. </w:t>
      </w:r>
      <w:r w:rsidRPr="00C41FDC">
        <w:rPr>
          <w:rStyle w:val="content"/>
          <w:rFonts w:eastAsia="Times New Roman"/>
          <w:color w:val="000000" w:themeColor="text1"/>
        </w:rPr>
        <w:t xml:space="preserve">All models were adjusted for patient age, gender, smoking history (never/ever), antifibrotic treatment (never/ever across follow-up). Models including PPFE variables were also adjusted for DLco. Visual </w:t>
      </w:r>
      <w:r w:rsidR="00890EEB" w:rsidRPr="00C41FDC">
        <w:rPr>
          <w:rStyle w:val="content"/>
          <w:rFonts w:eastAsia="Times New Roman"/>
          <w:color w:val="000000" w:themeColor="text1"/>
        </w:rPr>
        <w:t>PPFE</w:t>
      </w:r>
      <w:r w:rsidRPr="00C41FDC">
        <w:rPr>
          <w:rStyle w:val="content"/>
          <w:rFonts w:eastAsia="Times New Roman"/>
          <w:color w:val="000000" w:themeColor="text1"/>
        </w:rPr>
        <w:t xml:space="preserve"> scores included a) </w:t>
      </w:r>
      <w:r w:rsidR="002F57B5" w:rsidRPr="00C41FDC">
        <w:rPr>
          <w:rStyle w:val="content"/>
          <w:rFonts w:eastAsia="Times New Roman"/>
          <w:color w:val="000000" w:themeColor="text1"/>
        </w:rPr>
        <w:t>v</w:t>
      </w:r>
      <w:r w:rsidRPr="00C41FDC">
        <w:rPr>
          <w:rStyle w:val="content"/>
          <w:rFonts w:eastAsia="Times New Roman"/>
          <w:color w:val="000000" w:themeColor="text1"/>
        </w:rPr>
        <w:t>PPFE</w:t>
      </w:r>
      <w:r w:rsidR="002F57B5" w:rsidRPr="00C41FDC">
        <w:rPr>
          <w:rStyle w:val="content"/>
          <w:rFonts w:eastAsia="Times New Roman"/>
          <w:color w:val="000000" w:themeColor="text1"/>
        </w:rPr>
        <w:t>-presence</w:t>
      </w:r>
      <w:r w:rsidRPr="00C41FDC">
        <w:rPr>
          <w:rStyle w:val="content"/>
          <w:rFonts w:eastAsia="Times New Roman"/>
          <w:color w:val="000000" w:themeColor="text1"/>
        </w:rPr>
        <w:t xml:space="preserve">, b) </w:t>
      </w:r>
      <w:r w:rsidR="00F220F8" w:rsidRPr="00C41FDC">
        <w:rPr>
          <w:rStyle w:val="content"/>
          <w:rFonts w:eastAsia="Times New Roman"/>
          <w:color w:val="000000" w:themeColor="text1"/>
        </w:rPr>
        <w:t>moderate</w:t>
      </w:r>
      <w:r w:rsidRPr="00C41FDC">
        <w:rPr>
          <w:rStyle w:val="content"/>
          <w:rFonts w:eastAsia="Times New Roman"/>
          <w:color w:val="000000" w:themeColor="text1"/>
        </w:rPr>
        <w:t xml:space="preserve">/marked </w:t>
      </w:r>
      <w:r w:rsidR="00890EEB" w:rsidRPr="00C41FDC">
        <w:rPr>
          <w:rStyle w:val="content"/>
          <w:rFonts w:eastAsia="Times New Roman"/>
          <w:color w:val="000000" w:themeColor="text1"/>
        </w:rPr>
        <w:t>v</w:t>
      </w:r>
      <w:r w:rsidRPr="00C41FDC">
        <w:rPr>
          <w:rStyle w:val="content"/>
          <w:rFonts w:eastAsia="Times New Roman"/>
          <w:color w:val="000000" w:themeColor="text1"/>
        </w:rPr>
        <w:t xml:space="preserve">PPFE. </w:t>
      </w:r>
      <w:r w:rsidR="00890EEB" w:rsidRPr="00C41FDC">
        <w:rPr>
          <w:rStyle w:val="content"/>
          <w:rFonts w:eastAsia="Times New Roman"/>
          <w:color w:val="000000" w:themeColor="text1"/>
        </w:rPr>
        <w:t xml:space="preserve">cPPFE scores were a) continuous, b) </w:t>
      </w:r>
      <w:r w:rsidR="00CF7203" w:rsidRPr="00C41FDC">
        <w:rPr>
          <w:rStyle w:val="content"/>
          <w:rFonts w:eastAsia="Times New Roman"/>
          <w:color w:val="000000" w:themeColor="text1"/>
        </w:rPr>
        <w:t>dichotomised</w:t>
      </w:r>
      <w:r w:rsidR="00890EEB" w:rsidRPr="00C41FDC">
        <w:rPr>
          <w:rStyle w:val="content"/>
          <w:rFonts w:eastAsia="Times New Roman"/>
          <w:color w:val="000000" w:themeColor="text1"/>
        </w:rPr>
        <w:t xml:space="preserve"> at 2</w:t>
      </w:r>
      <w:r w:rsidR="00C323B9" w:rsidRPr="00C41FDC">
        <w:rPr>
          <w:rStyle w:val="content"/>
          <w:rFonts w:eastAsia="Times New Roman"/>
          <w:color w:val="000000" w:themeColor="text1"/>
        </w:rPr>
        <w:t>·</w:t>
      </w:r>
      <w:r w:rsidR="00890EEB" w:rsidRPr="00C41FDC">
        <w:rPr>
          <w:rStyle w:val="content"/>
          <w:rFonts w:eastAsia="Times New Roman"/>
          <w:color w:val="000000" w:themeColor="text1"/>
        </w:rPr>
        <w:t xml:space="preserve">5%. </w:t>
      </w:r>
      <w:r w:rsidRPr="00C41FDC">
        <w:rPr>
          <w:rStyle w:val="content"/>
          <w:rFonts w:eastAsia="Times New Roman"/>
          <w:color w:val="000000" w:themeColor="text1"/>
        </w:rPr>
        <w:t xml:space="preserve">FVC = forced vital capacity, </w:t>
      </w:r>
      <w:r w:rsidR="00AC445C" w:rsidRPr="00C41FDC">
        <w:rPr>
          <w:rStyle w:val="content"/>
          <w:rFonts w:eastAsia="Times New Roman"/>
          <w:color w:val="000000" w:themeColor="text1"/>
        </w:rPr>
        <w:t>PPFE = pleuroparenchymal fibroelastosis,</w:t>
      </w:r>
      <w:r w:rsidR="00AC445C" w:rsidRPr="00C41FDC">
        <w:rPr>
          <w:rStyle w:val="content"/>
          <w:rFonts w:eastAsia="Times New Roman"/>
          <w:b/>
          <w:bCs/>
          <w:color w:val="000000" w:themeColor="text1"/>
        </w:rPr>
        <w:t xml:space="preserve"> </w:t>
      </w:r>
      <w:r w:rsidRPr="00C41FDC">
        <w:rPr>
          <w:rStyle w:val="content"/>
          <w:rFonts w:eastAsia="Times New Roman"/>
          <w:color w:val="000000" w:themeColor="text1"/>
        </w:rPr>
        <w:t>DLco = diffusing capacity for carbon monoxide</w:t>
      </w:r>
      <w:r w:rsidR="00AF2BA6" w:rsidRPr="00C41FDC">
        <w:rPr>
          <w:rStyle w:val="content"/>
          <w:rFonts w:eastAsia="Times New Roman"/>
          <w:color w:val="000000" w:themeColor="text1"/>
        </w:rPr>
        <w:t>, vPPFE = visual upper-lobe PPFE extent, cPPFE = computerised upper-zone PPFE extent</w:t>
      </w:r>
      <w:r w:rsidRPr="00C41FDC">
        <w:rPr>
          <w:rStyle w:val="content"/>
          <w:rFonts w:eastAsia="Times New Roman"/>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2" w:type="dxa"/>
          <w:bottom w:w="72" w:type="dxa"/>
        </w:tblCellMar>
        <w:tblLook w:val="04A0" w:firstRow="1" w:lastRow="0" w:firstColumn="1" w:lastColumn="0" w:noHBand="0" w:noVBand="1"/>
      </w:tblPr>
      <w:tblGrid>
        <w:gridCol w:w="1260"/>
        <w:gridCol w:w="2790"/>
        <w:gridCol w:w="1350"/>
        <w:gridCol w:w="1530"/>
        <w:gridCol w:w="1170"/>
        <w:gridCol w:w="1000"/>
      </w:tblGrid>
      <w:tr w:rsidR="00C41FDC" w:rsidRPr="00C41FDC" w14:paraId="46DC14A7" w14:textId="77777777" w:rsidTr="002C6262">
        <w:tc>
          <w:tcPr>
            <w:tcW w:w="1260" w:type="dxa"/>
            <w:tcBorders>
              <w:top w:val="single" w:sz="12" w:space="0" w:color="000000" w:themeColor="text1"/>
              <w:bottom w:val="single" w:sz="12" w:space="0" w:color="000000" w:themeColor="text1"/>
            </w:tcBorders>
          </w:tcPr>
          <w:p w14:paraId="17E60B7F" w14:textId="77777777" w:rsidR="00D372B5" w:rsidRPr="00C41FDC" w:rsidRDefault="00D372B5" w:rsidP="009D0972">
            <w:pPr>
              <w:pStyle w:val="indent"/>
              <w:spacing w:before="0" w:beforeAutospacing="0" w:after="0" w:afterAutospacing="0"/>
              <w:rPr>
                <w:color w:val="000000" w:themeColor="text1"/>
              </w:rPr>
            </w:pPr>
            <w:r w:rsidRPr="00C41FDC">
              <w:rPr>
                <w:color w:val="000000" w:themeColor="text1"/>
              </w:rPr>
              <w:t>Cohort</w:t>
            </w:r>
          </w:p>
        </w:tc>
        <w:tc>
          <w:tcPr>
            <w:tcW w:w="2790" w:type="dxa"/>
            <w:tcBorders>
              <w:top w:val="single" w:sz="12" w:space="0" w:color="000000" w:themeColor="text1"/>
              <w:bottom w:val="single" w:sz="12" w:space="0" w:color="000000" w:themeColor="text1"/>
            </w:tcBorders>
          </w:tcPr>
          <w:p w14:paraId="7B477DE7" w14:textId="38EEE342" w:rsidR="00D372B5" w:rsidRPr="00C41FDC" w:rsidRDefault="000D7BD3" w:rsidP="009D0972">
            <w:pPr>
              <w:pStyle w:val="indent"/>
              <w:spacing w:before="0" w:beforeAutospacing="0" w:after="0" w:afterAutospacing="0"/>
              <w:rPr>
                <w:color w:val="000000" w:themeColor="text1"/>
              </w:rPr>
            </w:pPr>
            <w:r w:rsidRPr="00C41FDC">
              <w:rPr>
                <w:color w:val="000000" w:themeColor="text1"/>
              </w:rPr>
              <w:t xml:space="preserve">Explanatory </w:t>
            </w:r>
            <w:r w:rsidR="008B4F49" w:rsidRPr="00C41FDC">
              <w:rPr>
                <w:color w:val="000000" w:themeColor="text1"/>
              </w:rPr>
              <w:t>V</w:t>
            </w:r>
            <w:r w:rsidR="00D372B5" w:rsidRPr="00C41FDC">
              <w:rPr>
                <w:color w:val="000000" w:themeColor="text1"/>
              </w:rPr>
              <w:t>ariable</w:t>
            </w:r>
          </w:p>
        </w:tc>
        <w:tc>
          <w:tcPr>
            <w:tcW w:w="1350" w:type="dxa"/>
            <w:tcBorders>
              <w:top w:val="single" w:sz="12" w:space="0" w:color="000000" w:themeColor="text1"/>
              <w:bottom w:val="single" w:sz="12" w:space="0" w:color="000000" w:themeColor="text1"/>
            </w:tcBorders>
          </w:tcPr>
          <w:p w14:paraId="00B5EE66" w14:textId="3F5871C2" w:rsidR="00D372B5" w:rsidRPr="00C41FDC" w:rsidRDefault="00D372B5" w:rsidP="009D0972">
            <w:pPr>
              <w:pStyle w:val="indent"/>
              <w:spacing w:before="0" w:beforeAutospacing="0" w:after="0" w:afterAutospacing="0"/>
              <w:rPr>
                <w:color w:val="000000" w:themeColor="text1"/>
              </w:rPr>
            </w:pPr>
            <w:r w:rsidRPr="00C41FDC">
              <w:rPr>
                <w:color w:val="000000" w:themeColor="text1"/>
              </w:rPr>
              <w:t>Beta Coefficient</w:t>
            </w:r>
            <w:r w:rsidR="00F90558" w:rsidRPr="00C41FDC">
              <w:rPr>
                <w:color w:val="000000" w:themeColor="text1"/>
              </w:rPr>
              <w:t xml:space="preserve"> [%]</w:t>
            </w:r>
          </w:p>
        </w:tc>
        <w:tc>
          <w:tcPr>
            <w:tcW w:w="1530" w:type="dxa"/>
            <w:tcBorders>
              <w:top w:val="single" w:sz="12" w:space="0" w:color="000000" w:themeColor="text1"/>
              <w:bottom w:val="single" w:sz="12" w:space="0" w:color="000000" w:themeColor="text1"/>
            </w:tcBorders>
          </w:tcPr>
          <w:p w14:paraId="5E876CAF" w14:textId="3A4F8B87" w:rsidR="00D372B5" w:rsidRPr="00C41FDC" w:rsidRDefault="00D372B5" w:rsidP="009D0972">
            <w:pPr>
              <w:pStyle w:val="indent"/>
              <w:spacing w:before="0" w:beforeAutospacing="0" w:after="0" w:afterAutospacing="0"/>
              <w:rPr>
                <w:color w:val="000000" w:themeColor="text1"/>
              </w:rPr>
            </w:pPr>
            <w:r w:rsidRPr="00C41FDC">
              <w:rPr>
                <w:color w:val="000000" w:themeColor="text1"/>
              </w:rPr>
              <w:t>95% Confidence Interval</w:t>
            </w:r>
            <w:r w:rsidR="00F90558" w:rsidRPr="00C41FDC">
              <w:rPr>
                <w:color w:val="000000" w:themeColor="text1"/>
              </w:rPr>
              <w:t xml:space="preserve"> [%]</w:t>
            </w:r>
          </w:p>
        </w:tc>
        <w:tc>
          <w:tcPr>
            <w:tcW w:w="1170" w:type="dxa"/>
            <w:tcBorders>
              <w:top w:val="single" w:sz="12" w:space="0" w:color="000000" w:themeColor="text1"/>
              <w:bottom w:val="single" w:sz="12" w:space="0" w:color="000000" w:themeColor="text1"/>
            </w:tcBorders>
          </w:tcPr>
          <w:p w14:paraId="0C61672C" w14:textId="77777777" w:rsidR="00D372B5" w:rsidRPr="00C41FDC" w:rsidRDefault="00D372B5" w:rsidP="009D0972">
            <w:pPr>
              <w:pStyle w:val="indent"/>
              <w:spacing w:before="0" w:beforeAutospacing="0" w:after="0" w:afterAutospacing="0"/>
              <w:rPr>
                <w:color w:val="000000" w:themeColor="text1"/>
              </w:rPr>
            </w:pPr>
            <w:r w:rsidRPr="00C41FDC">
              <w:rPr>
                <w:color w:val="000000" w:themeColor="text1"/>
              </w:rPr>
              <w:t>p-value</w:t>
            </w:r>
          </w:p>
        </w:tc>
        <w:tc>
          <w:tcPr>
            <w:tcW w:w="1000" w:type="dxa"/>
            <w:tcBorders>
              <w:top w:val="single" w:sz="12" w:space="0" w:color="000000" w:themeColor="text1"/>
              <w:bottom w:val="single" w:sz="12" w:space="0" w:color="000000" w:themeColor="text1"/>
            </w:tcBorders>
          </w:tcPr>
          <w:p w14:paraId="0FBFA9A7" w14:textId="77777777" w:rsidR="00D372B5" w:rsidRPr="00C41FDC" w:rsidRDefault="00D372B5" w:rsidP="009D0972">
            <w:pPr>
              <w:pStyle w:val="indent"/>
              <w:spacing w:before="0" w:beforeAutospacing="0" w:after="0" w:afterAutospacing="0"/>
              <w:rPr>
                <w:color w:val="000000" w:themeColor="text1"/>
              </w:rPr>
            </w:pPr>
            <w:r w:rsidRPr="00C41FDC">
              <w:rPr>
                <w:color w:val="000000" w:themeColor="text1"/>
              </w:rPr>
              <w:t>Model R</w:t>
            </w:r>
            <w:r w:rsidRPr="00C41FDC">
              <w:rPr>
                <w:color w:val="000000" w:themeColor="text1"/>
                <w:vertAlign w:val="superscript"/>
              </w:rPr>
              <w:t>2</w:t>
            </w:r>
            <w:r w:rsidRPr="00C41FDC">
              <w:rPr>
                <w:color w:val="000000" w:themeColor="text1"/>
              </w:rPr>
              <w:t xml:space="preserve"> value</w:t>
            </w:r>
          </w:p>
        </w:tc>
      </w:tr>
      <w:tr w:rsidR="00C41FDC" w:rsidRPr="00C41FDC" w14:paraId="34D0E700" w14:textId="77777777" w:rsidTr="002C6262">
        <w:tc>
          <w:tcPr>
            <w:tcW w:w="1260" w:type="dxa"/>
            <w:tcBorders>
              <w:top w:val="single" w:sz="12" w:space="0" w:color="000000" w:themeColor="text1"/>
            </w:tcBorders>
            <w:vAlign w:val="center"/>
          </w:tcPr>
          <w:p w14:paraId="04113239" w14:textId="3DED3C19" w:rsidR="00E83381" w:rsidRPr="00C41FDC" w:rsidRDefault="00E83381" w:rsidP="00E83381">
            <w:pPr>
              <w:pStyle w:val="indent"/>
              <w:spacing w:before="0" w:beforeAutospacing="0" w:after="0" w:afterAutospacing="0"/>
              <w:rPr>
                <w:color w:val="000000" w:themeColor="text1"/>
              </w:rPr>
            </w:pPr>
            <w:r w:rsidRPr="00C41FDC">
              <w:rPr>
                <w:color w:val="000000" w:themeColor="text1"/>
              </w:rPr>
              <w:t>Derivation</w:t>
            </w:r>
          </w:p>
        </w:tc>
        <w:tc>
          <w:tcPr>
            <w:tcW w:w="2790" w:type="dxa"/>
            <w:tcBorders>
              <w:top w:val="single" w:sz="12" w:space="0" w:color="000000" w:themeColor="text1"/>
            </w:tcBorders>
          </w:tcPr>
          <w:p w14:paraId="4A91E2EF" w14:textId="7371CFCD" w:rsidR="00E83381" w:rsidRPr="00C41FDC" w:rsidRDefault="00E83381" w:rsidP="009D0972">
            <w:pPr>
              <w:pStyle w:val="indent"/>
              <w:spacing w:before="0" w:beforeAutospacing="0" w:after="0" w:afterAutospacing="0"/>
              <w:rPr>
                <w:color w:val="000000" w:themeColor="text1"/>
              </w:rPr>
            </w:pPr>
            <w:r w:rsidRPr="00C41FDC">
              <w:rPr>
                <w:color w:val="000000" w:themeColor="text1"/>
              </w:rPr>
              <w:t>DLco</w:t>
            </w:r>
          </w:p>
        </w:tc>
        <w:tc>
          <w:tcPr>
            <w:tcW w:w="1350" w:type="dxa"/>
            <w:tcBorders>
              <w:top w:val="single" w:sz="12" w:space="0" w:color="000000" w:themeColor="text1"/>
            </w:tcBorders>
          </w:tcPr>
          <w:p w14:paraId="59BBD73F" w14:textId="26D87ACF" w:rsidR="00E83381" w:rsidRPr="00C41FDC" w:rsidRDefault="00E83381" w:rsidP="009D0972">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0</w:t>
            </w:r>
            <w:r w:rsidR="00F0166D" w:rsidRPr="00C41FDC">
              <w:rPr>
                <w:color w:val="000000" w:themeColor="text1"/>
              </w:rPr>
              <w:t>2</w:t>
            </w:r>
          </w:p>
        </w:tc>
        <w:tc>
          <w:tcPr>
            <w:tcW w:w="1530" w:type="dxa"/>
            <w:tcBorders>
              <w:top w:val="single" w:sz="12" w:space="0" w:color="000000" w:themeColor="text1"/>
            </w:tcBorders>
          </w:tcPr>
          <w:p w14:paraId="163D5F5C" w14:textId="53FA0BA0" w:rsidR="00E83381" w:rsidRPr="00C41FDC" w:rsidRDefault="00E83381" w:rsidP="009D0972">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00F0166D" w:rsidRPr="00C41FDC">
              <w:rPr>
                <w:color w:val="000000" w:themeColor="text1"/>
              </w:rPr>
              <w:t>15</w:t>
            </w:r>
            <w:r w:rsidRPr="00C41FDC">
              <w:rPr>
                <w:color w:val="000000" w:themeColor="text1"/>
              </w:rPr>
              <w:t>, 0</w:t>
            </w:r>
            <w:r w:rsidR="00C323B9" w:rsidRPr="00C41FDC">
              <w:rPr>
                <w:color w:val="000000" w:themeColor="text1"/>
              </w:rPr>
              <w:t>·</w:t>
            </w:r>
            <w:r w:rsidR="00F0166D" w:rsidRPr="00C41FDC">
              <w:rPr>
                <w:color w:val="000000" w:themeColor="text1"/>
              </w:rPr>
              <w:t>18</w:t>
            </w:r>
          </w:p>
        </w:tc>
        <w:tc>
          <w:tcPr>
            <w:tcW w:w="1170" w:type="dxa"/>
            <w:tcBorders>
              <w:top w:val="single" w:sz="12" w:space="0" w:color="000000" w:themeColor="text1"/>
            </w:tcBorders>
          </w:tcPr>
          <w:p w14:paraId="4B800D3C" w14:textId="3A9CD4FD" w:rsidR="00E83381" w:rsidRPr="00C41FDC" w:rsidRDefault="00E83381" w:rsidP="009D0972">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00F0166D" w:rsidRPr="00C41FDC">
              <w:rPr>
                <w:color w:val="000000" w:themeColor="text1"/>
              </w:rPr>
              <w:t>85</w:t>
            </w:r>
          </w:p>
        </w:tc>
        <w:tc>
          <w:tcPr>
            <w:tcW w:w="1000" w:type="dxa"/>
            <w:tcBorders>
              <w:top w:val="single" w:sz="12" w:space="0" w:color="000000" w:themeColor="text1"/>
            </w:tcBorders>
          </w:tcPr>
          <w:p w14:paraId="0A889536" w14:textId="2DA3BBE9" w:rsidR="00E83381" w:rsidRPr="00C41FDC" w:rsidRDefault="00E83381" w:rsidP="009D0972">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00F0166D" w:rsidRPr="00C41FDC">
              <w:rPr>
                <w:color w:val="000000" w:themeColor="text1"/>
              </w:rPr>
              <w:t>02</w:t>
            </w:r>
          </w:p>
        </w:tc>
      </w:tr>
      <w:tr w:rsidR="00C41FDC" w:rsidRPr="00C41FDC" w14:paraId="1E0490E5" w14:textId="77777777" w:rsidTr="002C6262">
        <w:tc>
          <w:tcPr>
            <w:tcW w:w="1260" w:type="dxa"/>
          </w:tcPr>
          <w:p w14:paraId="13966370" w14:textId="77777777" w:rsidR="00E83381" w:rsidRPr="00C41FDC" w:rsidRDefault="00E83381" w:rsidP="009D0972">
            <w:pPr>
              <w:pStyle w:val="indent"/>
              <w:spacing w:before="0" w:beforeAutospacing="0" w:after="0" w:afterAutospacing="0"/>
              <w:rPr>
                <w:color w:val="000000" w:themeColor="text1"/>
              </w:rPr>
            </w:pPr>
          </w:p>
        </w:tc>
        <w:tc>
          <w:tcPr>
            <w:tcW w:w="2790" w:type="dxa"/>
            <w:tcBorders>
              <w:top w:val="single" w:sz="4" w:space="0" w:color="auto"/>
              <w:bottom w:val="single" w:sz="4" w:space="0" w:color="auto"/>
            </w:tcBorders>
          </w:tcPr>
          <w:p w14:paraId="1D5E4146" w14:textId="783837FA" w:rsidR="00E83381" w:rsidRPr="00C41FDC" w:rsidRDefault="00E83381" w:rsidP="009D0972">
            <w:pPr>
              <w:pStyle w:val="indent"/>
              <w:spacing w:before="0" w:beforeAutospacing="0" w:after="0" w:afterAutospacing="0"/>
              <w:rPr>
                <w:color w:val="000000" w:themeColor="text1"/>
              </w:rPr>
            </w:pPr>
            <w:r w:rsidRPr="00C41FDC">
              <w:rPr>
                <w:color w:val="000000" w:themeColor="text1"/>
              </w:rPr>
              <w:t>vPPFE-presence</w:t>
            </w:r>
          </w:p>
        </w:tc>
        <w:tc>
          <w:tcPr>
            <w:tcW w:w="1350" w:type="dxa"/>
            <w:tcBorders>
              <w:top w:val="single" w:sz="4" w:space="0" w:color="auto"/>
              <w:bottom w:val="single" w:sz="4" w:space="0" w:color="auto"/>
            </w:tcBorders>
          </w:tcPr>
          <w:p w14:paraId="43FAD58C" w14:textId="38DFAEA3" w:rsidR="00E83381" w:rsidRPr="00C41FDC" w:rsidRDefault="00E83381" w:rsidP="009D0972">
            <w:pPr>
              <w:pStyle w:val="indent"/>
              <w:spacing w:before="0" w:beforeAutospacing="0" w:after="0" w:afterAutospacing="0"/>
              <w:rPr>
                <w:color w:val="000000" w:themeColor="text1"/>
              </w:rPr>
            </w:pPr>
            <w:r w:rsidRPr="00C41FDC">
              <w:rPr>
                <w:color w:val="000000" w:themeColor="text1"/>
              </w:rPr>
              <w:t>7</w:t>
            </w:r>
            <w:r w:rsidR="00C323B9" w:rsidRPr="00C41FDC">
              <w:rPr>
                <w:color w:val="000000" w:themeColor="text1"/>
              </w:rPr>
              <w:t>·</w:t>
            </w:r>
            <w:r w:rsidRPr="00C41FDC">
              <w:rPr>
                <w:color w:val="000000" w:themeColor="text1"/>
              </w:rPr>
              <w:t>43</w:t>
            </w:r>
          </w:p>
        </w:tc>
        <w:tc>
          <w:tcPr>
            <w:tcW w:w="1530" w:type="dxa"/>
            <w:tcBorders>
              <w:top w:val="single" w:sz="4" w:space="0" w:color="auto"/>
              <w:bottom w:val="single" w:sz="4" w:space="0" w:color="auto"/>
            </w:tcBorders>
          </w:tcPr>
          <w:p w14:paraId="08DF41C4" w14:textId="1CD06885" w:rsidR="00E83381" w:rsidRPr="00C41FDC" w:rsidRDefault="00C323B9" w:rsidP="009D0972">
            <w:pPr>
              <w:pStyle w:val="indent"/>
              <w:spacing w:before="0" w:beforeAutospacing="0" w:after="0" w:afterAutospacing="0"/>
              <w:rPr>
                <w:color w:val="000000" w:themeColor="text1"/>
              </w:rPr>
            </w:pPr>
            <w:r w:rsidRPr="00C41FDC">
              <w:rPr>
                <w:color w:val="000000" w:themeColor="text1"/>
              </w:rPr>
              <w:t>1·</w:t>
            </w:r>
            <w:r w:rsidR="00E83381" w:rsidRPr="00C41FDC">
              <w:rPr>
                <w:color w:val="000000" w:themeColor="text1"/>
              </w:rPr>
              <w:t>8</w:t>
            </w:r>
            <w:r w:rsidR="005F030D" w:rsidRPr="00C41FDC">
              <w:rPr>
                <w:color w:val="000000" w:themeColor="text1"/>
              </w:rPr>
              <w:t>9</w:t>
            </w:r>
            <w:r w:rsidR="00E83381" w:rsidRPr="00C41FDC">
              <w:rPr>
                <w:color w:val="000000" w:themeColor="text1"/>
              </w:rPr>
              <w:t>, 13</w:t>
            </w:r>
            <w:r w:rsidRPr="00C41FDC">
              <w:rPr>
                <w:color w:val="000000" w:themeColor="text1"/>
              </w:rPr>
              <w:t>·</w:t>
            </w:r>
            <w:r w:rsidR="00E83381" w:rsidRPr="00C41FDC">
              <w:rPr>
                <w:color w:val="000000" w:themeColor="text1"/>
              </w:rPr>
              <w:t>0</w:t>
            </w:r>
          </w:p>
        </w:tc>
        <w:tc>
          <w:tcPr>
            <w:tcW w:w="1170" w:type="dxa"/>
            <w:tcBorders>
              <w:top w:val="single" w:sz="4" w:space="0" w:color="auto"/>
              <w:bottom w:val="single" w:sz="4" w:space="0" w:color="auto"/>
            </w:tcBorders>
          </w:tcPr>
          <w:p w14:paraId="77EAB0E0" w14:textId="6255626B" w:rsidR="00E83381" w:rsidRPr="00C41FDC" w:rsidRDefault="00E83381" w:rsidP="009D0972">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0</w:t>
            </w:r>
            <w:r w:rsidR="005F030D" w:rsidRPr="00C41FDC">
              <w:rPr>
                <w:color w:val="000000" w:themeColor="text1"/>
              </w:rPr>
              <w:t>09</w:t>
            </w:r>
          </w:p>
        </w:tc>
        <w:tc>
          <w:tcPr>
            <w:tcW w:w="1000" w:type="dxa"/>
            <w:tcBorders>
              <w:top w:val="single" w:sz="4" w:space="0" w:color="auto"/>
              <w:bottom w:val="single" w:sz="4" w:space="0" w:color="auto"/>
            </w:tcBorders>
          </w:tcPr>
          <w:p w14:paraId="019075D1" w14:textId="1A84FB92" w:rsidR="00E83381" w:rsidRPr="00C41FDC" w:rsidRDefault="00E83381" w:rsidP="009D0972">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0</w:t>
            </w:r>
            <w:r w:rsidR="005F030D" w:rsidRPr="00C41FDC">
              <w:rPr>
                <w:color w:val="000000" w:themeColor="text1"/>
              </w:rPr>
              <w:t>8</w:t>
            </w:r>
          </w:p>
        </w:tc>
      </w:tr>
      <w:tr w:rsidR="00C41FDC" w:rsidRPr="00C41FDC" w14:paraId="6F87AAEB" w14:textId="77777777" w:rsidTr="002C6262">
        <w:tc>
          <w:tcPr>
            <w:tcW w:w="1260" w:type="dxa"/>
          </w:tcPr>
          <w:p w14:paraId="30375CFD" w14:textId="77777777" w:rsidR="00E83381" w:rsidRPr="00C41FDC" w:rsidRDefault="00E83381" w:rsidP="009D0972">
            <w:pPr>
              <w:pStyle w:val="indent"/>
              <w:spacing w:before="0" w:beforeAutospacing="0" w:after="0" w:afterAutospacing="0"/>
              <w:rPr>
                <w:color w:val="000000" w:themeColor="text1"/>
              </w:rPr>
            </w:pPr>
          </w:p>
        </w:tc>
        <w:tc>
          <w:tcPr>
            <w:tcW w:w="2790" w:type="dxa"/>
            <w:tcBorders>
              <w:top w:val="single" w:sz="4" w:space="0" w:color="auto"/>
            </w:tcBorders>
          </w:tcPr>
          <w:p w14:paraId="5F9E6C25" w14:textId="2E8DF82D" w:rsidR="00E83381" w:rsidRPr="00C41FDC" w:rsidRDefault="00E83381" w:rsidP="009D0972">
            <w:pPr>
              <w:pStyle w:val="indent"/>
              <w:spacing w:before="0" w:beforeAutospacing="0" w:after="0" w:afterAutospacing="0"/>
              <w:rPr>
                <w:color w:val="000000" w:themeColor="text1"/>
              </w:rPr>
            </w:pPr>
            <w:r w:rsidRPr="00C41FDC">
              <w:rPr>
                <w:color w:val="000000" w:themeColor="text1"/>
              </w:rPr>
              <w:t>Moderate vPPFE</w:t>
            </w:r>
          </w:p>
        </w:tc>
        <w:tc>
          <w:tcPr>
            <w:tcW w:w="1350" w:type="dxa"/>
            <w:tcBorders>
              <w:top w:val="single" w:sz="4" w:space="0" w:color="auto"/>
            </w:tcBorders>
          </w:tcPr>
          <w:p w14:paraId="5BA7BFA0" w14:textId="5FA801DF" w:rsidR="00E83381" w:rsidRPr="00C41FDC" w:rsidRDefault="00E83381" w:rsidP="009D0972">
            <w:pPr>
              <w:pStyle w:val="indent"/>
              <w:spacing w:before="0" w:beforeAutospacing="0" w:after="0" w:afterAutospacing="0"/>
              <w:rPr>
                <w:color w:val="000000" w:themeColor="text1"/>
              </w:rPr>
            </w:pPr>
            <w:r w:rsidRPr="00C41FDC">
              <w:rPr>
                <w:color w:val="000000" w:themeColor="text1"/>
              </w:rPr>
              <w:t>5</w:t>
            </w:r>
            <w:r w:rsidR="00C323B9" w:rsidRPr="00C41FDC">
              <w:rPr>
                <w:color w:val="000000" w:themeColor="text1"/>
              </w:rPr>
              <w:t>·</w:t>
            </w:r>
            <w:r w:rsidR="000C7CBD" w:rsidRPr="00C41FDC">
              <w:rPr>
                <w:color w:val="000000" w:themeColor="text1"/>
              </w:rPr>
              <w:t>18</w:t>
            </w:r>
          </w:p>
        </w:tc>
        <w:tc>
          <w:tcPr>
            <w:tcW w:w="1530" w:type="dxa"/>
            <w:tcBorders>
              <w:top w:val="single" w:sz="4" w:space="0" w:color="auto"/>
            </w:tcBorders>
          </w:tcPr>
          <w:p w14:paraId="4D6F4473" w14:textId="088F8FAA" w:rsidR="00E83381" w:rsidRPr="00C41FDC" w:rsidRDefault="00E83381" w:rsidP="009D0972">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4</w:t>
            </w:r>
            <w:r w:rsidR="000C7CBD" w:rsidRPr="00C41FDC">
              <w:rPr>
                <w:color w:val="000000" w:themeColor="text1"/>
              </w:rPr>
              <w:t>9</w:t>
            </w:r>
            <w:r w:rsidRPr="00C41FDC">
              <w:rPr>
                <w:color w:val="000000" w:themeColor="text1"/>
              </w:rPr>
              <w:t xml:space="preserve">, </w:t>
            </w:r>
            <w:r w:rsidR="000C7CBD" w:rsidRPr="00C41FDC">
              <w:rPr>
                <w:color w:val="000000" w:themeColor="text1"/>
              </w:rPr>
              <w:t>10</w:t>
            </w:r>
            <w:r w:rsidR="00C323B9" w:rsidRPr="00C41FDC">
              <w:rPr>
                <w:color w:val="000000" w:themeColor="text1"/>
              </w:rPr>
              <w:t>·</w:t>
            </w:r>
            <w:r w:rsidR="000C7CBD" w:rsidRPr="00C41FDC">
              <w:rPr>
                <w:color w:val="000000" w:themeColor="text1"/>
              </w:rPr>
              <w:t>8</w:t>
            </w:r>
          </w:p>
        </w:tc>
        <w:tc>
          <w:tcPr>
            <w:tcW w:w="1170" w:type="dxa"/>
            <w:tcBorders>
              <w:top w:val="single" w:sz="4" w:space="0" w:color="auto"/>
            </w:tcBorders>
          </w:tcPr>
          <w:p w14:paraId="40A1DC20" w14:textId="08FDAEB2" w:rsidR="00E83381" w:rsidRPr="00C41FDC" w:rsidRDefault="00E83381" w:rsidP="009D0972">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07</w:t>
            </w:r>
          </w:p>
        </w:tc>
        <w:tc>
          <w:tcPr>
            <w:tcW w:w="1000" w:type="dxa"/>
            <w:tcBorders>
              <w:top w:val="single" w:sz="4" w:space="0" w:color="auto"/>
            </w:tcBorders>
          </w:tcPr>
          <w:p w14:paraId="1C868421" w14:textId="7D3D9DFC" w:rsidR="00E83381" w:rsidRPr="00C41FDC" w:rsidRDefault="00E83381" w:rsidP="009D0972">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13</w:t>
            </w:r>
          </w:p>
        </w:tc>
      </w:tr>
      <w:tr w:rsidR="00C41FDC" w:rsidRPr="00C41FDC" w14:paraId="66CF9750" w14:textId="77777777" w:rsidTr="002C6262">
        <w:tc>
          <w:tcPr>
            <w:tcW w:w="1260" w:type="dxa"/>
          </w:tcPr>
          <w:p w14:paraId="42B4FDC5" w14:textId="77777777" w:rsidR="00E83381" w:rsidRPr="00C41FDC" w:rsidRDefault="00E83381" w:rsidP="009D0972">
            <w:pPr>
              <w:pStyle w:val="indent"/>
              <w:spacing w:before="0" w:beforeAutospacing="0" w:after="0" w:afterAutospacing="0"/>
              <w:rPr>
                <w:color w:val="000000" w:themeColor="text1"/>
              </w:rPr>
            </w:pPr>
          </w:p>
        </w:tc>
        <w:tc>
          <w:tcPr>
            <w:tcW w:w="2790" w:type="dxa"/>
            <w:tcBorders>
              <w:bottom w:val="single" w:sz="4" w:space="0" w:color="auto"/>
            </w:tcBorders>
          </w:tcPr>
          <w:p w14:paraId="0545120B" w14:textId="3F073679" w:rsidR="00E83381" w:rsidRPr="00C41FDC" w:rsidRDefault="00E83381" w:rsidP="009D0972">
            <w:pPr>
              <w:pStyle w:val="indent"/>
              <w:spacing w:before="0" w:beforeAutospacing="0" w:after="0" w:afterAutospacing="0"/>
              <w:rPr>
                <w:color w:val="000000" w:themeColor="text1"/>
              </w:rPr>
            </w:pPr>
            <w:r w:rsidRPr="00C41FDC">
              <w:rPr>
                <w:color w:val="000000" w:themeColor="text1"/>
              </w:rPr>
              <w:t>Marked vPPFE</w:t>
            </w:r>
          </w:p>
        </w:tc>
        <w:tc>
          <w:tcPr>
            <w:tcW w:w="1350" w:type="dxa"/>
            <w:tcBorders>
              <w:bottom w:val="single" w:sz="4" w:space="0" w:color="auto"/>
            </w:tcBorders>
          </w:tcPr>
          <w:p w14:paraId="45D1E8B7" w14:textId="4AE7A725" w:rsidR="00E83381" w:rsidRPr="00C41FDC" w:rsidRDefault="00E83381" w:rsidP="009D0972">
            <w:pPr>
              <w:pStyle w:val="indent"/>
              <w:spacing w:before="0" w:beforeAutospacing="0" w:after="0" w:afterAutospacing="0"/>
              <w:rPr>
                <w:color w:val="000000" w:themeColor="text1"/>
              </w:rPr>
            </w:pPr>
            <w:r w:rsidRPr="00C41FDC">
              <w:rPr>
                <w:color w:val="000000" w:themeColor="text1"/>
              </w:rPr>
              <w:t>1</w:t>
            </w:r>
            <w:r w:rsidR="001E455A" w:rsidRPr="00C41FDC">
              <w:rPr>
                <w:color w:val="000000" w:themeColor="text1"/>
              </w:rPr>
              <w:t>8·</w:t>
            </w:r>
            <w:r w:rsidR="000C7CBD" w:rsidRPr="00C41FDC">
              <w:rPr>
                <w:color w:val="000000" w:themeColor="text1"/>
              </w:rPr>
              <w:t>3</w:t>
            </w:r>
          </w:p>
        </w:tc>
        <w:tc>
          <w:tcPr>
            <w:tcW w:w="1530" w:type="dxa"/>
            <w:tcBorders>
              <w:bottom w:val="single" w:sz="4" w:space="0" w:color="auto"/>
            </w:tcBorders>
          </w:tcPr>
          <w:p w14:paraId="20D9A194" w14:textId="0DDAA953" w:rsidR="00E83381" w:rsidRPr="00C41FDC" w:rsidRDefault="001E455A" w:rsidP="009D0972">
            <w:pPr>
              <w:pStyle w:val="indent"/>
              <w:spacing w:before="0" w:beforeAutospacing="0" w:after="0" w:afterAutospacing="0"/>
              <w:rPr>
                <w:color w:val="000000" w:themeColor="text1"/>
              </w:rPr>
            </w:pPr>
            <w:r w:rsidRPr="00C41FDC">
              <w:rPr>
                <w:color w:val="000000" w:themeColor="text1"/>
              </w:rPr>
              <w:t>8·</w:t>
            </w:r>
            <w:r w:rsidR="000C7CBD" w:rsidRPr="00C41FDC">
              <w:rPr>
                <w:color w:val="000000" w:themeColor="text1"/>
              </w:rPr>
              <w:t>47</w:t>
            </w:r>
            <w:r w:rsidR="00E83381" w:rsidRPr="00C41FDC">
              <w:rPr>
                <w:color w:val="000000" w:themeColor="text1"/>
              </w:rPr>
              <w:t>, 2</w:t>
            </w:r>
            <w:r w:rsidRPr="00C41FDC">
              <w:rPr>
                <w:color w:val="000000" w:themeColor="text1"/>
              </w:rPr>
              <w:t>8·</w:t>
            </w:r>
            <w:r w:rsidR="000C7CBD" w:rsidRPr="00C41FDC">
              <w:rPr>
                <w:color w:val="000000" w:themeColor="text1"/>
              </w:rPr>
              <w:t>2</w:t>
            </w:r>
          </w:p>
        </w:tc>
        <w:tc>
          <w:tcPr>
            <w:tcW w:w="1170" w:type="dxa"/>
            <w:tcBorders>
              <w:bottom w:val="single" w:sz="4" w:space="0" w:color="auto"/>
            </w:tcBorders>
          </w:tcPr>
          <w:p w14:paraId="58187039" w14:textId="7B4E6E10" w:rsidR="00E83381" w:rsidRPr="00C41FDC" w:rsidRDefault="00E83381" w:rsidP="009D0972">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000</w:t>
            </w:r>
            <w:r w:rsidR="000C7CBD" w:rsidRPr="00C41FDC">
              <w:rPr>
                <w:color w:val="000000" w:themeColor="text1"/>
              </w:rPr>
              <w:t>3</w:t>
            </w:r>
          </w:p>
        </w:tc>
        <w:tc>
          <w:tcPr>
            <w:tcW w:w="1000" w:type="dxa"/>
            <w:tcBorders>
              <w:bottom w:val="single" w:sz="4" w:space="0" w:color="auto"/>
            </w:tcBorders>
          </w:tcPr>
          <w:p w14:paraId="3C962328" w14:textId="1B314CEC" w:rsidR="00E83381" w:rsidRPr="00C41FDC" w:rsidRDefault="00E83381" w:rsidP="009D0972">
            <w:pPr>
              <w:pStyle w:val="indent"/>
              <w:spacing w:before="0" w:beforeAutospacing="0" w:after="0" w:afterAutospacing="0"/>
              <w:rPr>
                <w:color w:val="000000" w:themeColor="text1"/>
              </w:rPr>
            </w:pPr>
          </w:p>
        </w:tc>
      </w:tr>
      <w:tr w:rsidR="00C41FDC" w:rsidRPr="00C41FDC" w14:paraId="496C60C2" w14:textId="77777777" w:rsidTr="002C6262">
        <w:tc>
          <w:tcPr>
            <w:tcW w:w="1260" w:type="dxa"/>
          </w:tcPr>
          <w:p w14:paraId="4E7175E4" w14:textId="77777777" w:rsidR="00E83381" w:rsidRPr="00C41FDC" w:rsidRDefault="00E83381" w:rsidP="00890EEB">
            <w:pPr>
              <w:pStyle w:val="indent"/>
              <w:spacing w:before="0" w:beforeAutospacing="0" w:after="0" w:afterAutospacing="0"/>
              <w:rPr>
                <w:color w:val="000000" w:themeColor="text1"/>
              </w:rPr>
            </w:pPr>
          </w:p>
        </w:tc>
        <w:tc>
          <w:tcPr>
            <w:tcW w:w="2790" w:type="dxa"/>
            <w:tcBorders>
              <w:top w:val="single" w:sz="4" w:space="0" w:color="auto"/>
              <w:bottom w:val="single" w:sz="4" w:space="0" w:color="auto"/>
            </w:tcBorders>
          </w:tcPr>
          <w:p w14:paraId="71C4786C" w14:textId="284E916C" w:rsidR="00E83381" w:rsidRPr="00C41FDC" w:rsidRDefault="00E83381" w:rsidP="00890EEB">
            <w:pPr>
              <w:pStyle w:val="indent"/>
              <w:spacing w:before="0" w:beforeAutospacing="0" w:after="0" w:afterAutospacing="0"/>
              <w:rPr>
                <w:color w:val="000000" w:themeColor="text1"/>
              </w:rPr>
            </w:pPr>
            <w:r w:rsidRPr="00C41FDC">
              <w:rPr>
                <w:color w:val="000000" w:themeColor="text1"/>
              </w:rPr>
              <w:t>cPPFE (continuous)</w:t>
            </w:r>
          </w:p>
        </w:tc>
        <w:tc>
          <w:tcPr>
            <w:tcW w:w="1350" w:type="dxa"/>
            <w:tcBorders>
              <w:top w:val="single" w:sz="4" w:space="0" w:color="auto"/>
              <w:bottom w:val="single" w:sz="4" w:space="0" w:color="auto"/>
            </w:tcBorders>
          </w:tcPr>
          <w:p w14:paraId="194CB1A3" w14:textId="2B3AC9B6" w:rsidR="00E83381" w:rsidRPr="00C41FDC" w:rsidRDefault="00C323B9" w:rsidP="00890EEB">
            <w:pPr>
              <w:pStyle w:val="indent"/>
              <w:spacing w:before="0" w:beforeAutospacing="0" w:after="0" w:afterAutospacing="0"/>
              <w:rPr>
                <w:color w:val="000000" w:themeColor="text1"/>
              </w:rPr>
            </w:pPr>
            <w:r w:rsidRPr="00C41FDC">
              <w:rPr>
                <w:color w:val="000000" w:themeColor="text1"/>
              </w:rPr>
              <w:t>1·</w:t>
            </w:r>
            <w:r w:rsidR="00D013A3" w:rsidRPr="00C41FDC">
              <w:rPr>
                <w:color w:val="000000" w:themeColor="text1"/>
              </w:rPr>
              <w:t>38</w:t>
            </w:r>
          </w:p>
        </w:tc>
        <w:tc>
          <w:tcPr>
            <w:tcW w:w="1530" w:type="dxa"/>
            <w:tcBorders>
              <w:top w:val="single" w:sz="4" w:space="0" w:color="auto"/>
              <w:bottom w:val="single" w:sz="4" w:space="0" w:color="auto"/>
            </w:tcBorders>
          </w:tcPr>
          <w:p w14:paraId="2E476AFF" w14:textId="62985432" w:rsidR="00E83381" w:rsidRPr="00C41FDC" w:rsidRDefault="00D013A3" w:rsidP="00890EEB">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76, 2</w:t>
            </w:r>
            <w:r w:rsidR="00C323B9" w:rsidRPr="00C41FDC">
              <w:rPr>
                <w:color w:val="000000" w:themeColor="text1"/>
              </w:rPr>
              <w:t>·</w:t>
            </w:r>
            <w:r w:rsidRPr="00C41FDC">
              <w:rPr>
                <w:color w:val="000000" w:themeColor="text1"/>
              </w:rPr>
              <w:t>00</w:t>
            </w:r>
          </w:p>
        </w:tc>
        <w:tc>
          <w:tcPr>
            <w:tcW w:w="1170" w:type="dxa"/>
            <w:tcBorders>
              <w:top w:val="single" w:sz="4" w:space="0" w:color="auto"/>
              <w:bottom w:val="single" w:sz="4" w:space="0" w:color="auto"/>
            </w:tcBorders>
          </w:tcPr>
          <w:p w14:paraId="04E075A2" w14:textId="021A9432" w:rsidR="00E83381" w:rsidRPr="00C41FDC" w:rsidRDefault="00E83381" w:rsidP="00890EEB">
            <w:pPr>
              <w:pStyle w:val="indent"/>
              <w:spacing w:before="0" w:beforeAutospacing="0" w:after="0" w:afterAutospacing="0"/>
              <w:rPr>
                <w:color w:val="000000" w:themeColor="text1"/>
              </w:rPr>
            </w:pPr>
            <w:r w:rsidRPr="00C41FDC">
              <w:rPr>
                <w:color w:val="000000" w:themeColor="text1"/>
              </w:rPr>
              <w:t>&lt; 0</w:t>
            </w:r>
            <w:r w:rsidR="00C323B9" w:rsidRPr="00C41FDC">
              <w:rPr>
                <w:color w:val="000000" w:themeColor="text1"/>
              </w:rPr>
              <w:t>·</w:t>
            </w:r>
            <w:r w:rsidRPr="00C41FDC">
              <w:rPr>
                <w:color w:val="000000" w:themeColor="text1"/>
              </w:rPr>
              <w:t>0001</w:t>
            </w:r>
          </w:p>
        </w:tc>
        <w:tc>
          <w:tcPr>
            <w:tcW w:w="1000" w:type="dxa"/>
            <w:tcBorders>
              <w:top w:val="single" w:sz="4" w:space="0" w:color="auto"/>
              <w:bottom w:val="single" w:sz="4" w:space="0" w:color="auto"/>
            </w:tcBorders>
          </w:tcPr>
          <w:p w14:paraId="320D75C9" w14:textId="56DF0F2A" w:rsidR="00E83381" w:rsidRPr="00C41FDC" w:rsidRDefault="00E83381" w:rsidP="00890EEB">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16</w:t>
            </w:r>
          </w:p>
        </w:tc>
      </w:tr>
      <w:tr w:rsidR="00C41FDC" w:rsidRPr="00C41FDC" w14:paraId="09FC596D" w14:textId="77777777" w:rsidTr="002C6262">
        <w:tc>
          <w:tcPr>
            <w:tcW w:w="1260" w:type="dxa"/>
            <w:tcBorders>
              <w:bottom w:val="single" w:sz="12" w:space="0" w:color="000000" w:themeColor="text1"/>
            </w:tcBorders>
          </w:tcPr>
          <w:p w14:paraId="030B0A9D" w14:textId="77777777" w:rsidR="00E83381" w:rsidRPr="00C41FDC" w:rsidRDefault="00E83381" w:rsidP="00890EEB">
            <w:pPr>
              <w:pStyle w:val="indent"/>
              <w:spacing w:before="0" w:beforeAutospacing="0" w:after="0" w:afterAutospacing="0"/>
              <w:rPr>
                <w:color w:val="000000" w:themeColor="text1"/>
              </w:rPr>
            </w:pPr>
          </w:p>
        </w:tc>
        <w:tc>
          <w:tcPr>
            <w:tcW w:w="2790" w:type="dxa"/>
            <w:tcBorders>
              <w:top w:val="single" w:sz="4" w:space="0" w:color="auto"/>
              <w:bottom w:val="single" w:sz="12" w:space="0" w:color="000000" w:themeColor="text1"/>
            </w:tcBorders>
          </w:tcPr>
          <w:p w14:paraId="59A2E234" w14:textId="76106B1F" w:rsidR="00E83381" w:rsidRPr="00C41FDC" w:rsidRDefault="00E83381" w:rsidP="00890EEB">
            <w:pPr>
              <w:pStyle w:val="indent"/>
              <w:spacing w:before="0" w:beforeAutospacing="0" w:after="0" w:afterAutospacing="0"/>
              <w:rPr>
                <w:color w:val="000000" w:themeColor="text1"/>
              </w:rPr>
            </w:pPr>
            <w:r w:rsidRPr="00C41FDC">
              <w:rPr>
                <w:color w:val="000000" w:themeColor="text1"/>
              </w:rPr>
              <w:t>cPPFE (</w:t>
            </w:r>
            <w:r w:rsidR="00CF7203" w:rsidRPr="00C41FDC">
              <w:rPr>
                <w:color w:val="000000" w:themeColor="text1"/>
              </w:rPr>
              <w:t>dichotomised</w:t>
            </w:r>
            <w:r w:rsidRPr="00C41FDC">
              <w:rPr>
                <w:color w:val="000000" w:themeColor="text1"/>
              </w:rPr>
              <w:t xml:space="preserve"> at 2</w:t>
            </w:r>
            <w:r w:rsidR="00C323B9" w:rsidRPr="00C41FDC">
              <w:rPr>
                <w:color w:val="000000" w:themeColor="text1"/>
              </w:rPr>
              <w:t>·</w:t>
            </w:r>
            <w:r w:rsidRPr="00C41FDC">
              <w:rPr>
                <w:color w:val="000000" w:themeColor="text1"/>
              </w:rPr>
              <w:t>5%)</w:t>
            </w:r>
          </w:p>
        </w:tc>
        <w:tc>
          <w:tcPr>
            <w:tcW w:w="1350" w:type="dxa"/>
            <w:tcBorders>
              <w:top w:val="single" w:sz="4" w:space="0" w:color="auto"/>
              <w:bottom w:val="single" w:sz="12" w:space="0" w:color="000000" w:themeColor="text1"/>
            </w:tcBorders>
          </w:tcPr>
          <w:p w14:paraId="58CCD56F" w14:textId="3A450FB0" w:rsidR="00E83381" w:rsidRPr="00C41FDC" w:rsidRDefault="00D013A3" w:rsidP="00890EEB">
            <w:pPr>
              <w:pStyle w:val="indent"/>
              <w:spacing w:before="0" w:beforeAutospacing="0" w:after="0" w:afterAutospacing="0"/>
              <w:rPr>
                <w:color w:val="000000" w:themeColor="text1"/>
              </w:rPr>
            </w:pPr>
            <w:r w:rsidRPr="00C41FDC">
              <w:rPr>
                <w:color w:val="000000" w:themeColor="text1"/>
              </w:rPr>
              <w:t>1</w:t>
            </w:r>
            <w:r w:rsidR="00C323B9" w:rsidRPr="00C41FDC">
              <w:rPr>
                <w:color w:val="000000" w:themeColor="text1"/>
              </w:rPr>
              <w:t>1·</w:t>
            </w:r>
            <w:r w:rsidRPr="00C41FDC">
              <w:rPr>
                <w:color w:val="000000" w:themeColor="text1"/>
              </w:rPr>
              <w:t>6</w:t>
            </w:r>
          </w:p>
        </w:tc>
        <w:tc>
          <w:tcPr>
            <w:tcW w:w="1530" w:type="dxa"/>
            <w:tcBorders>
              <w:top w:val="single" w:sz="4" w:space="0" w:color="auto"/>
              <w:bottom w:val="single" w:sz="12" w:space="0" w:color="000000" w:themeColor="text1"/>
            </w:tcBorders>
          </w:tcPr>
          <w:p w14:paraId="4524ED6C" w14:textId="43E4D54A" w:rsidR="00E83381" w:rsidRPr="00C41FDC" w:rsidRDefault="00D013A3" w:rsidP="00890EEB">
            <w:pPr>
              <w:pStyle w:val="indent"/>
              <w:spacing w:before="0" w:beforeAutospacing="0" w:after="0" w:afterAutospacing="0"/>
              <w:rPr>
                <w:color w:val="000000" w:themeColor="text1"/>
              </w:rPr>
            </w:pPr>
            <w:r w:rsidRPr="00C41FDC">
              <w:rPr>
                <w:color w:val="000000" w:themeColor="text1"/>
              </w:rPr>
              <w:t>5</w:t>
            </w:r>
            <w:r w:rsidR="00C323B9" w:rsidRPr="00C41FDC">
              <w:rPr>
                <w:color w:val="000000" w:themeColor="text1"/>
              </w:rPr>
              <w:t>·</w:t>
            </w:r>
            <w:r w:rsidRPr="00C41FDC">
              <w:rPr>
                <w:color w:val="000000" w:themeColor="text1"/>
              </w:rPr>
              <w:t>11, 1</w:t>
            </w:r>
            <w:r w:rsidR="001E455A" w:rsidRPr="00C41FDC">
              <w:rPr>
                <w:color w:val="000000" w:themeColor="text1"/>
              </w:rPr>
              <w:t>8·</w:t>
            </w:r>
            <w:r w:rsidRPr="00C41FDC">
              <w:rPr>
                <w:color w:val="000000" w:themeColor="text1"/>
              </w:rPr>
              <w:t>1</w:t>
            </w:r>
          </w:p>
        </w:tc>
        <w:tc>
          <w:tcPr>
            <w:tcW w:w="1170" w:type="dxa"/>
            <w:tcBorders>
              <w:top w:val="single" w:sz="4" w:space="0" w:color="auto"/>
              <w:bottom w:val="single" w:sz="12" w:space="0" w:color="000000" w:themeColor="text1"/>
            </w:tcBorders>
          </w:tcPr>
          <w:p w14:paraId="34B529DE" w14:textId="287E7960" w:rsidR="00E83381" w:rsidRPr="00C41FDC" w:rsidRDefault="00E83381" w:rsidP="00890EEB">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000</w:t>
            </w:r>
            <w:r w:rsidR="00D013A3" w:rsidRPr="00C41FDC">
              <w:rPr>
                <w:color w:val="000000" w:themeColor="text1"/>
              </w:rPr>
              <w:t>6</w:t>
            </w:r>
          </w:p>
        </w:tc>
        <w:tc>
          <w:tcPr>
            <w:tcW w:w="1000" w:type="dxa"/>
            <w:tcBorders>
              <w:top w:val="single" w:sz="4" w:space="0" w:color="auto"/>
              <w:bottom w:val="single" w:sz="12" w:space="0" w:color="000000" w:themeColor="text1"/>
            </w:tcBorders>
          </w:tcPr>
          <w:p w14:paraId="2513F720" w14:textId="6F8037B2" w:rsidR="00E83381" w:rsidRPr="00C41FDC" w:rsidRDefault="00E83381" w:rsidP="00890EEB">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1</w:t>
            </w:r>
            <w:r w:rsidR="00D013A3" w:rsidRPr="00C41FDC">
              <w:rPr>
                <w:color w:val="000000" w:themeColor="text1"/>
              </w:rPr>
              <w:t>1</w:t>
            </w:r>
          </w:p>
        </w:tc>
      </w:tr>
      <w:tr w:rsidR="00C41FDC" w:rsidRPr="00C41FDC" w14:paraId="2A568DF2" w14:textId="77777777" w:rsidTr="002C6262">
        <w:tc>
          <w:tcPr>
            <w:tcW w:w="1260" w:type="dxa"/>
            <w:tcBorders>
              <w:top w:val="single" w:sz="12" w:space="0" w:color="000000" w:themeColor="text1"/>
            </w:tcBorders>
            <w:vAlign w:val="center"/>
          </w:tcPr>
          <w:p w14:paraId="44ECB37A" w14:textId="77777777" w:rsidR="00E83381" w:rsidRPr="00C41FDC" w:rsidRDefault="00E83381" w:rsidP="00E83381">
            <w:pPr>
              <w:pStyle w:val="indent"/>
              <w:spacing w:before="0" w:beforeAutospacing="0" w:after="0" w:afterAutospacing="0"/>
              <w:rPr>
                <w:color w:val="000000" w:themeColor="text1"/>
              </w:rPr>
            </w:pPr>
            <w:r w:rsidRPr="00C41FDC">
              <w:rPr>
                <w:color w:val="000000" w:themeColor="text1"/>
              </w:rPr>
              <w:t>Validation</w:t>
            </w:r>
          </w:p>
        </w:tc>
        <w:tc>
          <w:tcPr>
            <w:tcW w:w="2790" w:type="dxa"/>
            <w:tcBorders>
              <w:top w:val="single" w:sz="12" w:space="0" w:color="000000" w:themeColor="text1"/>
            </w:tcBorders>
          </w:tcPr>
          <w:p w14:paraId="7D2375F2" w14:textId="4D60AAA9" w:rsidR="00E83381" w:rsidRPr="00C41FDC" w:rsidRDefault="00E83381" w:rsidP="009D0972">
            <w:pPr>
              <w:pStyle w:val="indent"/>
              <w:spacing w:before="0" w:beforeAutospacing="0" w:after="0" w:afterAutospacing="0"/>
              <w:rPr>
                <w:color w:val="000000" w:themeColor="text1"/>
              </w:rPr>
            </w:pPr>
            <w:r w:rsidRPr="00C41FDC">
              <w:rPr>
                <w:color w:val="000000" w:themeColor="text1"/>
              </w:rPr>
              <w:t>DLco</w:t>
            </w:r>
          </w:p>
        </w:tc>
        <w:tc>
          <w:tcPr>
            <w:tcW w:w="1350" w:type="dxa"/>
            <w:tcBorders>
              <w:top w:val="single" w:sz="12" w:space="0" w:color="000000" w:themeColor="text1"/>
            </w:tcBorders>
          </w:tcPr>
          <w:p w14:paraId="5470C15E" w14:textId="15FEC882" w:rsidR="00E83381" w:rsidRPr="00C41FDC" w:rsidRDefault="00E83381" w:rsidP="009D0972">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12</w:t>
            </w:r>
          </w:p>
        </w:tc>
        <w:tc>
          <w:tcPr>
            <w:tcW w:w="1530" w:type="dxa"/>
            <w:tcBorders>
              <w:top w:val="single" w:sz="12" w:space="0" w:color="000000" w:themeColor="text1"/>
            </w:tcBorders>
          </w:tcPr>
          <w:p w14:paraId="04B7281E" w14:textId="731A34E0" w:rsidR="00E83381" w:rsidRPr="00C41FDC" w:rsidRDefault="00E83381" w:rsidP="009D0972">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23, -0</w:t>
            </w:r>
            <w:r w:rsidR="00C323B9" w:rsidRPr="00C41FDC">
              <w:rPr>
                <w:color w:val="000000" w:themeColor="text1"/>
              </w:rPr>
              <w:t>·</w:t>
            </w:r>
            <w:r w:rsidRPr="00C41FDC">
              <w:rPr>
                <w:color w:val="000000" w:themeColor="text1"/>
              </w:rPr>
              <w:t>004</w:t>
            </w:r>
          </w:p>
        </w:tc>
        <w:tc>
          <w:tcPr>
            <w:tcW w:w="1170" w:type="dxa"/>
            <w:tcBorders>
              <w:top w:val="single" w:sz="12" w:space="0" w:color="000000" w:themeColor="text1"/>
            </w:tcBorders>
          </w:tcPr>
          <w:p w14:paraId="018AA8C5" w14:textId="6506C910" w:rsidR="00E83381" w:rsidRPr="00C41FDC" w:rsidRDefault="00E83381" w:rsidP="009D0972">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04</w:t>
            </w:r>
          </w:p>
        </w:tc>
        <w:tc>
          <w:tcPr>
            <w:tcW w:w="1000" w:type="dxa"/>
            <w:tcBorders>
              <w:top w:val="single" w:sz="12" w:space="0" w:color="000000" w:themeColor="text1"/>
            </w:tcBorders>
          </w:tcPr>
          <w:p w14:paraId="3F7944F0" w14:textId="045CEBCF" w:rsidR="00E83381" w:rsidRPr="00C41FDC" w:rsidRDefault="00E83381" w:rsidP="009D0972">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19</w:t>
            </w:r>
          </w:p>
        </w:tc>
      </w:tr>
      <w:tr w:rsidR="00C41FDC" w:rsidRPr="00C41FDC" w14:paraId="08352113" w14:textId="77777777" w:rsidTr="002C6262">
        <w:tc>
          <w:tcPr>
            <w:tcW w:w="1260" w:type="dxa"/>
          </w:tcPr>
          <w:p w14:paraId="7F97D4BB" w14:textId="77777777" w:rsidR="00E83381" w:rsidRPr="00C41FDC" w:rsidRDefault="00E83381" w:rsidP="009D0972">
            <w:pPr>
              <w:pStyle w:val="indent"/>
              <w:spacing w:before="0" w:beforeAutospacing="0" w:after="0" w:afterAutospacing="0"/>
              <w:rPr>
                <w:color w:val="000000" w:themeColor="text1"/>
              </w:rPr>
            </w:pPr>
          </w:p>
        </w:tc>
        <w:tc>
          <w:tcPr>
            <w:tcW w:w="2790" w:type="dxa"/>
            <w:tcBorders>
              <w:top w:val="single" w:sz="4" w:space="0" w:color="auto"/>
              <w:bottom w:val="single" w:sz="4" w:space="0" w:color="auto"/>
            </w:tcBorders>
          </w:tcPr>
          <w:p w14:paraId="0317E123" w14:textId="641F2C24" w:rsidR="00E83381" w:rsidRPr="00C41FDC" w:rsidRDefault="00E83381" w:rsidP="009D0972">
            <w:pPr>
              <w:pStyle w:val="indent"/>
              <w:spacing w:before="0" w:beforeAutospacing="0" w:after="0" w:afterAutospacing="0"/>
              <w:rPr>
                <w:color w:val="000000" w:themeColor="text1"/>
              </w:rPr>
            </w:pPr>
            <w:r w:rsidRPr="00C41FDC">
              <w:rPr>
                <w:color w:val="000000" w:themeColor="text1"/>
              </w:rPr>
              <w:t>vPPFE-presence</w:t>
            </w:r>
          </w:p>
        </w:tc>
        <w:tc>
          <w:tcPr>
            <w:tcW w:w="1350" w:type="dxa"/>
            <w:tcBorders>
              <w:top w:val="single" w:sz="4" w:space="0" w:color="auto"/>
              <w:bottom w:val="single" w:sz="4" w:space="0" w:color="auto"/>
            </w:tcBorders>
          </w:tcPr>
          <w:p w14:paraId="4624A6A6" w14:textId="5502600B" w:rsidR="00E83381" w:rsidRPr="00C41FDC" w:rsidRDefault="00E83381" w:rsidP="009D0972">
            <w:pPr>
              <w:pStyle w:val="indent"/>
              <w:spacing w:before="0" w:beforeAutospacing="0" w:after="0" w:afterAutospacing="0"/>
              <w:rPr>
                <w:color w:val="000000" w:themeColor="text1"/>
              </w:rPr>
            </w:pPr>
            <w:r w:rsidRPr="00C41FDC">
              <w:rPr>
                <w:color w:val="000000" w:themeColor="text1"/>
              </w:rPr>
              <w:t>2</w:t>
            </w:r>
            <w:r w:rsidR="00C323B9" w:rsidRPr="00C41FDC">
              <w:rPr>
                <w:color w:val="000000" w:themeColor="text1"/>
              </w:rPr>
              <w:t>·</w:t>
            </w:r>
            <w:r w:rsidRPr="00C41FDC">
              <w:rPr>
                <w:color w:val="000000" w:themeColor="text1"/>
              </w:rPr>
              <w:t>10</w:t>
            </w:r>
          </w:p>
        </w:tc>
        <w:tc>
          <w:tcPr>
            <w:tcW w:w="1530" w:type="dxa"/>
            <w:tcBorders>
              <w:top w:val="single" w:sz="4" w:space="0" w:color="auto"/>
              <w:bottom w:val="single" w:sz="4" w:space="0" w:color="auto"/>
            </w:tcBorders>
          </w:tcPr>
          <w:p w14:paraId="071A0B39" w14:textId="350B71CC" w:rsidR="00E83381" w:rsidRPr="00C41FDC" w:rsidRDefault="00E83381" w:rsidP="009D0972">
            <w:pPr>
              <w:pStyle w:val="indent"/>
              <w:spacing w:before="0" w:beforeAutospacing="0" w:after="0" w:afterAutospacing="0"/>
              <w:rPr>
                <w:color w:val="000000" w:themeColor="text1"/>
              </w:rPr>
            </w:pPr>
            <w:r w:rsidRPr="00C41FDC">
              <w:rPr>
                <w:color w:val="000000" w:themeColor="text1"/>
              </w:rPr>
              <w:t>-</w:t>
            </w:r>
            <w:r w:rsidR="00C323B9" w:rsidRPr="00C41FDC">
              <w:rPr>
                <w:color w:val="000000" w:themeColor="text1"/>
              </w:rPr>
              <w:t>1·</w:t>
            </w:r>
            <w:r w:rsidRPr="00C41FDC">
              <w:rPr>
                <w:color w:val="000000" w:themeColor="text1"/>
              </w:rPr>
              <w:t>47, 5</w:t>
            </w:r>
            <w:r w:rsidR="00C323B9" w:rsidRPr="00C41FDC">
              <w:rPr>
                <w:color w:val="000000" w:themeColor="text1"/>
              </w:rPr>
              <w:t>·</w:t>
            </w:r>
            <w:r w:rsidRPr="00C41FDC">
              <w:rPr>
                <w:color w:val="000000" w:themeColor="text1"/>
              </w:rPr>
              <w:t>68</w:t>
            </w:r>
          </w:p>
        </w:tc>
        <w:tc>
          <w:tcPr>
            <w:tcW w:w="1170" w:type="dxa"/>
            <w:tcBorders>
              <w:top w:val="single" w:sz="4" w:space="0" w:color="auto"/>
              <w:bottom w:val="single" w:sz="4" w:space="0" w:color="auto"/>
            </w:tcBorders>
          </w:tcPr>
          <w:p w14:paraId="0D2D36D1" w14:textId="500BB8F0" w:rsidR="00E83381" w:rsidRPr="00C41FDC" w:rsidRDefault="00E83381" w:rsidP="009D0972">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25</w:t>
            </w:r>
          </w:p>
        </w:tc>
        <w:tc>
          <w:tcPr>
            <w:tcW w:w="1000" w:type="dxa"/>
            <w:tcBorders>
              <w:top w:val="single" w:sz="4" w:space="0" w:color="auto"/>
              <w:bottom w:val="single" w:sz="4" w:space="0" w:color="auto"/>
            </w:tcBorders>
          </w:tcPr>
          <w:p w14:paraId="1A9CB0BE" w14:textId="0131D65C" w:rsidR="00E83381" w:rsidRPr="00C41FDC" w:rsidRDefault="00E83381" w:rsidP="009D0972">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19</w:t>
            </w:r>
          </w:p>
        </w:tc>
      </w:tr>
      <w:tr w:rsidR="00C41FDC" w:rsidRPr="00C41FDC" w14:paraId="2EECF868" w14:textId="77777777" w:rsidTr="002C6262">
        <w:tc>
          <w:tcPr>
            <w:tcW w:w="1260" w:type="dxa"/>
          </w:tcPr>
          <w:p w14:paraId="79428448" w14:textId="77777777" w:rsidR="00E83381" w:rsidRPr="00C41FDC" w:rsidRDefault="00E83381" w:rsidP="009D0972">
            <w:pPr>
              <w:pStyle w:val="indent"/>
              <w:spacing w:before="0" w:beforeAutospacing="0" w:after="0" w:afterAutospacing="0"/>
              <w:rPr>
                <w:color w:val="000000" w:themeColor="text1"/>
              </w:rPr>
            </w:pPr>
          </w:p>
        </w:tc>
        <w:tc>
          <w:tcPr>
            <w:tcW w:w="2790" w:type="dxa"/>
            <w:tcBorders>
              <w:top w:val="single" w:sz="4" w:space="0" w:color="auto"/>
            </w:tcBorders>
          </w:tcPr>
          <w:p w14:paraId="4429E69E" w14:textId="55DD85E0" w:rsidR="00E83381" w:rsidRPr="00C41FDC" w:rsidRDefault="00E83381" w:rsidP="009D0972">
            <w:pPr>
              <w:pStyle w:val="indent"/>
              <w:spacing w:before="0" w:beforeAutospacing="0" w:after="0" w:afterAutospacing="0"/>
              <w:rPr>
                <w:color w:val="000000" w:themeColor="text1"/>
              </w:rPr>
            </w:pPr>
            <w:r w:rsidRPr="00C41FDC">
              <w:rPr>
                <w:color w:val="000000" w:themeColor="text1"/>
              </w:rPr>
              <w:t>Moderate vPPFE</w:t>
            </w:r>
          </w:p>
        </w:tc>
        <w:tc>
          <w:tcPr>
            <w:tcW w:w="1350" w:type="dxa"/>
            <w:tcBorders>
              <w:top w:val="single" w:sz="4" w:space="0" w:color="auto"/>
            </w:tcBorders>
          </w:tcPr>
          <w:p w14:paraId="16812473" w14:textId="3CD4AC93" w:rsidR="00E83381" w:rsidRPr="00C41FDC" w:rsidRDefault="00C323B9" w:rsidP="009D0972">
            <w:pPr>
              <w:pStyle w:val="indent"/>
              <w:spacing w:before="0" w:beforeAutospacing="0" w:after="0" w:afterAutospacing="0"/>
              <w:rPr>
                <w:color w:val="000000" w:themeColor="text1"/>
              </w:rPr>
            </w:pPr>
            <w:r w:rsidRPr="00C41FDC">
              <w:rPr>
                <w:color w:val="000000" w:themeColor="text1"/>
              </w:rPr>
              <w:t>1·</w:t>
            </w:r>
            <w:r w:rsidR="00E83381" w:rsidRPr="00C41FDC">
              <w:rPr>
                <w:color w:val="000000" w:themeColor="text1"/>
              </w:rPr>
              <w:t>28</w:t>
            </w:r>
          </w:p>
        </w:tc>
        <w:tc>
          <w:tcPr>
            <w:tcW w:w="1530" w:type="dxa"/>
            <w:tcBorders>
              <w:top w:val="single" w:sz="4" w:space="0" w:color="auto"/>
            </w:tcBorders>
          </w:tcPr>
          <w:p w14:paraId="73601C93" w14:textId="58AA32D2" w:rsidR="00E83381" w:rsidRPr="00C41FDC" w:rsidRDefault="00E83381" w:rsidP="009D0972">
            <w:pPr>
              <w:pStyle w:val="indent"/>
              <w:spacing w:before="0" w:beforeAutospacing="0" w:after="0" w:afterAutospacing="0"/>
              <w:rPr>
                <w:color w:val="000000" w:themeColor="text1"/>
              </w:rPr>
            </w:pPr>
            <w:r w:rsidRPr="00C41FDC">
              <w:rPr>
                <w:color w:val="000000" w:themeColor="text1"/>
              </w:rPr>
              <w:t>-2</w:t>
            </w:r>
            <w:r w:rsidR="00C323B9" w:rsidRPr="00C41FDC">
              <w:rPr>
                <w:color w:val="000000" w:themeColor="text1"/>
              </w:rPr>
              <w:t>·</w:t>
            </w:r>
            <w:r w:rsidRPr="00C41FDC">
              <w:rPr>
                <w:color w:val="000000" w:themeColor="text1"/>
              </w:rPr>
              <w:t>29, 4</w:t>
            </w:r>
            <w:r w:rsidR="00C323B9" w:rsidRPr="00C41FDC">
              <w:rPr>
                <w:color w:val="000000" w:themeColor="text1"/>
              </w:rPr>
              <w:t>·</w:t>
            </w:r>
            <w:r w:rsidRPr="00C41FDC">
              <w:rPr>
                <w:color w:val="000000" w:themeColor="text1"/>
              </w:rPr>
              <w:t>84</w:t>
            </w:r>
          </w:p>
        </w:tc>
        <w:tc>
          <w:tcPr>
            <w:tcW w:w="1170" w:type="dxa"/>
            <w:tcBorders>
              <w:top w:val="single" w:sz="4" w:space="0" w:color="auto"/>
            </w:tcBorders>
          </w:tcPr>
          <w:p w14:paraId="49353A93" w14:textId="22360067" w:rsidR="00E83381" w:rsidRPr="00C41FDC" w:rsidRDefault="00E83381" w:rsidP="009D0972">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48</w:t>
            </w:r>
          </w:p>
        </w:tc>
        <w:tc>
          <w:tcPr>
            <w:tcW w:w="1000" w:type="dxa"/>
            <w:tcBorders>
              <w:top w:val="single" w:sz="4" w:space="0" w:color="auto"/>
            </w:tcBorders>
          </w:tcPr>
          <w:p w14:paraId="1A14E6F5" w14:textId="5DA5682B" w:rsidR="00E83381" w:rsidRPr="00C41FDC" w:rsidRDefault="00E83381" w:rsidP="009D0972">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23</w:t>
            </w:r>
          </w:p>
        </w:tc>
      </w:tr>
      <w:tr w:rsidR="00C41FDC" w:rsidRPr="00C41FDC" w14:paraId="1C0E138E" w14:textId="77777777" w:rsidTr="002C6262">
        <w:tc>
          <w:tcPr>
            <w:tcW w:w="1260" w:type="dxa"/>
          </w:tcPr>
          <w:p w14:paraId="5402787C" w14:textId="77777777" w:rsidR="00E83381" w:rsidRPr="00C41FDC" w:rsidRDefault="00E83381" w:rsidP="009D0972">
            <w:pPr>
              <w:pStyle w:val="indent"/>
              <w:spacing w:before="0" w:beforeAutospacing="0" w:after="0" w:afterAutospacing="0"/>
              <w:rPr>
                <w:color w:val="000000" w:themeColor="text1"/>
              </w:rPr>
            </w:pPr>
          </w:p>
        </w:tc>
        <w:tc>
          <w:tcPr>
            <w:tcW w:w="2790" w:type="dxa"/>
            <w:tcBorders>
              <w:bottom w:val="single" w:sz="4" w:space="0" w:color="auto"/>
            </w:tcBorders>
          </w:tcPr>
          <w:p w14:paraId="7102DDCC" w14:textId="0F73E159" w:rsidR="00E83381" w:rsidRPr="00C41FDC" w:rsidRDefault="00E83381" w:rsidP="009D0972">
            <w:pPr>
              <w:pStyle w:val="indent"/>
              <w:spacing w:before="0" w:beforeAutospacing="0" w:after="0" w:afterAutospacing="0"/>
              <w:rPr>
                <w:color w:val="000000" w:themeColor="text1"/>
              </w:rPr>
            </w:pPr>
            <w:r w:rsidRPr="00C41FDC">
              <w:rPr>
                <w:color w:val="000000" w:themeColor="text1"/>
              </w:rPr>
              <w:t>Marked vPPFE</w:t>
            </w:r>
          </w:p>
        </w:tc>
        <w:tc>
          <w:tcPr>
            <w:tcW w:w="1350" w:type="dxa"/>
            <w:tcBorders>
              <w:bottom w:val="single" w:sz="4" w:space="0" w:color="auto"/>
            </w:tcBorders>
          </w:tcPr>
          <w:p w14:paraId="1603D0D3" w14:textId="0F83F285" w:rsidR="00E83381" w:rsidRPr="00C41FDC" w:rsidRDefault="00E83381" w:rsidP="009D0972">
            <w:pPr>
              <w:pStyle w:val="indent"/>
              <w:spacing w:before="0" w:beforeAutospacing="0" w:after="0" w:afterAutospacing="0"/>
              <w:rPr>
                <w:color w:val="000000" w:themeColor="text1"/>
              </w:rPr>
            </w:pPr>
            <w:r w:rsidRPr="00C41FDC">
              <w:rPr>
                <w:color w:val="000000" w:themeColor="text1"/>
              </w:rPr>
              <w:t>7</w:t>
            </w:r>
            <w:r w:rsidR="00C323B9" w:rsidRPr="00C41FDC">
              <w:rPr>
                <w:color w:val="000000" w:themeColor="text1"/>
              </w:rPr>
              <w:t>·</w:t>
            </w:r>
            <w:r w:rsidRPr="00C41FDC">
              <w:rPr>
                <w:color w:val="000000" w:themeColor="text1"/>
              </w:rPr>
              <w:t>51</w:t>
            </w:r>
          </w:p>
        </w:tc>
        <w:tc>
          <w:tcPr>
            <w:tcW w:w="1530" w:type="dxa"/>
            <w:tcBorders>
              <w:bottom w:val="single" w:sz="4" w:space="0" w:color="auto"/>
            </w:tcBorders>
          </w:tcPr>
          <w:p w14:paraId="2B6EEFEB" w14:textId="73DE4009" w:rsidR="00E83381" w:rsidRPr="00C41FDC" w:rsidRDefault="00C323B9" w:rsidP="009D0972">
            <w:pPr>
              <w:pStyle w:val="indent"/>
              <w:spacing w:before="0" w:beforeAutospacing="0" w:after="0" w:afterAutospacing="0"/>
              <w:rPr>
                <w:color w:val="000000" w:themeColor="text1"/>
              </w:rPr>
            </w:pPr>
            <w:r w:rsidRPr="00C41FDC">
              <w:rPr>
                <w:color w:val="000000" w:themeColor="text1"/>
              </w:rPr>
              <w:t>1·</w:t>
            </w:r>
            <w:r w:rsidR="00E83381" w:rsidRPr="00C41FDC">
              <w:rPr>
                <w:color w:val="000000" w:themeColor="text1"/>
              </w:rPr>
              <w:t>85, 13</w:t>
            </w:r>
            <w:r w:rsidRPr="00C41FDC">
              <w:rPr>
                <w:color w:val="000000" w:themeColor="text1"/>
              </w:rPr>
              <w:t>·</w:t>
            </w:r>
            <w:r w:rsidR="00E83381" w:rsidRPr="00C41FDC">
              <w:rPr>
                <w:color w:val="000000" w:themeColor="text1"/>
              </w:rPr>
              <w:t>2</w:t>
            </w:r>
          </w:p>
        </w:tc>
        <w:tc>
          <w:tcPr>
            <w:tcW w:w="1170" w:type="dxa"/>
            <w:tcBorders>
              <w:bottom w:val="single" w:sz="4" w:space="0" w:color="auto"/>
            </w:tcBorders>
          </w:tcPr>
          <w:p w14:paraId="59F6C5DD" w14:textId="5F45C8F6" w:rsidR="00E83381" w:rsidRPr="00C41FDC" w:rsidRDefault="00E83381" w:rsidP="009D0972">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01</w:t>
            </w:r>
          </w:p>
        </w:tc>
        <w:tc>
          <w:tcPr>
            <w:tcW w:w="1000" w:type="dxa"/>
            <w:tcBorders>
              <w:bottom w:val="single" w:sz="4" w:space="0" w:color="auto"/>
            </w:tcBorders>
          </w:tcPr>
          <w:p w14:paraId="6B1191AA" w14:textId="236796A9" w:rsidR="00E83381" w:rsidRPr="00C41FDC" w:rsidRDefault="00E83381" w:rsidP="009D0972">
            <w:pPr>
              <w:pStyle w:val="indent"/>
              <w:spacing w:before="0" w:beforeAutospacing="0" w:after="0" w:afterAutospacing="0"/>
              <w:rPr>
                <w:color w:val="000000" w:themeColor="text1"/>
              </w:rPr>
            </w:pPr>
          </w:p>
        </w:tc>
      </w:tr>
      <w:tr w:rsidR="00C41FDC" w:rsidRPr="00C41FDC" w14:paraId="19107B29" w14:textId="77777777" w:rsidTr="002C6262">
        <w:tc>
          <w:tcPr>
            <w:tcW w:w="1260" w:type="dxa"/>
          </w:tcPr>
          <w:p w14:paraId="2710C8FE" w14:textId="77777777" w:rsidR="00E83381" w:rsidRPr="00C41FDC" w:rsidRDefault="00E83381" w:rsidP="00890EEB">
            <w:pPr>
              <w:pStyle w:val="indent"/>
              <w:spacing w:before="0" w:beforeAutospacing="0" w:after="0" w:afterAutospacing="0"/>
              <w:rPr>
                <w:color w:val="000000" w:themeColor="text1"/>
              </w:rPr>
            </w:pPr>
          </w:p>
        </w:tc>
        <w:tc>
          <w:tcPr>
            <w:tcW w:w="2790" w:type="dxa"/>
            <w:tcBorders>
              <w:top w:val="single" w:sz="4" w:space="0" w:color="auto"/>
              <w:bottom w:val="single" w:sz="4" w:space="0" w:color="auto"/>
            </w:tcBorders>
          </w:tcPr>
          <w:p w14:paraId="49FB7770" w14:textId="041A92D9" w:rsidR="00E83381" w:rsidRPr="00C41FDC" w:rsidRDefault="00E83381" w:rsidP="00890EEB">
            <w:pPr>
              <w:pStyle w:val="indent"/>
              <w:spacing w:before="0" w:beforeAutospacing="0" w:after="0" w:afterAutospacing="0"/>
              <w:rPr>
                <w:color w:val="000000" w:themeColor="text1"/>
              </w:rPr>
            </w:pPr>
            <w:r w:rsidRPr="00C41FDC">
              <w:rPr>
                <w:color w:val="000000" w:themeColor="text1"/>
              </w:rPr>
              <w:t>cPPFE (continuous)</w:t>
            </w:r>
          </w:p>
        </w:tc>
        <w:tc>
          <w:tcPr>
            <w:tcW w:w="1350" w:type="dxa"/>
            <w:tcBorders>
              <w:top w:val="single" w:sz="4" w:space="0" w:color="auto"/>
              <w:bottom w:val="single" w:sz="4" w:space="0" w:color="auto"/>
            </w:tcBorders>
          </w:tcPr>
          <w:p w14:paraId="4F21E23F" w14:textId="69F68C72" w:rsidR="00E83381" w:rsidRPr="00C41FDC" w:rsidRDefault="00E83381" w:rsidP="00890EEB">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78</w:t>
            </w:r>
          </w:p>
        </w:tc>
        <w:tc>
          <w:tcPr>
            <w:tcW w:w="1530" w:type="dxa"/>
            <w:tcBorders>
              <w:top w:val="single" w:sz="4" w:space="0" w:color="auto"/>
              <w:bottom w:val="single" w:sz="4" w:space="0" w:color="auto"/>
            </w:tcBorders>
          </w:tcPr>
          <w:p w14:paraId="61F16D91" w14:textId="17203795" w:rsidR="00E83381" w:rsidRPr="00C41FDC" w:rsidRDefault="00E83381" w:rsidP="00890EEB">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 xml:space="preserve">22, </w:t>
            </w:r>
            <w:r w:rsidR="00C323B9" w:rsidRPr="00C41FDC">
              <w:rPr>
                <w:color w:val="000000" w:themeColor="text1"/>
              </w:rPr>
              <w:t>1·</w:t>
            </w:r>
            <w:r w:rsidRPr="00C41FDC">
              <w:rPr>
                <w:color w:val="000000" w:themeColor="text1"/>
              </w:rPr>
              <w:t>33</w:t>
            </w:r>
          </w:p>
        </w:tc>
        <w:tc>
          <w:tcPr>
            <w:tcW w:w="1170" w:type="dxa"/>
            <w:tcBorders>
              <w:top w:val="single" w:sz="4" w:space="0" w:color="auto"/>
              <w:bottom w:val="single" w:sz="4" w:space="0" w:color="auto"/>
            </w:tcBorders>
          </w:tcPr>
          <w:p w14:paraId="060535FC" w14:textId="26F581A4" w:rsidR="00E83381" w:rsidRPr="00C41FDC" w:rsidRDefault="00E83381" w:rsidP="00890EEB">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006</w:t>
            </w:r>
          </w:p>
        </w:tc>
        <w:tc>
          <w:tcPr>
            <w:tcW w:w="1000" w:type="dxa"/>
            <w:tcBorders>
              <w:top w:val="single" w:sz="4" w:space="0" w:color="auto"/>
              <w:bottom w:val="single" w:sz="4" w:space="0" w:color="auto"/>
            </w:tcBorders>
          </w:tcPr>
          <w:p w14:paraId="10F4C404" w14:textId="1AC0699C" w:rsidR="00E83381" w:rsidRPr="00C41FDC" w:rsidRDefault="00E83381" w:rsidP="00890EEB">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23</w:t>
            </w:r>
          </w:p>
        </w:tc>
      </w:tr>
      <w:tr w:rsidR="00E83381" w:rsidRPr="00C41FDC" w14:paraId="5C994408" w14:textId="77777777" w:rsidTr="002C6262">
        <w:tc>
          <w:tcPr>
            <w:tcW w:w="1260" w:type="dxa"/>
            <w:tcBorders>
              <w:bottom w:val="single" w:sz="12" w:space="0" w:color="000000" w:themeColor="text1"/>
            </w:tcBorders>
          </w:tcPr>
          <w:p w14:paraId="27472ED9" w14:textId="77777777" w:rsidR="00E83381" w:rsidRPr="00C41FDC" w:rsidRDefault="00E83381" w:rsidP="00890EEB">
            <w:pPr>
              <w:pStyle w:val="indent"/>
              <w:spacing w:before="0" w:beforeAutospacing="0" w:after="0" w:afterAutospacing="0"/>
              <w:rPr>
                <w:color w:val="000000" w:themeColor="text1"/>
              </w:rPr>
            </w:pPr>
          </w:p>
        </w:tc>
        <w:tc>
          <w:tcPr>
            <w:tcW w:w="2790" w:type="dxa"/>
            <w:tcBorders>
              <w:top w:val="single" w:sz="4" w:space="0" w:color="auto"/>
              <w:bottom w:val="single" w:sz="12" w:space="0" w:color="000000" w:themeColor="text1"/>
            </w:tcBorders>
          </w:tcPr>
          <w:p w14:paraId="70DD1378" w14:textId="354D61F6" w:rsidR="00E83381" w:rsidRPr="00C41FDC" w:rsidRDefault="00E83381" w:rsidP="00890EEB">
            <w:pPr>
              <w:pStyle w:val="indent"/>
              <w:spacing w:before="0" w:beforeAutospacing="0" w:after="0" w:afterAutospacing="0"/>
              <w:rPr>
                <w:color w:val="000000" w:themeColor="text1"/>
              </w:rPr>
            </w:pPr>
            <w:r w:rsidRPr="00C41FDC">
              <w:rPr>
                <w:color w:val="000000" w:themeColor="text1"/>
              </w:rPr>
              <w:t>cPPFE (</w:t>
            </w:r>
            <w:r w:rsidR="00CF7203" w:rsidRPr="00C41FDC">
              <w:rPr>
                <w:color w:val="000000" w:themeColor="text1"/>
              </w:rPr>
              <w:t>dichotomised</w:t>
            </w:r>
            <w:r w:rsidRPr="00C41FDC">
              <w:rPr>
                <w:color w:val="000000" w:themeColor="text1"/>
              </w:rPr>
              <w:t xml:space="preserve"> at 2</w:t>
            </w:r>
            <w:r w:rsidR="00C323B9" w:rsidRPr="00C41FDC">
              <w:rPr>
                <w:color w:val="000000" w:themeColor="text1"/>
              </w:rPr>
              <w:t>·</w:t>
            </w:r>
            <w:r w:rsidRPr="00C41FDC">
              <w:rPr>
                <w:color w:val="000000" w:themeColor="text1"/>
              </w:rPr>
              <w:t>5%)</w:t>
            </w:r>
          </w:p>
        </w:tc>
        <w:tc>
          <w:tcPr>
            <w:tcW w:w="1350" w:type="dxa"/>
            <w:tcBorders>
              <w:top w:val="single" w:sz="4" w:space="0" w:color="auto"/>
              <w:bottom w:val="single" w:sz="12" w:space="0" w:color="000000" w:themeColor="text1"/>
            </w:tcBorders>
          </w:tcPr>
          <w:p w14:paraId="6C40DE39" w14:textId="412281E8" w:rsidR="00E83381" w:rsidRPr="00C41FDC" w:rsidRDefault="003B616C" w:rsidP="00890EEB">
            <w:pPr>
              <w:pStyle w:val="indent"/>
              <w:spacing w:before="0" w:beforeAutospacing="0" w:after="0" w:afterAutospacing="0"/>
              <w:rPr>
                <w:color w:val="000000" w:themeColor="text1"/>
              </w:rPr>
            </w:pPr>
            <w:r w:rsidRPr="00C41FDC">
              <w:rPr>
                <w:color w:val="000000" w:themeColor="text1"/>
              </w:rPr>
              <w:t>3</w:t>
            </w:r>
            <w:r w:rsidR="00C323B9" w:rsidRPr="00C41FDC">
              <w:rPr>
                <w:color w:val="000000" w:themeColor="text1"/>
              </w:rPr>
              <w:t>·</w:t>
            </w:r>
            <w:r w:rsidRPr="00C41FDC">
              <w:rPr>
                <w:color w:val="000000" w:themeColor="text1"/>
              </w:rPr>
              <w:t>89</w:t>
            </w:r>
          </w:p>
        </w:tc>
        <w:tc>
          <w:tcPr>
            <w:tcW w:w="1530" w:type="dxa"/>
            <w:tcBorders>
              <w:top w:val="single" w:sz="4" w:space="0" w:color="auto"/>
              <w:bottom w:val="single" w:sz="12" w:space="0" w:color="000000" w:themeColor="text1"/>
            </w:tcBorders>
          </w:tcPr>
          <w:p w14:paraId="0F9A25D3" w14:textId="30658890" w:rsidR="00E83381" w:rsidRPr="00C41FDC" w:rsidRDefault="00E83381" w:rsidP="00890EEB">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003B616C" w:rsidRPr="00C41FDC">
              <w:rPr>
                <w:color w:val="000000" w:themeColor="text1"/>
              </w:rPr>
              <w:t>46</w:t>
            </w:r>
            <w:r w:rsidRPr="00C41FDC">
              <w:rPr>
                <w:color w:val="000000" w:themeColor="text1"/>
              </w:rPr>
              <w:t xml:space="preserve">, </w:t>
            </w:r>
            <w:r w:rsidR="003B616C" w:rsidRPr="00C41FDC">
              <w:rPr>
                <w:color w:val="000000" w:themeColor="text1"/>
              </w:rPr>
              <w:t>7</w:t>
            </w:r>
            <w:r w:rsidR="001E455A" w:rsidRPr="00C41FDC">
              <w:rPr>
                <w:color w:val="000000" w:themeColor="text1"/>
              </w:rPr>
              <w:t>·</w:t>
            </w:r>
            <w:r w:rsidR="003B616C" w:rsidRPr="00C41FDC">
              <w:rPr>
                <w:color w:val="000000" w:themeColor="text1"/>
              </w:rPr>
              <w:t>32</w:t>
            </w:r>
          </w:p>
        </w:tc>
        <w:tc>
          <w:tcPr>
            <w:tcW w:w="1170" w:type="dxa"/>
            <w:tcBorders>
              <w:top w:val="single" w:sz="4" w:space="0" w:color="auto"/>
              <w:bottom w:val="single" w:sz="12" w:space="0" w:color="000000" w:themeColor="text1"/>
            </w:tcBorders>
          </w:tcPr>
          <w:p w14:paraId="27A9BF89" w14:textId="4234D660" w:rsidR="00E83381" w:rsidRPr="00C41FDC" w:rsidRDefault="00E83381" w:rsidP="00890EEB">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0</w:t>
            </w:r>
            <w:r w:rsidR="003B616C" w:rsidRPr="00C41FDC">
              <w:rPr>
                <w:color w:val="000000" w:themeColor="text1"/>
              </w:rPr>
              <w:t>3</w:t>
            </w:r>
          </w:p>
        </w:tc>
        <w:tc>
          <w:tcPr>
            <w:tcW w:w="1000" w:type="dxa"/>
            <w:tcBorders>
              <w:top w:val="single" w:sz="4" w:space="0" w:color="auto"/>
              <w:bottom w:val="single" w:sz="12" w:space="0" w:color="000000" w:themeColor="text1"/>
            </w:tcBorders>
          </w:tcPr>
          <w:p w14:paraId="3625A0DE" w14:textId="1F2780C6" w:rsidR="00E83381" w:rsidRPr="00C41FDC" w:rsidRDefault="00E83381" w:rsidP="00890EEB">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22</w:t>
            </w:r>
          </w:p>
        </w:tc>
      </w:tr>
    </w:tbl>
    <w:p w14:paraId="0A257EE8" w14:textId="5AB1A822" w:rsidR="004032AD" w:rsidRPr="00C41FDC" w:rsidRDefault="004032AD" w:rsidP="00927C79">
      <w:pPr>
        <w:widowControl w:val="0"/>
        <w:autoSpaceDE w:val="0"/>
        <w:autoSpaceDN w:val="0"/>
        <w:adjustRightInd w:val="0"/>
        <w:spacing w:after="120" w:line="360" w:lineRule="auto"/>
        <w:ind w:left="640" w:hanging="640"/>
        <w:rPr>
          <w:color w:val="000000" w:themeColor="text1"/>
        </w:rPr>
      </w:pPr>
    </w:p>
    <w:bookmarkEnd w:id="282"/>
    <w:bookmarkEnd w:id="283"/>
    <w:p w14:paraId="09A20B3B" w14:textId="77777777" w:rsidR="00D372B5" w:rsidRPr="00C41FDC" w:rsidRDefault="00D372B5">
      <w:pPr>
        <w:rPr>
          <w:rStyle w:val="id"/>
          <w:rFonts w:eastAsia="Times New Roman"/>
          <w:b/>
          <w:color w:val="000000" w:themeColor="text1"/>
        </w:rPr>
      </w:pPr>
      <w:r w:rsidRPr="00C41FDC">
        <w:rPr>
          <w:rStyle w:val="id"/>
          <w:rFonts w:eastAsia="Times New Roman"/>
          <w:b/>
          <w:color w:val="000000" w:themeColor="text1"/>
        </w:rPr>
        <w:br w:type="page"/>
      </w:r>
    </w:p>
    <w:p w14:paraId="57E85B1A" w14:textId="464ACC4B" w:rsidR="004032AD" w:rsidRPr="00C41FDC" w:rsidRDefault="004032AD" w:rsidP="0007399C">
      <w:pPr>
        <w:spacing w:line="360" w:lineRule="auto"/>
        <w:rPr>
          <w:rFonts w:eastAsia="Times New Roman"/>
          <w:color w:val="000000" w:themeColor="text1"/>
        </w:rPr>
      </w:pPr>
      <w:r w:rsidRPr="00C41FDC">
        <w:rPr>
          <w:rStyle w:val="id"/>
          <w:rFonts w:eastAsia="Times New Roman"/>
          <w:b/>
          <w:color w:val="000000" w:themeColor="text1"/>
        </w:rPr>
        <w:lastRenderedPageBreak/>
        <w:t xml:space="preserve">Table </w:t>
      </w:r>
      <w:r w:rsidR="0057683E" w:rsidRPr="00C41FDC">
        <w:rPr>
          <w:rStyle w:val="id"/>
          <w:rFonts w:eastAsia="Times New Roman"/>
          <w:b/>
          <w:color w:val="000000" w:themeColor="text1"/>
        </w:rPr>
        <w:t>4</w:t>
      </w:r>
      <w:r w:rsidRPr="00C41FDC">
        <w:rPr>
          <w:rStyle w:val="id"/>
          <w:rFonts w:eastAsia="Times New Roman"/>
          <w:color w:val="000000" w:themeColor="text1"/>
        </w:rPr>
        <w:t xml:space="preserve">: </w:t>
      </w:r>
      <w:r w:rsidRPr="00C41FDC">
        <w:rPr>
          <w:rStyle w:val="content"/>
          <w:rFonts w:eastAsia="Times New Roman"/>
          <w:b/>
          <w:bCs/>
          <w:color w:val="000000" w:themeColor="text1"/>
        </w:rPr>
        <w:t xml:space="preserve">Multivariable Cox regression models showing mortality in the </w:t>
      </w:r>
      <w:r w:rsidR="009063EC" w:rsidRPr="00C41FDC">
        <w:rPr>
          <w:rStyle w:val="content"/>
          <w:rFonts w:eastAsia="Times New Roman"/>
          <w:b/>
          <w:bCs/>
          <w:color w:val="000000" w:themeColor="text1"/>
        </w:rPr>
        <w:t xml:space="preserve">derivation </w:t>
      </w:r>
      <w:r w:rsidRPr="00C41FDC">
        <w:rPr>
          <w:rStyle w:val="content"/>
          <w:rFonts w:eastAsia="Times New Roman"/>
          <w:b/>
          <w:bCs/>
          <w:color w:val="000000" w:themeColor="text1"/>
        </w:rPr>
        <w:t>and validation IPF cohorts</w:t>
      </w:r>
      <w:r w:rsidR="001B2E11" w:rsidRPr="00C41FDC">
        <w:rPr>
          <w:rStyle w:val="content"/>
          <w:rFonts w:eastAsia="Times New Roman"/>
          <w:b/>
          <w:bCs/>
          <w:color w:val="000000" w:themeColor="text1"/>
        </w:rPr>
        <w:t xml:space="preserve"> using vPPFE scores</w:t>
      </w:r>
      <w:r w:rsidRPr="00C41FDC">
        <w:rPr>
          <w:rStyle w:val="content"/>
          <w:rFonts w:eastAsia="Times New Roman"/>
          <w:b/>
          <w:bCs/>
          <w:color w:val="000000" w:themeColor="text1"/>
        </w:rPr>
        <w:t>.</w:t>
      </w:r>
      <w:r w:rsidRPr="00C41FDC">
        <w:rPr>
          <w:rStyle w:val="content"/>
          <w:rFonts w:eastAsia="Times New Roman"/>
          <w:color w:val="000000" w:themeColor="text1"/>
        </w:rPr>
        <w:t xml:space="preserve"> Models were adjusted for patient age, gender, smoking history (never/ever), </w:t>
      </w:r>
      <w:r w:rsidR="0004086D" w:rsidRPr="00C41FDC">
        <w:rPr>
          <w:rStyle w:val="content"/>
          <w:rFonts w:eastAsia="Times New Roman"/>
          <w:color w:val="000000" w:themeColor="text1"/>
        </w:rPr>
        <w:t xml:space="preserve">antifibrotic treatment (never/ever across follow-up), </w:t>
      </w:r>
      <w:r w:rsidRPr="00C41FDC">
        <w:rPr>
          <w:rStyle w:val="content"/>
          <w:rFonts w:eastAsia="Times New Roman"/>
          <w:color w:val="000000" w:themeColor="text1"/>
        </w:rPr>
        <w:t xml:space="preserve">DLco, and </w:t>
      </w:r>
      <w:r w:rsidR="00EF52B5" w:rsidRPr="00C41FDC">
        <w:rPr>
          <w:rStyle w:val="content"/>
          <w:rFonts w:eastAsia="Times New Roman"/>
          <w:color w:val="000000" w:themeColor="text1"/>
        </w:rPr>
        <w:t>vPPFE</w:t>
      </w:r>
      <w:r w:rsidRPr="00C41FDC">
        <w:rPr>
          <w:rStyle w:val="content"/>
          <w:rFonts w:eastAsia="Times New Roman"/>
          <w:color w:val="000000" w:themeColor="text1"/>
        </w:rPr>
        <w:t xml:space="preserve"> (absent/</w:t>
      </w:r>
      <w:r w:rsidR="00F220F8" w:rsidRPr="00C41FDC">
        <w:rPr>
          <w:rStyle w:val="content"/>
          <w:rFonts w:eastAsia="Times New Roman"/>
          <w:color w:val="000000" w:themeColor="text1"/>
        </w:rPr>
        <w:t>moderate</w:t>
      </w:r>
      <w:r w:rsidRPr="00C41FDC">
        <w:rPr>
          <w:rStyle w:val="content"/>
          <w:rFonts w:eastAsia="Times New Roman"/>
          <w:color w:val="000000" w:themeColor="text1"/>
        </w:rPr>
        <w:t>/marked). DLco = diffusing capacity for carbon monoxide, PPFE = pleuroparenchymal fibroelastosis</w:t>
      </w:r>
      <w:r w:rsidR="00FF2F36" w:rsidRPr="00C41FDC">
        <w:rPr>
          <w:rStyle w:val="content"/>
          <w:rFonts w:eastAsia="Times New Roman"/>
          <w:color w:val="000000" w:themeColor="text1"/>
        </w:rPr>
        <w:t>, AF</w:t>
      </w:r>
      <w:r w:rsidR="009B2ED2" w:rsidRPr="00C41FDC">
        <w:rPr>
          <w:rStyle w:val="content"/>
          <w:rFonts w:eastAsia="Times New Roman"/>
          <w:color w:val="000000" w:themeColor="text1"/>
        </w:rPr>
        <w:t xml:space="preserve"> </w:t>
      </w:r>
      <w:r w:rsidR="00FF2F36" w:rsidRPr="00C41FDC">
        <w:rPr>
          <w:rStyle w:val="content"/>
          <w:rFonts w:eastAsia="Times New Roman"/>
          <w:color w:val="000000" w:themeColor="text1"/>
        </w:rPr>
        <w:t>=</w:t>
      </w:r>
      <w:r w:rsidR="009B2ED2" w:rsidRPr="00C41FDC">
        <w:rPr>
          <w:rStyle w:val="content"/>
          <w:rFonts w:eastAsia="Times New Roman"/>
          <w:color w:val="000000" w:themeColor="text1"/>
        </w:rPr>
        <w:t xml:space="preserve"> </w:t>
      </w:r>
      <w:r w:rsidR="00FF2F36" w:rsidRPr="00C41FDC">
        <w:rPr>
          <w:rStyle w:val="content"/>
          <w:rFonts w:eastAsia="Times New Roman"/>
          <w:color w:val="000000" w:themeColor="text1"/>
        </w:rPr>
        <w:t>antifibrotic</w:t>
      </w:r>
      <w:bookmarkStart w:id="290" w:name="OLE_LINK89"/>
      <w:bookmarkStart w:id="291" w:name="OLE_LINK90"/>
      <w:r w:rsidR="00043DCF" w:rsidRPr="00C41FDC">
        <w:rPr>
          <w:rStyle w:val="content"/>
          <w:rFonts w:eastAsia="Times New Roman"/>
          <w:color w:val="000000" w:themeColor="text1"/>
        </w:rPr>
        <w:t>, vPPFE = visual upper-lobe PPFE extent</w:t>
      </w:r>
      <w:bookmarkEnd w:id="290"/>
      <w:bookmarkEnd w:id="291"/>
      <w:r w:rsidR="00043DCF" w:rsidRPr="00C41FDC">
        <w:rPr>
          <w:rStyle w:val="content"/>
          <w:rFonts w:eastAsia="Times New Roman"/>
          <w:color w:val="000000" w:themeColor="text1"/>
        </w:rPr>
        <w: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2" w:type="dxa"/>
          <w:bottom w:w="72" w:type="dxa"/>
        </w:tblCellMar>
        <w:tblLook w:val="04A0" w:firstRow="1" w:lastRow="0" w:firstColumn="1" w:lastColumn="0" w:noHBand="0" w:noVBand="1"/>
      </w:tblPr>
      <w:tblGrid>
        <w:gridCol w:w="1560"/>
        <w:gridCol w:w="2992"/>
        <w:gridCol w:w="1080"/>
        <w:gridCol w:w="1440"/>
        <w:gridCol w:w="1350"/>
        <w:gridCol w:w="1080"/>
      </w:tblGrid>
      <w:tr w:rsidR="00C41FDC" w:rsidRPr="00C41FDC" w14:paraId="5596720B" w14:textId="77777777" w:rsidTr="003E7EE3">
        <w:tc>
          <w:tcPr>
            <w:tcW w:w="1560" w:type="dxa"/>
            <w:tcBorders>
              <w:top w:val="single" w:sz="12" w:space="0" w:color="000000" w:themeColor="text1"/>
              <w:bottom w:val="single" w:sz="12" w:space="0" w:color="000000" w:themeColor="text1"/>
            </w:tcBorders>
          </w:tcPr>
          <w:p w14:paraId="07FBE7D7" w14:textId="77777777" w:rsidR="004032AD" w:rsidRPr="00C41FDC" w:rsidRDefault="004032AD" w:rsidP="009D0972">
            <w:pPr>
              <w:pStyle w:val="indent"/>
              <w:spacing w:before="0" w:beforeAutospacing="0" w:after="0" w:afterAutospacing="0"/>
              <w:rPr>
                <w:color w:val="000000" w:themeColor="text1"/>
              </w:rPr>
            </w:pPr>
            <w:r w:rsidRPr="00C41FDC">
              <w:rPr>
                <w:color w:val="000000" w:themeColor="text1"/>
              </w:rPr>
              <w:t>Cohort</w:t>
            </w:r>
          </w:p>
        </w:tc>
        <w:tc>
          <w:tcPr>
            <w:tcW w:w="2992" w:type="dxa"/>
            <w:tcBorders>
              <w:top w:val="single" w:sz="12" w:space="0" w:color="000000" w:themeColor="text1"/>
              <w:bottom w:val="single" w:sz="12" w:space="0" w:color="000000" w:themeColor="text1"/>
            </w:tcBorders>
          </w:tcPr>
          <w:p w14:paraId="65F9CC17" w14:textId="77777777" w:rsidR="004032AD" w:rsidRPr="00C41FDC" w:rsidRDefault="004032AD" w:rsidP="009D0972">
            <w:pPr>
              <w:pStyle w:val="indent"/>
              <w:spacing w:before="0" w:beforeAutospacing="0" w:after="0" w:afterAutospacing="0"/>
              <w:rPr>
                <w:color w:val="000000" w:themeColor="text1"/>
              </w:rPr>
            </w:pPr>
            <w:r w:rsidRPr="00C41FDC">
              <w:rPr>
                <w:color w:val="000000" w:themeColor="text1"/>
              </w:rPr>
              <w:t>Variable</w:t>
            </w:r>
          </w:p>
        </w:tc>
        <w:tc>
          <w:tcPr>
            <w:tcW w:w="1080" w:type="dxa"/>
            <w:tcBorders>
              <w:top w:val="single" w:sz="12" w:space="0" w:color="000000" w:themeColor="text1"/>
              <w:bottom w:val="single" w:sz="12" w:space="0" w:color="000000" w:themeColor="text1"/>
            </w:tcBorders>
          </w:tcPr>
          <w:p w14:paraId="3B1775E8" w14:textId="77777777" w:rsidR="004032AD" w:rsidRPr="00C41FDC" w:rsidRDefault="004032AD" w:rsidP="009D0972">
            <w:pPr>
              <w:pStyle w:val="indent"/>
              <w:spacing w:before="0" w:beforeAutospacing="0" w:after="0" w:afterAutospacing="0"/>
              <w:rPr>
                <w:color w:val="000000" w:themeColor="text1"/>
              </w:rPr>
            </w:pPr>
            <w:r w:rsidRPr="00C41FDC">
              <w:rPr>
                <w:color w:val="000000" w:themeColor="text1"/>
              </w:rPr>
              <w:t>Hazard ratio</w:t>
            </w:r>
          </w:p>
        </w:tc>
        <w:tc>
          <w:tcPr>
            <w:tcW w:w="1440" w:type="dxa"/>
            <w:tcBorders>
              <w:top w:val="single" w:sz="12" w:space="0" w:color="000000" w:themeColor="text1"/>
              <w:bottom w:val="single" w:sz="12" w:space="0" w:color="000000" w:themeColor="text1"/>
            </w:tcBorders>
          </w:tcPr>
          <w:p w14:paraId="0E13202C" w14:textId="77777777" w:rsidR="004032AD" w:rsidRPr="00C41FDC" w:rsidRDefault="004032AD" w:rsidP="009D0972">
            <w:pPr>
              <w:pStyle w:val="indent"/>
              <w:spacing w:before="0" w:beforeAutospacing="0" w:after="0" w:afterAutospacing="0"/>
              <w:rPr>
                <w:color w:val="000000" w:themeColor="text1"/>
              </w:rPr>
            </w:pPr>
            <w:r w:rsidRPr="00C41FDC">
              <w:rPr>
                <w:color w:val="000000" w:themeColor="text1"/>
              </w:rPr>
              <w:t>95% Confidence Interval</w:t>
            </w:r>
          </w:p>
        </w:tc>
        <w:tc>
          <w:tcPr>
            <w:tcW w:w="1350" w:type="dxa"/>
            <w:tcBorders>
              <w:top w:val="single" w:sz="12" w:space="0" w:color="000000" w:themeColor="text1"/>
              <w:bottom w:val="single" w:sz="12" w:space="0" w:color="000000" w:themeColor="text1"/>
            </w:tcBorders>
          </w:tcPr>
          <w:p w14:paraId="0EC5F820" w14:textId="77777777" w:rsidR="004032AD" w:rsidRPr="00C41FDC" w:rsidRDefault="004032AD" w:rsidP="009D0972">
            <w:pPr>
              <w:pStyle w:val="indent"/>
              <w:spacing w:before="0" w:beforeAutospacing="0" w:after="0" w:afterAutospacing="0"/>
              <w:rPr>
                <w:color w:val="000000" w:themeColor="text1"/>
              </w:rPr>
            </w:pPr>
            <w:r w:rsidRPr="00C41FDC">
              <w:rPr>
                <w:color w:val="000000" w:themeColor="text1"/>
              </w:rPr>
              <w:t>p-value</w:t>
            </w:r>
          </w:p>
        </w:tc>
        <w:tc>
          <w:tcPr>
            <w:tcW w:w="1080" w:type="dxa"/>
            <w:tcBorders>
              <w:top w:val="single" w:sz="12" w:space="0" w:color="000000" w:themeColor="text1"/>
              <w:bottom w:val="single" w:sz="12" w:space="0" w:color="000000" w:themeColor="text1"/>
            </w:tcBorders>
          </w:tcPr>
          <w:p w14:paraId="5BCCA9AE" w14:textId="77777777" w:rsidR="004032AD" w:rsidRPr="00C41FDC" w:rsidRDefault="004032AD" w:rsidP="009D0972">
            <w:pPr>
              <w:pStyle w:val="indent"/>
              <w:spacing w:before="0" w:beforeAutospacing="0" w:after="0" w:afterAutospacing="0"/>
              <w:rPr>
                <w:color w:val="000000" w:themeColor="text1"/>
              </w:rPr>
            </w:pPr>
            <w:r w:rsidRPr="00C41FDC">
              <w:rPr>
                <w:color w:val="000000" w:themeColor="text1"/>
              </w:rPr>
              <w:t>Model C-index</w:t>
            </w:r>
          </w:p>
        </w:tc>
      </w:tr>
      <w:tr w:rsidR="00C41FDC" w:rsidRPr="00C41FDC" w14:paraId="1488A9D8" w14:textId="77777777" w:rsidTr="003E7EE3">
        <w:tc>
          <w:tcPr>
            <w:tcW w:w="1560" w:type="dxa"/>
            <w:tcBorders>
              <w:top w:val="single" w:sz="12" w:space="0" w:color="000000" w:themeColor="text1"/>
            </w:tcBorders>
            <w:vAlign w:val="center"/>
          </w:tcPr>
          <w:p w14:paraId="07A1F72D" w14:textId="2C4A1682" w:rsidR="00E83381" w:rsidRPr="00C41FDC" w:rsidRDefault="00E83381" w:rsidP="00E83381">
            <w:pPr>
              <w:pStyle w:val="indent"/>
              <w:spacing w:before="0" w:beforeAutospacing="0" w:after="0" w:afterAutospacing="0"/>
              <w:rPr>
                <w:color w:val="000000" w:themeColor="text1"/>
              </w:rPr>
            </w:pPr>
            <w:r w:rsidRPr="00C41FDC">
              <w:rPr>
                <w:color w:val="000000" w:themeColor="text1"/>
              </w:rPr>
              <w:t>Derivation</w:t>
            </w:r>
          </w:p>
        </w:tc>
        <w:tc>
          <w:tcPr>
            <w:tcW w:w="2992" w:type="dxa"/>
            <w:tcBorders>
              <w:top w:val="single" w:sz="12" w:space="0" w:color="000000" w:themeColor="text1"/>
            </w:tcBorders>
          </w:tcPr>
          <w:p w14:paraId="6B943164" w14:textId="77777777" w:rsidR="00E83381" w:rsidRPr="00C41FDC" w:rsidRDefault="00E83381" w:rsidP="009D0972">
            <w:pPr>
              <w:pStyle w:val="indent"/>
              <w:spacing w:before="0" w:beforeAutospacing="0" w:after="0" w:afterAutospacing="0"/>
              <w:rPr>
                <w:color w:val="000000" w:themeColor="text1"/>
              </w:rPr>
            </w:pPr>
            <w:r w:rsidRPr="00C41FDC">
              <w:rPr>
                <w:color w:val="000000" w:themeColor="text1"/>
              </w:rPr>
              <w:t>Age (years)</w:t>
            </w:r>
          </w:p>
        </w:tc>
        <w:tc>
          <w:tcPr>
            <w:tcW w:w="1080" w:type="dxa"/>
            <w:tcBorders>
              <w:top w:val="single" w:sz="12" w:space="0" w:color="000000" w:themeColor="text1"/>
            </w:tcBorders>
          </w:tcPr>
          <w:p w14:paraId="2F37C470" w14:textId="2822C731" w:rsidR="00E83381" w:rsidRPr="00C41FDC" w:rsidRDefault="008D2AF9" w:rsidP="009D0972">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97</w:t>
            </w:r>
          </w:p>
        </w:tc>
        <w:tc>
          <w:tcPr>
            <w:tcW w:w="1440" w:type="dxa"/>
            <w:tcBorders>
              <w:top w:val="single" w:sz="12" w:space="0" w:color="000000" w:themeColor="text1"/>
            </w:tcBorders>
          </w:tcPr>
          <w:p w14:paraId="0977C0F3" w14:textId="5251D740" w:rsidR="00E83381" w:rsidRPr="00C41FDC" w:rsidRDefault="008D2AF9" w:rsidP="009D0972">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94, 0</w:t>
            </w:r>
            <w:r w:rsidR="00C323B9" w:rsidRPr="00C41FDC">
              <w:rPr>
                <w:color w:val="000000" w:themeColor="text1"/>
              </w:rPr>
              <w:t>·</w:t>
            </w:r>
            <w:r w:rsidRPr="00C41FDC">
              <w:rPr>
                <w:color w:val="000000" w:themeColor="text1"/>
              </w:rPr>
              <w:t>99</w:t>
            </w:r>
          </w:p>
        </w:tc>
        <w:tc>
          <w:tcPr>
            <w:tcW w:w="1350" w:type="dxa"/>
            <w:tcBorders>
              <w:top w:val="single" w:sz="12" w:space="0" w:color="000000" w:themeColor="text1"/>
            </w:tcBorders>
          </w:tcPr>
          <w:p w14:paraId="5231EFF6" w14:textId="3DFA2007" w:rsidR="00E83381" w:rsidRPr="00C41FDC" w:rsidRDefault="00E83381" w:rsidP="009D0972">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008D2AF9" w:rsidRPr="00C41FDC">
              <w:rPr>
                <w:color w:val="000000" w:themeColor="text1"/>
              </w:rPr>
              <w:t>02</w:t>
            </w:r>
          </w:p>
        </w:tc>
        <w:tc>
          <w:tcPr>
            <w:tcW w:w="1080" w:type="dxa"/>
            <w:tcBorders>
              <w:top w:val="single" w:sz="12" w:space="0" w:color="000000" w:themeColor="text1"/>
            </w:tcBorders>
            <w:vAlign w:val="center"/>
          </w:tcPr>
          <w:p w14:paraId="60CF875B" w14:textId="09A83B79" w:rsidR="00E83381" w:rsidRPr="00C41FDC" w:rsidRDefault="00E83381" w:rsidP="00E83381">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008D2AF9" w:rsidRPr="00C41FDC">
              <w:rPr>
                <w:color w:val="000000" w:themeColor="text1"/>
              </w:rPr>
              <w:t>78</w:t>
            </w:r>
            <w:r w:rsidRPr="00C41FDC">
              <w:rPr>
                <w:color w:val="000000" w:themeColor="text1"/>
              </w:rPr>
              <w:tab/>
            </w:r>
          </w:p>
        </w:tc>
      </w:tr>
      <w:tr w:rsidR="00C41FDC" w:rsidRPr="00C41FDC" w14:paraId="46D04B70" w14:textId="77777777" w:rsidTr="003E7EE3">
        <w:tc>
          <w:tcPr>
            <w:tcW w:w="1560" w:type="dxa"/>
          </w:tcPr>
          <w:p w14:paraId="59E879A4" w14:textId="77777777" w:rsidR="00E83381" w:rsidRPr="00C41FDC" w:rsidRDefault="00E83381" w:rsidP="009D0972">
            <w:pPr>
              <w:pStyle w:val="indent"/>
              <w:spacing w:before="0" w:beforeAutospacing="0" w:after="0" w:afterAutospacing="0"/>
              <w:rPr>
                <w:color w:val="000000" w:themeColor="text1"/>
              </w:rPr>
            </w:pPr>
          </w:p>
        </w:tc>
        <w:tc>
          <w:tcPr>
            <w:tcW w:w="2992" w:type="dxa"/>
          </w:tcPr>
          <w:p w14:paraId="468F6EEE" w14:textId="77777777" w:rsidR="00E83381" w:rsidRPr="00C41FDC" w:rsidRDefault="00E83381" w:rsidP="009D0972">
            <w:pPr>
              <w:pStyle w:val="indent"/>
              <w:spacing w:before="0" w:beforeAutospacing="0" w:after="0" w:afterAutospacing="0"/>
              <w:rPr>
                <w:color w:val="000000" w:themeColor="text1"/>
              </w:rPr>
            </w:pPr>
            <w:r w:rsidRPr="00C41FDC">
              <w:rPr>
                <w:color w:val="000000" w:themeColor="text1"/>
              </w:rPr>
              <w:t>Male gender</w:t>
            </w:r>
          </w:p>
        </w:tc>
        <w:tc>
          <w:tcPr>
            <w:tcW w:w="1080" w:type="dxa"/>
          </w:tcPr>
          <w:p w14:paraId="079F7EF3" w14:textId="61EB9845" w:rsidR="00E83381" w:rsidRPr="00C41FDC" w:rsidRDefault="00C323B9" w:rsidP="009D0972">
            <w:pPr>
              <w:pStyle w:val="indent"/>
              <w:spacing w:before="0" w:beforeAutospacing="0" w:after="0" w:afterAutospacing="0"/>
              <w:rPr>
                <w:color w:val="000000" w:themeColor="text1"/>
              </w:rPr>
            </w:pPr>
            <w:r w:rsidRPr="00C41FDC">
              <w:rPr>
                <w:color w:val="000000" w:themeColor="text1"/>
              </w:rPr>
              <w:t>1·</w:t>
            </w:r>
            <w:r w:rsidR="008D2AF9" w:rsidRPr="00C41FDC">
              <w:rPr>
                <w:color w:val="000000" w:themeColor="text1"/>
              </w:rPr>
              <w:t>18</w:t>
            </w:r>
          </w:p>
        </w:tc>
        <w:tc>
          <w:tcPr>
            <w:tcW w:w="1440" w:type="dxa"/>
          </w:tcPr>
          <w:p w14:paraId="0CD5E5A1" w14:textId="4C0DC44B" w:rsidR="00E83381" w:rsidRPr="00C41FDC" w:rsidRDefault="008D2AF9" w:rsidP="009D0972">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53, 2</w:t>
            </w:r>
            <w:r w:rsidR="00C323B9" w:rsidRPr="00C41FDC">
              <w:rPr>
                <w:color w:val="000000" w:themeColor="text1"/>
              </w:rPr>
              <w:t>·</w:t>
            </w:r>
            <w:r w:rsidRPr="00C41FDC">
              <w:rPr>
                <w:color w:val="000000" w:themeColor="text1"/>
              </w:rPr>
              <w:t>63</w:t>
            </w:r>
          </w:p>
        </w:tc>
        <w:tc>
          <w:tcPr>
            <w:tcW w:w="1350" w:type="dxa"/>
          </w:tcPr>
          <w:p w14:paraId="04D7118E" w14:textId="36319545" w:rsidR="00E83381" w:rsidRPr="00C41FDC" w:rsidRDefault="00E83381" w:rsidP="009D0972">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008D2AF9" w:rsidRPr="00C41FDC">
              <w:rPr>
                <w:color w:val="000000" w:themeColor="text1"/>
              </w:rPr>
              <w:t>69</w:t>
            </w:r>
          </w:p>
        </w:tc>
        <w:tc>
          <w:tcPr>
            <w:tcW w:w="1080" w:type="dxa"/>
          </w:tcPr>
          <w:p w14:paraId="49C933AD" w14:textId="08184C5A" w:rsidR="00E83381" w:rsidRPr="00C41FDC" w:rsidRDefault="00E83381" w:rsidP="009D0972">
            <w:pPr>
              <w:pStyle w:val="indent"/>
              <w:spacing w:before="0" w:after="0"/>
              <w:rPr>
                <w:color w:val="000000" w:themeColor="text1"/>
              </w:rPr>
            </w:pPr>
          </w:p>
        </w:tc>
      </w:tr>
      <w:tr w:rsidR="00C41FDC" w:rsidRPr="00C41FDC" w14:paraId="2D299927" w14:textId="77777777" w:rsidTr="003E7EE3">
        <w:tc>
          <w:tcPr>
            <w:tcW w:w="1560" w:type="dxa"/>
          </w:tcPr>
          <w:p w14:paraId="3FEAEE7D" w14:textId="77777777" w:rsidR="00E83381" w:rsidRPr="00C41FDC" w:rsidRDefault="00E83381" w:rsidP="009D0972">
            <w:pPr>
              <w:pStyle w:val="indent"/>
              <w:spacing w:before="0" w:beforeAutospacing="0" w:after="0" w:afterAutospacing="0"/>
              <w:rPr>
                <w:color w:val="000000" w:themeColor="text1"/>
              </w:rPr>
            </w:pPr>
          </w:p>
        </w:tc>
        <w:tc>
          <w:tcPr>
            <w:tcW w:w="2992" w:type="dxa"/>
          </w:tcPr>
          <w:p w14:paraId="32CC1358" w14:textId="77777777" w:rsidR="00E83381" w:rsidRPr="00C41FDC" w:rsidRDefault="00E83381" w:rsidP="009D0972">
            <w:pPr>
              <w:pStyle w:val="indent"/>
              <w:spacing w:before="0" w:beforeAutospacing="0" w:after="0" w:afterAutospacing="0"/>
              <w:rPr>
                <w:color w:val="000000" w:themeColor="text1"/>
              </w:rPr>
            </w:pPr>
            <w:r w:rsidRPr="00C41FDC">
              <w:rPr>
                <w:color w:val="000000" w:themeColor="text1"/>
              </w:rPr>
              <w:t>Ever smoker</w:t>
            </w:r>
          </w:p>
        </w:tc>
        <w:tc>
          <w:tcPr>
            <w:tcW w:w="1080" w:type="dxa"/>
          </w:tcPr>
          <w:p w14:paraId="5A0ED9F4" w14:textId="378858FF" w:rsidR="00E83381" w:rsidRPr="00C41FDC" w:rsidRDefault="008D2AF9" w:rsidP="009D0972">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99</w:t>
            </w:r>
          </w:p>
        </w:tc>
        <w:tc>
          <w:tcPr>
            <w:tcW w:w="1440" w:type="dxa"/>
          </w:tcPr>
          <w:p w14:paraId="06CC4E52" w14:textId="7A7034BE" w:rsidR="00E83381" w:rsidRPr="00C41FDC" w:rsidRDefault="008D2AF9" w:rsidP="009D0972">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 xml:space="preserve">51, </w:t>
            </w:r>
            <w:r w:rsidR="00C323B9" w:rsidRPr="00C41FDC">
              <w:rPr>
                <w:color w:val="000000" w:themeColor="text1"/>
              </w:rPr>
              <w:t>1·</w:t>
            </w:r>
            <w:r w:rsidRPr="00C41FDC">
              <w:rPr>
                <w:color w:val="000000" w:themeColor="text1"/>
              </w:rPr>
              <w:t>92</w:t>
            </w:r>
          </w:p>
        </w:tc>
        <w:tc>
          <w:tcPr>
            <w:tcW w:w="1350" w:type="dxa"/>
          </w:tcPr>
          <w:p w14:paraId="66E549BF" w14:textId="63184894" w:rsidR="00E83381" w:rsidRPr="00C41FDC" w:rsidRDefault="00E83381" w:rsidP="009D0972">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008D2AF9" w:rsidRPr="00C41FDC">
              <w:rPr>
                <w:color w:val="000000" w:themeColor="text1"/>
              </w:rPr>
              <w:t>97</w:t>
            </w:r>
          </w:p>
        </w:tc>
        <w:tc>
          <w:tcPr>
            <w:tcW w:w="1080" w:type="dxa"/>
          </w:tcPr>
          <w:p w14:paraId="054B19CE" w14:textId="69662D05" w:rsidR="00E83381" w:rsidRPr="00C41FDC" w:rsidRDefault="00E83381" w:rsidP="009D0972">
            <w:pPr>
              <w:pStyle w:val="indent"/>
              <w:spacing w:before="0" w:after="0"/>
              <w:rPr>
                <w:color w:val="000000" w:themeColor="text1"/>
              </w:rPr>
            </w:pPr>
          </w:p>
        </w:tc>
      </w:tr>
      <w:tr w:rsidR="00C41FDC" w:rsidRPr="00C41FDC" w14:paraId="52F9A027" w14:textId="77777777" w:rsidTr="003E7EE3">
        <w:tc>
          <w:tcPr>
            <w:tcW w:w="1560" w:type="dxa"/>
          </w:tcPr>
          <w:p w14:paraId="2FE5322E" w14:textId="77777777" w:rsidR="00E83381" w:rsidRPr="00C41FDC" w:rsidRDefault="00E83381" w:rsidP="009D0972">
            <w:pPr>
              <w:pStyle w:val="indent"/>
              <w:spacing w:before="0" w:beforeAutospacing="0" w:after="0" w:afterAutospacing="0"/>
              <w:rPr>
                <w:color w:val="000000" w:themeColor="text1"/>
              </w:rPr>
            </w:pPr>
          </w:p>
        </w:tc>
        <w:tc>
          <w:tcPr>
            <w:tcW w:w="2992" w:type="dxa"/>
          </w:tcPr>
          <w:p w14:paraId="06C2CD5B" w14:textId="7977C50D" w:rsidR="00E83381" w:rsidRPr="00C41FDC" w:rsidRDefault="00E83381" w:rsidP="009D0972">
            <w:pPr>
              <w:pStyle w:val="indent"/>
              <w:spacing w:before="0" w:beforeAutospacing="0" w:after="0" w:afterAutospacing="0"/>
              <w:rPr>
                <w:color w:val="000000" w:themeColor="text1"/>
              </w:rPr>
            </w:pPr>
            <w:r w:rsidRPr="00C41FDC">
              <w:rPr>
                <w:color w:val="000000" w:themeColor="text1"/>
              </w:rPr>
              <w:t>AF treatment (never/ever)</w:t>
            </w:r>
          </w:p>
        </w:tc>
        <w:tc>
          <w:tcPr>
            <w:tcW w:w="1080" w:type="dxa"/>
          </w:tcPr>
          <w:p w14:paraId="7A4CC9D6" w14:textId="228C8085" w:rsidR="00E83381" w:rsidRPr="00C41FDC" w:rsidRDefault="008D2AF9" w:rsidP="009D0972">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51</w:t>
            </w:r>
          </w:p>
        </w:tc>
        <w:tc>
          <w:tcPr>
            <w:tcW w:w="1440" w:type="dxa"/>
          </w:tcPr>
          <w:p w14:paraId="6EE81645" w14:textId="25892E51" w:rsidR="00E83381" w:rsidRPr="00C41FDC" w:rsidRDefault="008D2AF9" w:rsidP="009D0972">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28, 0</w:t>
            </w:r>
            <w:r w:rsidR="00C323B9" w:rsidRPr="00C41FDC">
              <w:rPr>
                <w:color w:val="000000" w:themeColor="text1"/>
              </w:rPr>
              <w:t>·</w:t>
            </w:r>
            <w:r w:rsidRPr="00C41FDC">
              <w:rPr>
                <w:color w:val="000000" w:themeColor="text1"/>
              </w:rPr>
              <w:t>95</w:t>
            </w:r>
          </w:p>
        </w:tc>
        <w:tc>
          <w:tcPr>
            <w:tcW w:w="1350" w:type="dxa"/>
          </w:tcPr>
          <w:p w14:paraId="58AB34E6" w14:textId="37B2286A" w:rsidR="00E83381" w:rsidRPr="00C41FDC" w:rsidRDefault="00E83381" w:rsidP="009D0972">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0</w:t>
            </w:r>
            <w:r w:rsidR="008D2AF9" w:rsidRPr="00C41FDC">
              <w:rPr>
                <w:color w:val="000000" w:themeColor="text1"/>
              </w:rPr>
              <w:t>3</w:t>
            </w:r>
          </w:p>
        </w:tc>
        <w:tc>
          <w:tcPr>
            <w:tcW w:w="1080" w:type="dxa"/>
          </w:tcPr>
          <w:p w14:paraId="3B1941AF" w14:textId="50C6CE70" w:rsidR="00E83381" w:rsidRPr="00C41FDC" w:rsidRDefault="00E83381" w:rsidP="009D0972">
            <w:pPr>
              <w:pStyle w:val="indent"/>
              <w:spacing w:before="0" w:after="0"/>
              <w:rPr>
                <w:color w:val="000000" w:themeColor="text1"/>
              </w:rPr>
            </w:pPr>
          </w:p>
        </w:tc>
      </w:tr>
      <w:tr w:rsidR="00C41FDC" w:rsidRPr="00C41FDC" w14:paraId="4492C7CA" w14:textId="77777777" w:rsidTr="003E7EE3">
        <w:tc>
          <w:tcPr>
            <w:tcW w:w="1560" w:type="dxa"/>
          </w:tcPr>
          <w:p w14:paraId="4D81E03E" w14:textId="77777777" w:rsidR="00E83381" w:rsidRPr="00C41FDC" w:rsidRDefault="00E83381" w:rsidP="009D0972">
            <w:pPr>
              <w:pStyle w:val="indent"/>
              <w:spacing w:before="0" w:beforeAutospacing="0" w:after="0" w:afterAutospacing="0"/>
              <w:rPr>
                <w:color w:val="000000" w:themeColor="text1"/>
              </w:rPr>
            </w:pPr>
          </w:p>
        </w:tc>
        <w:tc>
          <w:tcPr>
            <w:tcW w:w="2992" w:type="dxa"/>
          </w:tcPr>
          <w:p w14:paraId="0A848FD4" w14:textId="5F052D0F" w:rsidR="00E83381" w:rsidRPr="00C41FDC" w:rsidRDefault="00E83381" w:rsidP="009D0972">
            <w:pPr>
              <w:pStyle w:val="indent"/>
              <w:spacing w:before="0" w:beforeAutospacing="0" w:after="0" w:afterAutospacing="0"/>
              <w:rPr>
                <w:color w:val="000000" w:themeColor="text1"/>
              </w:rPr>
            </w:pPr>
            <w:r w:rsidRPr="00C41FDC">
              <w:rPr>
                <w:color w:val="000000" w:themeColor="text1"/>
              </w:rPr>
              <w:t xml:space="preserve">DLco </w:t>
            </w:r>
          </w:p>
        </w:tc>
        <w:tc>
          <w:tcPr>
            <w:tcW w:w="1080" w:type="dxa"/>
          </w:tcPr>
          <w:p w14:paraId="1A8E81AC" w14:textId="5188AB43" w:rsidR="00E83381" w:rsidRPr="00C41FDC" w:rsidRDefault="00E83381" w:rsidP="009D0972">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96</w:t>
            </w:r>
          </w:p>
        </w:tc>
        <w:tc>
          <w:tcPr>
            <w:tcW w:w="1440" w:type="dxa"/>
          </w:tcPr>
          <w:p w14:paraId="68116C2A" w14:textId="4888D771" w:rsidR="00E83381" w:rsidRPr="00C41FDC" w:rsidRDefault="00E83381" w:rsidP="009D0972">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9</w:t>
            </w:r>
            <w:r w:rsidR="008D2AF9" w:rsidRPr="00C41FDC">
              <w:rPr>
                <w:color w:val="000000" w:themeColor="text1"/>
              </w:rPr>
              <w:t>4</w:t>
            </w:r>
            <w:r w:rsidRPr="00C41FDC">
              <w:rPr>
                <w:color w:val="000000" w:themeColor="text1"/>
              </w:rPr>
              <w:t>, 0</w:t>
            </w:r>
            <w:r w:rsidR="00C323B9" w:rsidRPr="00C41FDC">
              <w:rPr>
                <w:color w:val="000000" w:themeColor="text1"/>
              </w:rPr>
              <w:t>·</w:t>
            </w:r>
            <w:r w:rsidRPr="00C41FDC">
              <w:rPr>
                <w:color w:val="000000" w:themeColor="text1"/>
              </w:rPr>
              <w:t>98</w:t>
            </w:r>
          </w:p>
        </w:tc>
        <w:tc>
          <w:tcPr>
            <w:tcW w:w="1350" w:type="dxa"/>
          </w:tcPr>
          <w:p w14:paraId="7F6F6870" w14:textId="44ED8737" w:rsidR="00E83381" w:rsidRPr="00C41FDC" w:rsidRDefault="00E83381" w:rsidP="009D0972">
            <w:pPr>
              <w:pStyle w:val="indent"/>
              <w:spacing w:before="0" w:beforeAutospacing="0" w:after="0" w:afterAutospacing="0"/>
              <w:rPr>
                <w:color w:val="000000" w:themeColor="text1"/>
              </w:rPr>
            </w:pPr>
            <w:r w:rsidRPr="00C41FDC">
              <w:rPr>
                <w:color w:val="000000" w:themeColor="text1"/>
              </w:rPr>
              <w:t>&lt; 0</w:t>
            </w:r>
            <w:r w:rsidR="00C323B9" w:rsidRPr="00C41FDC">
              <w:rPr>
                <w:color w:val="000000" w:themeColor="text1"/>
              </w:rPr>
              <w:t>·</w:t>
            </w:r>
            <w:r w:rsidRPr="00C41FDC">
              <w:rPr>
                <w:color w:val="000000" w:themeColor="text1"/>
              </w:rPr>
              <w:t>0001</w:t>
            </w:r>
          </w:p>
        </w:tc>
        <w:tc>
          <w:tcPr>
            <w:tcW w:w="1080" w:type="dxa"/>
          </w:tcPr>
          <w:p w14:paraId="70068114" w14:textId="1A66E910" w:rsidR="00E83381" w:rsidRPr="00C41FDC" w:rsidRDefault="00E83381" w:rsidP="009D0972">
            <w:pPr>
              <w:pStyle w:val="indent"/>
              <w:spacing w:before="0" w:beforeAutospacing="0" w:after="0" w:afterAutospacing="0"/>
              <w:rPr>
                <w:color w:val="000000" w:themeColor="text1"/>
              </w:rPr>
            </w:pPr>
          </w:p>
        </w:tc>
      </w:tr>
      <w:tr w:rsidR="00C41FDC" w:rsidRPr="00C41FDC" w14:paraId="4836442F" w14:textId="77777777" w:rsidTr="003E7EE3">
        <w:tc>
          <w:tcPr>
            <w:tcW w:w="1560" w:type="dxa"/>
          </w:tcPr>
          <w:p w14:paraId="2D12586F" w14:textId="77777777" w:rsidR="00E83381" w:rsidRPr="00C41FDC" w:rsidRDefault="00E83381" w:rsidP="009D0972">
            <w:pPr>
              <w:pStyle w:val="indent"/>
              <w:spacing w:before="0" w:beforeAutospacing="0" w:after="0" w:afterAutospacing="0"/>
              <w:rPr>
                <w:color w:val="000000" w:themeColor="text1"/>
              </w:rPr>
            </w:pPr>
          </w:p>
        </w:tc>
        <w:tc>
          <w:tcPr>
            <w:tcW w:w="2992" w:type="dxa"/>
          </w:tcPr>
          <w:p w14:paraId="33D76182" w14:textId="714FC56C" w:rsidR="00E83381" w:rsidRPr="00C41FDC" w:rsidRDefault="00E83381" w:rsidP="009D0972">
            <w:pPr>
              <w:pStyle w:val="indent"/>
              <w:spacing w:before="0" w:beforeAutospacing="0" w:after="0" w:afterAutospacing="0"/>
              <w:rPr>
                <w:color w:val="000000" w:themeColor="text1"/>
              </w:rPr>
            </w:pPr>
            <w:r w:rsidRPr="00C41FDC">
              <w:rPr>
                <w:color w:val="000000" w:themeColor="text1"/>
              </w:rPr>
              <w:t>vPPFE (moderate vs absent)</w:t>
            </w:r>
          </w:p>
        </w:tc>
        <w:tc>
          <w:tcPr>
            <w:tcW w:w="1080" w:type="dxa"/>
          </w:tcPr>
          <w:p w14:paraId="68C48121" w14:textId="462A9251" w:rsidR="00E83381" w:rsidRPr="00C41FDC" w:rsidRDefault="00E83381" w:rsidP="009D0972">
            <w:pPr>
              <w:pStyle w:val="indent"/>
              <w:spacing w:before="0" w:beforeAutospacing="0" w:after="0" w:afterAutospacing="0"/>
              <w:rPr>
                <w:color w:val="000000" w:themeColor="text1"/>
              </w:rPr>
            </w:pPr>
            <w:r w:rsidRPr="00C41FDC">
              <w:rPr>
                <w:color w:val="000000" w:themeColor="text1"/>
              </w:rPr>
              <w:t>2</w:t>
            </w:r>
            <w:r w:rsidR="00C323B9" w:rsidRPr="00C41FDC">
              <w:rPr>
                <w:color w:val="000000" w:themeColor="text1"/>
              </w:rPr>
              <w:t>·</w:t>
            </w:r>
            <w:r w:rsidR="008D2AF9" w:rsidRPr="00C41FDC">
              <w:rPr>
                <w:color w:val="000000" w:themeColor="text1"/>
              </w:rPr>
              <w:t>44</w:t>
            </w:r>
          </w:p>
        </w:tc>
        <w:tc>
          <w:tcPr>
            <w:tcW w:w="1440" w:type="dxa"/>
          </w:tcPr>
          <w:p w14:paraId="559AC513" w14:textId="1B6E3332" w:rsidR="00E83381" w:rsidRPr="00C41FDC" w:rsidRDefault="00C323B9" w:rsidP="009D0972">
            <w:pPr>
              <w:pStyle w:val="indent"/>
              <w:spacing w:before="0" w:beforeAutospacing="0" w:after="0" w:afterAutospacing="0"/>
              <w:rPr>
                <w:color w:val="000000" w:themeColor="text1"/>
              </w:rPr>
            </w:pPr>
            <w:r w:rsidRPr="00C41FDC">
              <w:rPr>
                <w:color w:val="000000" w:themeColor="text1"/>
              </w:rPr>
              <w:t>1·</w:t>
            </w:r>
            <w:r w:rsidR="00E83381" w:rsidRPr="00C41FDC">
              <w:rPr>
                <w:color w:val="000000" w:themeColor="text1"/>
              </w:rPr>
              <w:t>4</w:t>
            </w:r>
            <w:r w:rsidR="008D2AF9" w:rsidRPr="00C41FDC">
              <w:rPr>
                <w:color w:val="000000" w:themeColor="text1"/>
              </w:rPr>
              <w:t>2</w:t>
            </w:r>
            <w:r w:rsidR="00E83381" w:rsidRPr="00C41FDC">
              <w:rPr>
                <w:color w:val="000000" w:themeColor="text1"/>
              </w:rPr>
              <w:t>, 4</w:t>
            </w:r>
            <w:r w:rsidRPr="00C41FDC">
              <w:rPr>
                <w:color w:val="000000" w:themeColor="text1"/>
              </w:rPr>
              <w:t>·</w:t>
            </w:r>
            <w:r w:rsidR="008D2AF9" w:rsidRPr="00C41FDC">
              <w:rPr>
                <w:color w:val="000000" w:themeColor="text1"/>
              </w:rPr>
              <w:t>21</w:t>
            </w:r>
          </w:p>
        </w:tc>
        <w:tc>
          <w:tcPr>
            <w:tcW w:w="1350" w:type="dxa"/>
          </w:tcPr>
          <w:p w14:paraId="2D874DEF" w14:textId="67A866CD" w:rsidR="00E83381" w:rsidRPr="00C41FDC" w:rsidRDefault="00E83381" w:rsidP="009D0972">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00</w:t>
            </w:r>
            <w:r w:rsidR="008D2AF9" w:rsidRPr="00C41FDC">
              <w:rPr>
                <w:color w:val="000000" w:themeColor="text1"/>
              </w:rPr>
              <w:t>1</w:t>
            </w:r>
          </w:p>
        </w:tc>
        <w:tc>
          <w:tcPr>
            <w:tcW w:w="1080" w:type="dxa"/>
          </w:tcPr>
          <w:p w14:paraId="3AC5901C" w14:textId="3D4E8EE8" w:rsidR="00E83381" w:rsidRPr="00C41FDC" w:rsidRDefault="00E83381" w:rsidP="009D0972">
            <w:pPr>
              <w:pStyle w:val="indent"/>
              <w:spacing w:before="0" w:beforeAutospacing="0" w:after="0" w:afterAutospacing="0"/>
              <w:rPr>
                <w:color w:val="000000" w:themeColor="text1"/>
              </w:rPr>
            </w:pPr>
          </w:p>
        </w:tc>
      </w:tr>
      <w:tr w:rsidR="00C41FDC" w:rsidRPr="00C41FDC" w14:paraId="4BD1F01A" w14:textId="77777777" w:rsidTr="003E7EE3">
        <w:tc>
          <w:tcPr>
            <w:tcW w:w="1560" w:type="dxa"/>
            <w:tcBorders>
              <w:bottom w:val="single" w:sz="12" w:space="0" w:color="000000" w:themeColor="text1"/>
            </w:tcBorders>
          </w:tcPr>
          <w:p w14:paraId="64E299E3" w14:textId="77777777" w:rsidR="00E83381" w:rsidRPr="00C41FDC" w:rsidRDefault="00E83381" w:rsidP="009D0972">
            <w:pPr>
              <w:pStyle w:val="indent"/>
              <w:spacing w:before="0" w:beforeAutospacing="0" w:after="0" w:afterAutospacing="0"/>
              <w:rPr>
                <w:color w:val="000000" w:themeColor="text1"/>
              </w:rPr>
            </w:pPr>
          </w:p>
        </w:tc>
        <w:tc>
          <w:tcPr>
            <w:tcW w:w="2992" w:type="dxa"/>
            <w:tcBorders>
              <w:bottom w:val="single" w:sz="12" w:space="0" w:color="000000" w:themeColor="text1"/>
            </w:tcBorders>
          </w:tcPr>
          <w:p w14:paraId="643678FF" w14:textId="1E68B598" w:rsidR="00E83381" w:rsidRPr="00C41FDC" w:rsidRDefault="00E83381" w:rsidP="009D0972">
            <w:pPr>
              <w:pStyle w:val="indent"/>
              <w:spacing w:before="0" w:beforeAutospacing="0" w:after="0" w:afterAutospacing="0"/>
              <w:rPr>
                <w:color w:val="000000" w:themeColor="text1"/>
              </w:rPr>
            </w:pPr>
            <w:r w:rsidRPr="00C41FDC">
              <w:rPr>
                <w:color w:val="000000" w:themeColor="text1"/>
              </w:rPr>
              <w:t>vPPFE (marked vs absent)</w:t>
            </w:r>
          </w:p>
        </w:tc>
        <w:tc>
          <w:tcPr>
            <w:tcW w:w="1080" w:type="dxa"/>
            <w:tcBorders>
              <w:bottom w:val="single" w:sz="12" w:space="0" w:color="000000" w:themeColor="text1"/>
            </w:tcBorders>
          </w:tcPr>
          <w:p w14:paraId="18CCBF2F" w14:textId="4685BC0A" w:rsidR="00E83381" w:rsidRPr="00C41FDC" w:rsidRDefault="008D2AF9" w:rsidP="009D0972">
            <w:pPr>
              <w:pStyle w:val="indent"/>
              <w:spacing w:before="0" w:beforeAutospacing="0" w:after="0" w:afterAutospacing="0"/>
              <w:rPr>
                <w:color w:val="000000" w:themeColor="text1"/>
              </w:rPr>
            </w:pPr>
            <w:r w:rsidRPr="00C41FDC">
              <w:rPr>
                <w:color w:val="000000" w:themeColor="text1"/>
              </w:rPr>
              <w:t>4</w:t>
            </w:r>
            <w:r w:rsidR="00C323B9" w:rsidRPr="00C41FDC">
              <w:rPr>
                <w:color w:val="000000" w:themeColor="text1"/>
              </w:rPr>
              <w:t>·</w:t>
            </w:r>
            <w:r w:rsidRPr="00C41FDC">
              <w:rPr>
                <w:color w:val="000000" w:themeColor="text1"/>
              </w:rPr>
              <w:t>90</w:t>
            </w:r>
          </w:p>
        </w:tc>
        <w:tc>
          <w:tcPr>
            <w:tcW w:w="1440" w:type="dxa"/>
            <w:tcBorders>
              <w:bottom w:val="single" w:sz="12" w:space="0" w:color="000000" w:themeColor="text1"/>
            </w:tcBorders>
          </w:tcPr>
          <w:p w14:paraId="01CF1ACF" w14:textId="136D9278" w:rsidR="00E83381" w:rsidRPr="00C41FDC" w:rsidRDefault="008D2AF9" w:rsidP="009D0972">
            <w:pPr>
              <w:pStyle w:val="indent"/>
              <w:spacing w:before="0" w:beforeAutospacing="0" w:after="0" w:afterAutospacing="0"/>
              <w:rPr>
                <w:color w:val="000000" w:themeColor="text1"/>
              </w:rPr>
            </w:pPr>
            <w:r w:rsidRPr="00C41FDC">
              <w:rPr>
                <w:color w:val="000000" w:themeColor="text1"/>
              </w:rPr>
              <w:t>2</w:t>
            </w:r>
            <w:r w:rsidR="00C323B9" w:rsidRPr="00C41FDC">
              <w:rPr>
                <w:color w:val="000000" w:themeColor="text1"/>
              </w:rPr>
              <w:t>·</w:t>
            </w:r>
            <w:r w:rsidRPr="00C41FDC">
              <w:rPr>
                <w:color w:val="000000" w:themeColor="text1"/>
              </w:rPr>
              <w:t>33</w:t>
            </w:r>
            <w:r w:rsidR="00E83381" w:rsidRPr="00C41FDC">
              <w:rPr>
                <w:color w:val="000000" w:themeColor="text1"/>
              </w:rPr>
              <w:t>, 1</w:t>
            </w:r>
            <w:r w:rsidRPr="00C41FDC">
              <w:rPr>
                <w:color w:val="000000" w:themeColor="text1"/>
              </w:rPr>
              <w:t>0</w:t>
            </w:r>
            <w:r w:rsidR="00C323B9" w:rsidRPr="00C41FDC">
              <w:rPr>
                <w:color w:val="000000" w:themeColor="text1"/>
              </w:rPr>
              <w:t>·</w:t>
            </w:r>
            <w:r w:rsidRPr="00C41FDC">
              <w:rPr>
                <w:color w:val="000000" w:themeColor="text1"/>
              </w:rPr>
              <w:t>3</w:t>
            </w:r>
          </w:p>
        </w:tc>
        <w:tc>
          <w:tcPr>
            <w:tcW w:w="1350" w:type="dxa"/>
            <w:tcBorders>
              <w:bottom w:val="single" w:sz="12" w:space="0" w:color="000000" w:themeColor="text1"/>
            </w:tcBorders>
          </w:tcPr>
          <w:p w14:paraId="01443B8A" w14:textId="19E937B8" w:rsidR="00E83381" w:rsidRPr="00C41FDC" w:rsidRDefault="00E83381" w:rsidP="009D0972">
            <w:pPr>
              <w:pStyle w:val="indent"/>
              <w:spacing w:before="0" w:beforeAutospacing="0" w:after="0" w:afterAutospacing="0"/>
              <w:rPr>
                <w:color w:val="000000" w:themeColor="text1"/>
              </w:rPr>
            </w:pPr>
            <w:r w:rsidRPr="00C41FDC">
              <w:rPr>
                <w:color w:val="000000" w:themeColor="text1"/>
              </w:rPr>
              <w:t>&lt; 0</w:t>
            </w:r>
            <w:r w:rsidR="00C323B9" w:rsidRPr="00C41FDC">
              <w:rPr>
                <w:color w:val="000000" w:themeColor="text1"/>
              </w:rPr>
              <w:t>·</w:t>
            </w:r>
            <w:r w:rsidRPr="00C41FDC">
              <w:rPr>
                <w:color w:val="000000" w:themeColor="text1"/>
              </w:rPr>
              <w:t>0001</w:t>
            </w:r>
          </w:p>
        </w:tc>
        <w:tc>
          <w:tcPr>
            <w:tcW w:w="1080" w:type="dxa"/>
            <w:tcBorders>
              <w:bottom w:val="single" w:sz="12" w:space="0" w:color="000000" w:themeColor="text1"/>
            </w:tcBorders>
          </w:tcPr>
          <w:p w14:paraId="31ACC36D" w14:textId="1C010B7A" w:rsidR="00E83381" w:rsidRPr="00C41FDC" w:rsidRDefault="00E83381" w:rsidP="009D0972">
            <w:pPr>
              <w:pStyle w:val="indent"/>
              <w:spacing w:before="0" w:beforeAutospacing="0" w:after="0" w:afterAutospacing="0"/>
              <w:rPr>
                <w:color w:val="000000" w:themeColor="text1"/>
              </w:rPr>
            </w:pPr>
          </w:p>
        </w:tc>
      </w:tr>
      <w:tr w:rsidR="00C41FDC" w:rsidRPr="00C41FDC" w14:paraId="50D77CB6" w14:textId="77777777" w:rsidTr="003E7EE3">
        <w:tc>
          <w:tcPr>
            <w:tcW w:w="1560" w:type="dxa"/>
            <w:tcBorders>
              <w:top w:val="single" w:sz="12" w:space="0" w:color="000000" w:themeColor="text1"/>
            </w:tcBorders>
            <w:vAlign w:val="center"/>
          </w:tcPr>
          <w:p w14:paraId="4FF4F564" w14:textId="77777777" w:rsidR="00E83381" w:rsidRPr="00C41FDC" w:rsidRDefault="00E83381" w:rsidP="00E83381">
            <w:pPr>
              <w:pStyle w:val="indent"/>
              <w:spacing w:before="0" w:beforeAutospacing="0" w:after="0" w:afterAutospacing="0"/>
              <w:rPr>
                <w:color w:val="000000" w:themeColor="text1"/>
              </w:rPr>
            </w:pPr>
            <w:r w:rsidRPr="00C41FDC">
              <w:rPr>
                <w:color w:val="000000" w:themeColor="text1"/>
              </w:rPr>
              <w:t>Validation</w:t>
            </w:r>
          </w:p>
        </w:tc>
        <w:tc>
          <w:tcPr>
            <w:tcW w:w="2992" w:type="dxa"/>
            <w:tcBorders>
              <w:top w:val="single" w:sz="12" w:space="0" w:color="000000" w:themeColor="text1"/>
            </w:tcBorders>
          </w:tcPr>
          <w:p w14:paraId="0376DAB1" w14:textId="77777777" w:rsidR="00E83381" w:rsidRPr="00C41FDC" w:rsidRDefault="00E83381" w:rsidP="009D0972">
            <w:pPr>
              <w:pStyle w:val="indent"/>
              <w:spacing w:before="0" w:beforeAutospacing="0" w:after="0" w:afterAutospacing="0"/>
              <w:rPr>
                <w:color w:val="000000" w:themeColor="text1"/>
              </w:rPr>
            </w:pPr>
            <w:r w:rsidRPr="00C41FDC">
              <w:rPr>
                <w:color w:val="000000" w:themeColor="text1"/>
              </w:rPr>
              <w:t>Age (years)</w:t>
            </w:r>
          </w:p>
        </w:tc>
        <w:tc>
          <w:tcPr>
            <w:tcW w:w="1080" w:type="dxa"/>
            <w:tcBorders>
              <w:top w:val="single" w:sz="12" w:space="0" w:color="000000" w:themeColor="text1"/>
            </w:tcBorders>
          </w:tcPr>
          <w:p w14:paraId="01B07838" w14:textId="02CCED58" w:rsidR="00E83381" w:rsidRPr="00C41FDC" w:rsidRDefault="00E83381" w:rsidP="009D0972">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99</w:t>
            </w:r>
          </w:p>
        </w:tc>
        <w:tc>
          <w:tcPr>
            <w:tcW w:w="1440" w:type="dxa"/>
            <w:tcBorders>
              <w:top w:val="single" w:sz="12" w:space="0" w:color="000000" w:themeColor="text1"/>
            </w:tcBorders>
          </w:tcPr>
          <w:p w14:paraId="6A00AD7F" w14:textId="1AA683A5" w:rsidR="00E83381" w:rsidRPr="00C41FDC" w:rsidRDefault="00E83381" w:rsidP="009D0972">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 xml:space="preserve">97, </w:t>
            </w:r>
            <w:r w:rsidR="00C323B9" w:rsidRPr="00C41FDC">
              <w:rPr>
                <w:color w:val="000000" w:themeColor="text1"/>
              </w:rPr>
              <w:t>1·</w:t>
            </w:r>
            <w:r w:rsidRPr="00C41FDC">
              <w:rPr>
                <w:color w:val="000000" w:themeColor="text1"/>
              </w:rPr>
              <w:t>02</w:t>
            </w:r>
          </w:p>
        </w:tc>
        <w:tc>
          <w:tcPr>
            <w:tcW w:w="1350" w:type="dxa"/>
            <w:tcBorders>
              <w:top w:val="single" w:sz="12" w:space="0" w:color="000000" w:themeColor="text1"/>
            </w:tcBorders>
          </w:tcPr>
          <w:p w14:paraId="370CC0F9" w14:textId="20483C33" w:rsidR="00E83381" w:rsidRPr="00C41FDC" w:rsidRDefault="00E83381" w:rsidP="009D0972">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67</w:t>
            </w:r>
          </w:p>
        </w:tc>
        <w:tc>
          <w:tcPr>
            <w:tcW w:w="1080" w:type="dxa"/>
            <w:tcBorders>
              <w:top w:val="single" w:sz="12" w:space="0" w:color="000000" w:themeColor="text1"/>
            </w:tcBorders>
            <w:vAlign w:val="center"/>
          </w:tcPr>
          <w:p w14:paraId="7F53E725" w14:textId="672C6B7B" w:rsidR="00E83381" w:rsidRPr="00C41FDC" w:rsidRDefault="00E83381" w:rsidP="00E83381">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72</w:t>
            </w:r>
          </w:p>
        </w:tc>
      </w:tr>
      <w:tr w:rsidR="00C41FDC" w:rsidRPr="00C41FDC" w14:paraId="05F13974" w14:textId="77777777" w:rsidTr="003E7EE3">
        <w:tc>
          <w:tcPr>
            <w:tcW w:w="1560" w:type="dxa"/>
          </w:tcPr>
          <w:p w14:paraId="75D83F23" w14:textId="77777777" w:rsidR="00E83381" w:rsidRPr="00C41FDC" w:rsidRDefault="00E83381" w:rsidP="009D0972">
            <w:pPr>
              <w:pStyle w:val="indent"/>
              <w:spacing w:before="0" w:beforeAutospacing="0" w:after="0" w:afterAutospacing="0"/>
              <w:rPr>
                <w:color w:val="000000" w:themeColor="text1"/>
              </w:rPr>
            </w:pPr>
          </w:p>
        </w:tc>
        <w:tc>
          <w:tcPr>
            <w:tcW w:w="2992" w:type="dxa"/>
          </w:tcPr>
          <w:p w14:paraId="03FB0693" w14:textId="77777777" w:rsidR="00E83381" w:rsidRPr="00C41FDC" w:rsidRDefault="00E83381" w:rsidP="009D0972">
            <w:pPr>
              <w:pStyle w:val="indent"/>
              <w:spacing w:before="0" w:beforeAutospacing="0" w:after="0" w:afterAutospacing="0"/>
              <w:rPr>
                <w:color w:val="000000" w:themeColor="text1"/>
              </w:rPr>
            </w:pPr>
            <w:r w:rsidRPr="00C41FDC">
              <w:rPr>
                <w:color w:val="000000" w:themeColor="text1"/>
              </w:rPr>
              <w:t>Male gender</w:t>
            </w:r>
          </w:p>
        </w:tc>
        <w:tc>
          <w:tcPr>
            <w:tcW w:w="1080" w:type="dxa"/>
          </w:tcPr>
          <w:p w14:paraId="5037D565" w14:textId="3CE4A7A7" w:rsidR="00E83381" w:rsidRPr="00C41FDC" w:rsidRDefault="00E83381" w:rsidP="009D0972">
            <w:pPr>
              <w:pStyle w:val="indent"/>
              <w:spacing w:before="0" w:beforeAutospacing="0" w:after="0" w:afterAutospacing="0"/>
              <w:rPr>
                <w:color w:val="000000" w:themeColor="text1"/>
              </w:rPr>
            </w:pPr>
            <w:r w:rsidRPr="00C41FDC">
              <w:rPr>
                <w:color w:val="000000" w:themeColor="text1"/>
              </w:rPr>
              <w:t>2</w:t>
            </w:r>
            <w:r w:rsidR="00C323B9" w:rsidRPr="00C41FDC">
              <w:rPr>
                <w:color w:val="000000" w:themeColor="text1"/>
              </w:rPr>
              <w:t>·</w:t>
            </w:r>
            <w:r w:rsidRPr="00C41FDC">
              <w:rPr>
                <w:color w:val="000000" w:themeColor="text1"/>
              </w:rPr>
              <w:t>31</w:t>
            </w:r>
          </w:p>
        </w:tc>
        <w:tc>
          <w:tcPr>
            <w:tcW w:w="1440" w:type="dxa"/>
          </w:tcPr>
          <w:p w14:paraId="0902730A" w14:textId="4E90306D" w:rsidR="00E83381" w:rsidRPr="00C41FDC" w:rsidRDefault="00C323B9" w:rsidP="009D0972">
            <w:pPr>
              <w:pStyle w:val="indent"/>
              <w:spacing w:before="0" w:beforeAutospacing="0" w:after="0" w:afterAutospacing="0"/>
              <w:rPr>
                <w:color w:val="000000" w:themeColor="text1"/>
              </w:rPr>
            </w:pPr>
            <w:r w:rsidRPr="00C41FDC">
              <w:rPr>
                <w:color w:val="000000" w:themeColor="text1"/>
              </w:rPr>
              <w:t>1·</w:t>
            </w:r>
            <w:r w:rsidR="00E83381" w:rsidRPr="00C41FDC">
              <w:rPr>
                <w:color w:val="000000" w:themeColor="text1"/>
              </w:rPr>
              <w:t>24, 4</w:t>
            </w:r>
            <w:r w:rsidRPr="00C41FDC">
              <w:rPr>
                <w:color w:val="000000" w:themeColor="text1"/>
              </w:rPr>
              <w:t>·</w:t>
            </w:r>
            <w:r w:rsidR="00E83381" w:rsidRPr="00C41FDC">
              <w:rPr>
                <w:color w:val="000000" w:themeColor="text1"/>
              </w:rPr>
              <w:t>28</w:t>
            </w:r>
          </w:p>
        </w:tc>
        <w:tc>
          <w:tcPr>
            <w:tcW w:w="1350" w:type="dxa"/>
          </w:tcPr>
          <w:p w14:paraId="3E03F6F6" w14:textId="3AE48E0B" w:rsidR="00E83381" w:rsidRPr="00C41FDC" w:rsidRDefault="00E83381" w:rsidP="009D0972">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008</w:t>
            </w:r>
          </w:p>
        </w:tc>
        <w:tc>
          <w:tcPr>
            <w:tcW w:w="1080" w:type="dxa"/>
          </w:tcPr>
          <w:p w14:paraId="39261B47" w14:textId="16FCDA5F" w:rsidR="00E83381" w:rsidRPr="00C41FDC" w:rsidRDefault="00E83381" w:rsidP="009D0972">
            <w:pPr>
              <w:pStyle w:val="indent"/>
              <w:spacing w:before="0" w:beforeAutospacing="0" w:after="0" w:afterAutospacing="0"/>
              <w:rPr>
                <w:color w:val="000000" w:themeColor="text1"/>
              </w:rPr>
            </w:pPr>
          </w:p>
        </w:tc>
      </w:tr>
      <w:tr w:rsidR="00C41FDC" w:rsidRPr="00C41FDC" w14:paraId="6EFAF245" w14:textId="77777777" w:rsidTr="003E7EE3">
        <w:tc>
          <w:tcPr>
            <w:tcW w:w="1560" w:type="dxa"/>
          </w:tcPr>
          <w:p w14:paraId="1235D5A2" w14:textId="77777777" w:rsidR="00E83381" w:rsidRPr="00C41FDC" w:rsidRDefault="00E83381" w:rsidP="009D0972">
            <w:pPr>
              <w:pStyle w:val="indent"/>
              <w:spacing w:before="0" w:beforeAutospacing="0" w:after="0" w:afterAutospacing="0"/>
              <w:rPr>
                <w:color w:val="000000" w:themeColor="text1"/>
              </w:rPr>
            </w:pPr>
          </w:p>
        </w:tc>
        <w:tc>
          <w:tcPr>
            <w:tcW w:w="2992" w:type="dxa"/>
          </w:tcPr>
          <w:p w14:paraId="36516E0F" w14:textId="77777777" w:rsidR="00E83381" w:rsidRPr="00C41FDC" w:rsidRDefault="00E83381" w:rsidP="009D0972">
            <w:pPr>
              <w:pStyle w:val="indent"/>
              <w:spacing w:before="0" w:beforeAutospacing="0" w:after="0" w:afterAutospacing="0"/>
              <w:rPr>
                <w:color w:val="000000" w:themeColor="text1"/>
              </w:rPr>
            </w:pPr>
            <w:r w:rsidRPr="00C41FDC">
              <w:rPr>
                <w:color w:val="000000" w:themeColor="text1"/>
              </w:rPr>
              <w:t>Ever smoker</w:t>
            </w:r>
          </w:p>
        </w:tc>
        <w:tc>
          <w:tcPr>
            <w:tcW w:w="1080" w:type="dxa"/>
          </w:tcPr>
          <w:p w14:paraId="6CF816DB" w14:textId="01B16EA3" w:rsidR="00E83381" w:rsidRPr="00C41FDC" w:rsidRDefault="00E83381" w:rsidP="009D0972">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84</w:t>
            </w:r>
          </w:p>
        </w:tc>
        <w:tc>
          <w:tcPr>
            <w:tcW w:w="1440" w:type="dxa"/>
          </w:tcPr>
          <w:p w14:paraId="0491AE7F" w14:textId="5BE6F8A2" w:rsidR="00E83381" w:rsidRPr="00C41FDC" w:rsidRDefault="00E83381" w:rsidP="009D0972">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 xml:space="preserve">50, </w:t>
            </w:r>
            <w:r w:rsidR="00C323B9" w:rsidRPr="00C41FDC">
              <w:rPr>
                <w:color w:val="000000" w:themeColor="text1"/>
              </w:rPr>
              <w:t>1·</w:t>
            </w:r>
            <w:r w:rsidRPr="00C41FDC">
              <w:rPr>
                <w:color w:val="000000" w:themeColor="text1"/>
              </w:rPr>
              <w:t>41</w:t>
            </w:r>
          </w:p>
        </w:tc>
        <w:tc>
          <w:tcPr>
            <w:tcW w:w="1350" w:type="dxa"/>
          </w:tcPr>
          <w:p w14:paraId="63DFF701" w14:textId="31FF7704" w:rsidR="00E83381" w:rsidRPr="00C41FDC" w:rsidRDefault="00E83381" w:rsidP="009D0972">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51</w:t>
            </w:r>
          </w:p>
        </w:tc>
        <w:tc>
          <w:tcPr>
            <w:tcW w:w="1080" w:type="dxa"/>
          </w:tcPr>
          <w:p w14:paraId="2213DC66" w14:textId="7D4585A1" w:rsidR="00E83381" w:rsidRPr="00C41FDC" w:rsidRDefault="00E83381" w:rsidP="009D0972">
            <w:pPr>
              <w:pStyle w:val="indent"/>
              <w:spacing w:before="0" w:beforeAutospacing="0" w:after="0" w:afterAutospacing="0"/>
              <w:rPr>
                <w:color w:val="000000" w:themeColor="text1"/>
              </w:rPr>
            </w:pPr>
          </w:p>
        </w:tc>
      </w:tr>
      <w:tr w:rsidR="00C41FDC" w:rsidRPr="00C41FDC" w14:paraId="0C3D0892" w14:textId="77777777" w:rsidTr="003E7EE3">
        <w:tc>
          <w:tcPr>
            <w:tcW w:w="1560" w:type="dxa"/>
          </w:tcPr>
          <w:p w14:paraId="2C2D2A44" w14:textId="77777777" w:rsidR="00E83381" w:rsidRPr="00C41FDC" w:rsidRDefault="00E83381" w:rsidP="009D0972">
            <w:pPr>
              <w:pStyle w:val="indent"/>
              <w:spacing w:before="0" w:beforeAutospacing="0" w:after="0" w:afterAutospacing="0"/>
              <w:rPr>
                <w:color w:val="000000" w:themeColor="text1"/>
              </w:rPr>
            </w:pPr>
          </w:p>
        </w:tc>
        <w:tc>
          <w:tcPr>
            <w:tcW w:w="2992" w:type="dxa"/>
          </w:tcPr>
          <w:p w14:paraId="5BBB4D71" w14:textId="6F246F11" w:rsidR="00E83381" w:rsidRPr="00C41FDC" w:rsidRDefault="00E83381" w:rsidP="009D0972">
            <w:pPr>
              <w:pStyle w:val="indent"/>
              <w:spacing w:before="0" w:beforeAutospacing="0" w:after="0" w:afterAutospacing="0"/>
              <w:rPr>
                <w:color w:val="000000" w:themeColor="text1"/>
              </w:rPr>
            </w:pPr>
            <w:r w:rsidRPr="00C41FDC">
              <w:rPr>
                <w:color w:val="000000" w:themeColor="text1"/>
              </w:rPr>
              <w:t>AF treatment (never/ever)</w:t>
            </w:r>
          </w:p>
        </w:tc>
        <w:tc>
          <w:tcPr>
            <w:tcW w:w="1080" w:type="dxa"/>
          </w:tcPr>
          <w:p w14:paraId="3B96C09E" w14:textId="0F351632" w:rsidR="00E83381" w:rsidRPr="00C41FDC" w:rsidRDefault="00E83381" w:rsidP="009D0972">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64</w:t>
            </w:r>
          </w:p>
        </w:tc>
        <w:tc>
          <w:tcPr>
            <w:tcW w:w="1440" w:type="dxa"/>
          </w:tcPr>
          <w:p w14:paraId="21683BB3" w14:textId="7C31DDCF" w:rsidR="00E83381" w:rsidRPr="00C41FDC" w:rsidRDefault="00E83381" w:rsidP="009D0972">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 xml:space="preserve">40, </w:t>
            </w:r>
            <w:r w:rsidR="00C323B9" w:rsidRPr="00C41FDC">
              <w:rPr>
                <w:color w:val="000000" w:themeColor="text1"/>
              </w:rPr>
              <w:t>1·</w:t>
            </w:r>
            <w:r w:rsidRPr="00C41FDC">
              <w:rPr>
                <w:color w:val="000000" w:themeColor="text1"/>
              </w:rPr>
              <w:t>04</w:t>
            </w:r>
          </w:p>
        </w:tc>
        <w:tc>
          <w:tcPr>
            <w:tcW w:w="1350" w:type="dxa"/>
          </w:tcPr>
          <w:p w14:paraId="36C714C0" w14:textId="36E5E82A" w:rsidR="00E83381" w:rsidRPr="00C41FDC" w:rsidRDefault="00E83381" w:rsidP="009D0972">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07</w:t>
            </w:r>
          </w:p>
        </w:tc>
        <w:tc>
          <w:tcPr>
            <w:tcW w:w="1080" w:type="dxa"/>
          </w:tcPr>
          <w:p w14:paraId="0E73D19C" w14:textId="5A365C58" w:rsidR="00E83381" w:rsidRPr="00C41FDC" w:rsidRDefault="00E83381" w:rsidP="009D0972">
            <w:pPr>
              <w:pStyle w:val="indent"/>
              <w:spacing w:before="0" w:beforeAutospacing="0" w:after="0" w:afterAutospacing="0"/>
              <w:rPr>
                <w:color w:val="000000" w:themeColor="text1"/>
              </w:rPr>
            </w:pPr>
          </w:p>
        </w:tc>
      </w:tr>
      <w:tr w:rsidR="00C41FDC" w:rsidRPr="00C41FDC" w14:paraId="1684169F" w14:textId="77777777" w:rsidTr="003E7EE3">
        <w:tc>
          <w:tcPr>
            <w:tcW w:w="1560" w:type="dxa"/>
          </w:tcPr>
          <w:p w14:paraId="073E1765" w14:textId="77777777" w:rsidR="00E83381" w:rsidRPr="00C41FDC" w:rsidRDefault="00E83381" w:rsidP="009D0972">
            <w:pPr>
              <w:pStyle w:val="indent"/>
              <w:spacing w:before="0" w:beforeAutospacing="0" w:after="0" w:afterAutospacing="0"/>
              <w:rPr>
                <w:color w:val="000000" w:themeColor="text1"/>
              </w:rPr>
            </w:pPr>
          </w:p>
        </w:tc>
        <w:tc>
          <w:tcPr>
            <w:tcW w:w="2992" w:type="dxa"/>
          </w:tcPr>
          <w:p w14:paraId="74143A75" w14:textId="7281847E" w:rsidR="00E83381" w:rsidRPr="00C41FDC" w:rsidRDefault="00E83381" w:rsidP="009D0972">
            <w:pPr>
              <w:pStyle w:val="indent"/>
              <w:spacing w:before="0" w:beforeAutospacing="0" w:after="0" w:afterAutospacing="0"/>
              <w:rPr>
                <w:color w:val="000000" w:themeColor="text1"/>
              </w:rPr>
            </w:pPr>
            <w:r w:rsidRPr="00C41FDC">
              <w:rPr>
                <w:color w:val="000000" w:themeColor="text1"/>
              </w:rPr>
              <w:t>DLco</w:t>
            </w:r>
          </w:p>
        </w:tc>
        <w:tc>
          <w:tcPr>
            <w:tcW w:w="1080" w:type="dxa"/>
          </w:tcPr>
          <w:p w14:paraId="47138042" w14:textId="3493A92E" w:rsidR="00E83381" w:rsidRPr="00C41FDC" w:rsidRDefault="00E83381" w:rsidP="009D0972">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95</w:t>
            </w:r>
          </w:p>
        </w:tc>
        <w:tc>
          <w:tcPr>
            <w:tcW w:w="1440" w:type="dxa"/>
          </w:tcPr>
          <w:p w14:paraId="522C313A" w14:textId="0533CEE3" w:rsidR="00E83381" w:rsidRPr="00C41FDC" w:rsidRDefault="00E83381" w:rsidP="009D0972">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94, 0</w:t>
            </w:r>
            <w:r w:rsidR="00C323B9" w:rsidRPr="00C41FDC">
              <w:rPr>
                <w:color w:val="000000" w:themeColor="text1"/>
              </w:rPr>
              <w:t>·</w:t>
            </w:r>
            <w:r w:rsidRPr="00C41FDC">
              <w:rPr>
                <w:color w:val="000000" w:themeColor="text1"/>
              </w:rPr>
              <w:t>97</w:t>
            </w:r>
          </w:p>
        </w:tc>
        <w:tc>
          <w:tcPr>
            <w:tcW w:w="1350" w:type="dxa"/>
          </w:tcPr>
          <w:p w14:paraId="04696254" w14:textId="72EAB324" w:rsidR="00E83381" w:rsidRPr="00C41FDC" w:rsidRDefault="00E83381" w:rsidP="009D0972">
            <w:pPr>
              <w:pStyle w:val="indent"/>
              <w:spacing w:before="0" w:beforeAutospacing="0" w:after="0" w:afterAutospacing="0"/>
              <w:rPr>
                <w:color w:val="000000" w:themeColor="text1"/>
              </w:rPr>
            </w:pPr>
            <w:r w:rsidRPr="00C41FDC">
              <w:rPr>
                <w:color w:val="000000" w:themeColor="text1"/>
              </w:rPr>
              <w:t>&lt; 0</w:t>
            </w:r>
            <w:r w:rsidR="00C323B9" w:rsidRPr="00C41FDC">
              <w:rPr>
                <w:color w:val="000000" w:themeColor="text1"/>
              </w:rPr>
              <w:t>·</w:t>
            </w:r>
            <w:r w:rsidRPr="00C41FDC">
              <w:rPr>
                <w:color w:val="000000" w:themeColor="text1"/>
              </w:rPr>
              <w:t>0001</w:t>
            </w:r>
          </w:p>
        </w:tc>
        <w:tc>
          <w:tcPr>
            <w:tcW w:w="1080" w:type="dxa"/>
          </w:tcPr>
          <w:p w14:paraId="59EDE557" w14:textId="2B805DAC" w:rsidR="00E83381" w:rsidRPr="00C41FDC" w:rsidRDefault="00E83381" w:rsidP="009D0972">
            <w:pPr>
              <w:pStyle w:val="indent"/>
              <w:spacing w:before="0" w:beforeAutospacing="0" w:after="0" w:afterAutospacing="0"/>
              <w:rPr>
                <w:color w:val="000000" w:themeColor="text1"/>
              </w:rPr>
            </w:pPr>
          </w:p>
        </w:tc>
      </w:tr>
      <w:tr w:rsidR="00C41FDC" w:rsidRPr="00C41FDC" w14:paraId="7427EFBA" w14:textId="77777777" w:rsidTr="003E7EE3">
        <w:tc>
          <w:tcPr>
            <w:tcW w:w="1560" w:type="dxa"/>
          </w:tcPr>
          <w:p w14:paraId="64648755" w14:textId="77777777" w:rsidR="00E83381" w:rsidRPr="00C41FDC" w:rsidRDefault="00E83381" w:rsidP="009D0972">
            <w:pPr>
              <w:pStyle w:val="indent"/>
              <w:spacing w:before="0" w:beforeAutospacing="0" w:after="0" w:afterAutospacing="0"/>
              <w:rPr>
                <w:color w:val="000000" w:themeColor="text1"/>
              </w:rPr>
            </w:pPr>
          </w:p>
        </w:tc>
        <w:tc>
          <w:tcPr>
            <w:tcW w:w="2992" w:type="dxa"/>
          </w:tcPr>
          <w:p w14:paraId="7FA8C335" w14:textId="70EF51DB" w:rsidR="00E83381" w:rsidRPr="00C41FDC" w:rsidRDefault="00E83381" w:rsidP="009D0972">
            <w:pPr>
              <w:pStyle w:val="indent"/>
              <w:spacing w:before="0" w:beforeAutospacing="0" w:after="0" w:afterAutospacing="0"/>
              <w:rPr>
                <w:color w:val="000000" w:themeColor="text1"/>
              </w:rPr>
            </w:pPr>
            <w:r w:rsidRPr="00C41FDC">
              <w:rPr>
                <w:color w:val="000000" w:themeColor="text1"/>
              </w:rPr>
              <w:t>vPPFE (moderate vs absent)</w:t>
            </w:r>
          </w:p>
        </w:tc>
        <w:tc>
          <w:tcPr>
            <w:tcW w:w="1080" w:type="dxa"/>
          </w:tcPr>
          <w:p w14:paraId="0855C7B6" w14:textId="779D3F10" w:rsidR="00E83381" w:rsidRPr="00C41FDC" w:rsidRDefault="00C323B9" w:rsidP="009D0972">
            <w:pPr>
              <w:pStyle w:val="indent"/>
              <w:spacing w:before="0" w:beforeAutospacing="0" w:after="0" w:afterAutospacing="0"/>
              <w:rPr>
                <w:color w:val="000000" w:themeColor="text1"/>
              </w:rPr>
            </w:pPr>
            <w:r w:rsidRPr="00C41FDC">
              <w:rPr>
                <w:color w:val="000000" w:themeColor="text1"/>
              </w:rPr>
              <w:t>1·</w:t>
            </w:r>
            <w:r w:rsidR="00E83381" w:rsidRPr="00C41FDC">
              <w:rPr>
                <w:color w:val="000000" w:themeColor="text1"/>
              </w:rPr>
              <w:t>85</w:t>
            </w:r>
          </w:p>
        </w:tc>
        <w:tc>
          <w:tcPr>
            <w:tcW w:w="1440" w:type="dxa"/>
          </w:tcPr>
          <w:p w14:paraId="5DDB438B" w14:textId="36325A5C" w:rsidR="00E83381" w:rsidRPr="00C41FDC" w:rsidRDefault="00C323B9" w:rsidP="009D0972">
            <w:pPr>
              <w:pStyle w:val="indent"/>
              <w:spacing w:before="0" w:beforeAutospacing="0" w:after="0" w:afterAutospacing="0"/>
              <w:rPr>
                <w:color w:val="000000" w:themeColor="text1"/>
              </w:rPr>
            </w:pPr>
            <w:r w:rsidRPr="00C41FDC">
              <w:rPr>
                <w:color w:val="000000" w:themeColor="text1"/>
              </w:rPr>
              <w:t>1·</w:t>
            </w:r>
            <w:r w:rsidR="00E83381" w:rsidRPr="00C41FDC">
              <w:rPr>
                <w:color w:val="000000" w:themeColor="text1"/>
              </w:rPr>
              <w:t>00, 3</w:t>
            </w:r>
            <w:r w:rsidRPr="00C41FDC">
              <w:rPr>
                <w:color w:val="000000" w:themeColor="text1"/>
              </w:rPr>
              <w:t>·</w:t>
            </w:r>
            <w:r w:rsidR="00E83381" w:rsidRPr="00C41FDC">
              <w:rPr>
                <w:color w:val="000000" w:themeColor="text1"/>
              </w:rPr>
              <w:t>42</w:t>
            </w:r>
          </w:p>
        </w:tc>
        <w:tc>
          <w:tcPr>
            <w:tcW w:w="1350" w:type="dxa"/>
          </w:tcPr>
          <w:p w14:paraId="3FBB0EB4" w14:textId="52CF84AE" w:rsidR="00E83381" w:rsidRPr="00C41FDC" w:rsidRDefault="00E83381" w:rsidP="009D0972">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048</w:t>
            </w:r>
          </w:p>
        </w:tc>
        <w:tc>
          <w:tcPr>
            <w:tcW w:w="1080" w:type="dxa"/>
          </w:tcPr>
          <w:p w14:paraId="062FD5C1" w14:textId="0FD8215B" w:rsidR="00E83381" w:rsidRPr="00C41FDC" w:rsidRDefault="00E83381" w:rsidP="009D0972">
            <w:pPr>
              <w:pStyle w:val="indent"/>
              <w:spacing w:before="0" w:beforeAutospacing="0" w:after="0" w:afterAutospacing="0"/>
              <w:rPr>
                <w:color w:val="000000" w:themeColor="text1"/>
              </w:rPr>
            </w:pPr>
          </w:p>
        </w:tc>
      </w:tr>
      <w:tr w:rsidR="00C41FDC" w:rsidRPr="00C41FDC" w14:paraId="03861A01" w14:textId="77777777" w:rsidTr="003E7EE3">
        <w:tc>
          <w:tcPr>
            <w:tcW w:w="1560" w:type="dxa"/>
            <w:tcBorders>
              <w:bottom w:val="single" w:sz="12" w:space="0" w:color="000000" w:themeColor="text1"/>
            </w:tcBorders>
          </w:tcPr>
          <w:p w14:paraId="3B24AFA0" w14:textId="77777777" w:rsidR="00E83381" w:rsidRPr="00C41FDC" w:rsidRDefault="00E83381" w:rsidP="009D0972">
            <w:pPr>
              <w:pStyle w:val="indent"/>
              <w:spacing w:before="0" w:beforeAutospacing="0" w:after="0" w:afterAutospacing="0"/>
              <w:rPr>
                <w:color w:val="000000" w:themeColor="text1"/>
              </w:rPr>
            </w:pPr>
          </w:p>
        </w:tc>
        <w:tc>
          <w:tcPr>
            <w:tcW w:w="2992" w:type="dxa"/>
            <w:tcBorders>
              <w:bottom w:val="single" w:sz="12" w:space="0" w:color="000000" w:themeColor="text1"/>
            </w:tcBorders>
          </w:tcPr>
          <w:p w14:paraId="09726D1D" w14:textId="102140D5" w:rsidR="00E83381" w:rsidRPr="00C41FDC" w:rsidRDefault="00E83381" w:rsidP="009D0972">
            <w:pPr>
              <w:pStyle w:val="indent"/>
              <w:spacing w:before="0" w:beforeAutospacing="0" w:after="0" w:afterAutospacing="0"/>
              <w:rPr>
                <w:color w:val="000000" w:themeColor="text1"/>
              </w:rPr>
            </w:pPr>
            <w:r w:rsidRPr="00C41FDC">
              <w:rPr>
                <w:color w:val="000000" w:themeColor="text1"/>
              </w:rPr>
              <w:t>vPPFE (marked vs absent)</w:t>
            </w:r>
          </w:p>
        </w:tc>
        <w:tc>
          <w:tcPr>
            <w:tcW w:w="1080" w:type="dxa"/>
            <w:tcBorders>
              <w:bottom w:val="single" w:sz="12" w:space="0" w:color="000000" w:themeColor="text1"/>
            </w:tcBorders>
          </w:tcPr>
          <w:p w14:paraId="05D098CD" w14:textId="736D70C8" w:rsidR="00E83381" w:rsidRPr="00C41FDC" w:rsidRDefault="00E83381" w:rsidP="009D0972">
            <w:pPr>
              <w:pStyle w:val="indent"/>
              <w:spacing w:before="0" w:beforeAutospacing="0" w:after="0" w:afterAutospacing="0"/>
              <w:rPr>
                <w:color w:val="000000" w:themeColor="text1"/>
              </w:rPr>
            </w:pPr>
            <w:r w:rsidRPr="00C41FDC">
              <w:rPr>
                <w:color w:val="000000" w:themeColor="text1"/>
              </w:rPr>
              <w:t>3</w:t>
            </w:r>
            <w:r w:rsidR="00C323B9" w:rsidRPr="00C41FDC">
              <w:rPr>
                <w:color w:val="000000" w:themeColor="text1"/>
              </w:rPr>
              <w:t>·</w:t>
            </w:r>
            <w:r w:rsidRPr="00C41FDC">
              <w:rPr>
                <w:color w:val="000000" w:themeColor="text1"/>
              </w:rPr>
              <w:t>01</w:t>
            </w:r>
          </w:p>
        </w:tc>
        <w:tc>
          <w:tcPr>
            <w:tcW w:w="1440" w:type="dxa"/>
            <w:tcBorders>
              <w:bottom w:val="single" w:sz="12" w:space="0" w:color="000000" w:themeColor="text1"/>
            </w:tcBorders>
          </w:tcPr>
          <w:p w14:paraId="2E82AAD8" w14:textId="55E960AB" w:rsidR="00E83381" w:rsidRPr="00C41FDC" w:rsidRDefault="00C323B9" w:rsidP="009D0972">
            <w:pPr>
              <w:pStyle w:val="indent"/>
              <w:spacing w:before="0" w:beforeAutospacing="0" w:after="0" w:afterAutospacing="0"/>
              <w:rPr>
                <w:color w:val="000000" w:themeColor="text1"/>
              </w:rPr>
            </w:pPr>
            <w:r w:rsidRPr="00C41FDC">
              <w:rPr>
                <w:color w:val="000000" w:themeColor="text1"/>
              </w:rPr>
              <w:t>1·</w:t>
            </w:r>
            <w:r w:rsidR="00E83381" w:rsidRPr="00C41FDC">
              <w:rPr>
                <w:color w:val="000000" w:themeColor="text1"/>
              </w:rPr>
              <w:t>33, 6</w:t>
            </w:r>
            <w:r w:rsidRPr="00C41FDC">
              <w:rPr>
                <w:color w:val="000000" w:themeColor="text1"/>
              </w:rPr>
              <w:t>·</w:t>
            </w:r>
            <w:r w:rsidR="00E83381" w:rsidRPr="00C41FDC">
              <w:rPr>
                <w:color w:val="000000" w:themeColor="text1"/>
              </w:rPr>
              <w:t>81</w:t>
            </w:r>
          </w:p>
        </w:tc>
        <w:tc>
          <w:tcPr>
            <w:tcW w:w="1350" w:type="dxa"/>
            <w:tcBorders>
              <w:bottom w:val="single" w:sz="12" w:space="0" w:color="000000" w:themeColor="text1"/>
            </w:tcBorders>
          </w:tcPr>
          <w:p w14:paraId="65E0E70D" w14:textId="11DE7A45" w:rsidR="00E83381" w:rsidRPr="00C41FDC" w:rsidRDefault="00E83381" w:rsidP="009D0972">
            <w:pPr>
              <w:pStyle w:val="indent"/>
              <w:spacing w:before="0" w:beforeAutospacing="0" w:after="0" w:afterAutospacing="0"/>
              <w:rPr>
                <w:color w:val="000000" w:themeColor="text1"/>
              </w:rPr>
            </w:pPr>
            <w:r w:rsidRPr="00C41FDC">
              <w:rPr>
                <w:color w:val="000000" w:themeColor="text1"/>
              </w:rPr>
              <w:t>0</w:t>
            </w:r>
            <w:r w:rsidR="00C323B9" w:rsidRPr="00C41FDC">
              <w:rPr>
                <w:color w:val="000000" w:themeColor="text1"/>
              </w:rPr>
              <w:t>·</w:t>
            </w:r>
            <w:r w:rsidRPr="00C41FDC">
              <w:rPr>
                <w:color w:val="000000" w:themeColor="text1"/>
              </w:rPr>
              <w:t>008</w:t>
            </w:r>
          </w:p>
        </w:tc>
        <w:tc>
          <w:tcPr>
            <w:tcW w:w="1080" w:type="dxa"/>
            <w:tcBorders>
              <w:bottom w:val="single" w:sz="12" w:space="0" w:color="000000" w:themeColor="text1"/>
            </w:tcBorders>
          </w:tcPr>
          <w:p w14:paraId="000CBB9D" w14:textId="4AF7908D" w:rsidR="00E83381" w:rsidRPr="00C41FDC" w:rsidRDefault="00E83381" w:rsidP="009D0972">
            <w:pPr>
              <w:pStyle w:val="indent"/>
              <w:spacing w:before="0" w:beforeAutospacing="0" w:after="0" w:afterAutospacing="0"/>
              <w:rPr>
                <w:color w:val="000000" w:themeColor="text1"/>
              </w:rPr>
            </w:pPr>
          </w:p>
        </w:tc>
      </w:tr>
    </w:tbl>
    <w:p w14:paraId="2DD4E067" w14:textId="5EC27A5A" w:rsidR="009D0972" w:rsidRPr="00C41FDC" w:rsidRDefault="009D0972" w:rsidP="00927C79">
      <w:pPr>
        <w:widowControl w:val="0"/>
        <w:autoSpaceDE w:val="0"/>
        <w:autoSpaceDN w:val="0"/>
        <w:adjustRightInd w:val="0"/>
        <w:spacing w:after="120" w:line="360" w:lineRule="auto"/>
        <w:ind w:left="640" w:hanging="640"/>
        <w:rPr>
          <w:color w:val="000000" w:themeColor="text1"/>
        </w:rPr>
      </w:pPr>
    </w:p>
    <w:p w14:paraId="1DDBB0E7" w14:textId="77777777" w:rsidR="00FF2F36" w:rsidRPr="00C41FDC" w:rsidRDefault="00FF2F36">
      <w:pPr>
        <w:rPr>
          <w:rStyle w:val="id"/>
          <w:rFonts w:eastAsia="Times New Roman"/>
          <w:b/>
          <w:color w:val="000000" w:themeColor="text1"/>
        </w:rPr>
      </w:pPr>
      <w:r w:rsidRPr="00C41FDC">
        <w:rPr>
          <w:rStyle w:val="id"/>
          <w:rFonts w:eastAsia="Times New Roman"/>
          <w:b/>
          <w:color w:val="000000" w:themeColor="text1"/>
        </w:rPr>
        <w:br w:type="page"/>
      </w:r>
    </w:p>
    <w:p w14:paraId="1EEAF12A" w14:textId="3E8C2A9E" w:rsidR="009D0972" w:rsidRPr="00C41FDC" w:rsidRDefault="009D0972" w:rsidP="0007399C">
      <w:pPr>
        <w:spacing w:line="360" w:lineRule="auto"/>
        <w:rPr>
          <w:rStyle w:val="id"/>
          <w:b/>
          <w:color w:val="000000" w:themeColor="text1"/>
        </w:rPr>
      </w:pPr>
      <w:bookmarkStart w:id="292" w:name="OLE_LINK66"/>
      <w:bookmarkStart w:id="293" w:name="OLE_LINK67"/>
      <w:bookmarkStart w:id="294" w:name="OLE_LINK95"/>
      <w:r w:rsidRPr="00C41FDC">
        <w:rPr>
          <w:rStyle w:val="id"/>
          <w:rFonts w:eastAsia="Times New Roman"/>
          <w:b/>
          <w:color w:val="000000" w:themeColor="text1"/>
        </w:rPr>
        <w:lastRenderedPageBreak/>
        <w:t xml:space="preserve">Table </w:t>
      </w:r>
      <w:r w:rsidR="0057683E" w:rsidRPr="00C41FDC">
        <w:rPr>
          <w:rStyle w:val="id"/>
          <w:rFonts w:eastAsia="Times New Roman"/>
          <w:b/>
          <w:color w:val="000000" w:themeColor="text1"/>
        </w:rPr>
        <w:t>5</w:t>
      </w:r>
      <w:r w:rsidRPr="00C41FDC">
        <w:rPr>
          <w:rStyle w:val="id"/>
          <w:rFonts w:eastAsia="Times New Roman"/>
          <w:b/>
          <w:color w:val="000000" w:themeColor="text1"/>
        </w:rPr>
        <w:t xml:space="preserve">: </w:t>
      </w:r>
      <w:r w:rsidRPr="00C41FDC">
        <w:rPr>
          <w:rStyle w:val="id"/>
          <w:b/>
          <w:bCs/>
          <w:color w:val="000000" w:themeColor="text1"/>
        </w:rPr>
        <w:t xml:space="preserve">Multivariable Cox regression models showing mortality in the </w:t>
      </w:r>
      <w:r w:rsidR="009063EC" w:rsidRPr="00C41FDC">
        <w:rPr>
          <w:rStyle w:val="id"/>
          <w:b/>
          <w:bCs/>
          <w:color w:val="000000" w:themeColor="text1"/>
        </w:rPr>
        <w:t xml:space="preserve">derivation </w:t>
      </w:r>
      <w:r w:rsidRPr="00C41FDC">
        <w:rPr>
          <w:rStyle w:val="id"/>
          <w:b/>
          <w:bCs/>
          <w:color w:val="000000" w:themeColor="text1"/>
        </w:rPr>
        <w:t>and validation IPF cohorts</w:t>
      </w:r>
      <w:r w:rsidR="001B2E11" w:rsidRPr="00C41FDC">
        <w:rPr>
          <w:rStyle w:val="id"/>
          <w:b/>
          <w:bCs/>
          <w:color w:val="000000" w:themeColor="text1"/>
        </w:rPr>
        <w:t xml:space="preserve"> </w:t>
      </w:r>
      <w:r w:rsidR="001B2E11" w:rsidRPr="00C41FDC">
        <w:rPr>
          <w:rStyle w:val="content"/>
          <w:rFonts w:eastAsia="Times New Roman"/>
          <w:b/>
          <w:bCs/>
          <w:color w:val="000000" w:themeColor="text1"/>
        </w:rPr>
        <w:t>using cPPFE scores</w:t>
      </w:r>
      <w:r w:rsidR="006326EE" w:rsidRPr="00C41FDC">
        <w:rPr>
          <w:rStyle w:val="id"/>
          <w:color w:val="000000" w:themeColor="text1"/>
        </w:rPr>
        <w:t>.</w:t>
      </w:r>
      <w:r w:rsidRPr="00C41FDC">
        <w:rPr>
          <w:rStyle w:val="id"/>
          <w:b/>
          <w:color w:val="000000" w:themeColor="text1"/>
        </w:rPr>
        <w:t xml:space="preserve"> </w:t>
      </w:r>
      <w:r w:rsidRPr="00C41FDC">
        <w:rPr>
          <w:rStyle w:val="id"/>
          <w:bCs/>
          <w:color w:val="000000" w:themeColor="text1"/>
        </w:rPr>
        <w:t xml:space="preserve">Models were adjusted for patient age, gender, smoking history (never/ever), </w:t>
      </w:r>
      <w:r w:rsidR="00266EC5" w:rsidRPr="00C41FDC">
        <w:rPr>
          <w:rStyle w:val="id"/>
          <w:bCs/>
          <w:color w:val="000000" w:themeColor="text1"/>
        </w:rPr>
        <w:t xml:space="preserve">antifibrotic treatment (never/ever across follow-up), </w:t>
      </w:r>
      <w:r w:rsidRPr="00C41FDC">
        <w:rPr>
          <w:rStyle w:val="id"/>
          <w:bCs/>
          <w:color w:val="000000" w:themeColor="text1"/>
        </w:rPr>
        <w:t xml:space="preserve">DLco, and </w:t>
      </w:r>
      <w:r w:rsidR="00B87D7E" w:rsidRPr="00C41FDC">
        <w:rPr>
          <w:rStyle w:val="id"/>
          <w:bCs/>
          <w:color w:val="000000" w:themeColor="text1"/>
        </w:rPr>
        <w:t>cPPFE</w:t>
      </w:r>
      <w:r w:rsidRPr="00C41FDC">
        <w:rPr>
          <w:rStyle w:val="id"/>
          <w:bCs/>
          <w:color w:val="000000" w:themeColor="text1"/>
        </w:rPr>
        <w:t xml:space="preserve"> (</w:t>
      </w:r>
      <w:r w:rsidR="00CF7203" w:rsidRPr="00C41FDC">
        <w:rPr>
          <w:rStyle w:val="id"/>
          <w:bCs/>
          <w:color w:val="000000" w:themeColor="text1"/>
        </w:rPr>
        <w:t>dichotomised</w:t>
      </w:r>
      <w:r w:rsidR="00306198" w:rsidRPr="00C41FDC">
        <w:rPr>
          <w:rStyle w:val="id"/>
          <w:bCs/>
          <w:color w:val="000000" w:themeColor="text1"/>
        </w:rPr>
        <w:t xml:space="preserve"> </w:t>
      </w:r>
      <w:r w:rsidRPr="00C41FDC">
        <w:rPr>
          <w:rStyle w:val="id"/>
          <w:bCs/>
          <w:color w:val="000000" w:themeColor="text1"/>
        </w:rPr>
        <w:t>at 2</w:t>
      </w:r>
      <w:r w:rsidR="00C323B9" w:rsidRPr="00C41FDC">
        <w:rPr>
          <w:rStyle w:val="id"/>
          <w:bCs/>
          <w:color w:val="000000" w:themeColor="text1"/>
        </w:rPr>
        <w:t>·</w:t>
      </w:r>
      <w:r w:rsidRPr="00C41FDC">
        <w:rPr>
          <w:rStyle w:val="id"/>
          <w:bCs/>
          <w:color w:val="000000" w:themeColor="text1"/>
        </w:rPr>
        <w:t>5%). DLco = diffusing capacity for carbon monoxide, PPFE = pleuroparenchymal fibroelastosis</w:t>
      </w:r>
      <w:r w:rsidR="00FF2F36" w:rsidRPr="00C41FDC">
        <w:rPr>
          <w:rStyle w:val="id"/>
          <w:bCs/>
          <w:color w:val="000000" w:themeColor="text1"/>
        </w:rPr>
        <w:t>, AF=antifibrotic</w:t>
      </w:r>
      <w:r w:rsidR="00333EAB" w:rsidRPr="00C41FDC">
        <w:rPr>
          <w:rStyle w:val="id"/>
          <w:bCs/>
          <w:color w:val="000000" w:themeColor="text1"/>
        </w:rPr>
        <w:t>,</w:t>
      </w:r>
      <w:r w:rsidR="00333EAB" w:rsidRPr="00C41FDC">
        <w:rPr>
          <w:rStyle w:val="Heading2Char"/>
          <w:rFonts w:eastAsia="Times New Roman"/>
          <w:color w:val="000000" w:themeColor="text1"/>
        </w:rPr>
        <w:t xml:space="preserve"> </w:t>
      </w:r>
      <w:r w:rsidR="00333EAB" w:rsidRPr="00C41FDC">
        <w:rPr>
          <w:rStyle w:val="content"/>
          <w:rFonts w:eastAsia="Times New Roman"/>
          <w:color w:val="000000" w:themeColor="text1"/>
        </w:rPr>
        <w:t>cPPFE = computerised upper-zone PPFE extent</w:t>
      </w:r>
      <w:r w:rsidRPr="00C41FDC">
        <w:rPr>
          <w:rStyle w:val="id"/>
          <w:bCs/>
          <w:color w:val="000000" w:themeColor="text1"/>
        </w:rPr>
        <w:t>.</w:t>
      </w:r>
    </w:p>
    <w:tbl>
      <w:tblPr>
        <w:tblW w:w="9498" w:type="dxa"/>
        <w:tblCellMar>
          <w:top w:w="72" w:type="dxa"/>
          <w:bottom w:w="72" w:type="dxa"/>
        </w:tblCellMar>
        <w:tblLook w:val="04A0" w:firstRow="1" w:lastRow="0" w:firstColumn="1" w:lastColumn="0" w:noHBand="0" w:noVBand="1"/>
      </w:tblPr>
      <w:tblGrid>
        <w:gridCol w:w="1511"/>
        <w:gridCol w:w="3169"/>
        <w:gridCol w:w="1170"/>
        <w:gridCol w:w="1522"/>
        <w:gridCol w:w="1133"/>
        <w:gridCol w:w="993"/>
      </w:tblGrid>
      <w:tr w:rsidR="00C41FDC" w:rsidRPr="00C41FDC" w14:paraId="2CDA8BE1" w14:textId="77777777" w:rsidTr="003E7EE3">
        <w:tc>
          <w:tcPr>
            <w:tcW w:w="1511" w:type="dxa"/>
            <w:tcBorders>
              <w:top w:val="single" w:sz="12" w:space="0" w:color="000000" w:themeColor="text1"/>
              <w:bottom w:val="single" w:sz="12" w:space="0" w:color="000000" w:themeColor="text1"/>
            </w:tcBorders>
          </w:tcPr>
          <w:p w14:paraId="36329A6C" w14:textId="77777777" w:rsidR="009D0972" w:rsidRPr="00C41FDC" w:rsidRDefault="009D0972" w:rsidP="009D0972">
            <w:pPr>
              <w:pStyle w:val="indent"/>
              <w:spacing w:before="0" w:beforeAutospacing="0" w:after="0" w:afterAutospacing="0"/>
              <w:rPr>
                <w:color w:val="000000" w:themeColor="text1"/>
              </w:rPr>
            </w:pPr>
            <w:r w:rsidRPr="00C41FDC">
              <w:rPr>
                <w:color w:val="000000" w:themeColor="text1"/>
              </w:rPr>
              <w:t>Cohort</w:t>
            </w:r>
          </w:p>
        </w:tc>
        <w:tc>
          <w:tcPr>
            <w:tcW w:w="3169" w:type="dxa"/>
            <w:tcBorders>
              <w:top w:val="single" w:sz="12" w:space="0" w:color="000000" w:themeColor="text1"/>
              <w:bottom w:val="single" w:sz="12" w:space="0" w:color="000000" w:themeColor="text1"/>
            </w:tcBorders>
          </w:tcPr>
          <w:p w14:paraId="4E5AE39F" w14:textId="77777777" w:rsidR="009D0972" w:rsidRPr="00C41FDC" w:rsidRDefault="009D0972" w:rsidP="009D0972">
            <w:pPr>
              <w:pStyle w:val="indent"/>
              <w:spacing w:before="0" w:beforeAutospacing="0" w:after="0" w:afterAutospacing="0"/>
              <w:rPr>
                <w:color w:val="000000" w:themeColor="text1"/>
              </w:rPr>
            </w:pPr>
            <w:r w:rsidRPr="00C41FDC">
              <w:rPr>
                <w:color w:val="000000" w:themeColor="text1"/>
              </w:rPr>
              <w:t>Variable</w:t>
            </w:r>
          </w:p>
        </w:tc>
        <w:tc>
          <w:tcPr>
            <w:tcW w:w="1170" w:type="dxa"/>
            <w:tcBorders>
              <w:top w:val="single" w:sz="12" w:space="0" w:color="000000" w:themeColor="text1"/>
              <w:bottom w:val="single" w:sz="12" w:space="0" w:color="000000" w:themeColor="text1"/>
            </w:tcBorders>
          </w:tcPr>
          <w:p w14:paraId="0FDB220E" w14:textId="77777777" w:rsidR="009D0972" w:rsidRPr="00C41FDC" w:rsidRDefault="009D0972" w:rsidP="009D0972">
            <w:pPr>
              <w:pStyle w:val="indent"/>
              <w:spacing w:before="0" w:beforeAutospacing="0" w:after="0" w:afterAutospacing="0"/>
              <w:rPr>
                <w:color w:val="000000" w:themeColor="text1"/>
              </w:rPr>
            </w:pPr>
            <w:r w:rsidRPr="00C41FDC">
              <w:rPr>
                <w:color w:val="000000" w:themeColor="text1"/>
              </w:rPr>
              <w:t>Hazard ratio</w:t>
            </w:r>
          </w:p>
        </w:tc>
        <w:tc>
          <w:tcPr>
            <w:tcW w:w="1522" w:type="dxa"/>
            <w:tcBorders>
              <w:top w:val="single" w:sz="12" w:space="0" w:color="000000" w:themeColor="text1"/>
              <w:bottom w:val="single" w:sz="12" w:space="0" w:color="000000" w:themeColor="text1"/>
            </w:tcBorders>
          </w:tcPr>
          <w:p w14:paraId="64B63E03" w14:textId="77777777" w:rsidR="009D0972" w:rsidRPr="00C41FDC" w:rsidRDefault="009D0972" w:rsidP="009D0972">
            <w:pPr>
              <w:pStyle w:val="indent"/>
              <w:spacing w:before="0" w:beforeAutospacing="0" w:after="0" w:afterAutospacing="0"/>
              <w:rPr>
                <w:color w:val="000000" w:themeColor="text1"/>
              </w:rPr>
            </w:pPr>
            <w:r w:rsidRPr="00C41FDC">
              <w:rPr>
                <w:color w:val="000000" w:themeColor="text1"/>
              </w:rPr>
              <w:t>95% Confidence Interval</w:t>
            </w:r>
          </w:p>
        </w:tc>
        <w:tc>
          <w:tcPr>
            <w:tcW w:w="1133" w:type="dxa"/>
            <w:tcBorders>
              <w:top w:val="single" w:sz="12" w:space="0" w:color="000000" w:themeColor="text1"/>
              <w:bottom w:val="single" w:sz="12" w:space="0" w:color="000000" w:themeColor="text1"/>
            </w:tcBorders>
          </w:tcPr>
          <w:p w14:paraId="3E75EB81" w14:textId="77777777" w:rsidR="009D0972" w:rsidRPr="00C41FDC" w:rsidRDefault="009D0972" w:rsidP="009D0972">
            <w:pPr>
              <w:pStyle w:val="indent"/>
              <w:spacing w:before="0" w:beforeAutospacing="0" w:after="0" w:afterAutospacing="0"/>
              <w:rPr>
                <w:color w:val="000000" w:themeColor="text1"/>
              </w:rPr>
            </w:pPr>
            <w:r w:rsidRPr="00C41FDC">
              <w:rPr>
                <w:color w:val="000000" w:themeColor="text1"/>
              </w:rPr>
              <w:t>p-value</w:t>
            </w:r>
          </w:p>
        </w:tc>
        <w:tc>
          <w:tcPr>
            <w:tcW w:w="993" w:type="dxa"/>
            <w:tcBorders>
              <w:top w:val="single" w:sz="12" w:space="0" w:color="000000" w:themeColor="text1"/>
              <w:bottom w:val="single" w:sz="12" w:space="0" w:color="000000" w:themeColor="text1"/>
            </w:tcBorders>
          </w:tcPr>
          <w:p w14:paraId="4CD89BB7" w14:textId="77777777" w:rsidR="009D0972" w:rsidRPr="00C41FDC" w:rsidRDefault="009D0972" w:rsidP="009D0972">
            <w:pPr>
              <w:pStyle w:val="indent"/>
              <w:spacing w:before="0" w:beforeAutospacing="0" w:after="0" w:afterAutospacing="0"/>
              <w:rPr>
                <w:color w:val="000000" w:themeColor="text1"/>
              </w:rPr>
            </w:pPr>
            <w:r w:rsidRPr="00C41FDC">
              <w:rPr>
                <w:color w:val="000000" w:themeColor="text1"/>
              </w:rPr>
              <w:t>Model C-index</w:t>
            </w:r>
          </w:p>
        </w:tc>
      </w:tr>
      <w:tr w:rsidR="00C41FDC" w:rsidRPr="00C41FDC" w14:paraId="553B9ED2" w14:textId="77777777" w:rsidTr="003E7EE3">
        <w:tc>
          <w:tcPr>
            <w:tcW w:w="1511" w:type="dxa"/>
            <w:tcBorders>
              <w:top w:val="single" w:sz="12" w:space="0" w:color="000000" w:themeColor="text1"/>
            </w:tcBorders>
            <w:vAlign w:val="center"/>
          </w:tcPr>
          <w:p w14:paraId="57350CC1" w14:textId="76521442" w:rsidR="003E7EE3" w:rsidRPr="00C41FDC" w:rsidRDefault="003E7EE3" w:rsidP="00E83381">
            <w:pPr>
              <w:pStyle w:val="indent"/>
              <w:spacing w:before="0" w:beforeAutospacing="0" w:after="0" w:afterAutospacing="0"/>
              <w:rPr>
                <w:color w:val="000000" w:themeColor="text1"/>
              </w:rPr>
            </w:pPr>
            <w:bookmarkStart w:id="295" w:name="_Hlk65677689"/>
            <w:r w:rsidRPr="00C41FDC">
              <w:rPr>
                <w:color w:val="000000" w:themeColor="text1"/>
              </w:rPr>
              <w:t>Derivation</w:t>
            </w:r>
          </w:p>
        </w:tc>
        <w:tc>
          <w:tcPr>
            <w:tcW w:w="3169" w:type="dxa"/>
            <w:tcBorders>
              <w:top w:val="single" w:sz="12" w:space="0" w:color="000000" w:themeColor="text1"/>
            </w:tcBorders>
          </w:tcPr>
          <w:p w14:paraId="29373609" w14:textId="77777777" w:rsidR="003E7EE3" w:rsidRPr="00C41FDC" w:rsidRDefault="003E7EE3" w:rsidP="009D0972">
            <w:pPr>
              <w:pStyle w:val="indent"/>
              <w:spacing w:before="0" w:beforeAutospacing="0" w:after="0" w:afterAutospacing="0"/>
              <w:rPr>
                <w:color w:val="000000" w:themeColor="text1"/>
              </w:rPr>
            </w:pPr>
            <w:r w:rsidRPr="00C41FDC">
              <w:rPr>
                <w:color w:val="000000" w:themeColor="text1"/>
              </w:rPr>
              <w:t>Age (years)</w:t>
            </w:r>
          </w:p>
        </w:tc>
        <w:tc>
          <w:tcPr>
            <w:tcW w:w="1170" w:type="dxa"/>
            <w:tcBorders>
              <w:top w:val="single" w:sz="12" w:space="0" w:color="000000" w:themeColor="text1"/>
            </w:tcBorders>
          </w:tcPr>
          <w:p w14:paraId="4620BCA7" w14:textId="2FCFFA08" w:rsidR="003E7EE3" w:rsidRPr="00C41FDC" w:rsidRDefault="003E7EE3" w:rsidP="009D0972">
            <w:pPr>
              <w:pStyle w:val="indent"/>
              <w:spacing w:before="0" w:beforeAutospacing="0" w:after="0" w:afterAutospacing="0"/>
              <w:rPr>
                <w:color w:val="000000" w:themeColor="text1"/>
              </w:rPr>
            </w:pPr>
            <w:r w:rsidRPr="00C41FDC">
              <w:rPr>
                <w:color w:val="000000" w:themeColor="text1"/>
              </w:rPr>
              <w:t>0·97</w:t>
            </w:r>
          </w:p>
        </w:tc>
        <w:tc>
          <w:tcPr>
            <w:tcW w:w="1522" w:type="dxa"/>
            <w:tcBorders>
              <w:top w:val="single" w:sz="12" w:space="0" w:color="000000" w:themeColor="text1"/>
            </w:tcBorders>
          </w:tcPr>
          <w:p w14:paraId="70F23426" w14:textId="203C9ED2" w:rsidR="003E7EE3" w:rsidRPr="00C41FDC" w:rsidRDefault="003E7EE3" w:rsidP="009D0972">
            <w:pPr>
              <w:pStyle w:val="indent"/>
              <w:spacing w:before="0" w:beforeAutospacing="0" w:after="0" w:afterAutospacing="0"/>
              <w:rPr>
                <w:color w:val="000000" w:themeColor="text1"/>
              </w:rPr>
            </w:pPr>
            <w:r w:rsidRPr="00C41FDC">
              <w:rPr>
                <w:color w:val="000000" w:themeColor="text1"/>
              </w:rPr>
              <w:t>0·95, 1·00</w:t>
            </w:r>
          </w:p>
        </w:tc>
        <w:tc>
          <w:tcPr>
            <w:tcW w:w="1133" w:type="dxa"/>
            <w:tcBorders>
              <w:top w:val="single" w:sz="12" w:space="0" w:color="000000" w:themeColor="text1"/>
            </w:tcBorders>
          </w:tcPr>
          <w:p w14:paraId="16C77BB6" w14:textId="7D540129" w:rsidR="003E7EE3" w:rsidRPr="00C41FDC" w:rsidRDefault="003E7EE3" w:rsidP="009D0972">
            <w:pPr>
              <w:pStyle w:val="indent"/>
              <w:spacing w:before="0" w:beforeAutospacing="0" w:after="0" w:afterAutospacing="0"/>
              <w:rPr>
                <w:color w:val="000000" w:themeColor="text1"/>
              </w:rPr>
            </w:pPr>
            <w:r w:rsidRPr="00C41FDC">
              <w:rPr>
                <w:color w:val="000000" w:themeColor="text1"/>
              </w:rPr>
              <w:t>0·07</w:t>
            </w:r>
          </w:p>
        </w:tc>
        <w:tc>
          <w:tcPr>
            <w:tcW w:w="993" w:type="dxa"/>
            <w:tcBorders>
              <w:top w:val="single" w:sz="12" w:space="0" w:color="000000" w:themeColor="text1"/>
            </w:tcBorders>
            <w:vAlign w:val="center"/>
          </w:tcPr>
          <w:p w14:paraId="7DE1A9CA" w14:textId="7403C184" w:rsidR="003E7EE3" w:rsidRPr="00C41FDC" w:rsidRDefault="003E7EE3" w:rsidP="00E83381">
            <w:pPr>
              <w:pStyle w:val="indent"/>
              <w:spacing w:before="0" w:beforeAutospacing="0" w:after="0" w:afterAutospacing="0"/>
              <w:rPr>
                <w:color w:val="000000" w:themeColor="text1"/>
              </w:rPr>
            </w:pPr>
            <w:r w:rsidRPr="00C41FDC">
              <w:rPr>
                <w:color w:val="000000" w:themeColor="text1"/>
              </w:rPr>
              <w:t>0·77</w:t>
            </w:r>
          </w:p>
        </w:tc>
      </w:tr>
      <w:tr w:rsidR="00C41FDC" w:rsidRPr="00C41FDC" w14:paraId="0D4797D5" w14:textId="77777777" w:rsidTr="003E7EE3">
        <w:tc>
          <w:tcPr>
            <w:tcW w:w="1511" w:type="dxa"/>
          </w:tcPr>
          <w:p w14:paraId="6B48C29E" w14:textId="77777777" w:rsidR="003E7EE3" w:rsidRPr="00C41FDC" w:rsidRDefault="003E7EE3" w:rsidP="009D0972">
            <w:pPr>
              <w:pStyle w:val="indent"/>
              <w:spacing w:before="0" w:beforeAutospacing="0" w:after="0" w:afterAutospacing="0"/>
              <w:rPr>
                <w:color w:val="000000" w:themeColor="text1"/>
              </w:rPr>
            </w:pPr>
          </w:p>
        </w:tc>
        <w:tc>
          <w:tcPr>
            <w:tcW w:w="3169" w:type="dxa"/>
          </w:tcPr>
          <w:p w14:paraId="615F098E" w14:textId="77777777" w:rsidR="003E7EE3" w:rsidRPr="00C41FDC" w:rsidRDefault="003E7EE3" w:rsidP="009D0972">
            <w:pPr>
              <w:pStyle w:val="indent"/>
              <w:spacing w:before="0" w:beforeAutospacing="0" w:after="0" w:afterAutospacing="0"/>
              <w:rPr>
                <w:color w:val="000000" w:themeColor="text1"/>
              </w:rPr>
            </w:pPr>
            <w:r w:rsidRPr="00C41FDC">
              <w:rPr>
                <w:color w:val="000000" w:themeColor="text1"/>
              </w:rPr>
              <w:t>Male gender</w:t>
            </w:r>
          </w:p>
        </w:tc>
        <w:tc>
          <w:tcPr>
            <w:tcW w:w="1170" w:type="dxa"/>
          </w:tcPr>
          <w:p w14:paraId="15FE64A1" w14:textId="6710771A" w:rsidR="003E7EE3" w:rsidRPr="00C41FDC" w:rsidRDefault="003E7EE3" w:rsidP="009D0972">
            <w:pPr>
              <w:pStyle w:val="indent"/>
              <w:spacing w:before="0" w:beforeAutospacing="0" w:after="0" w:afterAutospacing="0"/>
              <w:rPr>
                <w:color w:val="000000" w:themeColor="text1"/>
              </w:rPr>
            </w:pPr>
            <w:r w:rsidRPr="00C41FDC">
              <w:rPr>
                <w:color w:val="000000" w:themeColor="text1"/>
              </w:rPr>
              <w:t>1·26</w:t>
            </w:r>
          </w:p>
        </w:tc>
        <w:tc>
          <w:tcPr>
            <w:tcW w:w="1522" w:type="dxa"/>
          </w:tcPr>
          <w:p w14:paraId="5B67385F" w14:textId="31DAFB1F" w:rsidR="003E7EE3" w:rsidRPr="00C41FDC" w:rsidRDefault="003E7EE3" w:rsidP="009D0972">
            <w:pPr>
              <w:pStyle w:val="indent"/>
              <w:spacing w:before="0" w:beforeAutospacing="0" w:after="0" w:afterAutospacing="0"/>
              <w:rPr>
                <w:color w:val="000000" w:themeColor="text1"/>
              </w:rPr>
            </w:pPr>
            <w:r w:rsidRPr="00C41FDC">
              <w:rPr>
                <w:color w:val="000000" w:themeColor="text1"/>
              </w:rPr>
              <w:t>0·53, 2·98</w:t>
            </w:r>
          </w:p>
        </w:tc>
        <w:tc>
          <w:tcPr>
            <w:tcW w:w="1133" w:type="dxa"/>
          </w:tcPr>
          <w:p w14:paraId="21EA8415" w14:textId="1CAC8254" w:rsidR="003E7EE3" w:rsidRPr="00C41FDC" w:rsidRDefault="003E7EE3" w:rsidP="009D0972">
            <w:pPr>
              <w:pStyle w:val="indent"/>
              <w:spacing w:before="0" w:beforeAutospacing="0" w:after="0" w:afterAutospacing="0"/>
              <w:rPr>
                <w:color w:val="000000" w:themeColor="text1"/>
              </w:rPr>
            </w:pPr>
            <w:r w:rsidRPr="00C41FDC">
              <w:rPr>
                <w:color w:val="000000" w:themeColor="text1"/>
              </w:rPr>
              <w:t>0·60</w:t>
            </w:r>
          </w:p>
        </w:tc>
        <w:tc>
          <w:tcPr>
            <w:tcW w:w="993" w:type="dxa"/>
          </w:tcPr>
          <w:p w14:paraId="3CD9DEDD" w14:textId="377088FB" w:rsidR="003E7EE3" w:rsidRPr="00C41FDC" w:rsidRDefault="003E7EE3" w:rsidP="009D0972">
            <w:pPr>
              <w:pStyle w:val="indent"/>
              <w:spacing w:before="0" w:beforeAutospacing="0" w:after="0" w:afterAutospacing="0"/>
              <w:rPr>
                <w:color w:val="000000" w:themeColor="text1"/>
              </w:rPr>
            </w:pPr>
          </w:p>
        </w:tc>
      </w:tr>
      <w:tr w:rsidR="00C41FDC" w:rsidRPr="00C41FDC" w14:paraId="197D083C" w14:textId="77777777" w:rsidTr="003E7EE3">
        <w:tc>
          <w:tcPr>
            <w:tcW w:w="1511" w:type="dxa"/>
          </w:tcPr>
          <w:p w14:paraId="0E988E2A" w14:textId="77777777" w:rsidR="003E7EE3" w:rsidRPr="00C41FDC" w:rsidRDefault="003E7EE3" w:rsidP="009D0972">
            <w:pPr>
              <w:pStyle w:val="indent"/>
              <w:spacing w:before="0" w:beforeAutospacing="0" w:after="0" w:afterAutospacing="0"/>
              <w:rPr>
                <w:color w:val="000000" w:themeColor="text1"/>
              </w:rPr>
            </w:pPr>
          </w:p>
        </w:tc>
        <w:tc>
          <w:tcPr>
            <w:tcW w:w="3169" w:type="dxa"/>
          </w:tcPr>
          <w:p w14:paraId="0D929530" w14:textId="77777777" w:rsidR="003E7EE3" w:rsidRPr="00C41FDC" w:rsidRDefault="003E7EE3" w:rsidP="009D0972">
            <w:pPr>
              <w:pStyle w:val="indent"/>
              <w:spacing w:before="0" w:beforeAutospacing="0" w:after="0" w:afterAutospacing="0"/>
              <w:rPr>
                <w:color w:val="000000" w:themeColor="text1"/>
              </w:rPr>
            </w:pPr>
            <w:r w:rsidRPr="00C41FDC">
              <w:rPr>
                <w:color w:val="000000" w:themeColor="text1"/>
              </w:rPr>
              <w:t>Ever smoker</w:t>
            </w:r>
          </w:p>
        </w:tc>
        <w:tc>
          <w:tcPr>
            <w:tcW w:w="1170" w:type="dxa"/>
          </w:tcPr>
          <w:p w14:paraId="4B720131" w14:textId="151F90DB" w:rsidR="003E7EE3" w:rsidRPr="00C41FDC" w:rsidRDefault="003E7EE3" w:rsidP="009D0972">
            <w:pPr>
              <w:pStyle w:val="indent"/>
              <w:spacing w:before="0" w:beforeAutospacing="0" w:after="0" w:afterAutospacing="0"/>
              <w:rPr>
                <w:color w:val="000000" w:themeColor="text1"/>
              </w:rPr>
            </w:pPr>
            <w:r w:rsidRPr="00C41FDC">
              <w:rPr>
                <w:color w:val="000000" w:themeColor="text1"/>
              </w:rPr>
              <w:t>0·96</w:t>
            </w:r>
          </w:p>
        </w:tc>
        <w:tc>
          <w:tcPr>
            <w:tcW w:w="1522" w:type="dxa"/>
          </w:tcPr>
          <w:p w14:paraId="6FA49BD3" w14:textId="13615E6C" w:rsidR="003E7EE3" w:rsidRPr="00C41FDC" w:rsidRDefault="003E7EE3" w:rsidP="009D0972">
            <w:pPr>
              <w:pStyle w:val="indent"/>
              <w:spacing w:before="0" w:beforeAutospacing="0" w:after="0" w:afterAutospacing="0"/>
              <w:rPr>
                <w:color w:val="000000" w:themeColor="text1"/>
              </w:rPr>
            </w:pPr>
            <w:r w:rsidRPr="00C41FDC">
              <w:rPr>
                <w:color w:val="000000" w:themeColor="text1"/>
              </w:rPr>
              <w:t>0·47, 1·96</w:t>
            </w:r>
          </w:p>
        </w:tc>
        <w:tc>
          <w:tcPr>
            <w:tcW w:w="1133" w:type="dxa"/>
          </w:tcPr>
          <w:p w14:paraId="18FAE47E" w14:textId="7B1373E3" w:rsidR="003E7EE3" w:rsidRPr="00C41FDC" w:rsidRDefault="003E7EE3" w:rsidP="009D0972">
            <w:pPr>
              <w:pStyle w:val="indent"/>
              <w:spacing w:before="0" w:beforeAutospacing="0" w:after="0" w:afterAutospacing="0"/>
              <w:rPr>
                <w:color w:val="000000" w:themeColor="text1"/>
              </w:rPr>
            </w:pPr>
            <w:r w:rsidRPr="00C41FDC">
              <w:rPr>
                <w:color w:val="000000" w:themeColor="text1"/>
              </w:rPr>
              <w:t>0·91</w:t>
            </w:r>
          </w:p>
        </w:tc>
        <w:tc>
          <w:tcPr>
            <w:tcW w:w="993" w:type="dxa"/>
          </w:tcPr>
          <w:p w14:paraId="6C1C6C8B" w14:textId="04D426C8" w:rsidR="003E7EE3" w:rsidRPr="00C41FDC" w:rsidRDefault="003E7EE3" w:rsidP="009D0972">
            <w:pPr>
              <w:pStyle w:val="indent"/>
              <w:spacing w:before="0" w:beforeAutospacing="0" w:after="0" w:afterAutospacing="0"/>
              <w:rPr>
                <w:color w:val="000000" w:themeColor="text1"/>
              </w:rPr>
            </w:pPr>
          </w:p>
        </w:tc>
      </w:tr>
      <w:tr w:rsidR="00C41FDC" w:rsidRPr="00C41FDC" w14:paraId="72A5F407" w14:textId="77777777" w:rsidTr="003E7EE3">
        <w:tc>
          <w:tcPr>
            <w:tcW w:w="1511" w:type="dxa"/>
          </w:tcPr>
          <w:p w14:paraId="6CB1A376" w14:textId="77777777" w:rsidR="003E7EE3" w:rsidRPr="00C41FDC" w:rsidRDefault="003E7EE3" w:rsidP="009D0972">
            <w:pPr>
              <w:pStyle w:val="indent"/>
              <w:spacing w:before="0" w:beforeAutospacing="0" w:after="0" w:afterAutospacing="0"/>
              <w:rPr>
                <w:color w:val="000000" w:themeColor="text1"/>
              </w:rPr>
            </w:pPr>
          </w:p>
        </w:tc>
        <w:tc>
          <w:tcPr>
            <w:tcW w:w="3169" w:type="dxa"/>
          </w:tcPr>
          <w:p w14:paraId="75D8D283" w14:textId="59E079C2" w:rsidR="003E7EE3" w:rsidRPr="00C41FDC" w:rsidRDefault="003E7EE3" w:rsidP="009D0972">
            <w:pPr>
              <w:pStyle w:val="indent"/>
              <w:spacing w:before="0" w:beforeAutospacing="0" w:after="0" w:afterAutospacing="0"/>
              <w:rPr>
                <w:color w:val="000000" w:themeColor="text1"/>
              </w:rPr>
            </w:pPr>
            <w:r w:rsidRPr="00C41FDC">
              <w:rPr>
                <w:color w:val="000000" w:themeColor="text1"/>
              </w:rPr>
              <w:t>AF treatment (never/ever)</w:t>
            </w:r>
          </w:p>
        </w:tc>
        <w:tc>
          <w:tcPr>
            <w:tcW w:w="1170" w:type="dxa"/>
          </w:tcPr>
          <w:p w14:paraId="1A10D41E" w14:textId="419A69E2" w:rsidR="003E7EE3" w:rsidRPr="00C41FDC" w:rsidRDefault="003E7EE3" w:rsidP="009D0972">
            <w:pPr>
              <w:pStyle w:val="indent"/>
              <w:spacing w:before="0" w:beforeAutospacing="0" w:after="0" w:afterAutospacing="0"/>
              <w:rPr>
                <w:color w:val="000000" w:themeColor="text1"/>
              </w:rPr>
            </w:pPr>
            <w:r w:rsidRPr="00C41FDC">
              <w:rPr>
                <w:color w:val="000000" w:themeColor="text1"/>
              </w:rPr>
              <w:t>0·53</w:t>
            </w:r>
          </w:p>
        </w:tc>
        <w:tc>
          <w:tcPr>
            <w:tcW w:w="1522" w:type="dxa"/>
          </w:tcPr>
          <w:p w14:paraId="12A6455D" w14:textId="04140AA2" w:rsidR="003E7EE3" w:rsidRPr="00C41FDC" w:rsidRDefault="003E7EE3" w:rsidP="009D0972">
            <w:pPr>
              <w:pStyle w:val="indent"/>
              <w:spacing w:before="0" w:beforeAutospacing="0" w:after="0" w:afterAutospacing="0"/>
              <w:rPr>
                <w:color w:val="000000" w:themeColor="text1"/>
              </w:rPr>
            </w:pPr>
            <w:r w:rsidRPr="00C41FDC">
              <w:rPr>
                <w:color w:val="000000" w:themeColor="text1"/>
              </w:rPr>
              <w:t>0·29, 0·98</w:t>
            </w:r>
          </w:p>
        </w:tc>
        <w:tc>
          <w:tcPr>
            <w:tcW w:w="1133" w:type="dxa"/>
          </w:tcPr>
          <w:p w14:paraId="0FBFB8AF" w14:textId="6B65C14E" w:rsidR="003E7EE3" w:rsidRPr="00C41FDC" w:rsidRDefault="003E7EE3" w:rsidP="009D0972">
            <w:pPr>
              <w:pStyle w:val="indent"/>
              <w:spacing w:before="0" w:beforeAutospacing="0" w:after="0" w:afterAutospacing="0"/>
              <w:rPr>
                <w:color w:val="000000" w:themeColor="text1"/>
              </w:rPr>
            </w:pPr>
            <w:r w:rsidRPr="00C41FDC">
              <w:rPr>
                <w:color w:val="000000" w:themeColor="text1"/>
              </w:rPr>
              <w:t>0·04</w:t>
            </w:r>
          </w:p>
        </w:tc>
        <w:tc>
          <w:tcPr>
            <w:tcW w:w="993" w:type="dxa"/>
          </w:tcPr>
          <w:p w14:paraId="491CD862" w14:textId="79099EB1" w:rsidR="003E7EE3" w:rsidRPr="00C41FDC" w:rsidRDefault="003E7EE3" w:rsidP="009D0972">
            <w:pPr>
              <w:pStyle w:val="indent"/>
              <w:spacing w:before="0" w:beforeAutospacing="0" w:after="0" w:afterAutospacing="0"/>
              <w:rPr>
                <w:color w:val="000000" w:themeColor="text1"/>
              </w:rPr>
            </w:pPr>
          </w:p>
        </w:tc>
      </w:tr>
      <w:tr w:rsidR="00C41FDC" w:rsidRPr="00C41FDC" w14:paraId="0836EE3E" w14:textId="77777777" w:rsidTr="003E7EE3">
        <w:tc>
          <w:tcPr>
            <w:tcW w:w="1511" w:type="dxa"/>
          </w:tcPr>
          <w:p w14:paraId="638F94DF" w14:textId="77777777" w:rsidR="003E7EE3" w:rsidRPr="00C41FDC" w:rsidRDefault="003E7EE3" w:rsidP="009D0972">
            <w:pPr>
              <w:pStyle w:val="indent"/>
              <w:spacing w:before="0" w:beforeAutospacing="0" w:after="0" w:afterAutospacing="0"/>
              <w:rPr>
                <w:color w:val="000000" w:themeColor="text1"/>
              </w:rPr>
            </w:pPr>
          </w:p>
        </w:tc>
        <w:tc>
          <w:tcPr>
            <w:tcW w:w="3169" w:type="dxa"/>
          </w:tcPr>
          <w:p w14:paraId="164F113F" w14:textId="40F7377F" w:rsidR="003E7EE3" w:rsidRPr="00C41FDC" w:rsidRDefault="003E7EE3" w:rsidP="009D0972">
            <w:pPr>
              <w:pStyle w:val="indent"/>
              <w:spacing w:before="0" w:beforeAutospacing="0" w:after="0" w:afterAutospacing="0"/>
              <w:rPr>
                <w:color w:val="000000" w:themeColor="text1"/>
              </w:rPr>
            </w:pPr>
            <w:r w:rsidRPr="00C41FDC">
              <w:rPr>
                <w:color w:val="000000" w:themeColor="text1"/>
              </w:rPr>
              <w:t xml:space="preserve">DLco </w:t>
            </w:r>
          </w:p>
        </w:tc>
        <w:tc>
          <w:tcPr>
            <w:tcW w:w="1170" w:type="dxa"/>
          </w:tcPr>
          <w:p w14:paraId="72555661" w14:textId="0A9BA6EC" w:rsidR="003E7EE3" w:rsidRPr="00C41FDC" w:rsidRDefault="003E7EE3" w:rsidP="009D0972">
            <w:pPr>
              <w:pStyle w:val="indent"/>
              <w:spacing w:before="0" w:beforeAutospacing="0" w:after="0" w:afterAutospacing="0"/>
              <w:rPr>
                <w:color w:val="000000" w:themeColor="text1"/>
              </w:rPr>
            </w:pPr>
            <w:r w:rsidRPr="00C41FDC">
              <w:rPr>
                <w:color w:val="000000" w:themeColor="text1"/>
              </w:rPr>
              <w:t>0·96</w:t>
            </w:r>
          </w:p>
        </w:tc>
        <w:tc>
          <w:tcPr>
            <w:tcW w:w="1522" w:type="dxa"/>
          </w:tcPr>
          <w:p w14:paraId="4EDFC5CB" w14:textId="63D46270" w:rsidR="003E7EE3" w:rsidRPr="00C41FDC" w:rsidRDefault="003E7EE3" w:rsidP="009D0972">
            <w:pPr>
              <w:pStyle w:val="indent"/>
              <w:spacing w:before="0" w:beforeAutospacing="0" w:after="0" w:afterAutospacing="0"/>
              <w:rPr>
                <w:color w:val="000000" w:themeColor="text1"/>
              </w:rPr>
            </w:pPr>
            <w:r w:rsidRPr="00C41FDC">
              <w:rPr>
                <w:color w:val="000000" w:themeColor="text1"/>
              </w:rPr>
              <w:t>0·95, 0·98</w:t>
            </w:r>
          </w:p>
        </w:tc>
        <w:tc>
          <w:tcPr>
            <w:tcW w:w="1133" w:type="dxa"/>
          </w:tcPr>
          <w:p w14:paraId="79B3CEA4" w14:textId="288FE742" w:rsidR="003E7EE3" w:rsidRPr="00C41FDC" w:rsidRDefault="003E7EE3" w:rsidP="009D0972">
            <w:pPr>
              <w:pStyle w:val="indent"/>
              <w:spacing w:before="0" w:beforeAutospacing="0" w:after="0" w:afterAutospacing="0"/>
              <w:rPr>
                <w:color w:val="000000" w:themeColor="text1"/>
              </w:rPr>
            </w:pPr>
            <w:r w:rsidRPr="00C41FDC">
              <w:rPr>
                <w:color w:val="000000" w:themeColor="text1"/>
              </w:rPr>
              <w:t>&lt; 0·0001</w:t>
            </w:r>
          </w:p>
        </w:tc>
        <w:tc>
          <w:tcPr>
            <w:tcW w:w="993" w:type="dxa"/>
          </w:tcPr>
          <w:p w14:paraId="020B57E0" w14:textId="463928E6" w:rsidR="003E7EE3" w:rsidRPr="00C41FDC" w:rsidRDefault="003E7EE3" w:rsidP="009D0972">
            <w:pPr>
              <w:pStyle w:val="indent"/>
              <w:spacing w:before="0" w:beforeAutospacing="0" w:after="0" w:afterAutospacing="0"/>
              <w:rPr>
                <w:color w:val="000000" w:themeColor="text1"/>
              </w:rPr>
            </w:pPr>
          </w:p>
        </w:tc>
      </w:tr>
      <w:tr w:rsidR="00C41FDC" w:rsidRPr="00C41FDC" w14:paraId="19B915B0" w14:textId="77777777" w:rsidTr="003E7EE3">
        <w:tc>
          <w:tcPr>
            <w:tcW w:w="1511" w:type="dxa"/>
            <w:tcBorders>
              <w:bottom w:val="single" w:sz="12" w:space="0" w:color="000000" w:themeColor="text1"/>
            </w:tcBorders>
          </w:tcPr>
          <w:p w14:paraId="333D5405" w14:textId="77777777" w:rsidR="003E7EE3" w:rsidRPr="00C41FDC" w:rsidRDefault="003E7EE3" w:rsidP="009D0972">
            <w:pPr>
              <w:pStyle w:val="indent"/>
              <w:spacing w:before="0" w:beforeAutospacing="0" w:after="0" w:afterAutospacing="0"/>
              <w:rPr>
                <w:color w:val="000000" w:themeColor="text1"/>
              </w:rPr>
            </w:pPr>
          </w:p>
        </w:tc>
        <w:tc>
          <w:tcPr>
            <w:tcW w:w="3169" w:type="dxa"/>
            <w:tcBorders>
              <w:bottom w:val="single" w:sz="12" w:space="0" w:color="000000" w:themeColor="text1"/>
            </w:tcBorders>
          </w:tcPr>
          <w:p w14:paraId="52CD0F1E" w14:textId="3F102D9C" w:rsidR="003E7EE3" w:rsidRPr="00C41FDC" w:rsidRDefault="003E7EE3" w:rsidP="009D0972">
            <w:pPr>
              <w:pStyle w:val="indent"/>
              <w:spacing w:before="0" w:beforeAutospacing="0" w:after="0" w:afterAutospacing="0"/>
              <w:rPr>
                <w:color w:val="000000" w:themeColor="text1"/>
              </w:rPr>
            </w:pPr>
            <w:r w:rsidRPr="00C41FDC">
              <w:rPr>
                <w:color w:val="000000" w:themeColor="text1"/>
              </w:rPr>
              <w:t xml:space="preserve">cPPFE </w:t>
            </w:r>
            <w:bookmarkStart w:id="296" w:name="OLE_LINK85"/>
            <w:bookmarkStart w:id="297" w:name="OLE_LINK86"/>
            <w:r w:rsidRPr="00C41FDC">
              <w:rPr>
                <w:color w:val="000000" w:themeColor="text1"/>
              </w:rPr>
              <w:t>≥ 2·5%</w:t>
            </w:r>
            <w:bookmarkEnd w:id="296"/>
            <w:bookmarkEnd w:id="297"/>
          </w:p>
        </w:tc>
        <w:tc>
          <w:tcPr>
            <w:tcW w:w="1170" w:type="dxa"/>
            <w:tcBorders>
              <w:bottom w:val="single" w:sz="12" w:space="0" w:color="000000" w:themeColor="text1"/>
            </w:tcBorders>
          </w:tcPr>
          <w:p w14:paraId="1FC9E0CB" w14:textId="61336A5A" w:rsidR="003E7EE3" w:rsidRPr="00C41FDC" w:rsidRDefault="003E7EE3" w:rsidP="009D0972">
            <w:pPr>
              <w:pStyle w:val="indent"/>
              <w:spacing w:before="0" w:beforeAutospacing="0" w:after="0" w:afterAutospacing="0"/>
              <w:rPr>
                <w:color w:val="000000" w:themeColor="text1"/>
              </w:rPr>
            </w:pPr>
            <w:r w:rsidRPr="00C41FDC">
              <w:rPr>
                <w:color w:val="000000" w:themeColor="text1"/>
              </w:rPr>
              <w:t>4</w:t>
            </w:r>
            <w:bookmarkStart w:id="298" w:name="OLE_LINK177"/>
            <w:bookmarkStart w:id="299" w:name="OLE_LINK178"/>
            <w:r w:rsidRPr="00C41FDC">
              <w:rPr>
                <w:color w:val="000000" w:themeColor="text1"/>
              </w:rPr>
              <w:t>·25</w:t>
            </w:r>
            <w:bookmarkEnd w:id="298"/>
            <w:bookmarkEnd w:id="299"/>
          </w:p>
        </w:tc>
        <w:tc>
          <w:tcPr>
            <w:tcW w:w="1522" w:type="dxa"/>
            <w:tcBorders>
              <w:bottom w:val="single" w:sz="12" w:space="0" w:color="000000" w:themeColor="text1"/>
            </w:tcBorders>
          </w:tcPr>
          <w:p w14:paraId="1EC19EFE" w14:textId="182EDEC7" w:rsidR="003E7EE3" w:rsidRPr="00C41FDC" w:rsidRDefault="003E7EE3" w:rsidP="009D0972">
            <w:pPr>
              <w:pStyle w:val="indent"/>
              <w:spacing w:before="0" w:beforeAutospacing="0" w:after="0" w:afterAutospacing="0"/>
              <w:rPr>
                <w:color w:val="000000" w:themeColor="text1"/>
              </w:rPr>
            </w:pPr>
            <w:r w:rsidRPr="00C41FDC">
              <w:rPr>
                <w:color w:val="000000" w:themeColor="text1"/>
              </w:rPr>
              <w:t>2·48, 7·29</w:t>
            </w:r>
          </w:p>
        </w:tc>
        <w:tc>
          <w:tcPr>
            <w:tcW w:w="1133" w:type="dxa"/>
            <w:tcBorders>
              <w:bottom w:val="single" w:sz="12" w:space="0" w:color="000000" w:themeColor="text1"/>
            </w:tcBorders>
          </w:tcPr>
          <w:p w14:paraId="04FD488C" w14:textId="0323C9B3" w:rsidR="003E7EE3" w:rsidRPr="00C41FDC" w:rsidRDefault="003E7EE3" w:rsidP="009D0972">
            <w:pPr>
              <w:pStyle w:val="indent"/>
              <w:spacing w:before="0" w:beforeAutospacing="0" w:after="0" w:afterAutospacing="0"/>
              <w:rPr>
                <w:color w:val="000000" w:themeColor="text1"/>
              </w:rPr>
            </w:pPr>
            <w:r w:rsidRPr="00C41FDC">
              <w:rPr>
                <w:color w:val="000000" w:themeColor="text1"/>
              </w:rPr>
              <w:t>&lt; 0·0001</w:t>
            </w:r>
          </w:p>
        </w:tc>
        <w:tc>
          <w:tcPr>
            <w:tcW w:w="993" w:type="dxa"/>
            <w:tcBorders>
              <w:bottom w:val="single" w:sz="12" w:space="0" w:color="000000" w:themeColor="text1"/>
            </w:tcBorders>
          </w:tcPr>
          <w:p w14:paraId="03D4E746" w14:textId="55C88E86" w:rsidR="003E7EE3" w:rsidRPr="00C41FDC" w:rsidRDefault="003E7EE3" w:rsidP="009D0972">
            <w:pPr>
              <w:pStyle w:val="indent"/>
              <w:spacing w:before="0" w:beforeAutospacing="0" w:after="0" w:afterAutospacing="0"/>
              <w:rPr>
                <w:color w:val="000000" w:themeColor="text1"/>
              </w:rPr>
            </w:pPr>
          </w:p>
        </w:tc>
      </w:tr>
      <w:bookmarkEnd w:id="295"/>
      <w:tr w:rsidR="00C41FDC" w:rsidRPr="00C41FDC" w14:paraId="68E8AD8E" w14:textId="77777777" w:rsidTr="003E7EE3">
        <w:tc>
          <w:tcPr>
            <w:tcW w:w="1511" w:type="dxa"/>
            <w:tcBorders>
              <w:top w:val="single" w:sz="12" w:space="0" w:color="000000" w:themeColor="text1"/>
            </w:tcBorders>
            <w:vAlign w:val="center"/>
          </w:tcPr>
          <w:p w14:paraId="6C81CFAF" w14:textId="77777777" w:rsidR="003E7EE3" w:rsidRPr="00C41FDC" w:rsidRDefault="003E7EE3" w:rsidP="00E83381">
            <w:pPr>
              <w:pStyle w:val="indent"/>
              <w:spacing w:before="0" w:beforeAutospacing="0" w:after="0" w:afterAutospacing="0"/>
              <w:rPr>
                <w:color w:val="000000" w:themeColor="text1"/>
              </w:rPr>
            </w:pPr>
            <w:r w:rsidRPr="00C41FDC">
              <w:rPr>
                <w:color w:val="000000" w:themeColor="text1"/>
              </w:rPr>
              <w:t>Validation</w:t>
            </w:r>
          </w:p>
        </w:tc>
        <w:tc>
          <w:tcPr>
            <w:tcW w:w="3169" w:type="dxa"/>
            <w:tcBorders>
              <w:top w:val="single" w:sz="12" w:space="0" w:color="000000" w:themeColor="text1"/>
            </w:tcBorders>
          </w:tcPr>
          <w:p w14:paraId="4B09691B" w14:textId="77777777" w:rsidR="003E7EE3" w:rsidRPr="00C41FDC" w:rsidRDefault="003E7EE3" w:rsidP="009D0972">
            <w:pPr>
              <w:pStyle w:val="indent"/>
              <w:spacing w:before="0" w:beforeAutospacing="0" w:after="0" w:afterAutospacing="0"/>
              <w:rPr>
                <w:color w:val="000000" w:themeColor="text1"/>
              </w:rPr>
            </w:pPr>
            <w:r w:rsidRPr="00C41FDC">
              <w:rPr>
                <w:color w:val="000000" w:themeColor="text1"/>
              </w:rPr>
              <w:t>Age (years)</w:t>
            </w:r>
          </w:p>
        </w:tc>
        <w:tc>
          <w:tcPr>
            <w:tcW w:w="1170" w:type="dxa"/>
            <w:tcBorders>
              <w:top w:val="single" w:sz="12" w:space="0" w:color="000000" w:themeColor="text1"/>
            </w:tcBorders>
          </w:tcPr>
          <w:p w14:paraId="43120674" w14:textId="2D62621F" w:rsidR="003E7EE3" w:rsidRPr="00C41FDC" w:rsidRDefault="003E7EE3" w:rsidP="009D0972">
            <w:pPr>
              <w:pStyle w:val="indent"/>
              <w:spacing w:before="0" w:beforeAutospacing="0" w:after="0" w:afterAutospacing="0"/>
              <w:rPr>
                <w:color w:val="000000" w:themeColor="text1"/>
              </w:rPr>
            </w:pPr>
            <w:r w:rsidRPr="00C41FDC">
              <w:rPr>
                <w:color w:val="000000" w:themeColor="text1"/>
              </w:rPr>
              <w:t>0·99</w:t>
            </w:r>
          </w:p>
        </w:tc>
        <w:tc>
          <w:tcPr>
            <w:tcW w:w="1522" w:type="dxa"/>
            <w:tcBorders>
              <w:top w:val="single" w:sz="12" w:space="0" w:color="000000" w:themeColor="text1"/>
            </w:tcBorders>
          </w:tcPr>
          <w:p w14:paraId="258E5B39" w14:textId="6801F89A" w:rsidR="003E7EE3" w:rsidRPr="00C41FDC" w:rsidRDefault="003E7EE3" w:rsidP="009D0972">
            <w:pPr>
              <w:pStyle w:val="indent"/>
              <w:spacing w:before="0" w:beforeAutospacing="0" w:after="0" w:afterAutospacing="0"/>
              <w:rPr>
                <w:color w:val="000000" w:themeColor="text1"/>
              </w:rPr>
            </w:pPr>
            <w:r w:rsidRPr="00C41FDC">
              <w:rPr>
                <w:color w:val="000000" w:themeColor="text1"/>
              </w:rPr>
              <w:t>0·96, 1·02</w:t>
            </w:r>
          </w:p>
        </w:tc>
        <w:tc>
          <w:tcPr>
            <w:tcW w:w="1133" w:type="dxa"/>
            <w:tcBorders>
              <w:top w:val="single" w:sz="12" w:space="0" w:color="000000" w:themeColor="text1"/>
            </w:tcBorders>
          </w:tcPr>
          <w:p w14:paraId="614E4D55" w14:textId="7773435A" w:rsidR="003E7EE3" w:rsidRPr="00C41FDC" w:rsidRDefault="003E7EE3" w:rsidP="009D0972">
            <w:pPr>
              <w:pStyle w:val="indent"/>
              <w:spacing w:before="0" w:beforeAutospacing="0" w:after="0" w:afterAutospacing="0"/>
              <w:rPr>
                <w:color w:val="000000" w:themeColor="text1"/>
              </w:rPr>
            </w:pPr>
            <w:r w:rsidRPr="00C41FDC">
              <w:rPr>
                <w:color w:val="000000" w:themeColor="text1"/>
              </w:rPr>
              <w:t>0·43</w:t>
            </w:r>
          </w:p>
        </w:tc>
        <w:tc>
          <w:tcPr>
            <w:tcW w:w="993" w:type="dxa"/>
            <w:tcBorders>
              <w:top w:val="single" w:sz="12" w:space="0" w:color="000000" w:themeColor="text1"/>
            </w:tcBorders>
            <w:vAlign w:val="center"/>
          </w:tcPr>
          <w:p w14:paraId="13F9957E" w14:textId="77777777" w:rsidR="003E7EE3" w:rsidRPr="00C41FDC" w:rsidRDefault="003E7EE3" w:rsidP="00E83381">
            <w:pPr>
              <w:pStyle w:val="indent"/>
              <w:spacing w:before="0" w:beforeAutospacing="0" w:after="0" w:afterAutospacing="0"/>
              <w:rPr>
                <w:color w:val="000000" w:themeColor="text1"/>
              </w:rPr>
            </w:pPr>
            <w:r w:rsidRPr="00C41FDC">
              <w:rPr>
                <w:color w:val="000000" w:themeColor="text1"/>
              </w:rPr>
              <w:t>0·74</w:t>
            </w:r>
          </w:p>
        </w:tc>
      </w:tr>
      <w:tr w:rsidR="00C41FDC" w:rsidRPr="00C41FDC" w14:paraId="222A8594" w14:textId="77777777" w:rsidTr="003E7EE3">
        <w:tc>
          <w:tcPr>
            <w:tcW w:w="1511" w:type="dxa"/>
          </w:tcPr>
          <w:p w14:paraId="415715ED" w14:textId="77777777" w:rsidR="003E7EE3" w:rsidRPr="00C41FDC" w:rsidRDefault="003E7EE3" w:rsidP="009D0972">
            <w:pPr>
              <w:pStyle w:val="indent"/>
              <w:spacing w:before="0" w:beforeAutospacing="0" w:after="0" w:afterAutospacing="0"/>
              <w:rPr>
                <w:color w:val="000000" w:themeColor="text1"/>
              </w:rPr>
            </w:pPr>
          </w:p>
        </w:tc>
        <w:tc>
          <w:tcPr>
            <w:tcW w:w="3169" w:type="dxa"/>
          </w:tcPr>
          <w:p w14:paraId="44F0E9CF" w14:textId="77777777" w:rsidR="003E7EE3" w:rsidRPr="00C41FDC" w:rsidRDefault="003E7EE3" w:rsidP="009D0972">
            <w:pPr>
              <w:pStyle w:val="indent"/>
              <w:spacing w:before="0" w:beforeAutospacing="0" w:after="0" w:afterAutospacing="0"/>
              <w:rPr>
                <w:color w:val="000000" w:themeColor="text1"/>
              </w:rPr>
            </w:pPr>
            <w:r w:rsidRPr="00C41FDC">
              <w:rPr>
                <w:color w:val="000000" w:themeColor="text1"/>
              </w:rPr>
              <w:t>Male gender</w:t>
            </w:r>
          </w:p>
        </w:tc>
        <w:tc>
          <w:tcPr>
            <w:tcW w:w="1170" w:type="dxa"/>
          </w:tcPr>
          <w:p w14:paraId="69467354" w14:textId="035A0213" w:rsidR="003E7EE3" w:rsidRPr="00C41FDC" w:rsidRDefault="003E7EE3" w:rsidP="009D0972">
            <w:pPr>
              <w:pStyle w:val="indent"/>
              <w:spacing w:before="0" w:beforeAutospacing="0" w:after="0" w:afterAutospacing="0"/>
              <w:rPr>
                <w:color w:val="000000" w:themeColor="text1"/>
              </w:rPr>
            </w:pPr>
            <w:r w:rsidRPr="00C41FDC">
              <w:rPr>
                <w:color w:val="000000" w:themeColor="text1"/>
              </w:rPr>
              <w:t>1·97</w:t>
            </w:r>
          </w:p>
        </w:tc>
        <w:tc>
          <w:tcPr>
            <w:tcW w:w="1522" w:type="dxa"/>
          </w:tcPr>
          <w:p w14:paraId="4EC34225" w14:textId="605E4EE1" w:rsidR="003E7EE3" w:rsidRPr="00C41FDC" w:rsidRDefault="003E7EE3" w:rsidP="009D0972">
            <w:pPr>
              <w:pStyle w:val="indent"/>
              <w:spacing w:before="0" w:beforeAutospacing="0" w:after="0" w:afterAutospacing="0"/>
              <w:rPr>
                <w:color w:val="000000" w:themeColor="text1"/>
              </w:rPr>
            </w:pPr>
            <w:r w:rsidRPr="00C41FDC">
              <w:rPr>
                <w:color w:val="000000" w:themeColor="text1"/>
              </w:rPr>
              <w:t>1·06, 3·64</w:t>
            </w:r>
          </w:p>
        </w:tc>
        <w:tc>
          <w:tcPr>
            <w:tcW w:w="1133" w:type="dxa"/>
          </w:tcPr>
          <w:p w14:paraId="33CD5D1C" w14:textId="6467FA11" w:rsidR="003E7EE3" w:rsidRPr="00C41FDC" w:rsidRDefault="003E7EE3" w:rsidP="009D0972">
            <w:pPr>
              <w:pStyle w:val="indent"/>
              <w:spacing w:before="0" w:beforeAutospacing="0" w:after="0" w:afterAutospacing="0"/>
              <w:rPr>
                <w:color w:val="000000" w:themeColor="text1"/>
              </w:rPr>
            </w:pPr>
            <w:r w:rsidRPr="00C41FDC">
              <w:rPr>
                <w:color w:val="000000" w:themeColor="text1"/>
              </w:rPr>
              <w:t>0·03</w:t>
            </w:r>
          </w:p>
        </w:tc>
        <w:tc>
          <w:tcPr>
            <w:tcW w:w="993" w:type="dxa"/>
          </w:tcPr>
          <w:p w14:paraId="6879C294" w14:textId="6D57511C" w:rsidR="003E7EE3" w:rsidRPr="00C41FDC" w:rsidRDefault="003E7EE3" w:rsidP="009D0972">
            <w:pPr>
              <w:pStyle w:val="indent"/>
              <w:spacing w:before="0" w:beforeAutospacing="0" w:after="0" w:afterAutospacing="0"/>
              <w:rPr>
                <w:color w:val="000000" w:themeColor="text1"/>
              </w:rPr>
            </w:pPr>
          </w:p>
        </w:tc>
      </w:tr>
      <w:tr w:rsidR="00C41FDC" w:rsidRPr="00C41FDC" w14:paraId="702A710B" w14:textId="77777777" w:rsidTr="003E7EE3">
        <w:tc>
          <w:tcPr>
            <w:tcW w:w="1511" w:type="dxa"/>
          </w:tcPr>
          <w:p w14:paraId="54534220" w14:textId="77777777" w:rsidR="003E7EE3" w:rsidRPr="00C41FDC" w:rsidRDefault="003E7EE3" w:rsidP="009D0972">
            <w:pPr>
              <w:pStyle w:val="indent"/>
              <w:spacing w:before="0" w:beforeAutospacing="0" w:after="0" w:afterAutospacing="0"/>
              <w:rPr>
                <w:color w:val="000000" w:themeColor="text1"/>
              </w:rPr>
            </w:pPr>
          </w:p>
        </w:tc>
        <w:tc>
          <w:tcPr>
            <w:tcW w:w="3169" w:type="dxa"/>
          </w:tcPr>
          <w:p w14:paraId="191CAAC8" w14:textId="77777777" w:rsidR="003E7EE3" w:rsidRPr="00C41FDC" w:rsidRDefault="003E7EE3" w:rsidP="009D0972">
            <w:pPr>
              <w:pStyle w:val="indent"/>
              <w:spacing w:before="0" w:beforeAutospacing="0" w:after="0" w:afterAutospacing="0"/>
              <w:rPr>
                <w:color w:val="000000" w:themeColor="text1"/>
              </w:rPr>
            </w:pPr>
            <w:r w:rsidRPr="00C41FDC">
              <w:rPr>
                <w:color w:val="000000" w:themeColor="text1"/>
              </w:rPr>
              <w:t>Ever smoker</w:t>
            </w:r>
          </w:p>
        </w:tc>
        <w:tc>
          <w:tcPr>
            <w:tcW w:w="1170" w:type="dxa"/>
          </w:tcPr>
          <w:p w14:paraId="7BD0765F" w14:textId="5CAA8D53" w:rsidR="003E7EE3" w:rsidRPr="00C41FDC" w:rsidRDefault="003E7EE3" w:rsidP="009D0972">
            <w:pPr>
              <w:pStyle w:val="indent"/>
              <w:spacing w:before="0" w:beforeAutospacing="0" w:after="0" w:afterAutospacing="0"/>
              <w:rPr>
                <w:color w:val="000000" w:themeColor="text1"/>
              </w:rPr>
            </w:pPr>
            <w:r w:rsidRPr="00C41FDC">
              <w:rPr>
                <w:color w:val="000000" w:themeColor="text1"/>
              </w:rPr>
              <w:t>0·88</w:t>
            </w:r>
          </w:p>
        </w:tc>
        <w:tc>
          <w:tcPr>
            <w:tcW w:w="1522" w:type="dxa"/>
          </w:tcPr>
          <w:p w14:paraId="075A11CD" w14:textId="14F4C808" w:rsidR="003E7EE3" w:rsidRPr="00C41FDC" w:rsidRDefault="003E7EE3" w:rsidP="009D0972">
            <w:pPr>
              <w:pStyle w:val="indent"/>
              <w:spacing w:before="0" w:beforeAutospacing="0" w:after="0" w:afterAutospacing="0"/>
              <w:rPr>
                <w:color w:val="000000" w:themeColor="text1"/>
              </w:rPr>
            </w:pPr>
            <w:r w:rsidRPr="00C41FDC">
              <w:rPr>
                <w:color w:val="000000" w:themeColor="text1"/>
              </w:rPr>
              <w:t>0·52, 1·47</w:t>
            </w:r>
          </w:p>
        </w:tc>
        <w:tc>
          <w:tcPr>
            <w:tcW w:w="1133" w:type="dxa"/>
          </w:tcPr>
          <w:p w14:paraId="25699F8B" w14:textId="65B479C9" w:rsidR="003E7EE3" w:rsidRPr="00C41FDC" w:rsidRDefault="003E7EE3" w:rsidP="009D0972">
            <w:pPr>
              <w:pStyle w:val="indent"/>
              <w:spacing w:before="0" w:beforeAutospacing="0" w:after="0" w:afterAutospacing="0"/>
              <w:rPr>
                <w:color w:val="000000" w:themeColor="text1"/>
              </w:rPr>
            </w:pPr>
            <w:r w:rsidRPr="00C41FDC">
              <w:rPr>
                <w:color w:val="000000" w:themeColor="text1"/>
              </w:rPr>
              <w:t>0·62</w:t>
            </w:r>
          </w:p>
        </w:tc>
        <w:tc>
          <w:tcPr>
            <w:tcW w:w="993" w:type="dxa"/>
          </w:tcPr>
          <w:p w14:paraId="601A6891" w14:textId="4B55CCF5" w:rsidR="003E7EE3" w:rsidRPr="00C41FDC" w:rsidRDefault="003E7EE3" w:rsidP="009D0972">
            <w:pPr>
              <w:pStyle w:val="indent"/>
              <w:spacing w:before="0" w:beforeAutospacing="0" w:after="0" w:afterAutospacing="0"/>
              <w:rPr>
                <w:color w:val="000000" w:themeColor="text1"/>
              </w:rPr>
            </w:pPr>
          </w:p>
        </w:tc>
      </w:tr>
      <w:tr w:rsidR="00C41FDC" w:rsidRPr="00C41FDC" w14:paraId="5CBD952A" w14:textId="77777777" w:rsidTr="003E7EE3">
        <w:tc>
          <w:tcPr>
            <w:tcW w:w="1511" w:type="dxa"/>
          </w:tcPr>
          <w:p w14:paraId="273FA231" w14:textId="77777777" w:rsidR="003E7EE3" w:rsidRPr="00C41FDC" w:rsidRDefault="003E7EE3" w:rsidP="009D0972">
            <w:pPr>
              <w:pStyle w:val="indent"/>
              <w:spacing w:before="0" w:beforeAutospacing="0" w:after="0" w:afterAutospacing="0"/>
              <w:rPr>
                <w:color w:val="000000" w:themeColor="text1"/>
              </w:rPr>
            </w:pPr>
          </w:p>
        </w:tc>
        <w:tc>
          <w:tcPr>
            <w:tcW w:w="3169" w:type="dxa"/>
          </w:tcPr>
          <w:p w14:paraId="4F3DFA8E" w14:textId="35A4AA72" w:rsidR="003E7EE3" w:rsidRPr="00C41FDC" w:rsidRDefault="003E7EE3" w:rsidP="009D0972">
            <w:pPr>
              <w:pStyle w:val="indent"/>
              <w:spacing w:before="0" w:beforeAutospacing="0" w:after="0" w:afterAutospacing="0"/>
              <w:rPr>
                <w:color w:val="000000" w:themeColor="text1"/>
              </w:rPr>
            </w:pPr>
            <w:r w:rsidRPr="00C41FDC">
              <w:rPr>
                <w:color w:val="000000" w:themeColor="text1"/>
              </w:rPr>
              <w:t>AF treatment (never/ever)</w:t>
            </w:r>
          </w:p>
        </w:tc>
        <w:tc>
          <w:tcPr>
            <w:tcW w:w="1170" w:type="dxa"/>
          </w:tcPr>
          <w:p w14:paraId="17C201BD" w14:textId="3C7C01BF" w:rsidR="003E7EE3" w:rsidRPr="00C41FDC" w:rsidRDefault="003E7EE3" w:rsidP="009D0972">
            <w:pPr>
              <w:pStyle w:val="indent"/>
              <w:spacing w:before="0" w:beforeAutospacing="0" w:after="0" w:afterAutospacing="0"/>
              <w:rPr>
                <w:color w:val="000000" w:themeColor="text1"/>
              </w:rPr>
            </w:pPr>
            <w:r w:rsidRPr="00C41FDC">
              <w:rPr>
                <w:color w:val="000000" w:themeColor="text1"/>
              </w:rPr>
              <w:t>0·67</w:t>
            </w:r>
          </w:p>
        </w:tc>
        <w:tc>
          <w:tcPr>
            <w:tcW w:w="1522" w:type="dxa"/>
          </w:tcPr>
          <w:p w14:paraId="08C97592" w14:textId="68815466" w:rsidR="003E7EE3" w:rsidRPr="00C41FDC" w:rsidRDefault="003E7EE3" w:rsidP="009D0972">
            <w:pPr>
              <w:pStyle w:val="indent"/>
              <w:spacing w:before="0" w:beforeAutospacing="0" w:after="0" w:afterAutospacing="0"/>
              <w:rPr>
                <w:color w:val="000000" w:themeColor="text1"/>
              </w:rPr>
            </w:pPr>
            <w:r w:rsidRPr="00C41FDC">
              <w:rPr>
                <w:color w:val="000000" w:themeColor="text1"/>
              </w:rPr>
              <w:t>0·42, 1·07</w:t>
            </w:r>
          </w:p>
        </w:tc>
        <w:tc>
          <w:tcPr>
            <w:tcW w:w="1133" w:type="dxa"/>
          </w:tcPr>
          <w:p w14:paraId="33B02793" w14:textId="57D9DBA7" w:rsidR="003E7EE3" w:rsidRPr="00C41FDC" w:rsidRDefault="003E7EE3" w:rsidP="009D0972">
            <w:pPr>
              <w:pStyle w:val="indent"/>
              <w:spacing w:before="0" w:beforeAutospacing="0" w:after="0" w:afterAutospacing="0"/>
              <w:rPr>
                <w:color w:val="000000" w:themeColor="text1"/>
              </w:rPr>
            </w:pPr>
            <w:r w:rsidRPr="00C41FDC">
              <w:rPr>
                <w:color w:val="000000" w:themeColor="text1"/>
              </w:rPr>
              <w:t>0·10</w:t>
            </w:r>
          </w:p>
        </w:tc>
        <w:tc>
          <w:tcPr>
            <w:tcW w:w="993" w:type="dxa"/>
          </w:tcPr>
          <w:p w14:paraId="07EAFB76" w14:textId="3BC63BF8" w:rsidR="003E7EE3" w:rsidRPr="00C41FDC" w:rsidRDefault="003E7EE3" w:rsidP="009D0972">
            <w:pPr>
              <w:pStyle w:val="indent"/>
              <w:spacing w:before="0" w:beforeAutospacing="0" w:after="0" w:afterAutospacing="0"/>
              <w:rPr>
                <w:color w:val="000000" w:themeColor="text1"/>
              </w:rPr>
            </w:pPr>
          </w:p>
        </w:tc>
      </w:tr>
      <w:tr w:rsidR="00C41FDC" w:rsidRPr="00C41FDC" w14:paraId="2D76B4B4" w14:textId="77777777" w:rsidTr="003E7EE3">
        <w:tc>
          <w:tcPr>
            <w:tcW w:w="1511" w:type="dxa"/>
          </w:tcPr>
          <w:p w14:paraId="7010480B" w14:textId="77777777" w:rsidR="003E7EE3" w:rsidRPr="00C41FDC" w:rsidRDefault="003E7EE3" w:rsidP="009D0972">
            <w:pPr>
              <w:pStyle w:val="indent"/>
              <w:spacing w:before="0" w:beforeAutospacing="0" w:after="0" w:afterAutospacing="0"/>
              <w:rPr>
                <w:color w:val="000000" w:themeColor="text1"/>
              </w:rPr>
            </w:pPr>
          </w:p>
        </w:tc>
        <w:tc>
          <w:tcPr>
            <w:tcW w:w="3169" w:type="dxa"/>
          </w:tcPr>
          <w:p w14:paraId="3BA8BB64" w14:textId="3EF76466" w:rsidR="003E7EE3" w:rsidRPr="00C41FDC" w:rsidRDefault="003E7EE3" w:rsidP="009D0972">
            <w:pPr>
              <w:pStyle w:val="indent"/>
              <w:spacing w:before="0" w:beforeAutospacing="0" w:after="0" w:afterAutospacing="0"/>
              <w:rPr>
                <w:color w:val="000000" w:themeColor="text1"/>
              </w:rPr>
            </w:pPr>
            <w:r w:rsidRPr="00C41FDC">
              <w:rPr>
                <w:color w:val="000000" w:themeColor="text1"/>
              </w:rPr>
              <w:t xml:space="preserve">DLco </w:t>
            </w:r>
          </w:p>
        </w:tc>
        <w:tc>
          <w:tcPr>
            <w:tcW w:w="1170" w:type="dxa"/>
          </w:tcPr>
          <w:p w14:paraId="5329CCA9" w14:textId="4F00C753" w:rsidR="003E7EE3" w:rsidRPr="00C41FDC" w:rsidRDefault="003E7EE3" w:rsidP="009D0972">
            <w:pPr>
              <w:pStyle w:val="indent"/>
              <w:spacing w:before="0" w:beforeAutospacing="0" w:after="0" w:afterAutospacing="0"/>
              <w:rPr>
                <w:color w:val="000000" w:themeColor="text1"/>
              </w:rPr>
            </w:pPr>
            <w:r w:rsidRPr="00C41FDC">
              <w:rPr>
                <w:color w:val="000000" w:themeColor="text1"/>
              </w:rPr>
              <w:t>0·96</w:t>
            </w:r>
          </w:p>
        </w:tc>
        <w:tc>
          <w:tcPr>
            <w:tcW w:w="1522" w:type="dxa"/>
          </w:tcPr>
          <w:p w14:paraId="059D475D" w14:textId="03CA1053" w:rsidR="003E7EE3" w:rsidRPr="00C41FDC" w:rsidRDefault="003E7EE3" w:rsidP="009D0972">
            <w:pPr>
              <w:pStyle w:val="indent"/>
              <w:spacing w:before="0" w:beforeAutospacing="0" w:after="0" w:afterAutospacing="0"/>
              <w:rPr>
                <w:color w:val="000000" w:themeColor="text1"/>
              </w:rPr>
            </w:pPr>
            <w:r w:rsidRPr="00C41FDC">
              <w:rPr>
                <w:color w:val="000000" w:themeColor="text1"/>
              </w:rPr>
              <w:t>0·94, 0·97</w:t>
            </w:r>
          </w:p>
        </w:tc>
        <w:tc>
          <w:tcPr>
            <w:tcW w:w="1133" w:type="dxa"/>
          </w:tcPr>
          <w:p w14:paraId="7DC777B3" w14:textId="3E105ED1" w:rsidR="003E7EE3" w:rsidRPr="00C41FDC" w:rsidRDefault="003E7EE3" w:rsidP="009D0972">
            <w:pPr>
              <w:pStyle w:val="indent"/>
              <w:spacing w:before="0" w:beforeAutospacing="0" w:after="0" w:afterAutospacing="0"/>
              <w:rPr>
                <w:color w:val="000000" w:themeColor="text1"/>
              </w:rPr>
            </w:pPr>
            <w:r w:rsidRPr="00C41FDC">
              <w:rPr>
                <w:color w:val="000000" w:themeColor="text1"/>
              </w:rPr>
              <w:t>&lt; 0·0001</w:t>
            </w:r>
          </w:p>
        </w:tc>
        <w:tc>
          <w:tcPr>
            <w:tcW w:w="993" w:type="dxa"/>
          </w:tcPr>
          <w:p w14:paraId="684801B7" w14:textId="50CC2C6B" w:rsidR="003E7EE3" w:rsidRPr="00C41FDC" w:rsidRDefault="003E7EE3" w:rsidP="009D0972">
            <w:pPr>
              <w:pStyle w:val="indent"/>
              <w:spacing w:before="0" w:beforeAutospacing="0" w:after="0" w:afterAutospacing="0"/>
              <w:rPr>
                <w:color w:val="000000" w:themeColor="text1"/>
              </w:rPr>
            </w:pPr>
          </w:p>
        </w:tc>
      </w:tr>
      <w:tr w:rsidR="00C41FDC" w:rsidRPr="00C41FDC" w14:paraId="6CE075CD" w14:textId="77777777" w:rsidTr="003E7EE3">
        <w:tc>
          <w:tcPr>
            <w:tcW w:w="1511" w:type="dxa"/>
            <w:tcBorders>
              <w:bottom w:val="single" w:sz="12" w:space="0" w:color="000000" w:themeColor="text1"/>
            </w:tcBorders>
          </w:tcPr>
          <w:p w14:paraId="5DAB1A57" w14:textId="77777777" w:rsidR="003E7EE3" w:rsidRPr="00C41FDC" w:rsidRDefault="003E7EE3" w:rsidP="009D0972">
            <w:pPr>
              <w:pStyle w:val="indent"/>
              <w:spacing w:before="0" w:beforeAutospacing="0" w:after="0" w:afterAutospacing="0"/>
              <w:rPr>
                <w:color w:val="000000" w:themeColor="text1"/>
              </w:rPr>
            </w:pPr>
          </w:p>
        </w:tc>
        <w:tc>
          <w:tcPr>
            <w:tcW w:w="3169" w:type="dxa"/>
            <w:tcBorders>
              <w:bottom w:val="single" w:sz="12" w:space="0" w:color="000000" w:themeColor="text1"/>
            </w:tcBorders>
          </w:tcPr>
          <w:p w14:paraId="081E584C" w14:textId="7A3F44BA" w:rsidR="003E7EE3" w:rsidRPr="00C41FDC" w:rsidRDefault="003E7EE3" w:rsidP="009D0972">
            <w:pPr>
              <w:pStyle w:val="indent"/>
              <w:spacing w:before="0" w:beforeAutospacing="0" w:after="0" w:afterAutospacing="0"/>
              <w:rPr>
                <w:color w:val="000000" w:themeColor="text1"/>
              </w:rPr>
            </w:pPr>
            <w:r w:rsidRPr="00C41FDC">
              <w:rPr>
                <w:color w:val="000000" w:themeColor="text1"/>
              </w:rPr>
              <w:t xml:space="preserve">cPPFE ≥ 2·5%  </w:t>
            </w:r>
          </w:p>
        </w:tc>
        <w:tc>
          <w:tcPr>
            <w:tcW w:w="1170" w:type="dxa"/>
            <w:tcBorders>
              <w:bottom w:val="single" w:sz="12" w:space="0" w:color="000000" w:themeColor="text1"/>
            </w:tcBorders>
          </w:tcPr>
          <w:p w14:paraId="0F2E032D" w14:textId="752959AE" w:rsidR="003E7EE3" w:rsidRPr="00C41FDC" w:rsidRDefault="003E7EE3" w:rsidP="009D0972">
            <w:pPr>
              <w:pStyle w:val="indent"/>
              <w:spacing w:before="0" w:beforeAutospacing="0" w:after="0" w:afterAutospacing="0"/>
              <w:rPr>
                <w:color w:val="000000" w:themeColor="text1"/>
              </w:rPr>
            </w:pPr>
            <w:r w:rsidRPr="00C41FDC">
              <w:rPr>
                <w:color w:val="000000" w:themeColor="text1"/>
              </w:rPr>
              <w:t>2·06</w:t>
            </w:r>
          </w:p>
        </w:tc>
        <w:tc>
          <w:tcPr>
            <w:tcW w:w="1522" w:type="dxa"/>
            <w:tcBorders>
              <w:bottom w:val="single" w:sz="12" w:space="0" w:color="000000" w:themeColor="text1"/>
            </w:tcBorders>
          </w:tcPr>
          <w:p w14:paraId="733C8539" w14:textId="2D69BD91" w:rsidR="003E7EE3" w:rsidRPr="00C41FDC" w:rsidRDefault="003E7EE3" w:rsidP="009D0972">
            <w:pPr>
              <w:pStyle w:val="indent"/>
              <w:spacing w:before="0" w:beforeAutospacing="0" w:after="0" w:afterAutospacing="0"/>
              <w:rPr>
                <w:color w:val="000000" w:themeColor="text1"/>
              </w:rPr>
            </w:pPr>
            <w:r w:rsidRPr="00C41FDC">
              <w:rPr>
                <w:color w:val="000000" w:themeColor="text1"/>
              </w:rPr>
              <w:t>1·28, 3·31</w:t>
            </w:r>
          </w:p>
        </w:tc>
        <w:tc>
          <w:tcPr>
            <w:tcW w:w="1133" w:type="dxa"/>
            <w:tcBorders>
              <w:bottom w:val="single" w:sz="12" w:space="0" w:color="000000" w:themeColor="text1"/>
            </w:tcBorders>
          </w:tcPr>
          <w:p w14:paraId="73CFDE87" w14:textId="73C8FAEB" w:rsidR="003E7EE3" w:rsidRPr="00C41FDC" w:rsidRDefault="003E7EE3" w:rsidP="009D0972">
            <w:pPr>
              <w:pStyle w:val="indent"/>
              <w:spacing w:before="0" w:beforeAutospacing="0" w:after="0" w:afterAutospacing="0"/>
              <w:rPr>
                <w:color w:val="000000" w:themeColor="text1"/>
              </w:rPr>
            </w:pPr>
            <w:r w:rsidRPr="00C41FDC">
              <w:rPr>
                <w:color w:val="000000" w:themeColor="text1"/>
              </w:rPr>
              <w:t>0·003</w:t>
            </w:r>
          </w:p>
        </w:tc>
        <w:tc>
          <w:tcPr>
            <w:tcW w:w="993" w:type="dxa"/>
            <w:tcBorders>
              <w:bottom w:val="single" w:sz="12" w:space="0" w:color="000000" w:themeColor="text1"/>
            </w:tcBorders>
          </w:tcPr>
          <w:p w14:paraId="0898E6F2" w14:textId="3B2F8DAA" w:rsidR="003E7EE3" w:rsidRPr="00C41FDC" w:rsidRDefault="003E7EE3" w:rsidP="009D0972">
            <w:pPr>
              <w:pStyle w:val="indent"/>
              <w:spacing w:before="0" w:beforeAutospacing="0" w:after="0" w:afterAutospacing="0"/>
              <w:rPr>
                <w:color w:val="000000" w:themeColor="text1"/>
              </w:rPr>
            </w:pPr>
          </w:p>
        </w:tc>
      </w:tr>
    </w:tbl>
    <w:p w14:paraId="718D3B77" w14:textId="7E5258FE" w:rsidR="00C270F8" w:rsidRPr="00C41FDC" w:rsidRDefault="00C270F8">
      <w:pPr>
        <w:rPr>
          <w:color w:val="000000" w:themeColor="text1"/>
        </w:rPr>
      </w:pPr>
      <w:r w:rsidRPr="00C41FDC">
        <w:rPr>
          <w:b/>
          <w:bCs/>
          <w:color w:val="000000" w:themeColor="text1"/>
        </w:rPr>
        <w:br w:type="page"/>
      </w:r>
    </w:p>
    <w:p w14:paraId="3AC8C873" w14:textId="77777777" w:rsidR="00C1263C" w:rsidRDefault="00C1263C" w:rsidP="00C1263C">
      <w:pPr>
        <w:rPr>
          <w:rStyle w:val="ecti-1000"/>
          <w:rFonts w:eastAsia="Times New Roman"/>
          <w:b/>
          <w:color w:val="000000" w:themeColor="text1"/>
        </w:rPr>
      </w:pPr>
      <w:bookmarkStart w:id="300" w:name="OLE_LINK129"/>
      <w:bookmarkStart w:id="301" w:name="OLE_LINK130"/>
      <w:bookmarkEnd w:id="292"/>
      <w:bookmarkEnd w:id="293"/>
      <w:bookmarkEnd w:id="294"/>
      <w:r>
        <w:rPr>
          <w:rFonts w:eastAsia="Times New Roman"/>
          <w:b/>
          <w:noProof/>
          <w:color w:val="000000" w:themeColor="text1"/>
        </w:rPr>
        <w:lastRenderedPageBreak/>
        <w:drawing>
          <wp:inline distT="0" distB="0" distL="0" distR="0" wp14:anchorId="06803374" wp14:editId="7F42AD8C">
            <wp:extent cx="3879203" cy="647700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9"/>
                    <a:stretch>
                      <a:fillRect/>
                    </a:stretch>
                  </pic:blipFill>
                  <pic:spPr>
                    <a:xfrm>
                      <a:off x="0" y="0"/>
                      <a:ext cx="3880324" cy="6478872"/>
                    </a:xfrm>
                    <a:prstGeom prst="rect">
                      <a:avLst/>
                    </a:prstGeom>
                  </pic:spPr>
                </pic:pic>
              </a:graphicData>
            </a:graphic>
          </wp:inline>
        </w:drawing>
      </w:r>
    </w:p>
    <w:p w14:paraId="04B2963D" w14:textId="43BEB706" w:rsidR="00EA226F" w:rsidRPr="00C41FDC" w:rsidRDefault="00C1263C" w:rsidP="00C1263C">
      <w:pPr>
        <w:spacing w:line="360" w:lineRule="auto"/>
        <w:rPr>
          <w:rStyle w:val="ecti-1000"/>
          <w:rFonts w:eastAsia="Times New Roman"/>
          <w:b/>
          <w:color w:val="000000" w:themeColor="text1"/>
        </w:rPr>
      </w:pPr>
      <w:r w:rsidRPr="00EA226F">
        <w:rPr>
          <w:rStyle w:val="ecti-1000"/>
          <w:rFonts w:eastAsia="Times New Roman"/>
          <w:b/>
          <w:bCs/>
          <w:color w:val="000000" w:themeColor="text1"/>
        </w:rPr>
        <w:t>Figure 1</w:t>
      </w:r>
      <w:r w:rsidRPr="00AE4E9B">
        <w:rPr>
          <w:rStyle w:val="ecti-1000"/>
          <w:rFonts w:eastAsia="Times New Roman"/>
          <w:b/>
          <w:bCs/>
          <w:color w:val="000000" w:themeColor="text1"/>
        </w:rPr>
        <w:t xml:space="preserve">: </w:t>
      </w:r>
      <w:r w:rsidRPr="008B1D3B">
        <w:rPr>
          <w:rFonts w:eastAsia="Times New Roman"/>
          <w:b/>
          <w:bCs/>
          <w:color w:val="000000" w:themeColor="text1"/>
          <w:lang w:val="en-US"/>
        </w:rPr>
        <w:t xml:space="preserve">CONSORT diagram showing patient exclusions for the derivation </w:t>
      </w:r>
      <w:r>
        <w:rPr>
          <w:rFonts w:eastAsia="Times New Roman"/>
          <w:b/>
          <w:bCs/>
          <w:color w:val="000000" w:themeColor="text1"/>
          <w:lang w:val="en-US"/>
        </w:rPr>
        <w:t xml:space="preserve">and validation </w:t>
      </w:r>
      <w:r w:rsidRPr="008B1D3B">
        <w:rPr>
          <w:rFonts w:eastAsia="Times New Roman"/>
          <w:b/>
          <w:bCs/>
          <w:color w:val="000000" w:themeColor="text1"/>
          <w:lang w:val="en-US"/>
        </w:rPr>
        <w:t>IPF cohort</w:t>
      </w:r>
      <w:r>
        <w:rPr>
          <w:rFonts w:eastAsia="Times New Roman"/>
          <w:b/>
          <w:bCs/>
          <w:color w:val="000000" w:themeColor="text1"/>
          <w:lang w:val="en-US"/>
        </w:rPr>
        <w:t>s</w:t>
      </w:r>
      <w:r w:rsidRPr="00EA226F">
        <w:rPr>
          <w:rStyle w:val="ecti-1000"/>
          <w:rFonts w:eastAsia="Times New Roman"/>
          <w:b/>
          <w:bCs/>
          <w:color w:val="000000" w:themeColor="text1"/>
        </w:rPr>
        <w:t>.</w:t>
      </w:r>
      <w:r w:rsidRPr="00AE4E9B">
        <w:rPr>
          <w:rStyle w:val="ecti-1000"/>
          <w:rFonts w:eastAsia="Times New Roman"/>
          <w:color w:val="000000" w:themeColor="text1"/>
        </w:rPr>
        <w:t xml:space="preserve"> </w:t>
      </w:r>
      <w:r w:rsidRPr="00EA226F">
        <w:rPr>
          <w:rStyle w:val="ecti-1000"/>
          <w:rFonts w:eastAsia="Times New Roman"/>
          <w:color w:val="000000" w:themeColor="text1"/>
        </w:rPr>
        <w:t>CONSORT flow diagrams for</w:t>
      </w:r>
      <w:r w:rsidRPr="008B1D3B">
        <w:rPr>
          <w:rStyle w:val="ecti-1000"/>
          <w:rFonts w:eastAsia="Times New Roman"/>
          <w:color w:val="000000" w:themeColor="text1"/>
        </w:rPr>
        <w:t xml:space="preserve"> the </w:t>
      </w:r>
      <w:r>
        <w:rPr>
          <w:rStyle w:val="ecti-1000"/>
          <w:rFonts w:eastAsia="Times New Roman"/>
          <w:color w:val="000000" w:themeColor="text1"/>
        </w:rPr>
        <w:t xml:space="preserve">a) </w:t>
      </w:r>
      <w:r w:rsidRPr="008B1D3B">
        <w:rPr>
          <w:rStyle w:val="ecti-1000"/>
          <w:rFonts w:eastAsia="Times New Roman"/>
          <w:color w:val="000000" w:themeColor="text1"/>
        </w:rPr>
        <w:t>deriva</w:t>
      </w:r>
      <w:r w:rsidRPr="00D57037">
        <w:rPr>
          <w:rStyle w:val="ecti-1000"/>
          <w:rFonts w:eastAsia="Times New Roman"/>
          <w:color w:val="000000" w:themeColor="text1"/>
        </w:rPr>
        <w:t xml:space="preserve">tion cohort </w:t>
      </w:r>
      <w:r w:rsidRPr="00EA226F">
        <w:rPr>
          <w:rStyle w:val="ecti-1000"/>
          <w:rFonts w:eastAsia="Times New Roman"/>
          <w:color w:val="000000" w:themeColor="text1"/>
        </w:rPr>
        <w:t xml:space="preserve">and </w:t>
      </w:r>
      <w:r>
        <w:rPr>
          <w:rStyle w:val="ecti-1000"/>
          <w:rFonts w:eastAsia="Times New Roman"/>
          <w:color w:val="000000" w:themeColor="text1"/>
        </w:rPr>
        <w:t xml:space="preserve">b) </w:t>
      </w:r>
      <w:r w:rsidRPr="00EA226F">
        <w:rPr>
          <w:rStyle w:val="ecti-1000"/>
          <w:rFonts w:eastAsia="Times New Roman"/>
          <w:color w:val="000000" w:themeColor="text1"/>
        </w:rPr>
        <w:t>validation coho</w:t>
      </w:r>
      <w:r w:rsidRPr="008B1D3B">
        <w:rPr>
          <w:rStyle w:val="ecti-1000"/>
          <w:rFonts w:eastAsia="Times New Roman"/>
          <w:color w:val="000000" w:themeColor="text1"/>
        </w:rPr>
        <w:t xml:space="preserve">rt </w:t>
      </w:r>
      <w:r w:rsidRPr="00EA226F">
        <w:rPr>
          <w:rStyle w:val="ecti-1000"/>
          <w:rFonts w:eastAsia="Times New Roman"/>
          <w:color w:val="000000" w:themeColor="text1"/>
        </w:rPr>
        <w:t>of IPF pa</w:t>
      </w:r>
      <w:r w:rsidRPr="008B1D3B">
        <w:rPr>
          <w:rStyle w:val="ecti-1000"/>
          <w:rFonts w:eastAsia="Times New Roman"/>
          <w:color w:val="000000" w:themeColor="text1"/>
        </w:rPr>
        <w:t xml:space="preserve">tients in the study. </w:t>
      </w:r>
      <w:r w:rsidRPr="00AE4E9B">
        <w:rPr>
          <w:rFonts w:eastAsia="Times New Roman"/>
          <w:color w:val="000000" w:themeColor="text1"/>
          <w:lang w:val="en-US"/>
        </w:rPr>
        <w:t xml:space="preserve">CT = computed tomography, DLco = diffusing capacity for carbon monoxide, FVC = forced vital capacity, PPFE = pleuroparenchymal fibroelastosis. </w:t>
      </w:r>
      <w:r w:rsidR="008B1D3B" w:rsidRPr="00C41FDC">
        <w:rPr>
          <w:rFonts w:eastAsia="Times New Roman"/>
          <w:color w:val="000000" w:themeColor="text1"/>
          <w:lang w:val="en-US"/>
        </w:rPr>
        <w:t xml:space="preserve"> </w:t>
      </w:r>
      <w:r w:rsidR="00EA226F" w:rsidRPr="00C41FDC">
        <w:rPr>
          <w:rStyle w:val="ecti-1000"/>
          <w:rFonts w:eastAsia="Times New Roman"/>
          <w:b/>
          <w:color w:val="000000" w:themeColor="text1"/>
        </w:rPr>
        <w:br w:type="page"/>
      </w:r>
    </w:p>
    <w:p w14:paraId="09280882" w14:textId="77777777" w:rsidR="006B126A" w:rsidRPr="00C41FDC" w:rsidRDefault="006B126A" w:rsidP="006B126A">
      <w:pPr>
        <w:spacing w:line="480" w:lineRule="auto"/>
        <w:rPr>
          <w:rStyle w:val="titlemark"/>
          <w:rFonts w:eastAsia="Times New Roman"/>
          <w:b/>
          <w:color w:val="000000" w:themeColor="text1"/>
          <w:lang w:val="en-US"/>
        </w:rPr>
      </w:pPr>
      <w:r w:rsidRPr="00C41FDC">
        <w:rPr>
          <w:rFonts w:eastAsia="Times New Roman"/>
          <w:b/>
          <w:noProof/>
          <w:color w:val="000000" w:themeColor="text1"/>
          <w:lang w:val="en-US"/>
        </w:rPr>
        <w:lastRenderedPageBreak/>
        <w:drawing>
          <wp:inline distT="0" distB="0" distL="0" distR="0" wp14:anchorId="74AC35EB" wp14:editId="12E59F0F">
            <wp:extent cx="5869172" cy="40952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0"/>
                    <a:stretch>
                      <a:fillRect/>
                    </a:stretch>
                  </pic:blipFill>
                  <pic:spPr>
                    <a:xfrm>
                      <a:off x="0" y="0"/>
                      <a:ext cx="5877755" cy="4101199"/>
                    </a:xfrm>
                    <a:prstGeom prst="rect">
                      <a:avLst/>
                    </a:prstGeom>
                  </pic:spPr>
                </pic:pic>
              </a:graphicData>
            </a:graphic>
          </wp:inline>
        </w:drawing>
      </w:r>
    </w:p>
    <w:p w14:paraId="5FDB21CA" w14:textId="76016AE9" w:rsidR="006B126A" w:rsidRPr="00C41FDC" w:rsidRDefault="006B126A" w:rsidP="00AE4E9B">
      <w:pPr>
        <w:spacing w:line="360" w:lineRule="auto"/>
        <w:rPr>
          <w:rStyle w:val="ecti-1000"/>
          <w:color w:val="000000" w:themeColor="text1"/>
        </w:rPr>
      </w:pPr>
      <w:bookmarkStart w:id="302" w:name="OLE_LINK219"/>
      <w:r w:rsidRPr="00C41FDC">
        <w:rPr>
          <w:rStyle w:val="ecti-1000"/>
          <w:b/>
          <w:bCs/>
          <w:color w:val="000000" w:themeColor="text1"/>
        </w:rPr>
        <w:t xml:space="preserve">Figure 2: </w:t>
      </w:r>
      <w:bookmarkStart w:id="303" w:name="OLE_LINK306"/>
      <w:bookmarkStart w:id="304" w:name="OLE_LINK307"/>
      <w:r w:rsidRPr="00C41FDC">
        <w:rPr>
          <w:rStyle w:val="ecti-1000"/>
          <w:b/>
          <w:bCs/>
          <w:color w:val="000000" w:themeColor="text1"/>
        </w:rPr>
        <w:t>Axial CT images demonstrating upper-lobe predominance of PPFE.</w:t>
      </w:r>
      <w:r w:rsidRPr="00C41FDC">
        <w:rPr>
          <w:rStyle w:val="ecti-1000"/>
          <w:color w:val="000000" w:themeColor="text1"/>
        </w:rPr>
        <w:t xml:space="preserve"> </w:t>
      </w:r>
      <w:bookmarkEnd w:id="303"/>
      <w:bookmarkEnd w:id="304"/>
      <w:r w:rsidRPr="00C41FDC">
        <w:rPr>
          <w:rStyle w:val="ecti-1000"/>
          <w:color w:val="000000" w:themeColor="text1"/>
        </w:rPr>
        <w:t>Axial CT images demonstrating (top row) a patient with radiological PPFE in upper lobes (white arrows) and apical segments of lower lobes (black arrows) and (bottom row) a patient with radiological PPFE in upper lobes (white arrows) and PPFE absent from lower lobes. PPFE = pleuroparenchymal fibroelastosis.</w:t>
      </w:r>
    </w:p>
    <w:bookmarkEnd w:id="302"/>
    <w:p w14:paraId="1683D848" w14:textId="77777777" w:rsidR="006B126A" w:rsidRPr="00C41FDC" w:rsidRDefault="006B126A">
      <w:pPr>
        <w:rPr>
          <w:rStyle w:val="ecti-1000"/>
          <w:rFonts w:eastAsia="Times New Roman"/>
          <w:color w:val="000000" w:themeColor="text1"/>
        </w:rPr>
      </w:pPr>
      <w:r w:rsidRPr="00C41FDC">
        <w:rPr>
          <w:rStyle w:val="ecti-1000"/>
          <w:rFonts w:eastAsia="Times New Roman"/>
          <w:color w:val="000000" w:themeColor="text1"/>
        </w:rPr>
        <w:br w:type="page"/>
      </w:r>
    </w:p>
    <w:p w14:paraId="0988A5EE" w14:textId="6EFDB7DF" w:rsidR="00B537CF" w:rsidRPr="00C41FDC" w:rsidRDefault="00B537CF" w:rsidP="00517526">
      <w:pPr>
        <w:spacing w:line="360" w:lineRule="auto"/>
        <w:rPr>
          <w:rStyle w:val="ecti-1000"/>
          <w:rFonts w:eastAsia="Times New Roman"/>
          <w:b/>
          <w:color w:val="000000" w:themeColor="text1"/>
        </w:rPr>
      </w:pPr>
      <w:r w:rsidRPr="00C41FDC">
        <w:rPr>
          <w:rFonts w:eastAsia="Times New Roman"/>
          <w:b/>
          <w:noProof/>
          <w:color w:val="000000" w:themeColor="text1"/>
        </w:rPr>
        <w:lastRenderedPageBreak/>
        <w:drawing>
          <wp:inline distT="0" distB="0" distL="0" distR="0" wp14:anchorId="423FB78B" wp14:editId="4A2701C4">
            <wp:extent cx="5943600" cy="237744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1"/>
                    <a:stretch>
                      <a:fillRect/>
                    </a:stretch>
                  </pic:blipFill>
                  <pic:spPr>
                    <a:xfrm>
                      <a:off x="0" y="0"/>
                      <a:ext cx="5943600" cy="2377440"/>
                    </a:xfrm>
                    <a:prstGeom prst="rect">
                      <a:avLst/>
                    </a:prstGeom>
                  </pic:spPr>
                </pic:pic>
              </a:graphicData>
            </a:graphic>
          </wp:inline>
        </w:drawing>
      </w:r>
    </w:p>
    <w:p w14:paraId="731A658D" w14:textId="51F52980" w:rsidR="00760C1E" w:rsidRPr="00C41FDC" w:rsidRDefault="00517526" w:rsidP="00517526">
      <w:pPr>
        <w:spacing w:line="360" w:lineRule="auto"/>
        <w:rPr>
          <w:rStyle w:val="ecti-1000"/>
          <w:rFonts w:eastAsia="Times New Roman"/>
          <w:b/>
          <w:color w:val="000000" w:themeColor="text1"/>
        </w:rPr>
      </w:pPr>
      <w:bookmarkStart w:id="305" w:name="OLE_LINK161"/>
      <w:bookmarkStart w:id="306" w:name="OLE_LINK162"/>
      <w:bookmarkStart w:id="307" w:name="OLE_LINK159"/>
      <w:bookmarkStart w:id="308" w:name="OLE_LINK160"/>
      <w:r w:rsidRPr="00C41FDC">
        <w:rPr>
          <w:rStyle w:val="ecti-1000"/>
          <w:rFonts w:eastAsia="Times New Roman"/>
          <w:b/>
          <w:color w:val="000000" w:themeColor="text1"/>
        </w:rPr>
        <w:t xml:space="preserve">Figure </w:t>
      </w:r>
      <w:r w:rsidR="006B126A" w:rsidRPr="00C41FDC">
        <w:rPr>
          <w:rStyle w:val="ecti-1000"/>
          <w:rFonts w:eastAsia="Times New Roman"/>
          <w:b/>
          <w:color w:val="000000" w:themeColor="text1"/>
        </w:rPr>
        <w:t>3</w:t>
      </w:r>
      <w:r w:rsidRPr="00C41FDC">
        <w:rPr>
          <w:rStyle w:val="ecti-1000"/>
          <w:rFonts w:eastAsia="Times New Roman"/>
          <w:color w:val="000000" w:themeColor="text1"/>
        </w:rPr>
        <w:t>:</w:t>
      </w:r>
      <w:bookmarkEnd w:id="305"/>
      <w:bookmarkEnd w:id="306"/>
      <w:r w:rsidRPr="00C41FDC">
        <w:rPr>
          <w:rStyle w:val="ecti-1000"/>
          <w:rFonts w:eastAsia="Times New Roman"/>
          <w:color w:val="000000" w:themeColor="text1"/>
        </w:rPr>
        <w:t xml:space="preserve"> </w:t>
      </w:r>
      <w:r w:rsidR="006B126A" w:rsidRPr="00C41FDC">
        <w:rPr>
          <w:rStyle w:val="ecti-1000"/>
          <w:rFonts w:eastAsia="Times New Roman"/>
          <w:b/>
          <w:bCs/>
          <w:color w:val="000000" w:themeColor="text1"/>
        </w:rPr>
        <w:t>Computerised segmentation</w:t>
      </w:r>
      <w:r w:rsidRPr="00C41FDC">
        <w:rPr>
          <w:rStyle w:val="ecti-1000"/>
          <w:rFonts w:eastAsia="Times New Roman"/>
          <w:b/>
          <w:bCs/>
          <w:color w:val="000000" w:themeColor="text1"/>
        </w:rPr>
        <w:t xml:space="preserve"> of PPFE. </w:t>
      </w:r>
      <w:r w:rsidR="00B537CF" w:rsidRPr="00C41FDC">
        <w:rPr>
          <w:rStyle w:val="ecti-1000"/>
          <w:rFonts w:eastAsia="Times New Roman"/>
          <w:color w:val="000000" w:themeColor="text1"/>
        </w:rPr>
        <w:t>a</w:t>
      </w:r>
      <w:r w:rsidR="000D29AF" w:rsidRPr="00C41FDC">
        <w:rPr>
          <w:rStyle w:val="ecti-1000"/>
          <w:rFonts w:eastAsia="Times New Roman"/>
          <w:color w:val="000000" w:themeColor="text1"/>
        </w:rPr>
        <w:t>)</w:t>
      </w:r>
      <w:r w:rsidRPr="00C41FDC">
        <w:rPr>
          <w:rStyle w:val="ecti-1000"/>
          <w:rFonts w:eastAsia="Times New Roman"/>
          <w:color w:val="000000" w:themeColor="text1"/>
        </w:rPr>
        <w:t xml:space="preserve"> Axial CT image demonstrating a patient with marked visual upper-lobe PPFE extent (vPPFE) and computerised PPFE extent (cPPFE) of </w:t>
      </w:r>
      <w:r w:rsidR="001E455A" w:rsidRPr="00C41FDC">
        <w:rPr>
          <w:rStyle w:val="ecti-1000"/>
          <w:rFonts w:eastAsia="Times New Roman"/>
          <w:color w:val="000000" w:themeColor="text1"/>
        </w:rPr>
        <w:t>8·</w:t>
      </w:r>
      <w:r w:rsidRPr="00C41FDC">
        <w:rPr>
          <w:rStyle w:val="ecti-1000"/>
          <w:rFonts w:eastAsia="Times New Roman"/>
          <w:color w:val="000000" w:themeColor="text1"/>
        </w:rPr>
        <w:t>1%</w:t>
      </w:r>
      <w:r w:rsidR="00722D8E" w:rsidRPr="00C41FDC">
        <w:rPr>
          <w:rStyle w:val="ecti-1000"/>
          <w:rFonts w:eastAsia="Times New Roman"/>
          <w:color w:val="000000" w:themeColor="text1"/>
        </w:rPr>
        <w:t>;</w:t>
      </w:r>
      <w:r w:rsidRPr="00C41FDC">
        <w:rPr>
          <w:rStyle w:val="ecti-1000"/>
          <w:rFonts w:eastAsia="Times New Roman"/>
          <w:color w:val="000000" w:themeColor="text1"/>
        </w:rPr>
        <w:t xml:space="preserve"> </w:t>
      </w:r>
      <w:r w:rsidR="00B537CF" w:rsidRPr="00C41FDC">
        <w:rPr>
          <w:rStyle w:val="ecti-1000"/>
          <w:rFonts w:eastAsia="Times New Roman"/>
          <w:color w:val="000000" w:themeColor="text1"/>
        </w:rPr>
        <w:t>b</w:t>
      </w:r>
      <w:r w:rsidRPr="00C41FDC">
        <w:rPr>
          <w:rStyle w:val="ecti-1000"/>
          <w:rFonts w:eastAsia="Times New Roman"/>
          <w:color w:val="000000" w:themeColor="text1"/>
        </w:rPr>
        <w:t xml:space="preserve">) same axial CT image with the computerised segmentation of PPFE in the lung periphery shown in red. </w:t>
      </w:r>
      <w:bookmarkStart w:id="309" w:name="OLE_LINK220"/>
      <w:bookmarkStart w:id="310" w:name="OLE_LINK221"/>
      <w:r w:rsidRPr="00C41FDC">
        <w:rPr>
          <w:rStyle w:val="Heading3Char"/>
          <w:rFonts w:ascii="Times New Roman" w:eastAsia="Times New Roman" w:hAnsi="Times New Roman" w:cs="Times New Roman"/>
          <w:color w:val="000000" w:themeColor="text1"/>
        </w:rPr>
        <w:t xml:space="preserve">PPFE = pleuroparenchymal fibroelastosis, </w:t>
      </w:r>
      <w:r w:rsidRPr="00C41FDC">
        <w:rPr>
          <w:rStyle w:val="content"/>
          <w:rFonts w:eastAsia="Times New Roman"/>
          <w:color w:val="000000" w:themeColor="text1"/>
        </w:rPr>
        <w:t>vPPFE = visual upper-lobe PPFE extent, cPPFE = computerised upper-zone PPFE extent</w:t>
      </w:r>
      <w:r w:rsidRPr="00C41FDC">
        <w:rPr>
          <w:rStyle w:val="Heading3Char"/>
          <w:rFonts w:ascii="Times New Roman" w:eastAsia="Times New Roman" w:hAnsi="Times New Roman" w:cs="Times New Roman"/>
          <w:color w:val="000000" w:themeColor="text1"/>
        </w:rPr>
        <w:t>.</w:t>
      </w:r>
      <w:bookmarkEnd w:id="307"/>
      <w:bookmarkEnd w:id="308"/>
      <w:bookmarkEnd w:id="309"/>
      <w:bookmarkEnd w:id="310"/>
      <w:r w:rsidRPr="00C41FDC">
        <w:rPr>
          <w:rStyle w:val="Heading3Char"/>
          <w:rFonts w:ascii="Times New Roman" w:eastAsia="Times New Roman" w:hAnsi="Times New Roman" w:cs="Times New Roman"/>
          <w:color w:val="000000" w:themeColor="text1"/>
        </w:rPr>
        <w:t xml:space="preserve"> </w:t>
      </w:r>
      <w:r w:rsidR="00760C1E" w:rsidRPr="00C41FDC">
        <w:rPr>
          <w:rStyle w:val="ecti-1000"/>
          <w:rFonts w:eastAsia="Times New Roman"/>
          <w:b/>
          <w:color w:val="000000" w:themeColor="text1"/>
        </w:rPr>
        <w:br w:type="page"/>
      </w:r>
    </w:p>
    <w:p w14:paraId="19E3F7F0" w14:textId="47B12D0F" w:rsidR="004D7F05" w:rsidRPr="00C41FDC" w:rsidRDefault="004D7F05" w:rsidP="0007399C">
      <w:pPr>
        <w:spacing w:line="360" w:lineRule="auto"/>
        <w:rPr>
          <w:rStyle w:val="ecti-1000"/>
          <w:rFonts w:eastAsia="Times New Roman"/>
          <w:b/>
          <w:color w:val="000000" w:themeColor="text1"/>
        </w:rPr>
      </w:pPr>
      <w:r w:rsidRPr="00C41FDC">
        <w:rPr>
          <w:rFonts w:eastAsia="Times New Roman"/>
          <w:b/>
          <w:noProof/>
          <w:color w:val="000000" w:themeColor="text1"/>
        </w:rPr>
        <w:lastRenderedPageBreak/>
        <w:drawing>
          <wp:inline distT="0" distB="0" distL="0" distR="0" wp14:anchorId="5162403B" wp14:editId="05629A7D">
            <wp:extent cx="5943600" cy="22239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96DAC541-7B7A-43D3-8B79-37D633B846F1}">
                          <asvg:svgBlip xmlns:asvg="http://schemas.microsoft.com/office/drawing/2016/SVG/main" r:embed="rId13"/>
                        </a:ext>
                      </a:extLst>
                    </a:blip>
                    <a:stretch>
                      <a:fillRect/>
                    </a:stretch>
                  </pic:blipFill>
                  <pic:spPr>
                    <a:xfrm>
                      <a:off x="0" y="0"/>
                      <a:ext cx="5943600" cy="2223903"/>
                    </a:xfrm>
                    <a:prstGeom prst="rect">
                      <a:avLst/>
                    </a:prstGeom>
                  </pic:spPr>
                </pic:pic>
              </a:graphicData>
            </a:graphic>
          </wp:inline>
        </w:drawing>
      </w:r>
    </w:p>
    <w:bookmarkEnd w:id="300"/>
    <w:bookmarkEnd w:id="301"/>
    <w:p w14:paraId="1617954E" w14:textId="2E48D3E7" w:rsidR="00517526" w:rsidRPr="00C41FDC" w:rsidRDefault="00517526" w:rsidP="00517526">
      <w:pPr>
        <w:spacing w:line="360" w:lineRule="auto"/>
        <w:rPr>
          <w:rStyle w:val="titlemark"/>
          <w:rFonts w:eastAsia="Times New Roman"/>
          <w:b/>
          <w:bCs/>
          <w:color w:val="000000" w:themeColor="text1"/>
          <w:sz w:val="28"/>
          <w:szCs w:val="28"/>
        </w:rPr>
      </w:pPr>
      <w:r w:rsidRPr="00C41FDC">
        <w:rPr>
          <w:rStyle w:val="ecti-1000"/>
          <w:rFonts w:eastAsia="Times New Roman"/>
          <w:b/>
          <w:color w:val="000000" w:themeColor="text1"/>
        </w:rPr>
        <w:t xml:space="preserve">Figure </w:t>
      </w:r>
      <w:r w:rsidR="00F636AE" w:rsidRPr="00C41FDC">
        <w:rPr>
          <w:rStyle w:val="ecti-1000"/>
          <w:rFonts w:eastAsia="Times New Roman"/>
          <w:b/>
          <w:color w:val="000000" w:themeColor="text1"/>
        </w:rPr>
        <w:t>4</w:t>
      </w:r>
      <w:r w:rsidRPr="00C41FDC">
        <w:rPr>
          <w:rStyle w:val="Heading3Char"/>
          <w:rFonts w:ascii="Times New Roman" w:eastAsia="Times New Roman" w:hAnsi="Times New Roman" w:cs="Times New Roman"/>
          <w:color w:val="000000" w:themeColor="text1"/>
        </w:rPr>
        <w:t xml:space="preserve">: </w:t>
      </w:r>
      <w:r w:rsidRPr="00C41FDC">
        <w:rPr>
          <w:rStyle w:val="Heading3Char"/>
          <w:rFonts w:ascii="Times New Roman" w:eastAsia="Times New Roman" w:hAnsi="Times New Roman" w:cs="Times New Roman"/>
          <w:b/>
          <w:bCs/>
          <w:color w:val="000000" w:themeColor="text1"/>
        </w:rPr>
        <w:t>PPFE impact on survival in the combined IPF cohort.</w:t>
      </w:r>
      <w:r w:rsidRPr="00C41FDC">
        <w:rPr>
          <w:rStyle w:val="Heading3Char"/>
          <w:rFonts w:ascii="Times New Roman" w:eastAsia="Times New Roman" w:hAnsi="Times New Roman" w:cs="Times New Roman"/>
          <w:color w:val="000000" w:themeColor="text1"/>
        </w:rPr>
        <w:t xml:space="preserve"> </w:t>
      </w:r>
      <w:r w:rsidRPr="00C41FDC">
        <w:rPr>
          <w:rStyle w:val="ecti-1000"/>
          <w:rFonts w:eastAsia="Times New Roman"/>
          <w:color w:val="000000" w:themeColor="text1"/>
        </w:rPr>
        <w:t>Kaplan-Meier survival curves for a) vPPFE and b) cPPFE in the combined derivation and validation IPF cohorts (n = 287). For vPPFE, patients were split into patients with no radiologic PPFE, moderate vPPFE, and marked vPPFE. For cPPFE, patients were split into patients with no radiologic PPFE, less than 2</w:t>
      </w:r>
      <w:r w:rsidR="00C323B9" w:rsidRPr="00C41FDC">
        <w:rPr>
          <w:rStyle w:val="ecti-1000"/>
          <w:rFonts w:eastAsia="Times New Roman"/>
          <w:color w:val="000000" w:themeColor="text1"/>
        </w:rPr>
        <w:t>·</w:t>
      </w:r>
      <w:r w:rsidRPr="00C41FDC">
        <w:rPr>
          <w:rStyle w:val="ecti-1000"/>
          <w:rFonts w:eastAsia="Times New Roman"/>
          <w:color w:val="000000" w:themeColor="text1"/>
        </w:rPr>
        <w:t>5% cPPFE, greater or equal than 2</w:t>
      </w:r>
      <w:r w:rsidR="00C323B9" w:rsidRPr="00C41FDC">
        <w:rPr>
          <w:rStyle w:val="ecti-1000"/>
          <w:rFonts w:eastAsia="Times New Roman"/>
          <w:color w:val="000000" w:themeColor="text1"/>
        </w:rPr>
        <w:t>·</w:t>
      </w:r>
      <w:r w:rsidRPr="00C41FDC">
        <w:rPr>
          <w:rStyle w:val="ecti-1000"/>
          <w:rFonts w:eastAsia="Times New Roman"/>
          <w:color w:val="000000" w:themeColor="text1"/>
        </w:rPr>
        <w:t xml:space="preserve">5% cPPFE. Tables below each plot show number of patients at risk at 2-year intervals. p-values shown are based on a log-rank test of differences in the three survival curves of each plot. PPFE = pleuroparenchymal fibroelastosis, </w:t>
      </w:r>
      <w:r w:rsidRPr="00C41FDC">
        <w:rPr>
          <w:rStyle w:val="content"/>
          <w:rFonts w:eastAsia="Times New Roman"/>
          <w:color w:val="000000" w:themeColor="text1"/>
        </w:rPr>
        <w:t>vPPFE = visual upper-lobe PPFE extent, cPPFE = computerised upper-zone PPFE extent</w:t>
      </w:r>
      <w:r w:rsidRPr="00C41FDC">
        <w:rPr>
          <w:rStyle w:val="ecti-1000"/>
          <w:rFonts w:eastAsia="Times New Roman"/>
          <w:color w:val="000000" w:themeColor="text1"/>
        </w:rPr>
        <w:t>.</w:t>
      </w:r>
    </w:p>
    <w:p w14:paraId="382D12BE" w14:textId="21C79B5E" w:rsidR="009475AB" w:rsidRPr="00C41FDC" w:rsidRDefault="009475AB" w:rsidP="0007399C">
      <w:pPr>
        <w:spacing w:line="360" w:lineRule="auto"/>
        <w:rPr>
          <w:rStyle w:val="titlemark"/>
          <w:rFonts w:eastAsia="Times New Roman"/>
          <w:b/>
          <w:bCs/>
          <w:color w:val="000000" w:themeColor="text1"/>
          <w:sz w:val="28"/>
          <w:szCs w:val="28"/>
        </w:rPr>
      </w:pPr>
    </w:p>
    <w:sectPr w:rsidR="009475AB" w:rsidRPr="00C41FDC" w:rsidSect="007B1066">
      <w:headerReference w:type="default" r:id="rId14"/>
      <w:footnotePr>
        <w:numFmt w:val="lowerLetter"/>
      </w:footnotePr>
      <w:type w:val="continuous"/>
      <w:pgSz w:w="12240" w:h="15840"/>
      <w:pgMar w:top="1440" w:right="1440" w:bottom="1440" w:left="1440" w:header="706" w:footer="706"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82C7C1" w14:textId="77777777" w:rsidR="00CC761D" w:rsidRDefault="00CC761D" w:rsidP="00AA0BB9">
      <w:r>
        <w:separator/>
      </w:r>
    </w:p>
  </w:endnote>
  <w:endnote w:type="continuationSeparator" w:id="0">
    <w:p w14:paraId="5BDD1B62" w14:textId="77777777" w:rsidR="00CC761D" w:rsidRDefault="00CC761D" w:rsidP="00AA0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E6E79D" w14:textId="77777777" w:rsidR="00CC761D" w:rsidRDefault="00CC761D" w:rsidP="00AA0BB9">
      <w:r>
        <w:separator/>
      </w:r>
    </w:p>
  </w:footnote>
  <w:footnote w:type="continuationSeparator" w:id="0">
    <w:p w14:paraId="72E0C00C" w14:textId="77777777" w:rsidR="00CC761D" w:rsidRDefault="00CC761D" w:rsidP="00AA0B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3576581"/>
      <w:docPartObj>
        <w:docPartGallery w:val="Page Numbers (Top of Page)"/>
        <w:docPartUnique/>
      </w:docPartObj>
    </w:sdtPr>
    <w:sdtEndPr>
      <w:rPr>
        <w:noProof/>
      </w:rPr>
    </w:sdtEndPr>
    <w:sdtContent>
      <w:p w14:paraId="79C96199" w14:textId="3DD2291C" w:rsidR="0091233E" w:rsidRDefault="0091233E">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14:paraId="706BB892" w14:textId="77777777" w:rsidR="0091233E" w:rsidRDefault="009123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5"/>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91F"/>
    <w:rsid w:val="000025B7"/>
    <w:rsid w:val="00003988"/>
    <w:rsid w:val="00005AF0"/>
    <w:rsid w:val="00006133"/>
    <w:rsid w:val="000061C5"/>
    <w:rsid w:val="00006A7D"/>
    <w:rsid w:val="00010381"/>
    <w:rsid w:val="000123B2"/>
    <w:rsid w:val="00012D41"/>
    <w:rsid w:val="0001314B"/>
    <w:rsid w:val="00015DC4"/>
    <w:rsid w:val="00017CBD"/>
    <w:rsid w:val="00017F1E"/>
    <w:rsid w:val="00024740"/>
    <w:rsid w:val="00026D03"/>
    <w:rsid w:val="00030D54"/>
    <w:rsid w:val="00032DDC"/>
    <w:rsid w:val="00034762"/>
    <w:rsid w:val="00034D2A"/>
    <w:rsid w:val="00034D2C"/>
    <w:rsid w:val="0003500D"/>
    <w:rsid w:val="000376F1"/>
    <w:rsid w:val="0004086D"/>
    <w:rsid w:val="00043DCF"/>
    <w:rsid w:val="00044AEF"/>
    <w:rsid w:val="00046004"/>
    <w:rsid w:val="00050AD9"/>
    <w:rsid w:val="000520F0"/>
    <w:rsid w:val="00052E7E"/>
    <w:rsid w:val="000541A7"/>
    <w:rsid w:val="0005470F"/>
    <w:rsid w:val="00054919"/>
    <w:rsid w:val="000549B3"/>
    <w:rsid w:val="00054D68"/>
    <w:rsid w:val="00055E7C"/>
    <w:rsid w:val="000570A2"/>
    <w:rsid w:val="00057474"/>
    <w:rsid w:val="0005782D"/>
    <w:rsid w:val="000611F8"/>
    <w:rsid w:val="0006386E"/>
    <w:rsid w:val="00064358"/>
    <w:rsid w:val="00064940"/>
    <w:rsid w:val="000675FC"/>
    <w:rsid w:val="00067619"/>
    <w:rsid w:val="00070908"/>
    <w:rsid w:val="00070EC9"/>
    <w:rsid w:val="00073459"/>
    <w:rsid w:val="0007399C"/>
    <w:rsid w:val="0007406E"/>
    <w:rsid w:val="00074601"/>
    <w:rsid w:val="000816AB"/>
    <w:rsid w:val="00082570"/>
    <w:rsid w:val="00082FDC"/>
    <w:rsid w:val="000834D1"/>
    <w:rsid w:val="000854C0"/>
    <w:rsid w:val="000919D1"/>
    <w:rsid w:val="00093BAC"/>
    <w:rsid w:val="00094337"/>
    <w:rsid w:val="00095850"/>
    <w:rsid w:val="00096010"/>
    <w:rsid w:val="000969C0"/>
    <w:rsid w:val="000A1E4C"/>
    <w:rsid w:val="000A27FE"/>
    <w:rsid w:val="000A7BB7"/>
    <w:rsid w:val="000A7C91"/>
    <w:rsid w:val="000B07A6"/>
    <w:rsid w:val="000B1A64"/>
    <w:rsid w:val="000B1A8D"/>
    <w:rsid w:val="000B2C6B"/>
    <w:rsid w:val="000B4F78"/>
    <w:rsid w:val="000B6F24"/>
    <w:rsid w:val="000B6F84"/>
    <w:rsid w:val="000C31DD"/>
    <w:rsid w:val="000C33B0"/>
    <w:rsid w:val="000C5C41"/>
    <w:rsid w:val="000C67BF"/>
    <w:rsid w:val="000C7C6D"/>
    <w:rsid w:val="000C7CBD"/>
    <w:rsid w:val="000D0A9E"/>
    <w:rsid w:val="000D14AE"/>
    <w:rsid w:val="000D25C3"/>
    <w:rsid w:val="000D28C5"/>
    <w:rsid w:val="000D29AF"/>
    <w:rsid w:val="000D35BF"/>
    <w:rsid w:val="000D3A8A"/>
    <w:rsid w:val="000D506D"/>
    <w:rsid w:val="000D5778"/>
    <w:rsid w:val="000D6213"/>
    <w:rsid w:val="000D6C13"/>
    <w:rsid w:val="000D754F"/>
    <w:rsid w:val="000D7BD3"/>
    <w:rsid w:val="000D7C83"/>
    <w:rsid w:val="000E04BA"/>
    <w:rsid w:val="000E1091"/>
    <w:rsid w:val="000E310B"/>
    <w:rsid w:val="000E39B8"/>
    <w:rsid w:val="000E3C60"/>
    <w:rsid w:val="000E422A"/>
    <w:rsid w:val="000E6EE9"/>
    <w:rsid w:val="000F32DA"/>
    <w:rsid w:val="000F3329"/>
    <w:rsid w:val="000F3CA4"/>
    <w:rsid w:val="000F46ED"/>
    <w:rsid w:val="000F7385"/>
    <w:rsid w:val="000F7865"/>
    <w:rsid w:val="001001E6"/>
    <w:rsid w:val="00102BE3"/>
    <w:rsid w:val="00104DBC"/>
    <w:rsid w:val="0010560B"/>
    <w:rsid w:val="00106675"/>
    <w:rsid w:val="001070A2"/>
    <w:rsid w:val="0010712C"/>
    <w:rsid w:val="00107A73"/>
    <w:rsid w:val="00110FFC"/>
    <w:rsid w:val="00111E0E"/>
    <w:rsid w:val="00112A68"/>
    <w:rsid w:val="001137A7"/>
    <w:rsid w:val="0011503D"/>
    <w:rsid w:val="001153F7"/>
    <w:rsid w:val="001169EE"/>
    <w:rsid w:val="00116C08"/>
    <w:rsid w:val="0012238B"/>
    <w:rsid w:val="00122A70"/>
    <w:rsid w:val="00123887"/>
    <w:rsid w:val="00123AD1"/>
    <w:rsid w:val="00123B38"/>
    <w:rsid w:val="00124145"/>
    <w:rsid w:val="001245D2"/>
    <w:rsid w:val="0012536E"/>
    <w:rsid w:val="00125C53"/>
    <w:rsid w:val="00127512"/>
    <w:rsid w:val="00130814"/>
    <w:rsid w:val="001309E0"/>
    <w:rsid w:val="00130D8E"/>
    <w:rsid w:val="00132C43"/>
    <w:rsid w:val="0013475C"/>
    <w:rsid w:val="0014046E"/>
    <w:rsid w:val="00142513"/>
    <w:rsid w:val="00143010"/>
    <w:rsid w:val="00143387"/>
    <w:rsid w:val="0014423A"/>
    <w:rsid w:val="00144723"/>
    <w:rsid w:val="00144C23"/>
    <w:rsid w:val="00144D55"/>
    <w:rsid w:val="0014541B"/>
    <w:rsid w:val="00145A34"/>
    <w:rsid w:val="0015089F"/>
    <w:rsid w:val="001508AE"/>
    <w:rsid w:val="00152372"/>
    <w:rsid w:val="00153874"/>
    <w:rsid w:val="00156B73"/>
    <w:rsid w:val="00160942"/>
    <w:rsid w:val="00160EF9"/>
    <w:rsid w:val="00163237"/>
    <w:rsid w:val="00163C19"/>
    <w:rsid w:val="001647B5"/>
    <w:rsid w:val="00167127"/>
    <w:rsid w:val="00172046"/>
    <w:rsid w:val="00174892"/>
    <w:rsid w:val="00175986"/>
    <w:rsid w:val="00175EDA"/>
    <w:rsid w:val="00176332"/>
    <w:rsid w:val="001772F6"/>
    <w:rsid w:val="0017777E"/>
    <w:rsid w:val="00180704"/>
    <w:rsid w:val="001821CA"/>
    <w:rsid w:val="00182CE1"/>
    <w:rsid w:val="00183002"/>
    <w:rsid w:val="0018485B"/>
    <w:rsid w:val="00184D07"/>
    <w:rsid w:val="001866EA"/>
    <w:rsid w:val="00190989"/>
    <w:rsid w:val="00191BAC"/>
    <w:rsid w:val="001931F9"/>
    <w:rsid w:val="001940DD"/>
    <w:rsid w:val="00194148"/>
    <w:rsid w:val="0019434A"/>
    <w:rsid w:val="001955FE"/>
    <w:rsid w:val="0019612B"/>
    <w:rsid w:val="001A0A42"/>
    <w:rsid w:val="001A123B"/>
    <w:rsid w:val="001A370C"/>
    <w:rsid w:val="001A538E"/>
    <w:rsid w:val="001A5C70"/>
    <w:rsid w:val="001A5D41"/>
    <w:rsid w:val="001B017B"/>
    <w:rsid w:val="001B0334"/>
    <w:rsid w:val="001B21FF"/>
    <w:rsid w:val="001B2381"/>
    <w:rsid w:val="001B2E11"/>
    <w:rsid w:val="001B2E38"/>
    <w:rsid w:val="001B36F0"/>
    <w:rsid w:val="001B42E7"/>
    <w:rsid w:val="001B484B"/>
    <w:rsid w:val="001B6C91"/>
    <w:rsid w:val="001B7541"/>
    <w:rsid w:val="001B7ABD"/>
    <w:rsid w:val="001C12EE"/>
    <w:rsid w:val="001C2ACE"/>
    <w:rsid w:val="001C3039"/>
    <w:rsid w:val="001C404D"/>
    <w:rsid w:val="001C4BD0"/>
    <w:rsid w:val="001C4D7F"/>
    <w:rsid w:val="001C4E70"/>
    <w:rsid w:val="001D0257"/>
    <w:rsid w:val="001D1884"/>
    <w:rsid w:val="001D299E"/>
    <w:rsid w:val="001D3C60"/>
    <w:rsid w:val="001D3DFE"/>
    <w:rsid w:val="001D4052"/>
    <w:rsid w:val="001D4628"/>
    <w:rsid w:val="001D47C7"/>
    <w:rsid w:val="001D4BA4"/>
    <w:rsid w:val="001D4E42"/>
    <w:rsid w:val="001E091F"/>
    <w:rsid w:val="001E1E51"/>
    <w:rsid w:val="001E2035"/>
    <w:rsid w:val="001E2137"/>
    <w:rsid w:val="001E3203"/>
    <w:rsid w:val="001E427C"/>
    <w:rsid w:val="001E446E"/>
    <w:rsid w:val="001E455A"/>
    <w:rsid w:val="001E5528"/>
    <w:rsid w:val="001E6CEB"/>
    <w:rsid w:val="001E6E3F"/>
    <w:rsid w:val="001E7E97"/>
    <w:rsid w:val="001F11E0"/>
    <w:rsid w:val="001F1BB7"/>
    <w:rsid w:val="001F25FA"/>
    <w:rsid w:val="001F5B8D"/>
    <w:rsid w:val="001F609D"/>
    <w:rsid w:val="00200432"/>
    <w:rsid w:val="002021CB"/>
    <w:rsid w:val="00202CBE"/>
    <w:rsid w:val="002032C4"/>
    <w:rsid w:val="00204ED4"/>
    <w:rsid w:val="00205770"/>
    <w:rsid w:val="00206FEA"/>
    <w:rsid w:val="0021315A"/>
    <w:rsid w:val="00213FE5"/>
    <w:rsid w:val="002141DA"/>
    <w:rsid w:val="00214291"/>
    <w:rsid w:val="002162DB"/>
    <w:rsid w:val="002163AD"/>
    <w:rsid w:val="002220AD"/>
    <w:rsid w:val="002220D3"/>
    <w:rsid w:val="00225311"/>
    <w:rsid w:val="002262C7"/>
    <w:rsid w:val="002272CC"/>
    <w:rsid w:val="00227410"/>
    <w:rsid w:val="00227CD0"/>
    <w:rsid w:val="0023013C"/>
    <w:rsid w:val="00230C0F"/>
    <w:rsid w:val="00232A2F"/>
    <w:rsid w:val="002357F9"/>
    <w:rsid w:val="00235AF9"/>
    <w:rsid w:val="002360CD"/>
    <w:rsid w:val="002373A7"/>
    <w:rsid w:val="00242714"/>
    <w:rsid w:val="002430FE"/>
    <w:rsid w:val="00243213"/>
    <w:rsid w:val="00245C38"/>
    <w:rsid w:val="00250EA4"/>
    <w:rsid w:val="00251B36"/>
    <w:rsid w:val="00251F55"/>
    <w:rsid w:val="00252678"/>
    <w:rsid w:val="00252C17"/>
    <w:rsid w:val="00254F01"/>
    <w:rsid w:val="00255470"/>
    <w:rsid w:val="00255B8C"/>
    <w:rsid w:val="00257B51"/>
    <w:rsid w:val="00257C75"/>
    <w:rsid w:val="002606A0"/>
    <w:rsid w:val="00261724"/>
    <w:rsid w:val="00261D5A"/>
    <w:rsid w:val="0026203B"/>
    <w:rsid w:val="00262F43"/>
    <w:rsid w:val="002630CA"/>
    <w:rsid w:val="00263102"/>
    <w:rsid w:val="0026390C"/>
    <w:rsid w:val="00265113"/>
    <w:rsid w:val="002667EF"/>
    <w:rsid w:val="00266EC5"/>
    <w:rsid w:val="002709F7"/>
    <w:rsid w:val="002721C1"/>
    <w:rsid w:val="00272A3F"/>
    <w:rsid w:val="00273416"/>
    <w:rsid w:val="00273B15"/>
    <w:rsid w:val="00274115"/>
    <w:rsid w:val="00276C7C"/>
    <w:rsid w:val="00280648"/>
    <w:rsid w:val="002810DB"/>
    <w:rsid w:val="0028135E"/>
    <w:rsid w:val="00282A9D"/>
    <w:rsid w:val="002831B1"/>
    <w:rsid w:val="002835DF"/>
    <w:rsid w:val="002844C2"/>
    <w:rsid w:val="0029109F"/>
    <w:rsid w:val="002911B9"/>
    <w:rsid w:val="00291BAE"/>
    <w:rsid w:val="002935E4"/>
    <w:rsid w:val="00295C72"/>
    <w:rsid w:val="00296157"/>
    <w:rsid w:val="002973DE"/>
    <w:rsid w:val="002A078F"/>
    <w:rsid w:val="002A0D16"/>
    <w:rsid w:val="002A259B"/>
    <w:rsid w:val="002A569A"/>
    <w:rsid w:val="002A69C8"/>
    <w:rsid w:val="002B33DD"/>
    <w:rsid w:val="002B361D"/>
    <w:rsid w:val="002B555D"/>
    <w:rsid w:val="002B5947"/>
    <w:rsid w:val="002B6421"/>
    <w:rsid w:val="002B7558"/>
    <w:rsid w:val="002C10A9"/>
    <w:rsid w:val="002C15BB"/>
    <w:rsid w:val="002C18A7"/>
    <w:rsid w:val="002C30BF"/>
    <w:rsid w:val="002C459D"/>
    <w:rsid w:val="002C4A96"/>
    <w:rsid w:val="002C61BB"/>
    <w:rsid w:val="002C6262"/>
    <w:rsid w:val="002C6AA7"/>
    <w:rsid w:val="002C7CD1"/>
    <w:rsid w:val="002D0175"/>
    <w:rsid w:val="002D3AE8"/>
    <w:rsid w:val="002D4623"/>
    <w:rsid w:val="002D627A"/>
    <w:rsid w:val="002D72AD"/>
    <w:rsid w:val="002E0562"/>
    <w:rsid w:val="002E134F"/>
    <w:rsid w:val="002E1CC9"/>
    <w:rsid w:val="002E1F14"/>
    <w:rsid w:val="002E27AA"/>
    <w:rsid w:val="002E2A87"/>
    <w:rsid w:val="002E2FC9"/>
    <w:rsid w:val="002E3EFB"/>
    <w:rsid w:val="002E4A3B"/>
    <w:rsid w:val="002E4CB0"/>
    <w:rsid w:val="002F0C79"/>
    <w:rsid w:val="002F179D"/>
    <w:rsid w:val="002F57B5"/>
    <w:rsid w:val="002F759F"/>
    <w:rsid w:val="003024B3"/>
    <w:rsid w:val="00303010"/>
    <w:rsid w:val="00304EA6"/>
    <w:rsid w:val="00306198"/>
    <w:rsid w:val="00310A7B"/>
    <w:rsid w:val="00311919"/>
    <w:rsid w:val="0031584E"/>
    <w:rsid w:val="00316C27"/>
    <w:rsid w:val="00316F29"/>
    <w:rsid w:val="0032360A"/>
    <w:rsid w:val="00326E84"/>
    <w:rsid w:val="00330360"/>
    <w:rsid w:val="00330552"/>
    <w:rsid w:val="00330C54"/>
    <w:rsid w:val="00330CF7"/>
    <w:rsid w:val="00332D33"/>
    <w:rsid w:val="003333BD"/>
    <w:rsid w:val="00333EAB"/>
    <w:rsid w:val="00333FC1"/>
    <w:rsid w:val="003352D2"/>
    <w:rsid w:val="003359EE"/>
    <w:rsid w:val="00336F11"/>
    <w:rsid w:val="00340836"/>
    <w:rsid w:val="00340C96"/>
    <w:rsid w:val="00344D6D"/>
    <w:rsid w:val="0034564C"/>
    <w:rsid w:val="00346D28"/>
    <w:rsid w:val="00346F45"/>
    <w:rsid w:val="0034730B"/>
    <w:rsid w:val="00347A5B"/>
    <w:rsid w:val="00347AD1"/>
    <w:rsid w:val="003500FB"/>
    <w:rsid w:val="00350609"/>
    <w:rsid w:val="003509BD"/>
    <w:rsid w:val="00350E09"/>
    <w:rsid w:val="00352B91"/>
    <w:rsid w:val="00353B47"/>
    <w:rsid w:val="00353F1F"/>
    <w:rsid w:val="00353F44"/>
    <w:rsid w:val="00354644"/>
    <w:rsid w:val="0035605C"/>
    <w:rsid w:val="003565CA"/>
    <w:rsid w:val="003606D7"/>
    <w:rsid w:val="00360818"/>
    <w:rsid w:val="00360917"/>
    <w:rsid w:val="00361F40"/>
    <w:rsid w:val="00362240"/>
    <w:rsid w:val="00366698"/>
    <w:rsid w:val="00367B3E"/>
    <w:rsid w:val="00370424"/>
    <w:rsid w:val="00370E8E"/>
    <w:rsid w:val="00375E6B"/>
    <w:rsid w:val="00375F60"/>
    <w:rsid w:val="00376EB3"/>
    <w:rsid w:val="00377B09"/>
    <w:rsid w:val="003835D1"/>
    <w:rsid w:val="00383C09"/>
    <w:rsid w:val="00384077"/>
    <w:rsid w:val="00384377"/>
    <w:rsid w:val="0038494B"/>
    <w:rsid w:val="003863FF"/>
    <w:rsid w:val="003870E9"/>
    <w:rsid w:val="0038776A"/>
    <w:rsid w:val="0039026B"/>
    <w:rsid w:val="00390CDA"/>
    <w:rsid w:val="003910D0"/>
    <w:rsid w:val="00395155"/>
    <w:rsid w:val="003965EB"/>
    <w:rsid w:val="003977E0"/>
    <w:rsid w:val="003A0CD8"/>
    <w:rsid w:val="003A3698"/>
    <w:rsid w:val="003A3881"/>
    <w:rsid w:val="003A428B"/>
    <w:rsid w:val="003A43B1"/>
    <w:rsid w:val="003A4753"/>
    <w:rsid w:val="003A6ED0"/>
    <w:rsid w:val="003A780D"/>
    <w:rsid w:val="003B2DAE"/>
    <w:rsid w:val="003B2F99"/>
    <w:rsid w:val="003B34CC"/>
    <w:rsid w:val="003B616C"/>
    <w:rsid w:val="003B626B"/>
    <w:rsid w:val="003B659B"/>
    <w:rsid w:val="003B7B89"/>
    <w:rsid w:val="003C432A"/>
    <w:rsid w:val="003C4B7E"/>
    <w:rsid w:val="003C5B40"/>
    <w:rsid w:val="003C6131"/>
    <w:rsid w:val="003C730E"/>
    <w:rsid w:val="003D1164"/>
    <w:rsid w:val="003D4450"/>
    <w:rsid w:val="003E0910"/>
    <w:rsid w:val="003E1EED"/>
    <w:rsid w:val="003E4F87"/>
    <w:rsid w:val="003E5CE7"/>
    <w:rsid w:val="003E6575"/>
    <w:rsid w:val="003E7090"/>
    <w:rsid w:val="003E7EE3"/>
    <w:rsid w:val="003E7F4E"/>
    <w:rsid w:val="003F25AE"/>
    <w:rsid w:val="003F3AD3"/>
    <w:rsid w:val="003F4859"/>
    <w:rsid w:val="003F5649"/>
    <w:rsid w:val="003F65D9"/>
    <w:rsid w:val="003F6C4F"/>
    <w:rsid w:val="00400F4D"/>
    <w:rsid w:val="004020C5"/>
    <w:rsid w:val="004024D4"/>
    <w:rsid w:val="004032AD"/>
    <w:rsid w:val="00403924"/>
    <w:rsid w:val="004058D2"/>
    <w:rsid w:val="004072A0"/>
    <w:rsid w:val="00410DA8"/>
    <w:rsid w:val="00412F01"/>
    <w:rsid w:val="00412F0C"/>
    <w:rsid w:val="00412FE1"/>
    <w:rsid w:val="00413129"/>
    <w:rsid w:val="00414E78"/>
    <w:rsid w:val="00417A59"/>
    <w:rsid w:val="0042111E"/>
    <w:rsid w:val="00421EAC"/>
    <w:rsid w:val="00422E09"/>
    <w:rsid w:val="00423218"/>
    <w:rsid w:val="004235B6"/>
    <w:rsid w:val="00423B83"/>
    <w:rsid w:val="0042471A"/>
    <w:rsid w:val="00434137"/>
    <w:rsid w:val="0043461D"/>
    <w:rsid w:val="00434A23"/>
    <w:rsid w:val="004352EF"/>
    <w:rsid w:val="00437DE6"/>
    <w:rsid w:val="00437FD9"/>
    <w:rsid w:val="00440061"/>
    <w:rsid w:val="00440FE3"/>
    <w:rsid w:val="004425C5"/>
    <w:rsid w:val="004454CA"/>
    <w:rsid w:val="0045032C"/>
    <w:rsid w:val="0045045E"/>
    <w:rsid w:val="00450873"/>
    <w:rsid w:val="00450C0B"/>
    <w:rsid w:val="004511B3"/>
    <w:rsid w:val="004516ED"/>
    <w:rsid w:val="00451907"/>
    <w:rsid w:val="0045261B"/>
    <w:rsid w:val="00452771"/>
    <w:rsid w:val="0045322C"/>
    <w:rsid w:val="00454867"/>
    <w:rsid w:val="004552CD"/>
    <w:rsid w:val="00455685"/>
    <w:rsid w:val="0045606B"/>
    <w:rsid w:val="00456BAA"/>
    <w:rsid w:val="00457295"/>
    <w:rsid w:val="0045736F"/>
    <w:rsid w:val="0045754D"/>
    <w:rsid w:val="00457D04"/>
    <w:rsid w:val="00460E62"/>
    <w:rsid w:val="0046280D"/>
    <w:rsid w:val="004632DA"/>
    <w:rsid w:val="004634B9"/>
    <w:rsid w:val="00463CDE"/>
    <w:rsid w:val="00463E98"/>
    <w:rsid w:val="00466D7B"/>
    <w:rsid w:val="00471F18"/>
    <w:rsid w:val="004743DB"/>
    <w:rsid w:val="004758C6"/>
    <w:rsid w:val="00475F73"/>
    <w:rsid w:val="00476AC5"/>
    <w:rsid w:val="004770BB"/>
    <w:rsid w:val="00477566"/>
    <w:rsid w:val="00480E9E"/>
    <w:rsid w:val="00481364"/>
    <w:rsid w:val="004813DB"/>
    <w:rsid w:val="004824D5"/>
    <w:rsid w:val="00484314"/>
    <w:rsid w:val="0048550A"/>
    <w:rsid w:val="00487254"/>
    <w:rsid w:val="00490230"/>
    <w:rsid w:val="004904CB"/>
    <w:rsid w:val="00491CF4"/>
    <w:rsid w:val="00493847"/>
    <w:rsid w:val="00496CA2"/>
    <w:rsid w:val="004977EE"/>
    <w:rsid w:val="004A0CCA"/>
    <w:rsid w:val="004A2401"/>
    <w:rsid w:val="004A3259"/>
    <w:rsid w:val="004A3545"/>
    <w:rsid w:val="004A47B6"/>
    <w:rsid w:val="004A544C"/>
    <w:rsid w:val="004B3D11"/>
    <w:rsid w:val="004B4736"/>
    <w:rsid w:val="004B5C02"/>
    <w:rsid w:val="004B743C"/>
    <w:rsid w:val="004B78D2"/>
    <w:rsid w:val="004B7E1C"/>
    <w:rsid w:val="004C2E20"/>
    <w:rsid w:val="004C49C1"/>
    <w:rsid w:val="004C4ACE"/>
    <w:rsid w:val="004C5C15"/>
    <w:rsid w:val="004C70E0"/>
    <w:rsid w:val="004D11F9"/>
    <w:rsid w:val="004D2927"/>
    <w:rsid w:val="004D3AC3"/>
    <w:rsid w:val="004D40A2"/>
    <w:rsid w:val="004D58DA"/>
    <w:rsid w:val="004D6391"/>
    <w:rsid w:val="004D7F05"/>
    <w:rsid w:val="004E6469"/>
    <w:rsid w:val="004E64C4"/>
    <w:rsid w:val="004E6DA0"/>
    <w:rsid w:val="004E7B81"/>
    <w:rsid w:val="004F0781"/>
    <w:rsid w:val="004F16CB"/>
    <w:rsid w:val="004F187E"/>
    <w:rsid w:val="004F26E2"/>
    <w:rsid w:val="004F64B7"/>
    <w:rsid w:val="0050043D"/>
    <w:rsid w:val="005004FE"/>
    <w:rsid w:val="00505AC1"/>
    <w:rsid w:val="00510367"/>
    <w:rsid w:val="00511422"/>
    <w:rsid w:val="00513DD2"/>
    <w:rsid w:val="00514607"/>
    <w:rsid w:val="00514899"/>
    <w:rsid w:val="00515175"/>
    <w:rsid w:val="00517526"/>
    <w:rsid w:val="00526BA4"/>
    <w:rsid w:val="00526D59"/>
    <w:rsid w:val="0052700C"/>
    <w:rsid w:val="0052789E"/>
    <w:rsid w:val="00527F13"/>
    <w:rsid w:val="005315E4"/>
    <w:rsid w:val="005318BA"/>
    <w:rsid w:val="0053252A"/>
    <w:rsid w:val="00532AB2"/>
    <w:rsid w:val="00534498"/>
    <w:rsid w:val="00535507"/>
    <w:rsid w:val="00535D68"/>
    <w:rsid w:val="0053602B"/>
    <w:rsid w:val="005368CF"/>
    <w:rsid w:val="005370BF"/>
    <w:rsid w:val="00540137"/>
    <w:rsid w:val="0054471C"/>
    <w:rsid w:val="00545861"/>
    <w:rsid w:val="00547463"/>
    <w:rsid w:val="00552174"/>
    <w:rsid w:val="00553146"/>
    <w:rsid w:val="005534DA"/>
    <w:rsid w:val="0055389F"/>
    <w:rsid w:val="00553A3E"/>
    <w:rsid w:val="00554067"/>
    <w:rsid w:val="00554D6D"/>
    <w:rsid w:val="00554E9C"/>
    <w:rsid w:val="00555E75"/>
    <w:rsid w:val="00555EBB"/>
    <w:rsid w:val="00557059"/>
    <w:rsid w:val="00560E45"/>
    <w:rsid w:val="005614C2"/>
    <w:rsid w:val="00561637"/>
    <w:rsid w:val="005653C9"/>
    <w:rsid w:val="00567EAC"/>
    <w:rsid w:val="00570FDD"/>
    <w:rsid w:val="00571CD7"/>
    <w:rsid w:val="00573214"/>
    <w:rsid w:val="00573EEF"/>
    <w:rsid w:val="0057446C"/>
    <w:rsid w:val="00574C06"/>
    <w:rsid w:val="0057508E"/>
    <w:rsid w:val="00575A20"/>
    <w:rsid w:val="0057683E"/>
    <w:rsid w:val="00580F2E"/>
    <w:rsid w:val="00582B35"/>
    <w:rsid w:val="00582D2B"/>
    <w:rsid w:val="00584ACF"/>
    <w:rsid w:val="00585B9C"/>
    <w:rsid w:val="00590201"/>
    <w:rsid w:val="00592C66"/>
    <w:rsid w:val="00593EA1"/>
    <w:rsid w:val="005944BF"/>
    <w:rsid w:val="005960D7"/>
    <w:rsid w:val="0059698D"/>
    <w:rsid w:val="005A05FD"/>
    <w:rsid w:val="005A11AF"/>
    <w:rsid w:val="005A2D8F"/>
    <w:rsid w:val="005B04C1"/>
    <w:rsid w:val="005B054A"/>
    <w:rsid w:val="005B1292"/>
    <w:rsid w:val="005B19CA"/>
    <w:rsid w:val="005B1CD0"/>
    <w:rsid w:val="005B3A29"/>
    <w:rsid w:val="005B3F14"/>
    <w:rsid w:val="005B631C"/>
    <w:rsid w:val="005B727A"/>
    <w:rsid w:val="005B7E87"/>
    <w:rsid w:val="005C0562"/>
    <w:rsid w:val="005C10AE"/>
    <w:rsid w:val="005C1431"/>
    <w:rsid w:val="005C1E62"/>
    <w:rsid w:val="005C3ABA"/>
    <w:rsid w:val="005C3F6B"/>
    <w:rsid w:val="005C412A"/>
    <w:rsid w:val="005C4FFD"/>
    <w:rsid w:val="005C6203"/>
    <w:rsid w:val="005C6D54"/>
    <w:rsid w:val="005C6E88"/>
    <w:rsid w:val="005C787C"/>
    <w:rsid w:val="005C7C50"/>
    <w:rsid w:val="005D10EB"/>
    <w:rsid w:val="005D7711"/>
    <w:rsid w:val="005D7F61"/>
    <w:rsid w:val="005E0052"/>
    <w:rsid w:val="005E074D"/>
    <w:rsid w:val="005E0B26"/>
    <w:rsid w:val="005E222F"/>
    <w:rsid w:val="005E2BE9"/>
    <w:rsid w:val="005E2E2E"/>
    <w:rsid w:val="005E6D49"/>
    <w:rsid w:val="005F030D"/>
    <w:rsid w:val="005F032F"/>
    <w:rsid w:val="005F0EFD"/>
    <w:rsid w:val="005F1888"/>
    <w:rsid w:val="005F2389"/>
    <w:rsid w:val="005F26CF"/>
    <w:rsid w:val="005F289F"/>
    <w:rsid w:val="005F36C2"/>
    <w:rsid w:val="005F4B0F"/>
    <w:rsid w:val="005F5638"/>
    <w:rsid w:val="005F5DE8"/>
    <w:rsid w:val="005F5EAD"/>
    <w:rsid w:val="005F62D2"/>
    <w:rsid w:val="005F6903"/>
    <w:rsid w:val="005F6DD6"/>
    <w:rsid w:val="00600303"/>
    <w:rsid w:val="00600319"/>
    <w:rsid w:val="00601107"/>
    <w:rsid w:val="006016BE"/>
    <w:rsid w:val="006022DC"/>
    <w:rsid w:val="0060322E"/>
    <w:rsid w:val="00603FB1"/>
    <w:rsid w:val="00611BE8"/>
    <w:rsid w:val="006128D7"/>
    <w:rsid w:val="00614790"/>
    <w:rsid w:val="0061547F"/>
    <w:rsid w:val="0062559F"/>
    <w:rsid w:val="006271AB"/>
    <w:rsid w:val="006271B8"/>
    <w:rsid w:val="00627D00"/>
    <w:rsid w:val="0063022D"/>
    <w:rsid w:val="006326EE"/>
    <w:rsid w:val="00632797"/>
    <w:rsid w:val="0063472C"/>
    <w:rsid w:val="00636050"/>
    <w:rsid w:val="00636550"/>
    <w:rsid w:val="00637D49"/>
    <w:rsid w:val="00637DD2"/>
    <w:rsid w:val="00640DBE"/>
    <w:rsid w:val="006413ED"/>
    <w:rsid w:val="00641B58"/>
    <w:rsid w:val="00644622"/>
    <w:rsid w:val="00644B11"/>
    <w:rsid w:val="00644D8F"/>
    <w:rsid w:val="00645DF9"/>
    <w:rsid w:val="00647F55"/>
    <w:rsid w:val="00653942"/>
    <w:rsid w:val="00654A3C"/>
    <w:rsid w:val="00660EEC"/>
    <w:rsid w:val="00662812"/>
    <w:rsid w:val="00665B85"/>
    <w:rsid w:val="006662AD"/>
    <w:rsid w:val="006671F2"/>
    <w:rsid w:val="0067194A"/>
    <w:rsid w:val="00671A88"/>
    <w:rsid w:val="00676968"/>
    <w:rsid w:val="00677727"/>
    <w:rsid w:val="00677B39"/>
    <w:rsid w:val="00677E76"/>
    <w:rsid w:val="00682E58"/>
    <w:rsid w:val="0068435A"/>
    <w:rsid w:val="00686132"/>
    <w:rsid w:val="00691E44"/>
    <w:rsid w:val="00693524"/>
    <w:rsid w:val="00694886"/>
    <w:rsid w:val="00694B18"/>
    <w:rsid w:val="00695014"/>
    <w:rsid w:val="0069729E"/>
    <w:rsid w:val="0069730E"/>
    <w:rsid w:val="006A043D"/>
    <w:rsid w:val="006A0DEC"/>
    <w:rsid w:val="006A24FD"/>
    <w:rsid w:val="006A278A"/>
    <w:rsid w:val="006A31C0"/>
    <w:rsid w:val="006A390D"/>
    <w:rsid w:val="006A4BA7"/>
    <w:rsid w:val="006A66F1"/>
    <w:rsid w:val="006A6F06"/>
    <w:rsid w:val="006A6F90"/>
    <w:rsid w:val="006A70D9"/>
    <w:rsid w:val="006B022D"/>
    <w:rsid w:val="006B126A"/>
    <w:rsid w:val="006B4094"/>
    <w:rsid w:val="006B47BF"/>
    <w:rsid w:val="006B50A2"/>
    <w:rsid w:val="006B5235"/>
    <w:rsid w:val="006B6246"/>
    <w:rsid w:val="006B695E"/>
    <w:rsid w:val="006C0A35"/>
    <w:rsid w:val="006C1A80"/>
    <w:rsid w:val="006C1AAF"/>
    <w:rsid w:val="006C43B7"/>
    <w:rsid w:val="006C4FA9"/>
    <w:rsid w:val="006C5877"/>
    <w:rsid w:val="006C69E5"/>
    <w:rsid w:val="006C78A3"/>
    <w:rsid w:val="006C7ABD"/>
    <w:rsid w:val="006D0B98"/>
    <w:rsid w:val="006D14D8"/>
    <w:rsid w:val="006D3691"/>
    <w:rsid w:val="006D4286"/>
    <w:rsid w:val="006E1F2F"/>
    <w:rsid w:val="006E239E"/>
    <w:rsid w:val="006E2412"/>
    <w:rsid w:val="006E2C07"/>
    <w:rsid w:val="006E3062"/>
    <w:rsid w:val="006E38B0"/>
    <w:rsid w:val="006E54E7"/>
    <w:rsid w:val="006E6550"/>
    <w:rsid w:val="006E692F"/>
    <w:rsid w:val="006E70AB"/>
    <w:rsid w:val="006E70D2"/>
    <w:rsid w:val="006E7BCA"/>
    <w:rsid w:val="006E7F17"/>
    <w:rsid w:val="006F3ACE"/>
    <w:rsid w:val="006F4C41"/>
    <w:rsid w:val="006F6C22"/>
    <w:rsid w:val="006F71D7"/>
    <w:rsid w:val="007031DC"/>
    <w:rsid w:val="007033E0"/>
    <w:rsid w:val="0070424F"/>
    <w:rsid w:val="007043A2"/>
    <w:rsid w:val="00704441"/>
    <w:rsid w:val="007055D5"/>
    <w:rsid w:val="007059CE"/>
    <w:rsid w:val="00706397"/>
    <w:rsid w:val="00707D14"/>
    <w:rsid w:val="00707D4F"/>
    <w:rsid w:val="007109CD"/>
    <w:rsid w:val="007147C1"/>
    <w:rsid w:val="00720EF5"/>
    <w:rsid w:val="0072186A"/>
    <w:rsid w:val="00722D8E"/>
    <w:rsid w:val="0072479B"/>
    <w:rsid w:val="007253DD"/>
    <w:rsid w:val="00725858"/>
    <w:rsid w:val="00725BED"/>
    <w:rsid w:val="0072601C"/>
    <w:rsid w:val="00726DEF"/>
    <w:rsid w:val="00731402"/>
    <w:rsid w:val="00731BB7"/>
    <w:rsid w:val="00732F12"/>
    <w:rsid w:val="0073480D"/>
    <w:rsid w:val="00736CE3"/>
    <w:rsid w:val="00737AA9"/>
    <w:rsid w:val="00740E3E"/>
    <w:rsid w:val="0074129F"/>
    <w:rsid w:val="007417C0"/>
    <w:rsid w:val="007424DF"/>
    <w:rsid w:val="007431D8"/>
    <w:rsid w:val="007447A9"/>
    <w:rsid w:val="007450F7"/>
    <w:rsid w:val="00745525"/>
    <w:rsid w:val="00745955"/>
    <w:rsid w:val="00747B0B"/>
    <w:rsid w:val="00750467"/>
    <w:rsid w:val="007508B3"/>
    <w:rsid w:val="00751822"/>
    <w:rsid w:val="007526A2"/>
    <w:rsid w:val="00753682"/>
    <w:rsid w:val="007555FE"/>
    <w:rsid w:val="007575E8"/>
    <w:rsid w:val="00757678"/>
    <w:rsid w:val="007578BA"/>
    <w:rsid w:val="0075799E"/>
    <w:rsid w:val="00757DE8"/>
    <w:rsid w:val="00760C1E"/>
    <w:rsid w:val="00761159"/>
    <w:rsid w:val="0077088A"/>
    <w:rsid w:val="007730BA"/>
    <w:rsid w:val="00774EC1"/>
    <w:rsid w:val="00775877"/>
    <w:rsid w:val="00776834"/>
    <w:rsid w:val="00781D8D"/>
    <w:rsid w:val="00782FE2"/>
    <w:rsid w:val="0078320C"/>
    <w:rsid w:val="00785CCC"/>
    <w:rsid w:val="007878CB"/>
    <w:rsid w:val="00787E4A"/>
    <w:rsid w:val="00790663"/>
    <w:rsid w:val="007909F7"/>
    <w:rsid w:val="0079199F"/>
    <w:rsid w:val="00791ED9"/>
    <w:rsid w:val="007947A2"/>
    <w:rsid w:val="0079488A"/>
    <w:rsid w:val="0079574F"/>
    <w:rsid w:val="00796141"/>
    <w:rsid w:val="00796934"/>
    <w:rsid w:val="007974D6"/>
    <w:rsid w:val="00797592"/>
    <w:rsid w:val="00797821"/>
    <w:rsid w:val="007A10BA"/>
    <w:rsid w:val="007A10EA"/>
    <w:rsid w:val="007A1A5B"/>
    <w:rsid w:val="007A1C01"/>
    <w:rsid w:val="007A2BE9"/>
    <w:rsid w:val="007A77EE"/>
    <w:rsid w:val="007A7B6B"/>
    <w:rsid w:val="007B0958"/>
    <w:rsid w:val="007B1066"/>
    <w:rsid w:val="007B7F6D"/>
    <w:rsid w:val="007C183B"/>
    <w:rsid w:val="007C2A37"/>
    <w:rsid w:val="007C3153"/>
    <w:rsid w:val="007C4B45"/>
    <w:rsid w:val="007C5415"/>
    <w:rsid w:val="007C5B43"/>
    <w:rsid w:val="007D0EAB"/>
    <w:rsid w:val="007D186D"/>
    <w:rsid w:val="007D1C1E"/>
    <w:rsid w:val="007D3F65"/>
    <w:rsid w:val="007D5BDD"/>
    <w:rsid w:val="007D677D"/>
    <w:rsid w:val="007D76D4"/>
    <w:rsid w:val="007E112C"/>
    <w:rsid w:val="007E6150"/>
    <w:rsid w:val="007E782B"/>
    <w:rsid w:val="007F261F"/>
    <w:rsid w:val="007F32D5"/>
    <w:rsid w:val="007F47B1"/>
    <w:rsid w:val="007F50CA"/>
    <w:rsid w:val="007F5F2C"/>
    <w:rsid w:val="007F638A"/>
    <w:rsid w:val="007F6975"/>
    <w:rsid w:val="0080152D"/>
    <w:rsid w:val="00803999"/>
    <w:rsid w:val="008060CB"/>
    <w:rsid w:val="0080635D"/>
    <w:rsid w:val="00806696"/>
    <w:rsid w:val="0080685A"/>
    <w:rsid w:val="0080792A"/>
    <w:rsid w:val="00812898"/>
    <w:rsid w:val="00812A2A"/>
    <w:rsid w:val="00814BF2"/>
    <w:rsid w:val="00816954"/>
    <w:rsid w:val="00816B00"/>
    <w:rsid w:val="00820DB8"/>
    <w:rsid w:val="008223AA"/>
    <w:rsid w:val="00822FA8"/>
    <w:rsid w:val="00823D63"/>
    <w:rsid w:val="008247C4"/>
    <w:rsid w:val="0082577F"/>
    <w:rsid w:val="00830ABF"/>
    <w:rsid w:val="00833B0C"/>
    <w:rsid w:val="008355B8"/>
    <w:rsid w:val="0083572E"/>
    <w:rsid w:val="00835F36"/>
    <w:rsid w:val="00835F57"/>
    <w:rsid w:val="00840D90"/>
    <w:rsid w:val="00841C6F"/>
    <w:rsid w:val="00841DBA"/>
    <w:rsid w:val="00842261"/>
    <w:rsid w:val="008423EE"/>
    <w:rsid w:val="0084285A"/>
    <w:rsid w:val="00842D0B"/>
    <w:rsid w:val="0084334F"/>
    <w:rsid w:val="00845455"/>
    <w:rsid w:val="00845594"/>
    <w:rsid w:val="00850C82"/>
    <w:rsid w:val="00851561"/>
    <w:rsid w:val="00851E8D"/>
    <w:rsid w:val="00853D65"/>
    <w:rsid w:val="00856BD6"/>
    <w:rsid w:val="008608C7"/>
    <w:rsid w:val="00861738"/>
    <w:rsid w:val="00861F86"/>
    <w:rsid w:val="008622EF"/>
    <w:rsid w:val="00862E9A"/>
    <w:rsid w:val="008636CB"/>
    <w:rsid w:val="00863C2D"/>
    <w:rsid w:val="0086479A"/>
    <w:rsid w:val="0086600C"/>
    <w:rsid w:val="00870FCB"/>
    <w:rsid w:val="00871039"/>
    <w:rsid w:val="00873918"/>
    <w:rsid w:val="0087422B"/>
    <w:rsid w:val="00875A81"/>
    <w:rsid w:val="00876FCE"/>
    <w:rsid w:val="00877EC2"/>
    <w:rsid w:val="008806BF"/>
    <w:rsid w:val="0088202E"/>
    <w:rsid w:val="00885394"/>
    <w:rsid w:val="00885C86"/>
    <w:rsid w:val="00887113"/>
    <w:rsid w:val="0088772A"/>
    <w:rsid w:val="00890EEB"/>
    <w:rsid w:val="0089265C"/>
    <w:rsid w:val="00895FEE"/>
    <w:rsid w:val="00896175"/>
    <w:rsid w:val="00896944"/>
    <w:rsid w:val="00897433"/>
    <w:rsid w:val="00897665"/>
    <w:rsid w:val="00897837"/>
    <w:rsid w:val="008978C7"/>
    <w:rsid w:val="00897C6D"/>
    <w:rsid w:val="008A0176"/>
    <w:rsid w:val="008A1DE1"/>
    <w:rsid w:val="008A3516"/>
    <w:rsid w:val="008A56D8"/>
    <w:rsid w:val="008A7F43"/>
    <w:rsid w:val="008B086B"/>
    <w:rsid w:val="008B1D3B"/>
    <w:rsid w:val="008B337D"/>
    <w:rsid w:val="008B4F49"/>
    <w:rsid w:val="008B568D"/>
    <w:rsid w:val="008B7F2C"/>
    <w:rsid w:val="008C0D1B"/>
    <w:rsid w:val="008C192C"/>
    <w:rsid w:val="008C261C"/>
    <w:rsid w:val="008C3A86"/>
    <w:rsid w:val="008D24C9"/>
    <w:rsid w:val="008D2AF9"/>
    <w:rsid w:val="008D5C03"/>
    <w:rsid w:val="008D6A17"/>
    <w:rsid w:val="008D74A1"/>
    <w:rsid w:val="008D7FFC"/>
    <w:rsid w:val="008E037D"/>
    <w:rsid w:val="008E0A26"/>
    <w:rsid w:val="008E1A3B"/>
    <w:rsid w:val="008E263A"/>
    <w:rsid w:val="008E2BDB"/>
    <w:rsid w:val="008E3E8D"/>
    <w:rsid w:val="008E452A"/>
    <w:rsid w:val="008E6274"/>
    <w:rsid w:val="008E6C44"/>
    <w:rsid w:val="008F1E4A"/>
    <w:rsid w:val="008F2608"/>
    <w:rsid w:val="008F48C0"/>
    <w:rsid w:val="008F4964"/>
    <w:rsid w:val="008F4FC6"/>
    <w:rsid w:val="008F6ADB"/>
    <w:rsid w:val="008F6C66"/>
    <w:rsid w:val="00901F33"/>
    <w:rsid w:val="00902CFE"/>
    <w:rsid w:val="009063EC"/>
    <w:rsid w:val="0091233E"/>
    <w:rsid w:val="00913C7F"/>
    <w:rsid w:val="00914759"/>
    <w:rsid w:val="00915F79"/>
    <w:rsid w:val="00920D9F"/>
    <w:rsid w:val="009225EE"/>
    <w:rsid w:val="009227C9"/>
    <w:rsid w:val="0092345C"/>
    <w:rsid w:val="009239DF"/>
    <w:rsid w:val="00926841"/>
    <w:rsid w:val="0092735F"/>
    <w:rsid w:val="00927759"/>
    <w:rsid w:val="00927BBE"/>
    <w:rsid w:val="00927C79"/>
    <w:rsid w:val="009307A0"/>
    <w:rsid w:val="00932639"/>
    <w:rsid w:val="009329D0"/>
    <w:rsid w:val="00933BDC"/>
    <w:rsid w:val="00933DB7"/>
    <w:rsid w:val="00934834"/>
    <w:rsid w:val="0093487F"/>
    <w:rsid w:val="00935163"/>
    <w:rsid w:val="009356A9"/>
    <w:rsid w:val="00936424"/>
    <w:rsid w:val="00936FFC"/>
    <w:rsid w:val="00940946"/>
    <w:rsid w:val="00941001"/>
    <w:rsid w:val="00941620"/>
    <w:rsid w:val="00941EA4"/>
    <w:rsid w:val="0094249F"/>
    <w:rsid w:val="00942B7C"/>
    <w:rsid w:val="00945CD9"/>
    <w:rsid w:val="00946251"/>
    <w:rsid w:val="00946A4B"/>
    <w:rsid w:val="00947122"/>
    <w:rsid w:val="009475AB"/>
    <w:rsid w:val="00950CA8"/>
    <w:rsid w:val="009510AC"/>
    <w:rsid w:val="00951AD3"/>
    <w:rsid w:val="009520CD"/>
    <w:rsid w:val="009556FC"/>
    <w:rsid w:val="009575B0"/>
    <w:rsid w:val="00957C96"/>
    <w:rsid w:val="00960D20"/>
    <w:rsid w:val="00961BE1"/>
    <w:rsid w:val="00961D70"/>
    <w:rsid w:val="0096235E"/>
    <w:rsid w:val="00962562"/>
    <w:rsid w:val="009637B1"/>
    <w:rsid w:val="00965434"/>
    <w:rsid w:val="00965DBB"/>
    <w:rsid w:val="0096748C"/>
    <w:rsid w:val="00967E14"/>
    <w:rsid w:val="00970A71"/>
    <w:rsid w:val="00971236"/>
    <w:rsid w:val="00972005"/>
    <w:rsid w:val="00974D28"/>
    <w:rsid w:val="00976668"/>
    <w:rsid w:val="00976FB5"/>
    <w:rsid w:val="009800B0"/>
    <w:rsid w:val="0098055B"/>
    <w:rsid w:val="00981511"/>
    <w:rsid w:val="00982CA1"/>
    <w:rsid w:val="00984418"/>
    <w:rsid w:val="0098539B"/>
    <w:rsid w:val="00986668"/>
    <w:rsid w:val="009869BA"/>
    <w:rsid w:val="009910CE"/>
    <w:rsid w:val="009930E5"/>
    <w:rsid w:val="00993834"/>
    <w:rsid w:val="0099497D"/>
    <w:rsid w:val="00995472"/>
    <w:rsid w:val="00995499"/>
    <w:rsid w:val="00996026"/>
    <w:rsid w:val="009974FD"/>
    <w:rsid w:val="009A09A5"/>
    <w:rsid w:val="009A3422"/>
    <w:rsid w:val="009A388B"/>
    <w:rsid w:val="009A39FB"/>
    <w:rsid w:val="009A4EA0"/>
    <w:rsid w:val="009B0882"/>
    <w:rsid w:val="009B0D18"/>
    <w:rsid w:val="009B2858"/>
    <w:rsid w:val="009B2ED2"/>
    <w:rsid w:val="009B2F4C"/>
    <w:rsid w:val="009B456B"/>
    <w:rsid w:val="009B4AD6"/>
    <w:rsid w:val="009B56F7"/>
    <w:rsid w:val="009B6789"/>
    <w:rsid w:val="009C0473"/>
    <w:rsid w:val="009C16C4"/>
    <w:rsid w:val="009C2E23"/>
    <w:rsid w:val="009C4208"/>
    <w:rsid w:val="009C4615"/>
    <w:rsid w:val="009C4E70"/>
    <w:rsid w:val="009C6193"/>
    <w:rsid w:val="009C6278"/>
    <w:rsid w:val="009D02CD"/>
    <w:rsid w:val="009D0972"/>
    <w:rsid w:val="009D3EF5"/>
    <w:rsid w:val="009D5755"/>
    <w:rsid w:val="009D6B0A"/>
    <w:rsid w:val="009E0ACA"/>
    <w:rsid w:val="009E10F5"/>
    <w:rsid w:val="009E2002"/>
    <w:rsid w:val="009E3C52"/>
    <w:rsid w:val="009E47C7"/>
    <w:rsid w:val="009E4F46"/>
    <w:rsid w:val="009E5B05"/>
    <w:rsid w:val="009E61EA"/>
    <w:rsid w:val="009E6205"/>
    <w:rsid w:val="009F1A73"/>
    <w:rsid w:val="009F2706"/>
    <w:rsid w:val="009F4828"/>
    <w:rsid w:val="009F5518"/>
    <w:rsid w:val="009F5FED"/>
    <w:rsid w:val="009F722B"/>
    <w:rsid w:val="009F7927"/>
    <w:rsid w:val="009F7EA3"/>
    <w:rsid w:val="00A01EEC"/>
    <w:rsid w:val="00A0346A"/>
    <w:rsid w:val="00A07837"/>
    <w:rsid w:val="00A10ED6"/>
    <w:rsid w:val="00A11D52"/>
    <w:rsid w:val="00A134B4"/>
    <w:rsid w:val="00A148F9"/>
    <w:rsid w:val="00A15971"/>
    <w:rsid w:val="00A24A6F"/>
    <w:rsid w:val="00A25BBC"/>
    <w:rsid w:val="00A2640C"/>
    <w:rsid w:val="00A27623"/>
    <w:rsid w:val="00A31519"/>
    <w:rsid w:val="00A31BC4"/>
    <w:rsid w:val="00A325EC"/>
    <w:rsid w:val="00A34663"/>
    <w:rsid w:val="00A347DA"/>
    <w:rsid w:val="00A34D32"/>
    <w:rsid w:val="00A34DB7"/>
    <w:rsid w:val="00A3546B"/>
    <w:rsid w:val="00A3584B"/>
    <w:rsid w:val="00A358DA"/>
    <w:rsid w:val="00A363BC"/>
    <w:rsid w:val="00A413F4"/>
    <w:rsid w:val="00A41FBA"/>
    <w:rsid w:val="00A42E40"/>
    <w:rsid w:val="00A44DC2"/>
    <w:rsid w:val="00A44FFD"/>
    <w:rsid w:val="00A4562B"/>
    <w:rsid w:val="00A45E2D"/>
    <w:rsid w:val="00A46735"/>
    <w:rsid w:val="00A47570"/>
    <w:rsid w:val="00A509D7"/>
    <w:rsid w:val="00A512A4"/>
    <w:rsid w:val="00A5137D"/>
    <w:rsid w:val="00A51621"/>
    <w:rsid w:val="00A5324D"/>
    <w:rsid w:val="00A532AF"/>
    <w:rsid w:val="00A539C6"/>
    <w:rsid w:val="00A547E9"/>
    <w:rsid w:val="00A566E8"/>
    <w:rsid w:val="00A578B7"/>
    <w:rsid w:val="00A60545"/>
    <w:rsid w:val="00A60F23"/>
    <w:rsid w:val="00A6268B"/>
    <w:rsid w:val="00A62833"/>
    <w:rsid w:val="00A637F1"/>
    <w:rsid w:val="00A63F1F"/>
    <w:rsid w:val="00A649FA"/>
    <w:rsid w:val="00A6594A"/>
    <w:rsid w:val="00A66DD0"/>
    <w:rsid w:val="00A707EA"/>
    <w:rsid w:val="00A71514"/>
    <w:rsid w:val="00A7155B"/>
    <w:rsid w:val="00A73E91"/>
    <w:rsid w:val="00A7466E"/>
    <w:rsid w:val="00A754DC"/>
    <w:rsid w:val="00A76DE4"/>
    <w:rsid w:val="00A77D30"/>
    <w:rsid w:val="00A81A25"/>
    <w:rsid w:val="00A81B9A"/>
    <w:rsid w:val="00A85723"/>
    <w:rsid w:val="00A878DB"/>
    <w:rsid w:val="00A90331"/>
    <w:rsid w:val="00A909F3"/>
    <w:rsid w:val="00A918E6"/>
    <w:rsid w:val="00A91B28"/>
    <w:rsid w:val="00A921B0"/>
    <w:rsid w:val="00A93AAA"/>
    <w:rsid w:val="00A950BF"/>
    <w:rsid w:val="00A951B8"/>
    <w:rsid w:val="00A95B16"/>
    <w:rsid w:val="00A9632A"/>
    <w:rsid w:val="00AA05FA"/>
    <w:rsid w:val="00AA0BB9"/>
    <w:rsid w:val="00AA4F99"/>
    <w:rsid w:val="00AA751F"/>
    <w:rsid w:val="00AB19F2"/>
    <w:rsid w:val="00AB3D55"/>
    <w:rsid w:val="00AB5EE4"/>
    <w:rsid w:val="00AB78FC"/>
    <w:rsid w:val="00AB7EB0"/>
    <w:rsid w:val="00AC15DD"/>
    <w:rsid w:val="00AC1AEF"/>
    <w:rsid w:val="00AC1E21"/>
    <w:rsid w:val="00AC445C"/>
    <w:rsid w:val="00AC6B29"/>
    <w:rsid w:val="00AC73E0"/>
    <w:rsid w:val="00AC758F"/>
    <w:rsid w:val="00AC781D"/>
    <w:rsid w:val="00AD0D0F"/>
    <w:rsid w:val="00AD2856"/>
    <w:rsid w:val="00AD43A9"/>
    <w:rsid w:val="00AD51EC"/>
    <w:rsid w:val="00AD70AE"/>
    <w:rsid w:val="00AD73DD"/>
    <w:rsid w:val="00AE0932"/>
    <w:rsid w:val="00AE3007"/>
    <w:rsid w:val="00AE3122"/>
    <w:rsid w:val="00AE3579"/>
    <w:rsid w:val="00AE47C3"/>
    <w:rsid w:val="00AE4E9B"/>
    <w:rsid w:val="00AE578F"/>
    <w:rsid w:val="00AE58BC"/>
    <w:rsid w:val="00AE67BD"/>
    <w:rsid w:val="00AE798B"/>
    <w:rsid w:val="00AF2520"/>
    <w:rsid w:val="00AF2BA6"/>
    <w:rsid w:val="00AF4E9A"/>
    <w:rsid w:val="00B00EAC"/>
    <w:rsid w:val="00B01DA0"/>
    <w:rsid w:val="00B026C8"/>
    <w:rsid w:val="00B02FF7"/>
    <w:rsid w:val="00B03E89"/>
    <w:rsid w:val="00B03F84"/>
    <w:rsid w:val="00B05865"/>
    <w:rsid w:val="00B06E7E"/>
    <w:rsid w:val="00B06E9B"/>
    <w:rsid w:val="00B078D6"/>
    <w:rsid w:val="00B115A0"/>
    <w:rsid w:val="00B140EE"/>
    <w:rsid w:val="00B14163"/>
    <w:rsid w:val="00B160C6"/>
    <w:rsid w:val="00B16337"/>
    <w:rsid w:val="00B16651"/>
    <w:rsid w:val="00B168F5"/>
    <w:rsid w:val="00B16B25"/>
    <w:rsid w:val="00B20997"/>
    <w:rsid w:val="00B20BA4"/>
    <w:rsid w:val="00B217D6"/>
    <w:rsid w:val="00B21C6E"/>
    <w:rsid w:val="00B23F22"/>
    <w:rsid w:val="00B242B8"/>
    <w:rsid w:val="00B24615"/>
    <w:rsid w:val="00B24AF0"/>
    <w:rsid w:val="00B2529F"/>
    <w:rsid w:val="00B257D0"/>
    <w:rsid w:val="00B2678C"/>
    <w:rsid w:val="00B279E0"/>
    <w:rsid w:val="00B31269"/>
    <w:rsid w:val="00B318A6"/>
    <w:rsid w:val="00B33122"/>
    <w:rsid w:val="00B34870"/>
    <w:rsid w:val="00B34DD2"/>
    <w:rsid w:val="00B34F34"/>
    <w:rsid w:val="00B36886"/>
    <w:rsid w:val="00B36A8B"/>
    <w:rsid w:val="00B3739F"/>
    <w:rsid w:val="00B37F8D"/>
    <w:rsid w:val="00B409AA"/>
    <w:rsid w:val="00B460E8"/>
    <w:rsid w:val="00B4708F"/>
    <w:rsid w:val="00B47561"/>
    <w:rsid w:val="00B477EA"/>
    <w:rsid w:val="00B52199"/>
    <w:rsid w:val="00B5270D"/>
    <w:rsid w:val="00B53766"/>
    <w:rsid w:val="00B537CF"/>
    <w:rsid w:val="00B53DDD"/>
    <w:rsid w:val="00B554C3"/>
    <w:rsid w:val="00B56747"/>
    <w:rsid w:val="00B6117B"/>
    <w:rsid w:val="00B64C78"/>
    <w:rsid w:val="00B65F87"/>
    <w:rsid w:val="00B67A77"/>
    <w:rsid w:val="00B67D17"/>
    <w:rsid w:val="00B70B78"/>
    <w:rsid w:val="00B712DC"/>
    <w:rsid w:val="00B718EC"/>
    <w:rsid w:val="00B71B32"/>
    <w:rsid w:val="00B733A0"/>
    <w:rsid w:val="00B73B19"/>
    <w:rsid w:val="00B74560"/>
    <w:rsid w:val="00B750DC"/>
    <w:rsid w:val="00B76B08"/>
    <w:rsid w:val="00B84040"/>
    <w:rsid w:val="00B84600"/>
    <w:rsid w:val="00B84C84"/>
    <w:rsid w:val="00B86610"/>
    <w:rsid w:val="00B86EF8"/>
    <w:rsid w:val="00B874C8"/>
    <w:rsid w:val="00B87796"/>
    <w:rsid w:val="00B87D7E"/>
    <w:rsid w:val="00B90FF1"/>
    <w:rsid w:val="00B92BE9"/>
    <w:rsid w:val="00B93DC6"/>
    <w:rsid w:val="00B93DF3"/>
    <w:rsid w:val="00B96453"/>
    <w:rsid w:val="00B96F7D"/>
    <w:rsid w:val="00B9754B"/>
    <w:rsid w:val="00B97575"/>
    <w:rsid w:val="00BA063D"/>
    <w:rsid w:val="00BA0CF3"/>
    <w:rsid w:val="00BA215C"/>
    <w:rsid w:val="00BA25AD"/>
    <w:rsid w:val="00BA3472"/>
    <w:rsid w:val="00BA6038"/>
    <w:rsid w:val="00BB0B08"/>
    <w:rsid w:val="00BB0F8F"/>
    <w:rsid w:val="00BB12E4"/>
    <w:rsid w:val="00BB2BE8"/>
    <w:rsid w:val="00BB4084"/>
    <w:rsid w:val="00BB48B7"/>
    <w:rsid w:val="00BC14C2"/>
    <w:rsid w:val="00BC1A7F"/>
    <w:rsid w:val="00BC25A8"/>
    <w:rsid w:val="00BC2BC0"/>
    <w:rsid w:val="00BC35F3"/>
    <w:rsid w:val="00BC44BA"/>
    <w:rsid w:val="00BC4CB2"/>
    <w:rsid w:val="00BC66ED"/>
    <w:rsid w:val="00BD2367"/>
    <w:rsid w:val="00BD28A5"/>
    <w:rsid w:val="00BD2C41"/>
    <w:rsid w:val="00BD3C3B"/>
    <w:rsid w:val="00BD42B6"/>
    <w:rsid w:val="00BD4969"/>
    <w:rsid w:val="00BD4D02"/>
    <w:rsid w:val="00BD5698"/>
    <w:rsid w:val="00BD684C"/>
    <w:rsid w:val="00BD713A"/>
    <w:rsid w:val="00BD725C"/>
    <w:rsid w:val="00BE0B58"/>
    <w:rsid w:val="00BE1108"/>
    <w:rsid w:val="00BE35EB"/>
    <w:rsid w:val="00BE405B"/>
    <w:rsid w:val="00BE54D1"/>
    <w:rsid w:val="00BF0290"/>
    <w:rsid w:val="00BF2027"/>
    <w:rsid w:val="00BF23BE"/>
    <w:rsid w:val="00BF3860"/>
    <w:rsid w:val="00BF410B"/>
    <w:rsid w:val="00BF4EF9"/>
    <w:rsid w:val="00BF59D8"/>
    <w:rsid w:val="00BF5B0A"/>
    <w:rsid w:val="00BF7C1D"/>
    <w:rsid w:val="00BF7D49"/>
    <w:rsid w:val="00C008B9"/>
    <w:rsid w:val="00C019C0"/>
    <w:rsid w:val="00C0210E"/>
    <w:rsid w:val="00C04713"/>
    <w:rsid w:val="00C04968"/>
    <w:rsid w:val="00C04C87"/>
    <w:rsid w:val="00C05B83"/>
    <w:rsid w:val="00C06351"/>
    <w:rsid w:val="00C0725A"/>
    <w:rsid w:val="00C10B49"/>
    <w:rsid w:val="00C11661"/>
    <w:rsid w:val="00C1263C"/>
    <w:rsid w:val="00C13AB4"/>
    <w:rsid w:val="00C14252"/>
    <w:rsid w:val="00C15585"/>
    <w:rsid w:val="00C17DEA"/>
    <w:rsid w:val="00C21FA2"/>
    <w:rsid w:val="00C21FF6"/>
    <w:rsid w:val="00C22F6F"/>
    <w:rsid w:val="00C23439"/>
    <w:rsid w:val="00C270F8"/>
    <w:rsid w:val="00C300FF"/>
    <w:rsid w:val="00C302AD"/>
    <w:rsid w:val="00C31EC9"/>
    <w:rsid w:val="00C323B9"/>
    <w:rsid w:val="00C337DD"/>
    <w:rsid w:val="00C350E1"/>
    <w:rsid w:val="00C35412"/>
    <w:rsid w:val="00C37D7B"/>
    <w:rsid w:val="00C40419"/>
    <w:rsid w:val="00C40B68"/>
    <w:rsid w:val="00C41FDC"/>
    <w:rsid w:val="00C43D88"/>
    <w:rsid w:val="00C461B0"/>
    <w:rsid w:val="00C47A49"/>
    <w:rsid w:val="00C47B22"/>
    <w:rsid w:val="00C51EF3"/>
    <w:rsid w:val="00C52699"/>
    <w:rsid w:val="00C55CB2"/>
    <w:rsid w:val="00C55F96"/>
    <w:rsid w:val="00C564FA"/>
    <w:rsid w:val="00C60C00"/>
    <w:rsid w:val="00C6168B"/>
    <w:rsid w:val="00C61F2E"/>
    <w:rsid w:val="00C62D92"/>
    <w:rsid w:val="00C62EBE"/>
    <w:rsid w:val="00C6310E"/>
    <w:rsid w:val="00C6350C"/>
    <w:rsid w:val="00C64C1D"/>
    <w:rsid w:val="00C664D3"/>
    <w:rsid w:val="00C66B4B"/>
    <w:rsid w:val="00C67724"/>
    <w:rsid w:val="00C67C3E"/>
    <w:rsid w:val="00C72D8C"/>
    <w:rsid w:val="00C73215"/>
    <w:rsid w:val="00C74AAA"/>
    <w:rsid w:val="00C74B6B"/>
    <w:rsid w:val="00C74BE1"/>
    <w:rsid w:val="00C763C7"/>
    <w:rsid w:val="00C7664D"/>
    <w:rsid w:val="00C77346"/>
    <w:rsid w:val="00C774C7"/>
    <w:rsid w:val="00C80713"/>
    <w:rsid w:val="00C80A39"/>
    <w:rsid w:val="00C80BE1"/>
    <w:rsid w:val="00C817C8"/>
    <w:rsid w:val="00C8226A"/>
    <w:rsid w:val="00C82E67"/>
    <w:rsid w:val="00C8323F"/>
    <w:rsid w:val="00C83E51"/>
    <w:rsid w:val="00C87499"/>
    <w:rsid w:val="00C876EE"/>
    <w:rsid w:val="00C877C6"/>
    <w:rsid w:val="00C878D1"/>
    <w:rsid w:val="00C87EAB"/>
    <w:rsid w:val="00C9075C"/>
    <w:rsid w:val="00C90E7C"/>
    <w:rsid w:val="00C91223"/>
    <w:rsid w:val="00C95A97"/>
    <w:rsid w:val="00C96729"/>
    <w:rsid w:val="00C974FF"/>
    <w:rsid w:val="00CA02F9"/>
    <w:rsid w:val="00CA2A1C"/>
    <w:rsid w:val="00CA4361"/>
    <w:rsid w:val="00CA445E"/>
    <w:rsid w:val="00CA5A4F"/>
    <w:rsid w:val="00CA618C"/>
    <w:rsid w:val="00CA6196"/>
    <w:rsid w:val="00CA685D"/>
    <w:rsid w:val="00CA6C0A"/>
    <w:rsid w:val="00CA7055"/>
    <w:rsid w:val="00CB3381"/>
    <w:rsid w:val="00CB353B"/>
    <w:rsid w:val="00CB4957"/>
    <w:rsid w:val="00CB63A1"/>
    <w:rsid w:val="00CC4147"/>
    <w:rsid w:val="00CC45B4"/>
    <w:rsid w:val="00CC6A88"/>
    <w:rsid w:val="00CC761D"/>
    <w:rsid w:val="00CD003D"/>
    <w:rsid w:val="00CD02FD"/>
    <w:rsid w:val="00CD29BD"/>
    <w:rsid w:val="00CD41EA"/>
    <w:rsid w:val="00CD5656"/>
    <w:rsid w:val="00CD6347"/>
    <w:rsid w:val="00CD7595"/>
    <w:rsid w:val="00CE0835"/>
    <w:rsid w:val="00CE1326"/>
    <w:rsid w:val="00CE4101"/>
    <w:rsid w:val="00CE417A"/>
    <w:rsid w:val="00CE64EA"/>
    <w:rsid w:val="00CF0123"/>
    <w:rsid w:val="00CF1F6E"/>
    <w:rsid w:val="00CF3AC1"/>
    <w:rsid w:val="00CF3C50"/>
    <w:rsid w:val="00CF4164"/>
    <w:rsid w:val="00CF4C04"/>
    <w:rsid w:val="00CF7203"/>
    <w:rsid w:val="00D013A3"/>
    <w:rsid w:val="00D025B9"/>
    <w:rsid w:val="00D02CEC"/>
    <w:rsid w:val="00D04F50"/>
    <w:rsid w:val="00D066A1"/>
    <w:rsid w:val="00D06A52"/>
    <w:rsid w:val="00D06F7D"/>
    <w:rsid w:val="00D10CE4"/>
    <w:rsid w:val="00D13317"/>
    <w:rsid w:val="00D14DAD"/>
    <w:rsid w:val="00D20B78"/>
    <w:rsid w:val="00D22B97"/>
    <w:rsid w:val="00D237CC"/>
    <w:rsid w:val="00D25603"/>
    <w:rsid w:val="00D26026"/>
    <w:rsid w:val="00D31FAD"/>
    <w:rsid w:val="00D32AA9"/>
    <w:rsid w:val="00D34197"/>
    <w:rsid w:val="00D34490"/>
    <w:rsid w:val="00D34C54"/>
    <w:rsid w:val="00D372B5"/>
    <w:rsid w:val="00D375B9"/>
    <w:rsid w:val="00D42131"/>
    <w:rsid w:val="00D457BA"/>
    <w:rsid w:val="00D4593A"/>
    <w:rsid w:val="00D45CF9"/>
    <w:rsid w:val="00D46215"/>
    <w:rsid w:val="00D4686B"/>
    <w:rsid w:val="00D52C43"/>
    <w:rsid w:val="00D53268"/>
    <w:rsid w:val="00D53784"/>
    <w:rsid w:val="00D53B35"/>
    <w:rsid w:val="00D54362"/>
    <w:rsid w:val="00D55446"/>
    <w:rsid w:val="00D56E29"/>
    <w:rsid w:val="00D57037"/>
    <w:rsid w:val="00D60DB6"/>
    <w:rsid w:val="00D612BD"/>
    <w:rsid w:val="00D642BE"/>
    <w:rsid w:val="00D66D8A"/>
    <w:rsid w:val="00D728BF"/>
    <w:rsid w:val="00D7301F"/>
    <w:rsid w:val="00D74C74"/>
    <w:rsid w:val="00D766E3"/>
    <w:rsid w:val="00D775D4"/>
    <w:rsid w:val="00D77C71"/>
    <w:rsid w:val="00D8033B"/>
    <w:rsid w:val="00D819AC"/>
    <w:rsid w:val="00D81E68"/>
    <w:rsid w:val="00D821A6"/>
    <w:rsid w:val="00D84284"/>
    <w:rsid w:val="00D859DC"/>
    <w:rsid w:val="00D903B8"/>
    <w:rsid w:val="00D9055A"/>
    <w:rsid w:val="00D90DCD"/>
    <w:rsid w:val="00D91CC6"/>
    <w:rsid w:val="00D923F8"/>
    <w:rsid w:val="00D925F7"/>
    <w:rsid w:val="00D93131"/>
    <w:rsid w:val="00D9403C"/>
    <w:rsid w:val="00D95E62"/>
    <w:rsid w:val="00DA085D"/>
    <w:rsid w:val="00DA1593"/>
    <w:rsid w:val="00DA2D8E"/>
    <w:rsid w:val="00DA4279"/>
    <w:rsid w:val="00DA4BFB"/>
    <w:rsid w:val="00DA5416"/>
    <w:rsid w:val="00DA591F"/>
    <w:rsid w:val="00DA7A11"/>
    <w:rsid w:val="00DA7E54"/>
    <w:rsid w:val="00DB5316"/>
    <w:rsid w:val="00DB588E"/>
    <w:rsid w:val="00DB616A"/>
    <w:rsid w:val="00DC2C59"/>
    <w:rsid w:val="00DC2EC1"/>
    <w:rsid w:val="00DC44FB"/>
    <w:rsid w:val="00DC5D9B"/>
    <w:rsid w:val="00DC623C"/>
    <w:rsid w:val="00DC6BF3"/>
    <w:rsid w:val="00DD0E9A"/>
    <w:rsid w:val="00DD1F00"/>
    <w:rsid w:val="00DD219F"/>
    <w:rsid w:val="00DD24DE"/>
    <w:rsid w:val="00DD2979"/>
    <w:rsid w:val="00DD5711"/>
    <w:rsid w:val="00DD7271"/>
    <w:rsid w:val="00DE02B7"/>
    <w:rsid w:val="00DE0560"/>
    <w:rsid w:val="00DE2877"/>
    <w:rsid w:val="00DE2D3E"/>
    <w:rsid w:val="00DE3AC2"/>
    <w:rsid w:val="00DE3D5C"/>
    <w:rsid w:val="00DE46BE"/>
    <w:rsid w:val="00DE48C2"/>
    <w:rsid w:val="00DE50C0"/>
    <w:rsid w:val="00DE585E"/>
    <w:rsid w:val="00DF32D0"/>
    <w:rsid w:val="00DF4661"/>
    <w:rsid w:val="00DF6440"/>
    <w:rsid w:val="00DF6CD1"/>
    <w:rsid w:val="00E03527"/>
    <w:rsid w:val="00E03C32"/>
    <w:rsid w:val="00E05492"/>
    <w:rsid w:val="00E05E8C"/>
    <w:rsid w:val="00E06073"/>
    <w:rsid w:val="00E0620A"/>
    <w:rsid w:val="00E06B98"/>
    <w:rsid w:val="00E11AE2"/>
    <w:rsid w:val="00E144C2"/>
    <w:rsid w:val="00E14C24"/>
    <w:rsid w:val="00E159FE"/>
    <w:rsid w:val="00E21236"/>
    <w:rsid w:val="00E23EE7"/>
    <w:rsid w:val="00E2493A"/>
    <w:rsid w:val="00E264BA"/>
    <w:rsid w:val="00E319A2"/>
    <w:rsid w:val="00E33620"/>
    <w:rsid w:val="00E33BA0"/>
    <w:rsid w:val="00E3551B"/>
    <w:rsid w:val="00E35DE1"/>
    <w:rsid w:val="00E369A8"/>
    <w:rsid w:val="00E37A82"/>
    <w:rsid w:val="00E406A5"/>
    <w:rsid w:val="00E40917"/>
    <w:rsid w:val="00E40A38"/>
    <w:rsid w:val="00E41D03"/>
    <w:rsid w:val="00E41FB1"/>
    <w:rsid w:val="00E4307B"/>
    <w:rsid w:val="00E44285"/>
    <w:rsid w:val="00E44445"/>
    <w:rsid w:val="00E44CA8"/>
    <w:rsid w:val="00E46368"/>
    <w:rsid w:val="00E53DC1"/>
    <w:rsid w:val="00E53EFB"/>
    <w:rsid w:val="00E53FD7"/>
    <w:rsid w:val="00E54740"/>
    <w:rsid w:val="00E54E2F"/>
    <w:rsid w:val="00E60EC6"/>
    <w:rsid w:val="00E616C5"/>
    <w:rsid w:val="00E626DC"/>
    <w:rsid w:val="00E62B04"/>
    <w:rsid w:val="00E65F5E"/>
    <w:rsid w:val="00E67FE0"/>
    <w:rsid w:val="00E70E6C"/>
    <w:rsid w:val="00E7175B"/>
    <w:rsid w:val="00E72D13"/>
    <w:rsid w:val="00E73487"/>
    <w:rsid w:val="00E73963"/>
    <w:rsid w:val="00E757B8"/>
    <w:rsid w:val="00E76AC3"/>
    <w:rsid w:val="00E81BBB"/>
    <w:rsid w:val="00E82884"/>
    <w:rsid w:val="00E83381"/>
    <w:rsid w:val="00E853A4"/>
    <w:rsid w:val="00E8665F"/>
    <w:rsid w:val="00E86A3D"/>
    <w:rsid w:val="00E877E7"/>
    <w:rsid w:val="00E92F8E"/>
    <w:rsid w:val="00E949B6"/>
    <w:rsid w:val="00E9509E"/>
    <w:rsid w:val="00E95A89"/>
    <w:rsid w:val="00E96149"/>
    <w:rsid w:val="00E96737"/>
    <w:rsid w:val="00E96CDB"/>
    <w:rsid w:val="00EA0ABE"/>
    <w:rsid w:val="00EA226F"/>
    <w:rsid w:val="00EA41F0"/>
    <w:rsid w:val="00EA49BC"/>
    <w:rsid w:val="00EA54DB"/>
    <w:rsid w:val="00EB00A6"/>
    <w:rsid w:val="00EB06F0"/>
    <w:rsid w:val="00EB1140"/>
    <w:rsid w:val="00EB201F"/>
    <w:rsid w:val="00EB2575"/>
    <w:rsid w:val="00EB2A03"/>
    <w:rsid w:val="00EB410B"/>
    <w:rsid w:val="00EB4310"/>
    <w:rsid w:val="00EB7884"/>
    <w:rsid w:val="00EC16C9"/>
    <w:rsid w:val="00EC1B64"/>
    <w:rsid w:val="00EC1D92"/>
    <w:rsid w:val="00EC20AB"/>
    <w:rsid w:val="00EC4E2D"/>
    <w:rsid w:val="00EC4E58"/>
    <w:rsid w:val="00EC5497"/>
    <w:rsid w:val="00EC580C"/>
    <w:rsid w:val="00EC634F"/>
    <w:rsid w:val="00ED26CB"/>
    <w:rsid w:val="00ED36D1"/>
    <w:rsid w:val="00ED3DEE"/>
    <w:rsid w:val="00ED5166"/>
    <w:rsid w:val="00ED5469"/>
    <w:rsid w:val="00ED6DDB"/>
    <w:rsid w:val="00ED75E2"/>
    <w:rsid w:val="00ED7EE7"/>
    <w:rsid w:val="00EE0E43"/>
    <w:rsid w:val="00EE115B"/>
    <w:rsid w:val="00EE13A4"/>
    <w:rsid w:val="00EE178C"/>
    <w:rsid w:val="00EE2618"/>
    <w:rsid w:val="00EE5578"/>
    <w:rsid w:val="00EE663E"/>
    <w:rsid w:val="00EF0DDA"/>
    <w:rsid w:val="00EF1559"/>
    <w:rsid w:val="00EF2E1D"/>
    <w:rsid w:val="00EF4F76"/>
    <w:rsid w:val="00EF510A"/>
    <w:rsid w:val="00EF52B5"/>
    <w:rsid w:val="00EF5DAD"/>
    <w:rsid w:val="00EF7288"/>
    <w:rsid w:val="00F0166D"/>
    <w:rsid w:val="00F02798"/>
    <w:rsid w:val="00F048E9"/>
    <w:rsid w:val="00F04BB5"/>
    <w:rsid w:val="00F04E40"/>
    <w:rsid w:val="00F05D43"/>
    <w:rsid w:val="00F0616B"/>
    <w:rsid w:val="00F072AF"/>
    <w:rsid w:val="00F103D7"/>
    <w:rsid w:val="00F10EB9"/>
    <w:rsid w:val="00F11B4A"/>
    <w:rsid w:val="00F149F7"/>
    <w:rsid w:val="00F16BC0"/>
    <w:rsid w:val="00F2140E"/>
    <w:rsid w:val="00F220F8"/>
    <w:rsid w:val="00F23DB5"/>
    <w:rsid w:val="00F2482F"/>
    <w:rsid w:val="00F2483A"/>
    <w:rsid w:val="00F24ED0"/>
    <w:rsid w:val="00F25E34"/>
    <w:rsid w:val="00F262A0"/>
    <w:rsid w:val="00F27C33"/>
    <w:rsid w:val="00F35727"/>
    <w:rsid w:val="00F35C7D"/>
    <w:rsid w:val="00F41704"/>
    <w:rsid w:val="00F418B6"/>
    <w:rsid w:val="00F441E7"/>
    <w:rsid w:val="00F45153"/>
    <w:rsid w:val="00F45216"/>
    <w:rsid w:val="00F45ABF"/>
    <w:rsid w:val="00F45EA0"/>
    <w:rsid w:val="00F47665"/>
    <w:rsid w:val="00F47848"/>
    <w:rsid w:val="00F507E4"/>
    <w:rsid w:val="00F522D3"/>
    <w:rsid w:val="00F52E5C"/>
    <w:rsid w:val="00F60CDF"/>
    <w:rsid w:val="00F636AE"/>
    <w:rsid w:val="00F710C1"/>
    <w:rsid w:val="00F72A25"/>
    <w:rsid w:val="00F72AF6"/>
    <w:rsid w:val="00F740DD"/>
    <w:rsid w:val="00F744F1"/>
    <w:rsid w:val="00F75DF0"/>
    <w:rsid w:val="00F76223"/>
    <w:rsid w:val="00F769D1"/>
    <w:rsid w:val="00F81CD8"/>
    <w:rsid w:val="00F8269B"/>
    <w:rsid w:val="00F86C09"/>
    <w:rsid w:val="00F86CFF"/>
    <w:rsid w:val="00F872FA"/>
    <w:rsid w:val="00F87968"/>
    <w:rsid w:val="00F90558"/>
    <w:rsid w:val="00F91B2A"/>
    <w:rsid w:val="00F922CC"/>
    <w:rsid w:val="00F939AC"/>
    <w:rsid w:val="00F93C0C"/>
    <w:rsid w:val="00F94D98"/>
    <w:rsid w:val="00F95EAD"/>
    <w:rsid w:val="00F96DFA"/>
    <w:rsid w:val="00F97AA9"/>
    <w:rsid w:val="00F97C96"/>
    <w:rsid w:val="00FA0494"/>
    <w:rsid w:val="00FA087C"/>
    <w:rsid w:val="00FA0B69"/>
    <w:rsid w:val="00FA191A"/>
    <w:rsid w:val="00FA2989"/>
    <w:rsid w:val="00FA2D55"/>
    <w:rsid w:val="00FA3441"/>
    <w:rsid w:val="00FA415D"/>
    <w:rsid w:val="00FA577A"/>
    <w:rsid w:val="00FA5910"/>
    <w:rsid w:val="00FA7C5E"/>
    <w:rsid w:val="00FB03B1"/>
    <w:rsid w:val="00FB2C3C"/>
    <w:rsid w:val="00FB4F4F"/>
    <w:rsid w:val="00FB755E"/>
    <w:rsid w:val="00FC2264"/>
    <w:rsid w:val="00FC262E"/>
    <w:rsid w:val="00FC43C4"/>
    <w:rsid w:val="00FC4C75"/>
    <w:rsid w:val="00FC511B"/>
    <w:rsid w:val="00FC7958"/>
    <w:rsid w:val="00FC79FE"/>
    <w:rsid w:val="00FD0A53"/>
    <w:rsid w:val="00FD1D1F"/>
    <w:rsid w:val="00FD4754"/>
    <w:rsid w:val="00FD4D80"/>
    <w:rsid w:val="00FD5DD4"/>
    <w:rsid w:val="00FD60DB"/>
    <w:rsid w:val="00FD68E4"/>
    <w:rsid w:val="00FD6DA3"/>
    <w:rsid w:val="00FD78CD"/>
    <w:rsid w:val="00FE03BC"/>
    <w:rsid w:val="00FE0C76"/>
    <w:rsid w:val="00FE12FA"/>
    <w:rsid w:val="00FE1621"/>
    <w:rsid w:val="00FE1791"/>
    <w:rsid w:val="00FE438C"/>
    <w:rsid w:val="00FE5624"/>
    <w:rsid w:val="00FE757B"/>
    <w:rsid w:val="00FF03BC"/>
    <w:rsid w:val="00FF0A47"/>
    <w:rsid w:val="00FF258B"/>
    <w:rsid w:val="00FF2F36"/>
    <w:rsid w:val="00FF4028"/>
    <w:rsid w:val="00FF50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9915EC1"/>
  <w14:defaultImageDpi w14:val="330"/>
  <w15:docId w15:val="{9A6913B1-E3BE-DC47-8159-ED86925C2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5AB"/>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eccc1200-">
    <w:name w:val="eccc1200-"/>
    <w:basedOn w:val="DefaultParagraphFont"/>
  </w:style>
  <w:style w:type="character" w:customStyle="1" w:styleId="small-caps">
    <w:name w:val="small-caps"/>
    <w:basedOn w:val="DefaultParagraphFont"/>
  </w:style>
  <w:style w:type="paragraph" w:customStyle="1" w:styleId="noindent">
    <w:name w:val="noindent"/>
    <w:basedOn w:val="Normal"/>
    <w:pPr>
      <w:spacing w:before="100" w:beforeAutospacing="1" w:after="100" w:afterAutospacing="1"/>
    </w:pPr>
  </w:style>
  <w:style w:type="character" w:customStyle="1" w:styleId="ecbx-1095">
    <w:name w:val="ecbx-1095"/>
    <w:basedOn w:val="DefaultParagraphFont"/>
  </w:style>
  <w:style w:type="character" w:customStyle="1" w:styleId="ecbx-1000">
    <w:name w:val="ecbx-1000"/>
    <w:basedOn w:val="DefaultParagraphFont"/>
  </w:style>
  <w:style w:type="character" w:customStyle="1" w:styleId="ecti-1000">
    <w:name w:val="ecti-1000"/>
    <w:basedOn w:val="DefaultParagraphFont"/>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character" w:customStyle="1" w:styleId="titlemark">
    <w:name w:val="titlemark"/>
    <w:basedOn w:val="DefaultParagraphFont"/>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ecrm-1000">
    <w:name w:val="ecrm-1000"/>
    <w:basedOn w:val="DefaultParagraphFont"/>
  </w:style>
  <w:style w:type="paragraph" w:customStyle="1" w:styleId="indent">
    <w:name w:val="indent"/>
    <w:basedOn w:val="Normal"/>
    <w:pPr>
      <w:spacing w:before="100" w:beforeAutospacing="1" w:after="100" w:afterAutospacing="1"/>
    </w:p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sz w:val="24"/>
      <w:szCs w:val="24"/>
    </w:rPr>
  </w:style>
  <w:style w:type="character" w:customStyle="1" w:styleId="id">
    <w:name w:val="id"/>
    <w:basedOn w:val="DefaultParagraphFont"/>
  </w:style>
  <w:style w:type="character" w:customStyle="1" w:styleId="content">
    <w:name w:val="content"/>
    <w:basedOn w:val="DefaultParagraphFont"/>
  </w:style>
  <w:style w:type="character" w:customStyle="1" w:styleId="cmmi-10x-x-109">
    <w:name w:val="cmmi-10x-x-109"/>
    <w:basedOn w:val="DefaultParagraphFont"/>
  </w:style>
  <w:style w:type="character" w:customStyle="1" w:styleId="cmr-10x-x-109">
    <w:name w:val="cmr-10x-x-109"/>
    <w:basedOn w:val="DefaultParagraphFont"/>
  </w:style>
  <w:style w:type="character" w:customStyle="1" w:styleId="ecrm-0900">
    <w:name w:val="ecrm-0900"/>
    <w:basedOn w:val="DefaultParagraphFont"/>
  </w:style>
  <w:style w:type="character" w:customStyle="1" w:styleId="cmsy-10x-x-109">
    <w:name w:val="cmsy-10x-x-109"/>
    <w:basedOn w:val="DefaultParagraphFont"/>
  </w:style>
  <w:style w:type="character" w:customStyle="1" w:styleId="cmmi-10">
    <w:name w:val="cmmi-10"/>
    <w:basedOn w:val="DefaultParagraphFont"/>
  </w:style>
  <w:style w:type="character" w:customStyle="1" w:styleId="cmmi-9">
    <w:name w:val="cmmi-9"/>
    <w:basedOn w:val="DefaultParagraphFont"/>
  </w:style>
  <w:style w:type="character" w:customStyle="1" w:styleId="cmsy-8">
    <w:name w:val="cmsy-8"/>
    <w:basedOn w:val="DefaultParagraphFont"/>
  </w:style>
  <w:style w:type="character" w:customStyle="1" w:styleId="cmr-8">
    <w:name w:val="cmr-8"/>
    <w:basedOn w:val="DefaultParagraphFont"/>
  </w:style>
  <w:style w:type="table" w:customStyle="1" w:styleId="PlainTable21">
    <w:name w:val="Plain Table 21"/>
    <w:basedOn w:val="TableNormal"/>
    <w:uiPriority w:val="42"/>
    <w:rsid w:val="00132C4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51">
    <w:name w:val="Plain Table 51"/>
    <w:basedOn w:val="TableNormal"/>
    <w:uiPriority w:val="45"/>
    <w:rsid w:val="00132C4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ocumentMap">
    <w:name w:val="Document Map"/>
    <w:basedOn w:val="Normal"/>
    <w:link w:val="DocumentMapChar"/>
    <w:uiPriority w:val="99"/>
    <w:semiHidden/>
    <w:unhideWhenUsed/>
    <w:rsid w:val="00251F55"/>
  </w:style>
  <w:style w:type="character" w:customStyle="1" w:styleId="DocumentMapChar">
    <w:name w:val="Document Map Char"/>
    <w:basedOn w:val="DefaultParagraphFont"/>
    <w:link w:val="DocumentMap"/>
    <w:uiPriority w:val="99"/>
    <w:semiHidden/>
    <w:rsid w:val="00251F55"/>
    <w:rPr>
      <w:rFonts w:eastAsiaTheme="minorEastAsia"/>
      <w:sz w:val="24"/>
      <w:szCs w:val="24"/>
    </w:rPr>
  </w:style>
  <w:style w:type="table" w:customStyle="1" w:styleId="PlainTable41">
    <w:name w:val="Plain Table 41"/>
    <w:basedOn w:val="TableNormal"/>
    <w:uiPriority w:val="44"/>
    <w:rsid w:val="001647B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2021CB"/>
    <w:rPr>
      <w:color w:val="808080"/>
    </w:rPr>
  </w:style>
  <w:style w:type="character" w:styleId="CommentReference">
    <w:name w:val="annotation reference"/>
    <w:basedOn w:val="DefaultParagraphFont"/>
    <w:uiPriority w:val="99"/>
    <w:semiHidden/>
    <w:unhideWhenUsed/>
    <w:rsid w:val="007F5F2C"/>
    <w:rPr>
      <w:sz w:val="16"/>
      <w:szCs w:val="16"/>
    </w:rPr>
  </w:style>
  <w:style w:type="paragraph" w:styleId="CommentText">
    <w:name w:val="annotation text"/>
    <w:basedOn w:val="Normal"/>
    <w:link w:val="CommentTextChar"/>
    <w:uiPriority w:val="99"/>
    <w:unhideWhenUsed/>
    <w:rsid w:val="007F5F2C"/>
    <w:rPr>
      <w:sz w:val="20"/>
      <w:szCs w:val="20"/>
    </w:rPr>
  </w:style>
  <w:style w:type="character" w:customStyle="1" w:styleId="CommentTextChar">
    <w:name w:val="Comment Text Char"/>
    <w:basedOn w:val="DefaultParagraphFont"/>
    <w:link w:val="CommentText"/>
    <w:uiPriority w:val="99"/>
    <w:rsid w:val="007F5F2C"/>
    <w:rPr>
      <w:rFonts w:eastAsiaTheme="minorEastAsia"/>
    </w:rPr>
  </w:style>
  <w:style w:type="paragraph" w:styleId="CommentSubject">
    <w:name w:val="annotation subject"/>
    <w:basedOn w:val="CommentText"/>
    <w:next w:val="CommentText"/>
    <w:link w:val="CommentSubjectChar"/>
    <w:uiPriority w:val="99"/>
    <w:semiHidden/>
    <w:unhideWhenUsed/>
    <w:rsid w:val="007F5F2C"/>
    <w:rPr>
      <w:b/>
      <w:bCs/>
    </w:rPr>
  </w:style>
  <w:style w:type="character" w:customStyle="1" w:styleId="CommentSubjectChar">
    <w:name w:val="Comment Subject Char"/>
    <w:basedOn w:val="CommentTextChar"/>
    <w:link w:val="CommentSubject"/>
    <w:uiPriority w:val="99"/>
    <w:semiHidden/>
    <w:rsid w:val="007F5F2C"/>
    <w:rPr>
      <w:rFonts w:eastAsiaTheme="minorEastAsia"/>
      <w:b/>
      <w:bCs/>
    </w:rPr>
  </w:style>
  <w:style w:type="paragraph" w:styleId="BalloonText">
    <w:name w:val="Balloon Text"/>
    <w:basedOn w:val="Normal"/>
    <w:link w:val="BalloonTextChar"/>
    <w:uiPriority w:val="99"/>
    <w:semiHidden/>
    <w:unhideWhenUsed/>
    <w:rsid w:val="00AC1A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5F2C"/>
    <w:rPr>
      <w:rFonts w:ascii="Segoe UI" w:eastAsiaTheme="minorEastAsia" w:hAnsi="Segoe UI" w:cs="Segoe UI"/>
      <w:sz w:val="18"/>
      <w:szCs w:val="18"/>
    </w:rPr>
  </w:style>
  <w:style w:type="table" w:customStyle="1" w:styleId="PlainTable211">
    <w:name w:val="Plain Table 211"/>
    <w:basedOn w:val="TableNormal"/>
    <w:uiPriority w:val="42"/>
    <w:rsid w:val="00AC1AE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511">
    <w:name w:val="Plain Table 511"/>
    <w:basedOn w:val="TableNormal"/>
    <w:uiPriority w:val="45"/>
    <w:rsid w:val="00AC1A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1">
    <w:name w:val="Plain Table 411"/>
    <w:basedOn w:val="TableNormal"/>
    <w:uiPriority w:val="44"/>
    <w:rsid w:val="00AC1A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6B6246"/>
    <w:rPr>
      <w:rFonts w:eastAsiaTheme="minorEastAsia"/>
      <w:sz w:val="24"/>
      <w:szCs w:val="24"/>
    </w:rPr>
  </w:style>
  <w:style w:type="paragraph" w:styleId="FootnoteText">
    <w:name w:val="footnote text"/>
    <w:basedOn w:val="Normal"/>
    <w:link w:val="FootnoteTextChar"/>
    <w:uiPriority w:val="99"/>
    <w:semiHidden/>
    <w:unhideWhenUsed/>
    <w:rsid w:val="00AA0BB9"/>
    <w:rPr>
      <w:sz w:val="20"/>
      <w:szCs w:val="20"/>
    </w:rPr>
  </w:style>
  <w:style w:type="character" w:customStyle="1" w:styleId="FootnoteTextChar">
    <w:name w:val="Footnote Text Char"/>
    <w:basedOn w:val="DefaultParagraphFont"/>
    <w:link w:val="FootnoteText"/>
    <w:uiPriority w:val="99"/>
    <w:semiHidden/>
    <w:rsid w:val="00AA0BB9"/>
    <w:rPr>
      <w:rFonts w:eastAsiaTheme="minorEastAsia"/>
    </w:rPr>
  </w:style>
  <w:style w:type="character" w:styleId="FootnoteReference">
    <w:name w:val="footnote reference"/>
    <w:basedOn w:val="DefaultParagraphFont"/>
    <w:uiPriority w:val="99"/>
    <w:semiHidden/>
    <w:unhideWhenUsed/>
    <w:rsid w:val="00AA0BB9"/>
    <w:rPr>
      <w:vertAlign w:val="superscript"/>
    </w:rPr>
  </w:style>
  <w:style w:type="paragraph" w:styleId="EndnoteText">
    <w:name w:val="endnote text"/>
    <w:basedOn w:val="Normal"/>
    <w:link w:val="EndnoteTextChar"/>
    <w:uiPriority w:val="99"/>
    <w:semiHidden/>
    <w:unhideWhenUsed/>
    <w:rsid w:val="00A637F1"/>
    <w:rPr>
      <w:sz w:val="20"/>
      <w:szCs w:val="20"/>
    </w:rPr>
  </w:style>
  <w:style w:type="character" w:customStyle="1" w:styleId="EndnoteTextChar">
    <w:name w:val="Endnote Text Char"/>
    <w:basedOn w:val="DefaultParagraphFont"/>
    <w:link w:val="EndnoteText"/>
    <w:uiPriority w:val="99"/>
    <w:semiHidden/>
    <w:rsid w:val="00A637F1"/>
    <w:rPr>
      <w:rFonts w:eastAsiaTheme="minorEastAsia"/>
    </w:rPr>
  </w:style>
  <w:style w:type="character" w:styleId="EndnoteReference">
    <w:name w:val="endnote reference"/>
    <w:basedOn w:val="DefaultParagraphFont"/>
    <w:uiPriority w:val="99"/>
    <w:semiHidden/>
    <w:unhideWhenUsed/>
    <w:rsid w:val="00A637F1"/>
    <w:rPr>
      <w:vertAlign w:val="superscript"/>
    </w:rPr>
  </w:style>
  <w:style w:type="table" w:styleId="PlainTable4">
    <w:name w:val="Plain Table 4"/>
    <w:basedOn w:val="TableNormal"/>
    <w:uiPriority w:val="44"/>
    <w:rsid w:val="00EE663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7B1066"/>
    <w:pPr>
      <w:tabs>
        <w:tab w:val="center" w:pos="4680"/>
        <w:tab w:val="right" w:pos="9360"/>
      </w:tabs>
    </w:pPr>
  </w:style>
  <w:style w:type="character" w:customStyle="1" w:styleId="HeaderChar">
    <w:name w:val="Header Char"/>
    <w:basedOn w:val="DefaultParagraphFont"/>
    <w:link w:val="Header"/>
    <w:uiPriority w:val="99"/>
    <w:rsid w:val="007B1066"/>
    <w:rPr>
      <w:rFonts w:eastAsiaTheme="minorEastAsia"/>
      <w:sz w:val="24"/>
      <w:szCs w:val="24"/>
    </w:rPr>
  </w:style>
  <w:style w:type="paragraph" w:styleId="Footer">
    <w:name w:val="footer"/>
    <w:basedOn w:val="Normal"/>
    <w:link w:val="FooterChar"/>
    <w:uiPriority w:val="99"/>
    <w:unhideWhenUsed/>
    <w:rsid w:val="007B1066"/>
    <w:pPr>
      <w:tabs>
        <w:tab w:val="center" w:pos="4680"/>
        <w:tab w:val="right" w:pos="9360"/>
      </w:tabs>
    </w:pPr>
  </w:style>
  <w:style w:type="character" w:customStyle="1" w:styleId="FooterChar">
    <w:name w:val="Footer Char"/>
    <w:basedOn w:val="DefaultParagraphFont"/>
    <w:link w:val="Footer"/>
    <w:uiPriority w:val="99"/>
    <w:rsid w:val="007B1066"/>
    <w:rPr>
      <w:rFonts w:eastAsiaTheme="minorEastAsia"/>
      <w:sz w:val="24"/>
      <w:szCs w:val="24"/>
    </w:rPr>
  </w:style>
  <w:style w:type="character" w:styleId="LineNumber">
    <w:name w:val="line number"/>
    <w:basedOn w:val="DefaultParagraphFont"/>
    <w:uiPriority w:val="99"/>
    <w:semiHidden/>
    <w:unhideWhenUsed/>
    <w:rsid w:val="007B1066"/>
  </w:style>
  <w:style w:type="paragraph" w:styleId="NormalWeb">
    <w:name w:val="Normal (Web)"/>
    <w:basedOn w:val="Normal"/>
    <w:uiPriority w:val="99"/>
    <w:semiHidden/>
    <w:unhideWhenUsed/>
    <w:rsid w:val="007D0EAB"/>
    <w:pPr>
      <w:spacing w:before="100" w:beforeAutospacing="1" w:after="100" w:afterAutospacing="1"/>
    </w:pPr>
    <w:rPr>
      <w:rFonts w:eastAsia="Times New Roman"/>
    </w:rPr>
  </w:style>
  <w:style w:type="table" w:styleId="TableGrid">
    <w:name w:val="Table Grid"/>
    <w:basedOn w:val="TableNormal"/>
    <w:uiPriority w:val="39"/>
    <w:rsid w:val="001B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ecti-1000">
    <w:name w:val="x_ecti-1000"/>
    <w:basedOn w:val="DefaultParagraphFont"/>
    <w:rsid w:val="00252C17"/>
  </w:style>
  <w:style w:type="character" w:customStyle="1" w:styleId="UnresolvedMention1">
    <w:name w:val="Unresolved Mention1"/>
    <w:basedOn w:val="DefaultParagraphFont"/>
    <w:uiPriority w:val="99"/>
    <w:rsid w:val="00BF7D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77720">
      <w:marLeft w:val="0"/>
      <w:marRight w:val="0"/>
      <w:marTop w:val="0"/>
      <w:marBottom w:val="0"/>
      <w:divBdr>
        <w:top w:val="none" w:sz="0" w:space="0" w:color="auto"/>
        <w:left w:val="none" w:sz="0" w:space="0" w:color="auto"/>
        <w:bottom w:val="none" w:sz="0" w:space="0" w:color="auto"/>
        <w:right w:val="none" w:sz="0" w:space="0" w:color="auto"/>
      </w:divBdr>
      <w:divsChild>
        <w:div w:id="620376948">
          <w:marLeft w:val="0"/>
          <w:marRight w:val="0"/>
          <w:marTop w:val="0"/>
          <w:marBottom w:val="0"/>
          <w:divBdr>
            <w:top w:val="none" w:sz="0" w:space="0" w:color="auto"/>
            <w:left w:val="none" w:sz="0" w:space="0" w:color="auto"/>
            <w:bottom w:val="none" w:sz="0" w:space="0" w:color="auto"/>
            <w:right w:val="none" w:sz="0" w:space="0" w:color="auto"/>
          </w:divBdr>
          <w:divsChild>
            <w:div w:id="103887579">
              <w:marLeft w:val="0"/>
              <w:marRight w:val="0"/>
              <w:marTop w:val="0"/>
              <w:marBottom w:val="0"/>
              <w:divBdr>
                <w:top w:val="none" w:sz="0" w:space="0" w:color="auto"/>
                <w:left w:val="none" w:sz="0" w:space="0" w:color="auto"/>
                <w:bottom w:val="none" w:sz="0" w:space="0" w:color="auto"/>
                <w:right w:val="none" w:sz="0" w:space="0" w:color="auto"/>
              </w:divBdr>
            </w:div>
            <w:div w:id="139304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3760">
      <w:bodyDiv w:val="1"/>
      <w:marLeft w:val="0"/>
      <w:marRight w:val="0"/>
      <w:marTop w:val="0"/>
      <w:marBottom w:val="0"/>
      <w:divBdr>
        <w:top w:val="none" w:sz="0" w:space="0" w:color="auto"/>
        <w:left w:val="none" w:sz="0" w:space="0" w:color="auto"/>
        <w:bottom w:val="none" w:sz="0" w:space="0" w:color="auto"/>
        <w:right w:val="none" w:sz="0" w:space="0" w:color="auto"/>
      </w:divBdr>
    </w:div>
    <w:div w:id="272442450">
      <w:bodyDiv w:val="1"/>
      <w:marLeft w:val="0"/>
      <w:marRight w:val="0"/>
      <w:marTop w:val="0"/>
      <w:marBottom w:val="0"/>
      <w:divBdr>
        <w:top w:val="none" w:sz="0" w:space="0" w:color="auto"/>
        <w:left w:val="none" w:sz="0" w:space="0" w:color="auto"/>
        <w:bottom w:val="none" w:sz="0" w:space="0" w:color="auto"/>
        <w:right w:val="none" w:sz="0" w:space="0" w:color="auto"/>
      </w:divBdr>
    </w:div>
    <w:div w:id="285505816">
      <w:bodyDiv w:val="1"/>
      <w:marLeft w:val="0"/>
      <w:marRight w:val="0"/>
      <w:marTop w:val="0"/>
      <w:marBottom w:val="0"/>
      <w:divBdr>
        <w:top w:val="none" w:sz="0" w:space="0" w:color="auto"/>
        <w:left w:val="none" w:sz="0" w:space="0" w:color="auto"/>
        <w:bottom w:val="none" w:sz="0" w:space="0" w:color="auto"/>
        <w:right w:val="none" w:sz="0" w:space="0" w:color="auto"/>
      </w:divBdr>
      <w:divsChild>
        <w:div w:id="13060885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6754285">
              <w:marLeft w:val="0"/>
              <w:marRight w:val="0"/>
              <w:marTop w:val="0"/>
              <w:marBottom w:val="0"/>
              <w:divBdr>
                <w:top w:val="none" w:sz="0" w:space="0" w:color="auto"/>
                <w:left w:val="none" w:sz="0" w:space="0" w:color="auto"/>
                <w:bottom w:val="none" w:sz="0" w:space="0" w:color="auto"/>
                <w:right w:val="none" w:sz="0" w:space="0" w:color="auto"/>
              </w:divBdr>
              <w:divsChild>
                <w:div w:id="114658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16640">
      <w:bodyDiv w:val="1"/>
      <w:marLeft w:val="0"/>
      <w:marRight w:val="0"/>
      <w:marTop w:val="0"/>
      <w:marBottom w:val="0"/>
      <w:divBdr>
        <w:top w:val="none" w:sz="0" w:space="0" w:color="auto"/>
        <w:left w:val="none" w:sz="0" w:space="0" w:color="auto"/>
        <w:bottom w:val="none" w:sz="0" w:space="0" w:color="auto"/>
        <w:right w:val="none" w:sz="0" w:space="0" w:color="auto"/>
      </w:divBdr>
    </w:div>
    <w:div w:id="448398922">
      <w:bodyDiv w:val="1"/>
      <w:marLeft w:val="0"/>
      <w:marRight w:val="0"/>
      <w:marTop w:val="0"/>
      <w:marBottom w:val="0"/>
      <w:divBdr>
        <w:top w:val="none" w:sz="0" w:space="0" w:color="auto"/>
        <w:left w:val="none" w:sz="0" w:space="0" w:color="auto"/>
        <w:bottom w:val="none" w:sz="0" w:space="0" w:color="auto"/>
        <w:right w:val="none" w:sz="0" w:space="0" w:color="auto"/>
      </w:divBdr>
    </w:div>
    <w:div w:id="512257323">
      <w:bodyDiv w:val="1"/>
      <w:marLeft w:val="0"/>
      <w:marRight w:val="0"/>
      <w:marTop w:val="0"/>
      <w:marBottom w:val="0"/>
      <w:divBdr>
        <w:top w:val="none" w:sz="0" w:space="0" w:color="auto"/>
        <w:left w:val="none" w:sz="0" w:space="0" w:color="auto"/>
        <w:bottom w:val="none" w:sz="0" w:space="0" w:color="auto"/>
        <w:right w:val="none" w:sz="0" w:space="0" w:color="auto"/>
      </w:divBdr>
    </w:div>
    <w:div w:id="530805998">
      <w:bodyDiv w:val="1"/>
      <w:marLeft w:val="0"/>
      <w:marRight w:val="0"/>
      <w:marTop w:val="0"/>
      <w:marBottom w:val="0"/>
      <w:divBdr>
        <w:top w:val="none" w:sz="0" w:space="0" w:color="auto"/>
        <w:left w:val="none" w:sz="0" w:space="0" w:color="auto"/>
        <w:bottom w:val="none" w:sz="0" w:space="0" w:color="auto"/>
        <w:right w:val="none" w:sz="0" w:space="0" w:color="auto"/>
      </w:divBdr>
    </w:div>
    <w:div w:id="590090448">
      <w:bodyDiv w:val="1"/>
      <w:marLeft w:val="0"/>
      <w:marRight w:val="0"/>
      <w:marTop w:val="0"/>
      <w:marBottom w:val="0"/>
      <w:divBdr>
        <w:top w:val="none" w:sz="0" w:space="0" w:color="auto"/>
        <w:left w:val="none" w:sz="0" w:space="0" w:color="auto"/>
        <w:bottom w:val="none" w:sz="0" w:space="0" w:color="auto"/>
        <w:right w:val="none" w:sz="0" w:space="0" w:color="auto"/>
      </w:divBdr>
    </w:div>
    <w:div w:id="595329085">
      <w:bodyDiv w:val="1"/>
      <w:marLeft w:val="0"/>
      <w:marRight w:val="0"/>
      <w:marTop w:val="0"/>
      <w:marBottom w:val="0"/>
      <w:divBdr>
        <w:top w:val="none" w:sz="0" w:space="0" w:color="auto"/>
        <w:left w:val="none" w:sz="0" w:space="0" w:color="auto"/>
        <w:bottom w:val="none" w:sz="0" w:space="0" w:color="auto"/>
        <w:right w:val="none" w:sz="0" w:space="0" w:color="auto"/>
      </w:divBdr>
    </w:div>
    <w:div w:id="610016036">
      <w:marLeft w:val="0"/>
      <w:marRight w:val="0"/>
      <w:marTop w:val="0"/>
      <w:marBottom w:val="0"/>
      <w:divBdr>
        <w:top w:val="none" w:sz="0" w:space="0" w:color="auto"/>
        <w:left w:val="none" w:sz="0" w:space="0" w:color="auto"/>
        <w:bottom w:val="none" w:sz="0" w:space="0" w:color="auto"/>
        <w:right w:val="none" w:sz="0" w:space="0" w:color="auto"/>
      </w:divBdr>
      <w:divsChild>
        <w:div w:id="1622687252">
          <w:marLeft w:val="0"/>
          <w:marRight w:val="0"/>
          <w:marTop w:val="0"/>
          <w:marBottom w:val="0"/>
          <w:divBdr>
            <w:top w:val="none" w:sz="0" w:space="0" w:color="auto"/>
            <w:left w:val="none" w:sz="0" w:space="0" w:color="auto"/>
            <w:bottom w:val="none" w:sz="0" w:space="0" w:color="auto"/>
            <w:right w:val="none" w:sz="0" w:space="0" w:color="auto"/>
          </w:divBdr>
        </w:div>
      </w:divsChild>
    </w:div>
    <w:div w:id="638727645">
      <w:bodyDiv w:val="1"/>
      <w:marLeft w:val="0"/>
      <w:marRight w:val="0"/>
      <w:marTop w:val="0"/>
      <w:marBottom w:val="0"/>
      <w:divBdr>
        <w:top w:val="none" w:sz="0" w:space="0" w:color="auto"/>
        <w:left w:val="none" w:sz="0" w:space="0" w:color="auto"/>
        <w:bottom w:val="none" w:sz="0" w:space="0" w:color="auto"/>
        <w:right w:val="none" w:sz="0" w:space="0" w:color="auto"/>
      </w:divBdr>
    </w:div>
    <w:div w:id="700472034">
      <w:marLeft w:val="0"/>
      <w:marRight w:val="0"/>
      <w:marTop w:val="0"/>
      <w:marBottom w:val="0"/>
      <w:divBdr>
        <w:top w:val="none" w:sz="0" w:space="0" w:color="auto"/>
        <w:left w:val="none" w:sz="0" w:space="0" w:color="auto"/>
        <w:bottom w:val="none" w:sz="0" w:space="0" w:color="auto"/>
        <w:right w:val="none" w:sz="0" w:space="0" w:color="auto"/>
      </w:divBdr>
      <w:divsChild>
        <w:div w:id="1668827582">
          <w:marLeft w:val="0"/>
          <w:marRight w:val="0"/>
          <w:marTop w:val="0"/>
          <w:marBottom w:val="0"/>
          <w:divBdr>
            <w:top w:val="none" w:sz="0" w:space="0" w:color="auto"/>
            <w:left w:val="none" w:sz="0" w:space="0" w:color="auto"/>
            <w:bottom w:val="none" w:sz="0" w:space="0" w:color="auto"/>
            <w:right w:val="none" w:sz="0" w:space="0" w:color="auto"/>
          </w:divBdr>
        </w:div>
      </w:divsChild>
    </w:div>
    <w:div w:id="709840311">
      <w:marLeft w:val="0"/>
      <w:marRight w:val="0"/>
      <w:marTop w:val="0"/>
      <w:marBottom w:val="0"/>
      <w:divBdr>
        <w:top w:val="none" w:sz="0" w:space="0" w:color="auto"/>
        <w:left w:val="none" w:sz="0" w:space="0" w:color="auto"/>
        <w:bottom w:val="none" w:sz="0" w:space="0" w:color="auto"/>
        <w:right w:val="none" w:sz="0" w:space="0" w:color="auto"/>
      </w:divBdr>
      <w:divsChild>
        <w:div w:id="244531295">
          <w:marLeft w:val="0"/>
          <w:marRight w:val="0"/>
          <w:marTop w:val="0"/>
          <w:marBottom w:val="0"/>
          <w:divBdr>
            <w:top w:val="none" w:sz="0" w:space="0" w:color="auto"/>
            <w:left w:val="none" w:sz="0" w:space="0" w:color="auto"/>
            <w:bottom w:val="none" w:sz="0" w:space="0" w:color="auto"/>
            <w:right w:val="none" w:sz="0" w:space="0" w:color="auto"/>
          </w:divBdr>
          <w:divsChild>
            <w:div w:id="857423625">
              <w:marLeft w:val="0"/>
              <w:marRight w:val="0"/>
              <w:marTop w:val="0"/>
              <w:marBottom w:val="0"/>
              <w:divBdr>
                <w:top w:val="none" w:sz="0" w:space="0" w:color="auto"/>
                <w:left w:val="none" w:sz="0" w:space="0" w:color="auto"/>
                <w:bottom w:val="none" w:sz="0" w:space="0" w:color="auto"/>
                <w:right w:val="none" w:sz="0" w:space="0" w:color="auto"/>
              </w:divBdr>
            </w:div>
            <w:div w:id="1188711309">
              <w:marLeft w:val="0"/>
              <w:marRight w:val="0"/>
              <w:marTop w:val="0"/>
              <w:marBottom w:val="0"/>
              <w:divBdr>
                <w:top w:val="none" w:sz="0" w:space="0" w:color="auto"/>
                <w:left w:val="none" w:sz="0" w:space="0" w:color="auto"/>
                <w:bottom w:val="none" w:sz="0" w:space="0" w:color="auto"/>
                <w:right w:val="none" w:sz="0" w:space="0" w:color="auto"/>
              </w:divBdr>
              <w:divsChild>
                <w:div w:id="721559843">
                  <w:marLeft w:val="0"/>
                  <w:marRight w:val="0"/>
                  <w:marTop w:val="0"/>
                  <w:marBottom w:val="0"/>
                  <w:divBdr>
                    <w:top w:val="none" w:sz="0" w:space="0" w:color="auto"/>
                    <w:left w:val="none" w:sz="0" w:space="0" w:color="auto"/>
                    <w:bottom w:val="none" w:sz="0" w:space="0" w:color="auto"/>
                    <w:right w:val="none" w:sz="0" w:space="0" w:color="auto"/>
                  </w:divBdr>
                </w:div>
                <w:div w:id="1195341573">
                  <w:marLeft w:val="0"/>
                  <w:marRight w:val="0"/>
                  <w:marTop w:val="0"/>
                  <w:marBottom w:val="0"/>
                  <w:divBdr>
                    <w:top w:val="none" w:sz="0" w:space="0" w:color="auto"/>
                    <w:left w:val="none" w:sz="0" w:space="0" w:color="auto"/>
                    <w:bottom w:val="none" w:sz="0" w:space="0" w:color="auto"/>
                    <w:right w:val="none" w:sz="0" w:space="0" w:color="auto"/>
                  </w:divBdr>
                </w:div>
                <w:div w:id="1290357461">
                  <w:marLeft w:val="0"/>
                  <w:marRight w:val="0"/>
                  <w:marTop w:val="0"/>
                  <w:marBottom w:val="0"/>
                  <w:divBdr>
                    <w:top w:val="none" w:sz="0" w:space="0" w:color="auto"/>
                    <w:left w:val="none" w:sz="0" w:space="0" w:color="auto"/>
                    <w:bottom w:val="none" w:sz="0" w:space="0" w:color="auto"/>
                    <w:right w:val="none" w:sz="0" w:space="0" w:color="auto"/>
                  </w:divBdr>
                </w:div>
                <w:div w:id="1435902283">
                  <w:marLeft w:val="0"/>
                  <w:marRight w:val="0"/>
                  <w:marTop w:val="0"/>
                  <w:marBottom w:val="0"/>
                  <w:divBdr>
                    <w:top w:val="none" w:sz="0" w:space="0" w:color="auto"/>
                    <w:left w:val="none" w:sz="0" w:space="0" w:color="auto"/>
                    <w:bottom w:val="none" w:sz="0" w:space="0" w:color="auto"/>
                    <w:right w:val="none" w:sz="0" w:space="0" w:color="auto"/>
                  </w:divBdr>
                </w:div>
                <w:div w:id="1513884592">
                  <w:marLeft w:val="0"/>
                  <w:marRight w:val="0"/>
                  <w:marTop w:val="0"/>
                  <w:marBottom w:val="0"/>
                  <w:divBdr>
                    <w:top w:val="none" w:sz="0" w:space="0" w:color="auto"/>
                    <w:left w:val="none" w:sz="0" w:space="0" w:color="auto"/>
                    <w:bottom w:val="none" w:sz="0" w:space="0" w:color="auto"/>
                    <w:right w:val="none" w:sz="0" w:space="0" w:color="auto"/>
                  </w:divBdr>
                </w:div>
                <w:div w:id="173527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68138">
      <w:bodyDiv w:val="1"/>
      <w:marLeft w:val="0"/>
      <w:marRight w:val="0"/>
      <w:marTop w:val="0"/>
      <w:marBottom w:val="0"/>
      <w:divBdr>
        <w:top w:val="none" w:sz="0" w:space="0" w:color="auto"/>
        <w:left w:val="none" w:sz="0" w:space="0" w:color="auto"/>
        <w:bottom w:val="none" w:sz="0" w:space="0" w:color="auto"/>
        <w:right w:val="none" w:sz="0" w:space="0" w:color="auto"/>
      </w:divBdr>
    </w:div>
    <w:div w:id="978994354">
      <w:bodyDiv w:val="1"/>
      <w:marLeft w:val="0"/>
      <w:marRight w:val="0"/>
      <w:marTop w:val="0"/>
      <w:marBottom w:val="0"/>
      <w:divBdr>
        <w:top w:val="none" w:sz="0" w:space="0" w:color="auto"/>
        <w:left w:val="none" w:sz="0" w:space="0" w:color="auto"/>
        <w:bottom w:val="none" w:sz="0" w:space="0" w:color="auto"/>
        <w:right w:val="none" w:sz="0" w:space="0" w:color="auto"/>
      </w:divBdr>
    </w:div>
    <w:div w:id="981040348">
      <w:bodyDiv w:val="1"/>
      <w:marLeft w:val="0"/>
      <w:marRight w:val="0"/>
      <w:marTop w:val="0"/>
      <w:marBottom w:val="0"/>
      <w:divBdr>
        <w:top w:val="none" w:sz="0" w:space="0" w:color="auto"/>
        <w:left w:val="none" w:sz="0" w:space="0" w:color="auto"/>
        <w:bottom w:val="none" w:sz="0" w:space="0" w:color="auto"/>
        <w:right w:val="none" w:sz="0" w:space="0" w:color="auto"/>
      </w:divBdr>
    </w:div>
    <w:div w:id="1268808875">
      <w:bodyDiv w:val="1"/>
      <w:marLeft w:val="0"/>
      <w:marRight w:val="0"/>
      <w:marTop w:val="0"/>
      <w:marBottom w:val="0"/>
      <w:divBdr>
        <w:top w:val="none" w:sz="0" w:space="0" w:color="auto"/>
        <w:left w:val="none" w:sz="0" w:space="0" w:color="auto"/>
        <w:bottom w:val="none" w:sz="0" w:space="0" w:color="auto"/>
        <w:right w:val="none" w:sz="0" w:space="0" w:color="auto"/>
      </w:divBdr>
    </w:div>
    <w:div w:id="1291784752">
      <w:bodyDiv w:val="1"/>
      <w:marLeft w:val="0"/>
      <w:marRight w:val="0"/>
      <w:marTop w:val="0"/>
      <w:marBottom w:val="0"/>
      <w:divBdr>
        <w:top w:val="none" w:sz="0" w:space="0" w:color="auto"/>
        <w:left w:val="none" w:sz="0" w:space="0" w:color="auto"/>
        <w:bottom w:val="none" w:sz="0" w:space="0" w:color="auto"/>
        <w:right w:val="none" w:sz="0" w:space="0" w:color="auto"/>
      </w:divBdr>
    </w:div>
    <w:div w:id="1293947057">
      <w:bodyDiv w:val="1"/>
      <w:marLeft w:val="0"/>
      <w:marRight w:val="0"/>
      <w:marTop w:val="0"/>
      <w:marBottom w:val="0"/>
      <w:divBdr>
        <w:top w:val="none" w:sz="0" w:space="0" w:color="auto"/>
        <w:left w:val="none" w:sz="0" w:space="0" w:color="auto"/>
        <w:bottom w:val="none" w:sz="0" w:space="0" w:color="auto"/>
        <w:right w:val="none" w:sz="0" w:space="0" w:color="auto"/>
      </w:divBdr>
    </w:div>
    <w:div w:id="1429691264">
      <w:marLeft w:val="0"/>
      <w:marRight w:val="0"/>
      <w:marTop w:val="0"/>
      <w:marBottom w:val="0"/>
      <w:divBdr>
        <w:top w:val="none" w:sz="0" w:space="0" w:color="auto"/>
        <w:left w:val="none" w:sz="0" w:space="0" w:color="auto"/>
        <w:bottom w:val="none" w:sz="0" w:space="0" w:color="auto"/>
        <w:right w:val="none" w:sz="0" w:space="0" w:color="auto"/>
      </w:divBdr>
      <w:divsChild>
        <w:div w:id="553583285">
          <w:marLeft w:val="0"/>
          <w:marRight w:val="0"/>
          <w:marTop w:val="0"/>
          <w:marBottom w:val="0"/>
          <w:divBdr>
            <w:top w:val="none" w:sz="0" w:space="0" w:color="auto"/>
            <w:left w:val="none" w:sz="0" w:space="0" w:color="auto"/>
            <w:bottom w:val="none" w:sz="0" w:space="0" w:color="auto"/>
            <w:right w:val="none" w:sz="0" w:space="0" w:color="auto"/>
          </w:divBdr>
        </w:div>
      </w:divsChild>
    </w:div>
    <w:div w:id="1452821674">
      <w:marLeft w:val="0"/>
      <w:marRight w:val="0"/>
      <w:marTop w:val="0"/>
      <w:marBottom w:val="0"/>
      <w:divBdr>
        <w:top w:val="none" w:sz="0" w:space="0" w:color="auto"/>
        <w:left w:val="none" w:sz="0" w:space="0" w:color="auto"/>
        <w:bottom w:val="none" w:sz="0" w:space="0" w:color="auto"/>
        <w:right w:val="none" w:sz="0" w:space="0" w:color="auto"/>
      </w:divBdr>
    </w:div>
    <w:div w:id="1563368377">
      <w:bodyDiv w:val="1"/>
      <w:marLeft w:val="0"/>
      <w:marRight w:val="0"/>
      <w:marTop w:val="0"/>
      <w:marBottom w:val="0"/>
      <w:divBdr>
        <w:top w:val="none" w:sz="0" w:space="0" w:color="auto"/>
        <w:left w:val="none" w:sz="0" w:space="0" w:color="auto"/>
        <w:bottom w:val="none" w:sz="0" w:space="0" w:color="auto"/>
        <w:right w:val="none" w:sz="0" w:space="0" w:color="auto"/>
      </w:divBdr>
    </w:div>
    <w:div w:id="1581599082">
      <w:marLeft w:val="0"/>
      <w:marRight w:val="0"/>
      <w:marTop w:val="0"/>
      <w:marBottom w:val="0"/>
      <w:divBdr>
        <w:top w:val="none" w:sz="0" w:space="0" w:color="auto"/>
        <w:left w:val="none" w:sz="0" w:space="0" w:color="auto"/>
        <w:bottom w:val="none" w:sz="0" w:space="0" w:color="auto"/>
        <w:right w:val="none" w:sz="0" w:space="0" w:color="auto"/>
      </w:divBdr>
      <w:divsChild>
        <w:div w:id="940141494">
          <w:marLeft w:val="0"/>
          <w:marRight w:val="0"/>
          <w:marTop w:val="0"/>
          <w:marBottom w:val="0"/>
          <w:divBdr>
            <w:top w:val="none" w:sz="0" w:space="0" w:color="auto"/>
            <w:left w:val="none" w:sz="0" w:space="0" w:color="auto"/>
            <w:bottom w:val="none" w:sz="0" w:space="0" w:color="auto"/>
            <w:right w:val="none" w:sz="0" w:space="0" w:color="auto"/>
          </w:divBdr>
        </w:div>
      </w:divsChild>
    </w:div>
    <w:div w:id="1660496932">
      <w:bodyDiv w:val="1"/>
      <w:marLeft w:val="0"/>
      <w:marRight w:val="0"/>
      <w:marTop w:val="0"/>
      <w:marBottom w:val="0"/>
      <w:divBdr>
        <w:top w:val="none" w:sz="0" w:space="0" w:color="auto"/>
        <w:left w:val="none" w:sz="0" w:space="0" w:color="auto"/>
        <w:bottom w:val="none" w:sz="0" w:space="0" w:color="auto"/>
        <w:right w:val="none" w:sz="0" w:space="0" w:color="auto"/>
      </w:divBdr>
    </w:div>
    <w:div w:id="1678070774">
      <w:bodyDiv w:val="1"/>
      <w:marLeft w:val="0"/>
      <w:marRight w:val="0"/>
      <w:marTop w:val="0"/>
      <w:marBottom w:val="0"/>
      <w:divBdr>
        <w:top w:val="none" w:sz="0" w:space="0" w:color="auto"/>
        <w:left w:val="none" w:sz="0" w:space="0" w:color="auto"/>
        <w:bottom w:val="none" w:sz="0" w:space="0" w:color="auto"/>
        <w:right w:val="none" w:sz="0" w:space="0" w:color="auto"/>
      </w:divBdr>
    </w:div>
    <w:div w:id="1728608174">
      <w:bodyDiv w:val="1"/>
      <w:marLeft w:val="0"/>
      <w:marRight w:val="0"/>
      <w:marTop w:val="0"/>
      <w:marBottom w:val="0"/>
      <w:divBdr>
        <w:top w:val="none" w:sz="0" w:space="0" w:color="auto"/>
        <w:left w:val="none" w:sz="0" w:space="0" w:color="auto"/>
        <w:bottom w:val="none" w:sz="0" w:space="0" w:color="auto"/>
        <w:right w:val="none" w:sz="0" w:space="0" w:color="auto"/>
      </w:divBdr>
    </w:div>
    <w:div w:id="1796561428">
      <w:marLeft w:val="0"/>
      <w:marRight w:val="0"/>
      <w:marTop w:val="0"/>
      <w:marBottom w:val="0"/>
      <w:divBdr>
        <w:top w:val="none" w:sz="0" w:space="0" w:color="auto"/>
        <w:left w:val="none" w:sz="0" w:space="0" w:color="auto"/>
        <w:bottom w:val="none" w:sz="0" w:space="0" w:color="auto"/>
        <w:right w:val="none" w:sz="0" w:space="0" w:color="auto"/>
      </w:divBdr>
    </w:div>
    <w:div w:id="1830174564">
      <w:bodyDiv w:val="1"/>
      <w:marLeft w:val="0"/>
      <w:marRight w:val="0"/>
      <w:marTop w:val="0"/>
      <w:marBottom w:val="0"/>
      <w:divBdr>
        <w:top w:val="none" w:sz="0" w:space="0" w:color="auto"/>
        <w:left w:val="none" w:sz="0" w:space="0" w:color="auto"/>
        <w:bottom w:val="none" w:sz="0" w:space="0" w:color="auto"/>
        <w:right w:val="none" w:sz="0" w:space="0" w:color="auto"/>
      </w:divBdr>
    </w:div>
    <w:div w:id="1830317581">
      <w:marLeft w:val="0"/>
      <w:marRight w:val="0"/>
      <w:marTop w:val="0"/>
      <w:marBottom w:val="0"/>
      <w:divBdr>
        <w:top w:val="none" w:sz="0" w:space="0" w:color="auto"/>
        <w:left w:val="none" w:sz="0" w:space="0" w:color="auto"/>
        <w:bottom w:val="none" w:sz="0" w:space="0" w:color="auto"/>
        <w:right w:val="none" w:sz="0" w:space="0" w:color="auto"/>
      </w:divBdr>
    </w:div>
    <w:div w:id="1964846055">
      <w:marLeft w:val="0"/>
      <w:marRight w:val="0"/>
      <w:marTop w:val="0"/>
      <w:marBottom w:val="0"/>
      <w:divBdr>
        <w:top w:val="none" w:sz="0" w:space="0" w:color="auto"/>
        <w:left w:val="none" w:sz="0" w:space="0" w:color="auto"/>
        <w:bottom w:val="none" w:sz="0" w:space="0" w:color="auto"/>
        <w:right w:val="none" w:sz="0" w:space="0" w:color="auto"/>
      </w:divBdr>
      <w:divsChild>
        <w:div w:id="1136027051">
          <w:marLeft w:val="0"/>
          <w:marRight w:val="0"/>
          <w:marTop w:val="0"/>
          <w:marBottom w:val="0"/>
          <w:divBdr>
            <w:top w:val="none" w:sz="0" w:space="0" w:color="auto"/>
            <w:left w:val="none" w:sz="0" w:space="0" w:color="auto"/>
            <w:bottom w:val="none" w:sz="0" w:space="0" w:color="auto"/>
            <w:right w:val="none" w:sz="0" w:space="0" w:color="auto"/>
          </w:divBdr>
        </w:div>
      </w:divsChild>
    </w:div>
    <w:div w:id="1997028527">
      <w:bodyDiv w:val="1"/>
      <w:marLeft w:val="0"/>
      <w:marRight w:val="0"/>
      <w:marTop w:val="0"/>
      <w:marBottom w:val="0"/>
      <w:divBdr>
        <w:top w:val="none" w:sz="0" w:space="0" w:color="auto"/>
        <w:left w:val="none" w:sz="0" w:space="0" w:color="auto"/>
        <w:bottom w:val="none" w:sz="0" w:space="0" w:color="auto"/>
        <w:right w:val="none" w:sz="0" w:space="0" w:color="auto"/>
      </w:divBdr>
      <w:divsChild>
        <w:div w:id="797140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7066666">
              <w:marLeft w:val="0"/>
              <w:marRight w:val="0"/>
              <w:marTop w:val="0"/>
              <w:marBottom w:val="0"/>
              <w:divBdr>
                <w:top w:val="none" w:sz="0" w:space="0" w:color="auto"/>
                <w:left w:val="none" w:sz="0" w:space="0" w:color="auto"/>
                <w:bottom w:val="none" w:sz="0" w:space="0" w:color="auto"/>
                <w:right w:val="none" w:sz="0" w:space="0" w:color="auto"/>
              </w:divBdr>
              <w:divsChild>
                <w:div w:id="152574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38704">
      <w:bodyDiv w:val="1"/>
      <w:marLeft w:val="0"/>
      <w:marRight w:val="0"/>
      <w:marTop w:val="0"/>
      <w:marBottom w:val="0"/>
      <w:divBdr>
        <w:top w:val="none" w:sz="0" w:space="0" w:color="auto"/>
        <w:left w:val="none" w:sz="0" w:space="0" w:color="auto"/>
        <w:bottom w:val="none" w:sz="0" w:space="0" w:color="auto"/>
        <w:right w:val="none" w:sz="0" w:space="0" w:color="auto"/>
      </w:divBdr>
      <w:divsChild>
        <w:div w:id="5556262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2002188">
              <w:marLeft w:val="0"/>
              <w:marRight w:val="0"/>
              <w:marTop w:val="0"/>
              <w:marBottom w:val="0"/>
              <w:divBdr>
                <w:top w:val="none" w:sz="0" w:space="0" w:color="auto"/>
                <w:left w:val="none" w:sz="0" w:space="0" w:color="auto"/>
                <w:bottom w:val="none" w:sz="0" w:space="0" w:color="auto"/>
                <w:right w:val="none" w:sz="0" w:space="0" w:color="auto"/>
              </w:divBdr>
              <w:divsChild>
                <w:div w:id="88017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8997">
      <w:marLeft w:val="0"/>
      <w:marRight w:val="0"/>
      <w:marTop w:val="0"/>
      <w:marBottom w:val="0"/>
      <w:divBdr>
        <w:top w:val="none" w:sz="0" w:space="0" w:color="auto"/>
        <w:left w:val="none" w:sz="0" w:space="0" w:color="auto"/>
        <w:bottom w:val="none" w:sz="0" w:space="0" w:color="auto"/>
        <w:right w:val="none" w:sz="0" w:space="0" w:color="auto"/>
      </w:divBdr>
      <w:divsChild>
        <w:div w:id="872110143">
          <w:marLeft w:val="0"/>
          <w:marRight w:val="0"/>
          <w:marTop w:val="0"/>
          <w:marBottom w:val="0"/>
          <w:divBdr>
            <w:top w:val="none" w:sz="0" w:space="0" w:color="auto"/>
            <w:left w:val="none" w:sz="0" w:space="0" w:color="auto"/>
            <w:bottom w:val="none" w:sz="0" w:space="0" w:color="auto"/>
            <w:right w:val="none" w:sz="0" w:space="0" w:color="auto"/>
          </w:divBdr>
          <w:divsChild>
            <w:div w:id="488399772">
              <w:marLeft w:val="0"/>
              <w:marRight w:val="0"/>
              <w:marTop w:val="0"/>
              <w:marBottom w:val="0"/>
              <w:divBdr>
                <w:top w:val="none" w:sz="0" w:space="0" w:color="auto"/>
                <w:left w:val="none" w:sz="0" w:space="0" w:color="auto"/>
                <w:bottom w:val="none" w:sz="0" w:space="0" w:color="auto"/>
                <w:right w:val="none" w:sz="0" w:space="0" w:color="auto"/>
              </w:divBdr>
            </w:div>
            <w:div w:id="1648120359">
              <w:marLeft w:val="0"/>
              <w:marRight w:val="0"/>
              <w:marTop w:val="0"/>
              <w:marBottom w:val="0"/>
              <w:divBdr>
                <w:top w:val="none" w:sz="0" w:space="0" w:color="auto"/>
                <w:left w:val="none" w:sz="0" w:space="0" w:color="auto"/>
                <w:bottom w:val="none" w:sz="0" w:space="0" w:color="auto"/>
                <w:right w:val="none" w:sz="0" w:space="0" w:color="auto"/>
              </w:divBdr>
              <w:divsChild>
                <w:div w:id="221068064">
                  <w:marLeft w:val="0"/>
                  <w:marRight w:val="0"/>
                  <w:marTop w:val="0"/>
                  <w:marBottom w:val="0"/>
                  <w:divBdr>
                    <w:top w:val="none" w:sz="0" w:space="0" w:color="auto"/>
                    <w:left w:val="none" w:sz="0" w:space="0" w:color="auto"/>
                    <w:bottom w:val="none" w:sz="0" w:space="0" w:color="auto"/>
                    <w:right w:val="none" w:sz="0" w:space="0" w:color="auto"/>
                  </w:divBdr>
                </w:div>
                <w:div w:id="961764927">
                  <w:marLeft w:val="0"/>
                  <w:marRight w:val="0"/>
                  <w:marTop w:val="0"/>
                  <w:marBottom w:val="0"/>
                  <w:divBdr>
                    <w:top w:val="none" w:sz="0" w:space="0" w:color="auto"/>
                    <w:left w:val="none" w:sz="0" w:space="0" w:color="auto"/>
                    <w:bottom w:val="none" w:sz="0" w:space="0" w:color="auto"/>
                    <w:right w:val="none" w:sz="0" w:space="0" w:color="auto"/>
                  </w:divBdr>
                </w:div>
                <w:div w:id="1084258689">
                  <w:marLeft w:val="0"/>
                  <w:marRight w:val="0"/>
                  <w:marTop w:val="0"/>
                  <w:marBottom w:val="0"/>
                  <w:divBdr>
                    <w:top w:val="none" w:sz="0" w:space="0" w:color="auto"/>
                    <w:left w:val="none" w:sz="0" w:space="0" w:color="auto"/>
                    <w:bottom w:val="none" w:sz="0" w:space="0" w:color="auto"/>
                    <w:right w:val="none" w:sz="0" w:space="0" w:color="auto"/>
                  </w:divBdr>
                </w:div>
                <w:div w:id="1495418361">
                  <w:marLeft w:val="0"/>
                  <w:marRight w:val="0"/>
                  <w:marTop w:val="0"/>
                  <w:marBottom w:val="0"/>
                  <w:divBdr>
                    <w:top w:val="none" w:sz="0" w:space="0" w:color="auto"/>
                    <w:left w:val="none" w:sz="0" w:space="0" w:color="auto"/>
                    <w:bottom w:val="none" w:sz="0" w:space="0" w:color="auto"/>
                    <w:right w:val="none" w:sz="0" w:space="0" w:color="auto"/>
                  </w:divBdr>
                </w:div>
                <w:div w:id="198385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514402">
      <w:marLeft w:val="0"/>
      <w:marRight w:val="0"/>
      <w:marTop w:val="0"/>
      <w:marBottom w:val="0"/>
      <w:divBdr>
        <w:top w:val="none" w:sz="0" w:space="0" w:color="auto"/>
        <w:left w:val="none" w:sz="0" w:space="0" w:color="auto"/>
        <w:bottom w:val="none" w:sz="0" w:space="0" w:color="auto"/>
        <w:right w:val="none" w:sz="0" w:space="0" w:color="auto"/>
      </w:divBdr>
    </w:div>
  </w:divs>
  <w:encoding w:val="iso-8859-1"/>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sv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if"/><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FDC341D-D623-4E05-9BFE-27CFFFAC50E6}">
  <ds:schemaRefs>
    <ds:schemaRef ds:uri="http://schemas.openxmlformats.org/officeDocument/2006/bibliography"/>
  </ds:schemaRefs>
</ds:datastoreItem>
</file>

<file path=customXml/itemProps2.xml><?xml version="1.0" encoding="utf-8"?>
<ds:datastoreItem xmlns:ds="http://schemas.openxmlformats.org/officeDocument/2006/customXml" ds:itemID="{C79CC435-354C-4A60-921C-DF274AB4D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35454</Words>
  <Characters>202088</Characters>
  <Application>Microsoft Office Word</Application>
  <DocSecurity>0</DocSecurity>
  <Lines>1684</Lines>
  <Paragraphs>474</Paragraphs>
  <ScaleCrop>false</ScaleCrop>
  <HeadingPairs>
    <vt:vector size="2" baseType="variant">
      <vt:variant>
        <vt:lpstr>Title</vt:lpstr>
      </vt:variant>
      <vt:variant>
        <vt:i4>1</vt:i4>
      </vt:variant>
    </vt:vector>
  </HeadingPairs>
  <TitlesOfParts>
    <vt:vector size="1" baseType="lpstr">
      <vt:lpstr>Dynamic Contrast-Enhanced CT for theAssessment of Tumor Response in Malignant Pleural Mesothelioma: A Pilot Study</vt:lpstr>
    </vt:vector>
  </TitlesOfParts>
  <Company/>
  <LinksUpToDate>false</LinksUpToDate>
  <CharactersWithSpaces>237068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Dynamic Contrast-Enhanced CT for theAssessment of Tumor Response in Malignant Pleural Mesothelioma: A Pilot Study</dc:title>
  <dc:subject/>
  <dc:creator>Eyjolfur Gudmundsson</dc:creator>
  <cp:keywords/>
  <dc:description/>
  <cp:lastModifiedBy>Eyjolfur Gudmundsson</cp:lastModifiedBy>
  <cp:revision>3</cp:revision>
  <dcterms:created xsi:type="dcterms:W3CDTF">2021-06-10T10:42:00Z</dcterms:created>
  <dcterms:modified xsi:type="dcterms:W3CDTF">2021-06-10T10:43:00Z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(deprecated)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http://www.zotero.org/styles/spie-journals</vt:lpwstr>
  </property>
  <property fmtid="{D5CDD505-2E9C-101B-9397-08002B2CF9AE}" pid="19" name="Mendeley Recent Style Name 8_1">
    <vt:lpwstr>SPIE journals</vt:lpwstr>
  </property>
  <property fmtid="{D5CDD505-2E9C-101B-9397-08002B2CF9AE}" pid="20" name="Mendeley Recent Style Id 9_1">
    <vt:lpwstr>http://www.zotero.org/styles/the-lancet</vt:lpwstr>
  </property>
  <property fmtid="{D5CDD505-2E9C-101B-9397-08002B2CF9AE}" pid="21" name="Mendeley Recent Style Name 9_1">
    <vt:lpwstr>The Lancet</vt:lpwstr>
  </property>
  <property fmtid="{D5CDD505-2E9C-101B-9397-08002B2CF9AE}" pid="22" name="Mendeley Document_1">
    <vt:lpwstr>True</vt:lpwstr>
  </property>
  <property fmtid="{D5CDD505-2E9C-101B-9397-08002B2CF9AE}" pid="23" name="Mendeley Citation Style_1">
    <vt:lpwstr>http://www.zotero.org/styles/the-lancet</vt:lpwstr>
  </property>
  <property fmtid="{D5CDD505-2E9C-101B-9397-08002B2CF9AE}" pid="24" name="Mendeley Unique User Id_1">
    <vt:lpwstr>97d88632-07c6-34e7-941f-ae49db01dd87</vt:lpwstr>
  </property>
</Properties>
</file>