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48F82" w14:textId="13DF4D23" w:rsidR="00677600" w:rsidRPr="00793406" w:rsidRDefault="002A77DE" w:rsidP="00FE6E34">
      <w:pPr>
        <w:spacing w:after="120"/>
        <w:rPr>
          <w:rFonts w:cstheme="minorHAnsi"/>
          <w:bCs/>
          <w:iCs/>
          <w:sz w:val="24"/>
          <w:szCs w:val="24"/>
        </w:rPr>
      </w:pPr>
      <w:bookmarkStart w:id="0" w:name="_GoBack"/>
      <w:bookmarkEnd w:id="0"/>
      <w:r w:rsidRPr="00793406">
        <w:rPr>
          <w:rFonts w:cstheme="minorHAnsi"/>
          <w:b/>
          <w:bCs/>
          <w:sz w:val="24"/>
          <w:szCs w:val="24"/>
        </w:rPr>
        <w:t>Title:</w:t>
      </w:r>
      <w:r w:rsidR="00677600" w:rsidRPr="00793406">
        <w:rPr>
          <w:rFonts w:cstheme="minorHAnsi"/>
          <w:bCs/>
          <w:sz w:val="24"/>
          <w:szCs w:val="24"/>
        </w:rPr>
        <w:t xml:space="preserve"> </w:t>
      </w:r>
      <w:r w:rsidR="00F93D97" w:rsidRPr="00793406">
        <w:rPr>
          <w:rFonts w:cstheme="minorHAnsi"/>
          <w:bCs/>
          <w:sz w:val="24"/>
          <w:szCs w:val="24"/>
        </w:rPr>
        <w:t xml:space="preserve">Why </w:t>
      </w:r>
      <w:r w:rsidR="002129E2" w:rsidRPr="00793406">
        <w:rPr>
          <w:rFonts w:cstheme="minorHAnsi"/>
          <w:bCs/>
          <w:sz w:val="24"/>
          <w:szCs w:val="24"/>
        </w:rPr>
        <w:t xml:space="preserve">the health of </w:t>
      </w:r>
      <w:r w:rsidR="006D5F43" w:rsidRPr="00793406">
        <w:rPr>
          <w:rFonts w:cstheme="minorHAnsi"/>
          <w:bCs/>
          <w:sz w:val="24"/>
          <w:szCs w:val="24"/>
        </w:rPr>
        <w:t>wome</w:t>
      </w:r>
      <w:r w:rsidR="002129E2" w:rsidRPr="00793406">
        <w:rPr>
          <w:rFonts w:cstheme="minorHAnsi"/>
          <w:bCs/>
          <w:sz w:val="24"/>
          <w:szCs w:val="24"/>
        </w:rPr>
        <w:t>n</w:t>
      </w:r>
      <w:r w:rsidR="006D5F43" w:rsidRPr="00793406">
        <w:rPr>
          <w:rFonts w:cstheme="minorHAnsi"/>
          <w:bCs/>
          <w:sz w:val="24"/>
          <w:szCs w:val="24"/>
        </w:rPr>
        <w:t xml:space="preserve"> </w:t>
      </w:r>
      <w:r w:rsidR="00A22CF7" w:rsidRPr="00793406">
        <w:rPr>
          <w:rFonts w:cstheme="minorHAnsi"/>
          <w:bCs/>
          <w:sz w:val="24"/>
          <w:szCs w:val="24"/>
        </w:rPr>
        <w:t>and child</w:t>
      </w:r>
      <w:r w:rsidR="00791886" w:rsidRPr="00793406">
        <w:rPr>
          <w:rFonts w:cstheme="minorHAnsi"/>
          <w:bCs/>
          <w:sz w:val="24"/>
          <w:szCs w:val="24"/>
        </w:rPr>
        <w:t>ren</w:t>
      </w:r>
      <w:r w:rsidR="002129E2" w:rsidRPr="00793406">
        <w:rPr>
          <w:rFonts w:cstheme="minorHAnsi"/>
          <w:bCs/>
          <w:sz w:val="24"/>
          <w:szCs w:val="24"/>
        </w:rPr>
        <w:t xml:space="preserve"> i</w:t>
      </w:r>
      <w:r w:rsidR="00F93D97" w:rsidRPr="00793406">
        <w:rPr>
          <w:rFonts w:cstheme="minorHAnsi"/>
          <w:bCs/>
          <w:sz w:val="24"/>
          <w:szCs w:val="24"/>
        </w:rPr>
        <w:t>s central to p</w:t>
      </w:r>
      <w:r w:rsidR="004A7B42" w:rsidRPr="00793406">
        <w:rPr>
          <w:rFonts w:cstheme="minorHAnsi"/>
          <w:bCs/>
          <w:sz w:val="24"/>
          <w:szCs w:val="24"/>
        </w:rPr>
        <w:t xml:space="preserve">ost </w:t>
      </w:r>
      <w:r w:rsidR="00A22CF7" w:rsidRPr="00793406">
        <w:rPr>
          <w:rFonts w:cstheme="minorHAnsi"/>
          <w:bCs/>
          <w:i/>
          <w:sz w:val="24"/>
          <w:szCs w:val="24"/>
        </w:rPr>
        <w:t xml:space="preserve">COVID-19 </w:t>
      </w:r>
      <w:r w:rsidR="00A22CF7" w:rsidRPr="00793406">
        <w:rPr>
          <w:rFonts w:cstheme="minorHAnsi"/>
          <w:bCs/>
          <w:iCs/>
          <w:sz w:val="24"/>
          <w:szCs w:val="24"/>
        </w:rPr>
        <w:t>recovery</w:t>
      </w:r>
      <w:r w:rsidR="00A22CF7" w:rsidRPr="00793406">
        <w:rPr>
          <w:rFonts w:cstheme="minorHAnsi"/>
          <w:bCs/>
          <w:i/>
          <w:sz w:val="24"/>
          <w:szCs w:val="24"/>
        </w:rPr>
        <w:t xml:space="preserve"> </w:t>
      </w:r>
    </w:p>
    <w:p w14:paraId="44FE8D40" w14:textId="77777777" w:rsidR="002A77DE" w:rsidRPr="00793406" w:rsidRDefault="002A77DE" w:rsidP="00FE6E34">
      <w:pPr>
        <w:spacing w:after="120"/>
        <w:rPr>
          <w:rFonts w:cstheme="minorHAnsi"/>
          <w:sz w:val="24"/>
          <w:szCs w:val="24"/>
        </w:rPr>
      </w:pPr>
    </w:p>
    <w:p w14:paraId="711DB523" w14:textId="1F02595B" w:rsidR="00E35FD1" w:rsidRPr="00793406" w:rsidRDefault="00B12C2C" w:rsidP="00FE6E34">
      <w:pPr>
        <w:spacing w:after="120"/>
        <w:rPr>
          <w:rFonts w:cstheme="minorHAnsi"/>
          <w:i/>
          <w:sz w:val="24"/>
          <w:szCs w:val="24"/>
        </w:rPr>
      </w:pPr>
      <w:r w:rsidRPr="00793406">
        <w:rPr>
          <w:rFonts w:cstheme="minorHAnsi"/>
          <w:b/>
          <w:bCs/>
          <w:sz w:val="24"/>
          <w:szCs w:val="24"/>
        </w:rPr>
        <w:t>Standfirst:</w:t>
      </w:r>
      <w:r w:rsidR="002A77DE" w:rsidRPr="00793406">
        <w:rPr>
          <w:rFonts w:cstheme="minorHAnsi"/>
          <w:bCs/>
          <w:sz w:val="24"/>
          <w:szCs w:val="24"/>
        </w:rPr>
        <w:t xml:space="preserve"> </w:t>
      </w:r>
      <w:r w:rsidR="00E35FD1" w:rsidRPr="00793406">
        <w:rPr>
          <w:rFonts w:cstheme="minorHAnsi"/>
          <w:i/>
          <w:sz w:val="24"/>
          <w:szCs w:val="24"/>
        </w:rPr>
        <w:t>Neena Modi and Mark Hanson explain why COVID-19 provides</w:t>
      </w:r>
      <w:r w:rsidR="00E12B32" w:rsidRPr="00793406">
        <w:rPr>
          <w:rFonts w:cstheme="minorHAnsi"/>
          <w:i/>
          <w:sz w:val="24"/>
          <w:szCs w:val="24"/>
        </w:rPr>
        <w:t xml:space="preserve"> the</w:t>
      </w:r>
      <w:r w:rsidR="00E35FD1" w:rsidRPr="00793406">
        <w:rPr>
          <w:rFonts w:cstheme="minorHAnsi"/>
          <w:i/>
          <w:sz w:val="24"/>
          <w:szCs w:val="24"/>
        </w:rPr>
        <w:t xml:space="preserve"> opportunity for a science-informed and rights-based approach to improving population health - on which sustained post-pandemic economic recovery ultimately depends - mediated by improving the lives of women and children. </w:t>
      </w:r>
    </w:p>
    <w:p w14:paraId="4CC4ACF2" w14:textId="302B9E40" w:rsidR="00B12C2C" w:rsidRPr="00793406" w:rsidRDefault="00B12C2C" w:rsidP="00FE6E34">
      <w:pPr>
        <w:spacing w:after="120"/>
        <w:rPr>
          <w:rFonts w:cstheme="minorHAnsi"/>
          <w:sz w:val="24"/>
          <w:szCs w:val="24"/>
        </w:rPr>
      </w:pPr>
    </w:p>
    <w:p w14:paraId="780A9D1E" w14:textId="6E70698B" w:rsidR="008C1E59" w:rsidRPr="00793406" w:rsidRDefault="008C1E59" w:rsidP="00FE6E34">
      <w:pPr>
        <w:widowControl w:val="0"/>
        <w:pBdr>
          <w:top w:val="nil"/>
          <w:left w:val="nil"/>
          <w:bottom w:val="nil"/>
          <w:right w:val="nil"/>
          <w:between w:val="nil"/>
        </w:pBdr>
        <w:spacing w:after="120"/>
        <w:rPr>
          <w:rFonts w:cstheme="minorHAnsi"/>
          <w:b/>
          <w:sz w:val="24"/>
          <w:szCs w:val="24"/>
        </w:rPr>
      </w:pPr>
      <w:r w:rsidRPr="00793406">
        <w:rPr>
          <w:rFonts w:cstheme="minorHAnsi"/>
          <w:b/>
          <w:sz w:val="24"/>
          <w:szCs w:val="24"/>
        </w:rPr>
        <w:t xml:space="preserve">Box </w:t>
      </w:r>
      <w:r w:rsidR="00C97675" w:rsidRPr="00793406">
        <w:rPr>
          <w:rFonts w:cstheme="minorHAnsi"/>
          <w:b/>
          <w:sz w:val="24"/>
          <w:szCs w:val="24"/>
        </w:rPr>
        <w:t>1</w:t>
      </w:r>
    </w:p>
    <w:p w14:paraId="2E99ADAD" w14:textId="1CEDA401" w:rsidR="00D50CF4" w:rsidRPr="00793406" w:rsidRDefault="00847BB6" w:rsidP="00FE6E34">
      <w:pPr>
        <w:pStyle w:val="ListParagraph"/>
        <w:numPr>
          <w:ilvl w:val="0"/>
          <w:numId w:val="3"/>
        </w:numPr>
        <w:spacing w:after="120"/>
        <w:contextualSpacing w:val="0"/>
        <w:rPr>
          <w:rFonts w:cstheme="minorHAnsi"/>
          <w:sz w:val="24"/>
          <w:szCs w:val="24"/>
        </w:rPr>
      </w:pPr>
      <w:r w:rsidRPr="00793406">
        <w:rPr>
          <w:rFonts w:cstheme="minorHAnsi"/>
          <w:sz w:val="24"/>
          <w:szCs w:val="24"/>
        </w:rPr>
        <w:t>A</w:t>
      </w:r>
      <w:r w:rsidR="00D50CF4" w:rsidRPr="00793406">
        <w:rPr>
          <w:rFonts w:cstheme="minorHAnsi"/>
          <w:sz w:val="24"/>
          <w:szCs w:val="24"/>
        </w:rPr>
        <w:t xml:space="preserve"> healthy population is critical to long-term resilience</w:t>
      </w:r>
      <w:r w:rsidRPr="00793406">
        <w:rPr>
          <w:rFonts w:cstheme="minorHAnsi"/>
          <w:sz w:val="24"/>
          <w:szCs w:val="24"/>
        </w:rPr>
        <w:t xml:space="preserve">, </w:t>
      </w:r>
      <w:r w:rsidR="00D50CF4" w:rsidRPr="00793406">
        <w:rPr>
          <w:rFonts w:cstheme="minorHAnsi"/>
          <w:sz w:val="24"/>
          <w:szCs w:val="24"/>
        </w:rPr>
        <w:t xml:space="preserve">economic prosperity </w:t>
      </w:r>
      <w:r w:rsidRPr="00793406">
        <w:rPr>
          <w:rFonts w:cstheme="minorHAnsi"/>
          <w:sz w:val="24"/>
          <w:szCs w:val="24"/>
        </w:rPr>
        <w:t>and sustained recovery post-COVID</w:t>
      </w:r>
    </w:p>
    <w:p w14:paraId="3D5787D4" w14:textId="27C72AAC" w:rsidR="00847BB6" w:rsidRPr="00793406" w:rsidRDefault="00847BB6" w:rsidP="00FE6E34">
      <w:pPr>
        <w:pStyle w:val="ListParagraph"/>
        <w:numPr>
          <w:ilvl w:val="0"/>
          <w:numId w:val="3"/>
        </w:numPr>
        <w:spacing w:after="120"/>
        <w:contextualSpacing w:val="0"/>
        <w:rPr>
          <w:rFonts w:cstheme="minorHAnsi"/>
          <w:sz w:val="24"/>
          <w:szCs w:val="24"/>
        </w:rPr>
      </w:pPr>
      <w:r w:rsidRPr="00793406">
        <w:rPr>
          <w:rFonts w:cstheme="minorHAnsi"/>
          <w:sz w:val="24"/>
          <w:szCs w:val="24"/>
        </w:rPr>
        <w:t>There is clear scientific evidence for the centrality of the health of women and children to life-long and trans-generational population wellbeing</w:t>
      </w:r>
      <w:r w:rsidR="004C20C9" w:rsidRPr="00793406">
        <w:rPr>
          <w:rFonts w:cstheme="minorHAnsi"/>
          <w:sz w:val="24"/>
          <w:szCs w:val="24"/>
        </w:rPr>
        <w:t xml:space="preserve"> and pro</w:t>
      </w:r>
      <w:r w:rsidR="00184108" w:rsidRPr="00793406">
        <w:rPr>
          <w:rFonts w:cstheme="minorHAnsi"/>
          <w:sz w:val="24"/>
          <w:szCs w:val="24"/>
        </w:rPr>
        <w:t>sperity</w:t>
      </w:r>
      <w:r w:rsidRPr="00793406">
        <w:rPr>
          <w:rFonts w:cstheme="minorHAnsi"/>
          <w:sz w:val="24"/>
          <w:szCs w:val="24"/>
        </w:rPr>
        <w:t xml:space="preserve"> </w:t>
      </w:r>
    </w:p>
    <w:p w14:paraId="5C7EDBCF" w14:textId="46315365" w:rsidR="00C16A97" w:rsidRPr="00793406" w:rsidRDefault="00C16A97" w:rsidP="00FE6E34">
      <w:pPr>
        <w:pStyle w:val="ListParagraph"/>
        <w:numPr>
          <w:ilvl w:val="0"/>
          <w:numId w:val="3"/>
        </w:numPr>
        <w:spacing w:after="120"/>
        <w:contextualSpacing w:val="0"/>
        <w:rPr>
          <w:rFonts w:cstheme="minorHAnsi"/>
          <w:sz w:val="24"/>
          <w:szCs w:val="24"/>
        </w:rPr>
      </w:pPr>
      <w:r w:rsidRPr="00793406">
        <w:rPr>
          <w:rFonts w:cstheme="minorHAnsi"/>
          <w:sz w:val="24"/>
          <w:szCs w:val="24"/>
        </w:rPr>
        <w:t xml:space="preserve">Economic </w:t>
      </w:r>
      <w:r w:rsidR="00E266C3" w:rsidRPr="00793406">
        <w:rPr>
          <w:rFonts w:cstheme="minorHAnsi"/>
          <w:sz w:val="24"/>
          <w:szCs w:val="24"/>
        </w:rPr>
        <w:t xml:space="preserve">frameworks </w:t>
      </w:r>
      <w:r w:rsidRPr="00793406">
        <w:rPr>
          <w:rFonts w:cstheme="minorHAnsi"/>
          <w:sz w:val="24"/>
          <w:szCs w:val="24"/>
        </w:rPr>
        <w:t xml:space="preserve">that acknowledge the importance of including unpaid work, </w:t>
      </w:r>
      <w:r w:rsidR="001D4916" w:rsidRPr="00793406">
        <w:rPr>
          <w:rFonts w:cstheme="minorHAnsi"/>
          <w:sz w:val="24"/>
          <w:szCs w:val="24"/>
        </w:rPr>
        <w:t xml:space="preserve">conducted </w:t>
      </w:r>
      <w:r w:rsidRPr="00793406">
        <w:rPr>
          <w:rFonts w:cstheme="minorHAnsi"/>
          <w:sz w:val="24"/>
          <w:szCs w:val="24"/>
        </w:rPr>
        <w:t>largely by women, in productivity metrics could drive a focus on maternal and child wellbeing</w:t>
      </w:r>
    </w:p>
    <w:p w14:paraId="10AE608C" w14:textId="333E0019" w:rsidR="00AF5C0A" w:rsidRPr="00793406" w:rsidRDefault="00AF5C0A" w:rsidP="00FE6E34">
      <w:pPr>
        <w:pStyle w:val="ListParagraph"/>
        <w:numPr>
          <w:ilvl w:val="0"/>
          <w:numId w:val="3"/>
        </w:numPr>
        <w:spacing w:after="120"/>
        <w:contextualSpacing w:val="0"/>
        <w:rPr>
          <w:rFonts w:cstheme="minorHAnsi"/>
          <w:sz w:val="24"/>
          <w:szCs w:val="24"/>
        </w:rPr>
      </w:pPr>
      <w:r w:rsidRPr="00793406">
        <w:rPr>
          <w:rFonts w:cstheme="minorHAnsi"/>
          <w:sz w:val="24"/>
          <w:szCs w:val="24"/>
        </w:rPr>
        <w:t xml:space="preserve">A rights-based approach to </w:t>
      </w:r>
      <w:r w:rsidR="00E266C3" w:rsidRPr="00793406">
        <w:rPr>
          <w:rFonts w:cstheme="minorHAnsi"/>
          <w:sz w:val="24"/>
          <w:szCs w:val="24"/>
        </w:rPr>
        <w:t>a h</w:t>
      </w:r>
      <w:r w:rsidRPr="00793406">
        <w:rPr>
          <w:rFonts w:cstheme="minorHAnsi"/>
          <w:sz w:val="24"/>
          <w:szCs w:val="24"/>
        </w:rPr>
        <w:t>ealth</w:t>
      </w:r>
      <w:r w:rsidR="001D4916" w:rsidRPr="00793406">
        <w:rPr>
          <w:rFonts w:cstheme="minorHAnsi"/>
          <w:sz w:val="24"/>
          <w:szCs w:val="24"/>
        </w:rPr>
        <w:t>y</w:t>
      </w:r>
      <w:r w:rsidRPr="00793406">
        <w:rPr>
          <w:rFonts w:cstheme="minorHAnsi"/>
          <w:sz w:val="24"/>
          <w:szCs w:val="24"/>
        </w:rPr>
        <w:t xml:space="preserve"> </w:t>
      </w:r>
      <w:r w:rsidR="00E266C3" w:rsidRPr="00793406">
        <w:rPr>
          <w:rFonts w:cstheme="minorHAnsi"/>
          <w:sz w:val="24"/>
          <w:szCs w:val="24"/>
        </w:rPr>
        <w:t xml:space="preserve">population provides </w:t>
      </w:r>
      <w:r w:rsidRPr="00793406">
        <w:rPr>
          <w:rFonts w:cstheme="minorHAnsi"/>
          <w:sz w:val="24"/>
          <w:szCs w:val="24"/>
        </w:rPr>
        <w:t>strong</w:t>
      </w:r>
      <w:r w:rsidR="00E266C3" w:rsidRPr="00793406">
        <w:rPr>
          <w:rFonts w:cstheme="minorHAnsi"/>
          <w:sz w:val="24"/>
          <w:szCs w:val="24"/>
        </w:rPr>
        <w:t xml:space="preserve"> justification </w:t>
      </w:r>
      <w:r w:rsidRPr="00793406">
        <w:rPr>
          <w:rFonts w:cstheme="minorHAnsi"/>
          <w:sz w:val="24"/>
          <w:szCs w:val="24"/>
        </w:rPr>
        <w:t>for addressing long</w:t>
      </w:r>
      <w:r w:rsidR="00C16A97" w:rsidRPr="00793406">
        <w:rPr>
          <w:rFonts w:cstheme="minorHAnsi"/>
          <w:sz w:val="24"/>
          <w:szCs w:val="24"/>
        </w:rPr>
        <w:t>-</w:t>
      </w:r>
      <w:r w:rsidRPr="00793406">
        <w:rPr>
          <w:rFonts w:cstheme="minorHAnsi"/>
          <w:sz w:val="24"/>
          <w:szCs w:val="24"/>
        </w:rPr>
        <w:t xml:space="preserve">standing age and gender-based inequalities that COVID-19 has magnified </w:t>
      </w:r>
    </w:p>
    <w:p w14:paraId="095FDCC1" w14:textId="6E9D788E" w:rsidR="00847BB6" w:rsidRPr="00793406" w:rsidRDefault="00AF5C0A" w:rsidP="00FE6E34">
      <w:pPr>
        <w:pStyle w:val="ListParagraph"/>
        <w:numPr>
          <w:ilvl w:val="0"/>
          <w:numId w:val="3"/>
        </w:numPr>
        <w:spacing w:after="120"/>
        <w:contextualSpacing w:val="0"/>
        <w:rPr>
          <w:rFonts w:cstheme="minorHAnsi"/>
          <w:sz w:val="24"/>
          <w:szCs w:val="24"/>
        </w:rPr>
      </w:pPr>
      <w:r w:rsidRPr="00793406">
        <w:rPr>
          <w:rFonts w:cstheme="minorHAnsi"/>
          <w:sz w:val="24"/>
          <w:szCs w:val="24"/>
        </w:rPr>
        <w:t>T</w:t>
      </w:r>
      <w:r w:rsidR="00847BB6" w:rsidRPr="00793406">
        <w:rPr>
          <w:rFonts w:cstheme="minorHAnsi"/>
          <w:sz w:val="24"/>
          <w:szCs w:val="24"/>
        </w:rPr>
        <w:t xml:space="preserve">he need to </w:t>
      </w:r>
      <w:r w:rsidR="00184108" w:rsidRPr="00793406">
        <w:rPr>
          <w:rFonts w:cstheme="minorHAnsi"/>
          <w:sz w:val="24"/>
          <w:szCs w:val="24"/>
        </w:rPr>
        <w:t>i</w:t>
      </w:r>
      <w:r w:rsidR="00847BB6" w:rsidRPr="00793406">
        <w:rPr>
          <w:rFonts w:cstheme="minorHAnsi"/>
          <w:sz w:val="24"/>
          <w:szCs w:val="24"/>
        </w:rPr>
        <w:t xml:space="preserve">dentify investment priorities for post-COVID recovery provides </w:t>
      </w:r>
      <w:r w:rsidR="00184108" w:rsidRPr="00793406">
        <w:rPr>
          <w:rFonts w:cstheme="minorHAnsi"/>
          <w:sz w:val="24"/>
          <w:szCs w:val="24"/>
        </w:rPr>
        <w:t xml:space="preserve">the </w:t>
      </w:r>
      <w:r w:rsidR="00847BB6" w:rsidRPr="00793406">
        <w:rPr>
          <w:rFonts w:cstheme="minorHAnsi"/>
          <w:sz w:val="24"/>
          <w:szCs w:val="24"/>
        </w:rPr>
        <w:t>opportunity to implement bold, new policies</w:t>
      </w:r>
      <w:r w:rsidRPr="00793406">
        <w:rPr>
          <w:rFonts w:cstheme="minorHAnsi"/>
          <w:sz w:val="24"/>
          <w:szCs w:val="24"/>
        </w:rPr>
        <w:t xml:space="preserve"> </w:t>
      </w:r>
      <w:r w:rsidR="00070E7E" w:rsidRPr="00793406">
        <w:rPr>
          <w:rFonts w:cstheme="minorHAnsi"/>
          <w:sz w:val="24"/>
          <w:szCs w:val="24"/>
        </w:rPr>
        <w:t xml:space="preserve">to improve the </w:t>
      </w:r>
      <w:r w:rsidR="001D4916" w:rsidRPr="00793406">
        <w:rPr>
          <w:rFonts w:cstheme="minorHAnsi"/>
          <w:sz w:val="24"/>
          <w:szCs w:val="24"/>
        </w:rPr>
        <w:t>lives</w:t>
      </w:r>
      <w:r w:rsidR="00070E7E" w:rsidRPr="00793406">
        <w:rPr>
          <w:rFonts w:cstheme="minorHAnsi"/>
          <w:sz w:val="24"/>
          <w:szCs w:val="24"/>
        </w:rPr>
        <w:t xml:space="preserve"> of women and child</w:t>
      </w:r>
      <w:r w:rsidR="00C16A97" w:rsidRPr="00793406">
        <w:rPr>
          <w:rFonts w:cstheme="minorHAnsi"/>
          <w:sz w:val="24"/>
          <w:szCs w:val="24"/>
        </w:rPr>
        <w:t>ren</w:t>
      </w:r>
      <w:r w:rsidR="00070E7E" w:rsidRPr="00793406">
        <w:rPr>
          <w:rFonts w:cstheme="minorHAnsi"/>
          <w:sz w:val="24"/>
          <w:szCs w:val="24"/>
        </w:rPr>
        <w:t xml:space="preserve"> for national benefit</w:t>
      </w:r>
    </w:p>
    <w:p w14:paraId="784A3D61" w14:textId="77777777" w:rsidR="00847BB6" w:rsidRPr="00793406" w:rsidRDefault="00847BB6" w:rsidP="00FE6E34">
      <w:pPr>
        <w:spacing w:after="120"/>
        <w:rPr>
          <w:rFonts w:cstheme="minorHAnsi"/>
          <w:sz w:val="24"/>
          <w:szCs w:val="24"/>
          <w:highlight w:val="cyan"/>
        </w:rPr>
      </w:pPr>
    </w:p>
    <w:p w14:paraId="1F5205A6" w14:textId="27BFA835" w:rsidR="000567D4" w:rsidRPr="00793406" w:rsidRDefault="000567D4" w:rsidP="00FE6E34">
      <w:pPr>
        <w:spacing w:after="120"/>
        <w:rPr>
          <w:rFonts w:cstheme="minorHAnsi"/>
          <w:b/>
          <w:bCs/>
          <w:sz w:val="24"/>
          <w:szCs w:val="24"/>
        </w:rPr>
      </w:pPr>
      <w:r w:rsidRPr="00793406">
        <w:rPr>
          <w:rFonts w:cstheme="minorHAnsi"/>
          <w:b/>
          <w:bCs/>
          <w:sz w:val="24"/>
          <w:szCs w:val="24"/>
        </w:rPr>
        <w:t>Fault lines</w:t>
      </w:r>
      <w:r w:rsidR="00606A7E" w:rsidRPr="00793406">
        <w:rPr>
          <w:rFonts w:cstheme="minorHAnsi"/>
          <w:b/>
          <w:bCs/>
          <w:sz w:val="24"/>
          <w:szCs w:val="24"/>
        </w:rPr>
        <w:t xml:space="preserve"> exposed</w:t>
      </w:r>
    </w:p>
    <w:p w14:paraId="1AC9A28B" w14:textId="4B261023" w:rsidR="004542CD" w:rsidRPr="00793406" w:rsidRDefault="00391847" w:rsidP="00FE6E34">
      <w:pPr>
        <w:spacing w:after="120"/>
        <w:rPr>
          <w:rFonts w:cstheme="minorHAnsi"/>
          <w:sz w:val="24"/>
          <w:szCs w:val="24"/>
        </w:rPr>
      </w:pPr>
      <w:r w:rsidRPr="00793406">
        <w:rPr>
          <w:rFonts w:cstheme="minorHAnsi"/>
          <w:sz w:val="24"/>
          <w:szCs w:val="24"/>
        </w:rPr>
        <w:t xml:space="preserve">The </w:t>
      </w:r>
      <w:r w:rsidR="00C057C1" w:rsidRPr="00793406">
        <w:rPr>
          <w:rFonts w:cstheme="minorHAnsi"/>
          <w:sz w:val="24"/>
          <w:szCs w:val="24"/>
        </w:rPr>
        <w:t xml:space="preserve">COVID-19 </w:t>
      </w:r>
      <w:r w:rsidRPr="00793406">
        <w:rPr>
          <w:rFonts w:cstheme="minorHAnsi"/>
          <w:sz w:val="24"/>
          <w:szCs w:val="24"/>
        </w:rPr>
        <w:t xml:space="preserve">pandemic has </w:t>
      </w:r>
      <w:r w:rsidR="00C057C1" w:rsidRPr="00793406">
        <w:rPr>
          <w:rFonts w:cstheme="minorHAnsi"/>
          <w:sz w:val="24"/>
          <w:szCs w:val="24"/>
        </w:rPr>
        <w:t xml:space="preserve">exposed </w:t>
      </w:r>
      <w:r w:rsidR="00F9086A" w:rsidRPr="00793406">
        <w:rPr>
          <w:rFonts w:cstheme="minorHAnsi"/>
          <w:sz w:val="24"/>
          <w:szCs w:val="24"/>
        </w:rPr>
        <w:t xml:space="preserve">pre-existing </w:t>
      </w:r>
      <w:r w:rsidR="00C057C1" w:rsidRPr="00793406">
        <w:rPr>
          <w:rFonts w:cstheme="minorHAnsi"/>
          <w:sz w:val="24"/>
          <w:szCs w:val="24"/>
        </w:rPr>
        <w:t xml:space="preserve">economic, health and societal weaknesses, and widened inequalities. </w:t>
      </w:r>
      <w:r w:rsidR="004542CD" w:rsidRPr="00793406">
        <w:rPr>
          <w:rFonts w:cstheme="minorHAnsi"/>
          <w:sz w:val="24"/>
          <w:szCs w:val="24"/>
        </w:rPr>
        <w:t xml:space="preserve">Women and children have lower mortality and morbidity from COVID-19 but </w:t>
      </w:r>
      <w:r w:rsidR="006C560D" w:rsidRPr="00793406">
        <w:rPr>
          <w:rFonts w:cstheme="minorHAnsi"/>
          <w:sz w:val="24"/>
          <w:szCs w:val="24"/>
        </w:rPr>
        <w:t xml:space="preserve">experienced </w:t>
      </w:r>
      <w:r w:rsidR="004542CD" w:rsidRPr="00793406">
        <w:rPr>
          <w:rFonts w:cstheme="minorHAnsi"/>
          <w:sz w:val="24"/>
          <w:szCs w:val="24"/>
        </w:rPr>
        <w:t xml:space="preserve">greater indirect adverse impact, largely because </w:t>
      </w:r>
      <w:r w:rsidR="00601654" w:rsidRPr="00793406">
        <w:rPr>
          <w:rFonts w:cstheme="minorHAnsi"/>
          <w:sz w:val="24"/>
          <w:szCs w:val="24"/>
        </w:rPr>
        <w:t xml:space="preserve">the pandemic </w:t>
      </w:r>
      <w:r w:rsidR="000E7190" w:rsidRPr="00793406">
        <w:rPr>
          <w:rFonts w:cstheme="minorHAnsi"/>
          <w:sz w:val="24"/>
          <w:szCs w:val="24"/>
        </w:rPr>
        <w:t>has amplified</w:t>
      </w:r>
      <w:r w:rsidR="004542CD" w:rsidRPr="00793406">
        <w:rPr>
          <w:rFonts w:cstheme="minorHAnsi"/>
          <w:sz w:val="24"/>
          <w:szCs w:val="24"/>
        </w:rPr>
        <w:t xml:space="preserve"> long-standing </w:t>
      </w:r>
      <w:r w:rsidR="000E7190" w:rsidRPr="00793406">
        <w:rPr>
          <w:rFonts w:cstheme="minorHAnsi"/>
          <w:sz w:val="24"/>
          <w:szCs w:val="24"/>
        </w:rPr>
        <w:t>gender and age i</w:t>
      </w:r>
      <w:r w:rsidR="004542CD" w:rsidRPr="00793406">
        <w:rPr>
          <w:rFonts w:cstheme="minorHAnsi"/>
          <w:sz w:val="24"/>
          <w:szCs w:val="24"/>
        </w:rPr>
        <w:t>nequities.</w:t>
      </w:r>
      <w:r w:rsidR="008132C9" w:rsidRPr="00793406">
        <w:rPr>
          <w:rFonts w:cstheme="minorHAnsi"/>
          <w:sz w:val="24"/>
          <w:szCs w:val="24"/>
        </w:rPr>
        <w:t xml:space="preserve"> </w:t>
      </w:r>
      <w:r w:rsidR="000E7190" w:rsidRPr="00793406">
        <w:rPr>
          <w:rFonts w:cstheme="minorHAnsi"/>
          <w:sz w:val="24"/>
          <w:szCs w:val="24"/>
        </w:rPr>
        <w:t>W</w:t>
      </w:r>
      <w:r w:rsidR="008132C9" w:rsidRPr="00793406">
        <w:rPr>
          <w:rFonts w:cstheme="minorHAnsi"/>
          <w:sz w:val="24"/>
          <w:szCs w:val="24"/>
        </w:rPr>
        <w:t xml:space="preserve">omen have taken on </w:t>
      </w:r>
      <w:r w:rsidR="006B4F0C" w:rsidRPr="00793406">
        <w:rPr>
          <w:rFonts w:cstheme="minorHAnsi"/>
          <w:sz w:val="24"/>
          <w:szCs w:val="24"/>
        </w:rPr>
        <w:t xml:space="preserve">disproportionately </w:t>
      </w:r>
      <w:r w:rsidR="008132C9" w:rsidRPr="00793406">
        <w:rPr>
          <w:rFonts w:cstheme="minorHAnsi"/>
          <w:sz w:val="24"/>
          <w:szCs w:val="24"/>
        </w:rPr>
        <w:t>more childcare during the pandemic</w:t>
      </w:r>
      <w:r w:rsidR="00B868AE" w:rsidRPr="00793406">
        <w:rPr>
          <w:rFonts w:cstheme="minorHAnsi"/>
          <w:sz w:val="24"/>
          <w:szCs w:val="24"/>
        </w:rPr>
        <w:t xml:space="preserve"> and </w:t>
      </w:r>
      <w:r w:rsidR="008132C9" w:rsidRPr="00793406">
        <w:rPr>
          <w:rFonts w:cstheme="minorHAnsi"/>
          <w:sz w:val="24"/>
          <w:szCs w:val="24"/>
        </w:rPr>
        <w:t xml:space="preserve">suffered </w:t>
      </w:r>
      <w:r w:rsidR="00B868AE" w:rsidRPr="00793406">
        <w:rPr>
          <w:rFonts w:cstheme="minorHAnsi"/>
          <w:sz w:val="24"/>
          <w:szCs w:val="24"/>
        </w:rPr>
        <w:t xml:space="preserve">greater </w:t>
      </w:r>
      <w:r w:rsidR="000E7190" w:rsidRPr="00793406">
        <w:rPr>
          <w:rFonts w:cstheme="minorHAnsi"/>
          <w:sz w:val="24"/>
          <w:szCs w:val="24"/>
        </w:rPr>
        <w:t>loss of employment</w:t>
      </w:r>
      <w:r w:rsidR="008132C9" w:rsidRPr="00793406">
        <w:rPr>
          <w:rFonts w:cstheme="minorHAnsi"/>
          <w:sz w:val="24"/>
          <w:szCs w:val="24"/>
        </w:rPr>
        <w:t xml:space="preserve"> and increased domestic violence. The pandemic </w:t>
      </w:r>
      <w:r w:rsidR="006F5997" w:rsidRPr="00793406">
        <w:rPr>
          <w:rFonts w:cstheme="minorHAnsi"/>
          <w:sz w:val="24"/>
          <w:szCs w:val="24"/>
        </w:rPr>
        <w:t xml:space="preserve">has </w:t>
      </w:r>
      <w:r w:rsidR="008132C9" w:rsidRPr="00793406">
        <w:rPr>
          <w:rFonts w:cstheme="minorHAnsi"/>
          <w:sz w:val="24"/>
          <w:szCs w:val="24"/>
        </w:rPr>
        <w:t>disrupted children’s education</w:t>
      </w:r>
      <w:r w:rsidR="006F5997" w:rsidRPr="00793406">
        <w:rPr>
          <w:rFonts w:cstheme="minorHAnsi"/>
          <w:sz w:val="24"/>
          <w:szCs w:val="24"/>
        </w:rPr>
        <w:t xml:space="preserve">, safety and </w:t>
      </w:r>
      <w:r w:rsidR="006B4F0C" w:rsidRPr="00793406">
        <w:rPr>
          <w:rFonts w:cstheme="minorHAnsi"/>
          <w:sz w:val="24"/>
          <w:szCs w:val="24"/>
        </w:rPr>
        <w:t>food security</w:t>
      </w:r>
      <w:r w:rsidR="008132C9" w:rsidRPr="00793406">
        <w:rPr>
          <w:rFonts w:cstheme="minorHAnsi"/>
          <w:sz w:val="24"/>
          <w:szCs w:val="24"/>
        </w:rPr>
        <w:t>, and in some countries has led to an increase in under-age marriage.</w:t>
      </w:r>
      <w:r w:rsidR="00F83877" w:rsidRPr="00793406">
        <w:rPr>
          <w:rFonts w:cstheme="minorHAnsi"/>
          <w:sz w:val="24"/>
          <w:szCs w:val="24"/>
        </w:rPr>
        <w:t xml:space="preserve"> T</w:t>
      </w:r>
      <w:r w:rsidR="00601654" w:rsidRPr="00793406">
        <w:rPr>
          <w:rFonts w:cstheme="minorHAnsi"/>
          <w:sz w:val="24"/>
          <w:szCs w:val="24"/>
        </w:rPr>
        <w:t>he</w:t>
      </w:r>
      <w:r w:rsidR="00DB1311" w:rsidRPr="00793406">
        <w:rPr>
          <w:rFonts w:cstheme="minorHAnsi"/>
          <w:sz w:val="24"/>
          <w:szCs w:val="24"/>
        </w:rPr>
        <w:t>se</w:t>
      </w:r>
      <w:r w:rsidR="00601654" w:rsidRPr="00793406">
        <w:rPr>
          <w:rFonts w:cstheme="minorHAnsi"/>
          <w:sz w:val="24"/>
          <w:szCs w:val="24"/>
        </w:rPr>
        <w:t xml:space="preserve"> effects will be </w:t>
      </w:r>
      <w:r w:rsidR="003F30C0" w:rsidRPr="00793406">
        <w:rPr>
          <w:rFonts w:cstheme="minorHAnsi"/>
          <w:sz w:val="24"/>
          <w:szCs w:val="24"/>
        </w:rPr>
        <w:t>long lasting</w:t>
      </w:r>
      <w:r w:rsidR="00601654" w:rsidRPr="00793406">
        <w:rPr>
          <w:rFonts w:cstheme="minorHAnsi"/>
          <w:sz w:val="24"/>
          <w:szCs w:val="24"/>
        </w:rPr>
        <w:t>,</w:t>
      </w:r>
      <w:r w:rsidR="008132C9" w:rsidRPr="00793406">
        <w:rPr>
          <w:rFonts w:cstheme="minorHAnsi"/>
          <w:sz w:val="24"/>
          <w:szCs w:val="24"/>
        </w:rPr>
        <w:t xml:space="preserve"> because the health of women and children is central to </w:t>
      </w:r>
      <w:r w:rsidR="001F0CF0" w:rsidRPr="00793406">
        <w:rPr>
          <w:rFonts w:cstheme="minorHAnsi"/>
          <w:sz w:val="24"/>
          <w:szCs w:val="24"/>
        </w:rPr>
        <w:t>population health and resilience across generations.</w:t>
      </w:r>
      <w:r w:rsidR="008132C9" w:rsidRPr="00793406">
        <w:rPr>
          <w:rFonts w:cstheme="minorHAnsi"/>
          <w:sz w:val="24"/>
          <w:szCs w:val="24"/>
        </w:rPr>
        <w:t xml:space="preserve">   </w:t>
      </w:r>
    </w:p>
    <w:p w14:paraId="734CE9EB" w14:textId="5855AA1C" w:rsidR="00A04EDE" w:rsidRPr="00793406" w:rsidRDefault="004542CD" w:rsidP="00FE6E34">
      <w:pPr>
        <w:spacing w:after="120"/>
        <w:rPr>
          <w:rFonts w:cstheme="minorHAnsi"/>
          <w:sz w:val="24"/>
          <w:szCs w:val="24"/>
        </w:rPr>
      </w:pPr>
      <w:r w:rsidRPr="00793406">
        <w:rPr>
          <w:rFonts w:cstheme="minorHAnsi"/>
          <w:sz w:val="24"/>
          <w:szCs w:val="24"/>
        </w:rPr>
        <w:t xml:space="preserve">As societies, governments and institutions move from emergency measures to combat </w:t>
      </w:r>
      <w:r w:rsidR="00DB1311" w:rsidRPr="00793406">
        <w:rPr>
          <w:rFonts w:cstheme="minorHAnsi"/>
          <w:sz w:val="24"/>
          <w:szCs w:val="24"/>
        </w:rPr>
        <w:t>COVID-19</w:t>
      </w:r>
      <w:r w:rsidRPr="00793406">
        <w:rPr>
          <w:rFonts w:cstheme="minorHAnsi"/>
          <w:sz w:val="24"/>
          <w:szCs w:val="24"/>
        </w:rPr>
        <w:t xml:space="preserve"> to</w:t>
      </w:r>
      <w:r w:rsidR="00E12B32" w:rsidRPr="00793406">
        <w:rPr>
          <w:rFonts w:cstheme="minorHAnsi"/>
          <w:sz w:val="24"/>
          <w:szCs w:val="24"/>
        </w:rPr>
        <w:t>wards</w:t>
      </w:r>
      <w:r w:rsidRPr="00793406">
        <w:rPr>
          <w:rFonts w:cstheme="minorHAnsi"/>
          <w:sz w:val="24"/>
          <w:szCs w:val="24"/>
        </w:rPr>
        <w:t xml:space="preserve"> recovery plans, w</w:t>
      </w:r>
      <w:r w:rsidR="00C057C1" w:rsidRPr="00793406">
        <w:rPr>
          <w:rFonts w:cstheme="minorHAnsi"/>
          <w:sz w:val="24"/>
          <w:szCs w:val="24"/>
        </w:rPr>
        <w:t xml:space="preserve">e ask if </w:t>
      </w:r>
      <w:r w:rsidR="00272464" w:rsidRPr="00793406">
        <w:rPr>
          <w:rFonts w:cstheme="minorHAnsi"/>
          <w:sz w:val="24"/>
          <w:szCs w:val="24"/>
        </w:rPr>
        <w:t>they</w:t>
      </w:r>
      <w:r w:rsidRPr="00793406">
        <w:rPr>
          <w:rFonts w:cstheme="minorHAnsi"/>
          <w:sz w:val="24"/>
          <w:szCs w:val="24"/>
        </w:rPr>
        <w:t xml:space="preserve"> are </w:t>
      </w:r>
      <w:r w:rsidR="00566983" w:rsidRPr="00793406">
        <w:rPr>
          <w:rFonts w:cstheme="minorHAnsi"/>
          <w:sz w:val="24"/>
          <w:szCs w:val="24"/>
        </w:rPr>
        <w:t>learning</w:t>
      </w:r>
      <w:r w:rsidR="00C057C1" w:rsidRPr="00793406">
        <w:rPr>
          <w:rFonts w:cstheme="minorHAnsi"/>
          <w:sz w:val="24"/>
          <w:szCs w:val="24"/>
        </w:rPr>
        <w:t xml:space="preserve"> from </w:t>
      </w:r>
      <w:r w:rsidR="00F84A50" w:rsidRPr="00793406">
        <w:rPr>
          <w:rFonts w:cstheme="minorHAnsi"/>
          <w:sz w:val="24"/>
          <w:szCs w:val="24"/>
        </w:rPr>
        <w:t xml:space="preserve">scientific knowledge and </w:t>
      </w:r>
      <w:r w:rsidR="00C057C1" w:rsidRPr="00793406">
        <w:rPr>
          <w:rFonts w:cstheme="minorHAnsi"/>
          <w:sz w:val="24"/>
          <w:szCs w:val="24"/>
        </w:rPr>
        <w:t xml:space="preserve">the </w:t>
      </w:r>
      <w:r w:rsidR="00E12B32" w:rsidRPr="00793406">
        <w:rPr>
          <w:rFonts w:cstheme="minorHAnsi"/>
          <w:sz w:val="24"/>
          <w:szCs w:val="24"/>
        </w:rPr>
        <w:t xml:space="preserve">wider </w:t>
      </w:r>
      <w:r w:rsidR="002C6D82" w:rsidRPr="00793406">
        <w:rPr>
          <w:rFonts w:cstheme="minorHAnsi"/>
          <w:sz w:val="24"/>
          <w:szCs w:val="24"/>
        </w:rPr>
        <w:t xml:space="preserve">pandemic </w:t>
      </w:r>
      <w:r w:rsidR="00C057C1" w:rsidRPr="00793406">
        <w:rPr>
          <w:rFonts w:cstheme="minorHAnsi"/>
          <w:sz w:val="24"/>
          <w:szCs w:val="24"/>
        </w:rPr>
        <w:t xml:space="preserve">experience </w:t>
      </w:r>
      <w:r w:rsidR="00486690" w:rsidRPr="00793406">
        <w:rPr>
          <w:rFonts w:cstheme="minorHAnsi"/>
          <w:sz w:val="24"/>
          <w:szCs w:val="24"/>
        </w:rPr>
        <w:t xml:space="preserve">to springboard a new conceptual </w:t>
      </w:r>
      <w:r w:rsidR="001F0CF0" w:rsidRPr="00793406">
        <w:rPr>
          <w:rFonts w:cstheme="minorHAnsi"/>
          <w:sz w:val="24"/>
          <w:szCs w:val="24"/>
        </w:rPr>
        <w:t xml:space="preserve">framework </w:t>
      </w:r>
      <w:r w:rsidR="00486690" w:rsidRPr="00793406">
        <w:rPr>
          <w:rFonts w:cstheme="minorHAnsi"/>
          <w:sz w:val="24"/>
          <w:szCs w:val="24"/>
        </w:rPr>
        <w:t xml:space="preserve">for a sustainable future. </w:t>
      </w:r>
      <w:r w:rsidR="00F84A50" w:rsidRPr="00793406">
        <w:rPr>
          <w:rFonts w:cstheme="minorHAnsi"/>
          <w:sz w:val="24"/>
          <w:szCs w:val="24"/>
        </w:rPr>
        <w:t xml:space="preserve">We suggest there has been inadequate consideration of the drivers of </w:t>
      </w:r>
      <w:r w:rsidR="00E12B32" w:rsidRPr="00793406">
        <w:rPr>
          <w:rFonts w:cstheme="minorHAnsi"/>
          <w:sz w:val="24"/>
          <w:szCs w:val="24"/>
        </w:rPr>
        <w:t xml:space="preserve">healthy </w:t>
      </w:r>
      <w:r w:rsidR="00F84A50" w:rsidRPr="00793406">
        <w:rPr>
          <w:rFonts w:cstheme="minorHAnsi"/>
          <w:sz w:val="24"/>
          <w:szCs w:val="24"/>
        </w:rPr>
        <w:t>population</w:t>
      </w:r>
      <w:r w:rsidR="00E12B32" w:rsidRPr="00793406">
        <w:rPr>
          <w:rFonts w:cstheme="minorHAnsi"/>
          <w:sz w:val="24"/>
          <w:szCs w:val="24"/>
        </w:rPr>
        <w:t>s</w:t>
      </w:r>
      <w:r w:rsidR="00F84A50" w:rsidRPr="00793406">
        <w:rPr>
          <w:rFonts w:cstheme="minorHAnsi"/>
          <w:sz w:val="24"/>
          <w:szCs w:val="24"/>
        </w:rPr>
        <w:t xml:space="preserve"> on which </w:t>
      </w:r>
      <w:r w:rsidR="00E12B32" w:rsidRPr="00793406">
        <w:rPr>
          <w:rFonts w:cstheme="minorHAnsi"/>
          <w:sz w:val="24"/>
          <w:szCs w:val="24"/>
        </w:rPr>
        <w:t xml:space="preserve">their </w:t>
      </w:r>
      <w:r w:rsidR="00F84A50" w:rsidRPr="00793406">
        <w:rPr>
          <w:rFonts w:cstheme="minorHAnsi"/>
          <w:sz w:val="24"/>
          <w:szCs w:val="24"/>
        </w:rPr>
        <w:t xml:space="preserve">sustained economic recovery ultimately depends.  </w:t>
      </w:r>
      <w:r w:rsidR="003622A6" w:rsidRPr="00793406">
        <w:rPr>
          <w:rFonts w:cstheme="minorHAnsi"/>
          <w:sz w:val="24"/>
          <w:szCs w:val="24"/>
        </w:rPr>
        <w:t>We point out that t</w:t>
      </w:r>
      <w:r w:rsidR="00A04EDE" w:rsidRPr="00793406">
        <w:rPr>
          <w:rFonts w:cstheme="minorHAnsi"/>
          <w:sz w:val="24"/>
          <w:szCs w:val="24"/>
        </w:rPr>
        <w:t xml:space="preserve">he economic </w:t>
      </w:r>
      <w:r w:rsidR="00482B03" w:rsidRPr="00793406">
        <w:rPr>
          <w:rFonts w:cstheme="minorHAnsi"/>
          <w:sz w:val="24"/>
          <w:szCs w:val="24"/>
        </w:rPr>
        <w:t xml:space="preserve">models </w:t>
      </w:r>
      <w:r w:rsidR="00A04EDE" w:rsidRPr="00793406">
        <w:rPr>
          <w:rFonts w:cstheme="minorHAnsi"/>
          <w:sz w:val="24"/>
          <w:szCs w:val="24"/>
        </w:rPr>
        <w:t xml:space="preserve">and societal </w:t>
      </w:r>
      <w:r w:rsidR="00482B03" w:rsidRPr="00793406">
        <w:rPr>
          <w:rFonts w:cstheme="minorHAnsi"/>
          <w:sz w:val="24"/>
          <w:szCs w:val="24"/>
        </w:rPr>
        <w:t xml:space="preserve">attitudes </w:t>
      </w:r>
      <w:r w:rsidR="00A04EDE" w:rsidRPr="00793406">
        <w:rPr>
          <w:rFonts w:cstheme="minorHAnsi"/>
          <w:sz w:val="24"/>
          <w:szCs w:val="24"/>
        </w:rPr>
        <w:t xml:space="preserve">of the past have </w:t>
      </w:r>
      <w:r w:rsidR="00637375" w:rsidRPr="00793406">
        <w:rPr>
          <w:rFonts w:cstheme="minorHAnsi"/>
          <w:sz w:val="24"/>
          <w:szCs w:val="24"/>
        </w:rPr>
        <w:t xml:space="preserve">persistently </w:t>
      </w:r>
      <w:r w:rsidR="00A04EDE" w:rsidRPr="00793406">
        <w:rPr>
          <w:rFonts w:cstheme="minorHAnsi"/>
          <w:sz w:val="24"/>
          <w:szCs w:val="24"/>
        </w:rPr>
        <w:t>marginalized the health and wellbeing of women</w:t>
      </w:r>
      <w:r w:rsidR="006E2862" w:rsidRPr="00793406">
        <w:rPr>
          <w:rFonts w:cstheme="minorHAnsi"/>
          <w:sz w:val="24"/>
          <w:szCs w:val="24"/>
        </w:rPr>
        <w:t>, infants</w:t>
      </w:r>
      <w:r w:rsidR="00A04EDE" w:rsidRPr="00793406">
        <w:rPr>
          <w:rFonts w:cstheme="minorHAnsi"/>
          <w:sz w:val="24"/>
          <w:szCs w:val="24"/>
        </w:rPr>
        <w:t xml:space="preserve"> and children</w:t>
      </w:r>
      <w:r w:rsidR="001F0CF0" w:rsidRPr="00793406">
        <w:rPr>
          <w:rFonts w:cstheme="minorHAnsi"/>
          <w:sz w:val="24"/>
          <w:szCs w:val="24"/>
        </w:rPr>
        <w:t>.</w:t>
      </w:r>
      <w:r w:rsidR="00A04EDE" w:rsidRPr="00793406">
        <w:rPr>
          <w:rFonts w:cstheme="minorHAnsi"/>
          <w:sz w:val="24"/>
          <w:szCs w:val="24"/>
        </w:rPr>
        <w:t xml:space="preserve"> </w:t>
      </w:r>
      <w:r w:rsidR="00F84A50" w:rsidRPr="00793406">
        <w:rPr>
          <w:rFonts w:cstheme="minorHAnsi"/>
          <w:sz w:val="24"/>
          <w:szCs w:val="24"/>
        </w:rPr>
        <w:t>However, the pandemic has also forced new behaviours</w:t>
      </w:r>
      <w:r w:rsidR="001F5DFE" w:rsidRPr="00793406">
        <w:rPr>
          <w:rFonts w:cstheme="minorHAnsi"/>
          <w:sz w:val="24"/>
          <w:szCs w:val="24"/>
        </w:rPr>
        <w:t xml:space="preserve"> and</w:t>
      </w:r>
      <w:r w:rsidR="00F84A50" w:rsidRPr="00793406">
        <w:rPr>
          <w:rFonts w:cstheme="minorHAnsi"/>
          <w:sz w:val="24"/>
          <w:szCs w:val="24"/>
        </w:rPr>
        <w:t xml:space="preserve"> ways of working</w:t>
      </w:r>
      <w:r w:rsidR="001F5DFE" w:rsidRPr="00793406">
        <w:rPr>
          <w:rFonts w:cstheme="minorHAnsi"/>
          <w:sz w:val="24"/>
          <w:szCs w:val="24"/>
        </w:rPr>
        <w:t>,</w:t>
      </w:r>
      <w:r w:rsidR="00F84A50" w:rsidRPr="00793406">
        <w:rPr>
          <w:rFonts w:cstheme="minorHAnsi"/>
          <w:sz w:val="24"/>
          <w:szCs w:val="24"/>
        </w:rPr>
        <w:t xml:space="preserve"> and a </w:t>
      </w:r>
      <w:r w:rsidR="00A04EDE" w:rsidRPr="00793406">
        <w:rPr>
          <w:rFonts w:cstheme="minorHAnsi"/>
          <w:sz w:val="24"/>
          <w:szCs w:val="24"/>
        </w:rPr>
        <w:t xml:space="preserve">questioning </w:t>
      </w:r>
      <w:r w:rsidR="00482B03" w:rsidRPr="00793406">
        <w:rPr>
          <w:rFonts w:cstheme="minorHAnsi"/>
          <w:sz w:val="24"/>
          <w:szCs w:val="24"/>
        </w:rPr>
        <w:t xml:space="preserve">of </w:t>
      </w:r>
      <w:r w:rsidR="00A04EDE" w:rsidRPr="00793406">
        <w:rPr>
          <w:rFonts w:cstheme="minorHAnsi"/>
          <w:sz w:val="24"/>
          <w:szCs w:val="24"/>
        </w:rPr>
        <w:t>societal norms</w:t>
      </w:r>
      <w:r w:rsidR="00F84A50" w:rsidRPr="00793406">
        <w:rPr>
          <w:rFonts w:cstheme="minorHAnsi"/>
          <w:sz w:val="24"/>
          <w:szCs w:val="24"/>
        </w:rPr>
        <w:t>.</w:t>
      </w:r>
      <w:r w:rsidR="00A04EDE" w:rsidRPr="00793406">
        <w:rPr>
          <w:rFonts w:cstheme="minorHAnsi"/>
          <w:sz w:val="24"/>
          <w:szCs w:val="24"/>
        </w:rPr>
        <w:t xml:space="preserve"> </w:t>
      </w:r>
      <w:r w:rsidR="00F84A50" w:rsidRPr="00793406">
        <w:rPr>
          <w:rFonts w:cstheme="minorHAnsi"/>
          <w:sz w:val="24"/>
          <w:szCs w:val="24"/>
        </w:rPr>
        <w:t xml:space="preserve">The collapse of </w:t>
      </w:r>
      <w:r w:rsidR="00AF27C2" w:rsidRPr="00793406">
        <w:rPr>
          <w:rFonts w:cstheme="minorHAnsi"/>
          <w:sz w:val="24"/>
          <w:szCs w:val="24"/>
        </w:rPr>
        <w:t xml:space="preserve">industries </w:t>
      </w:r>
      <w:r w:rsidR="00F84A50" w:rsidRPr="00793406">
        <w:rPr>
          <w:rFonts w:cstheme="minorHAnsi"/>
          <w:sz w:val="24"/>
          <w:szCs w:val="24"/>
        </w:rPr>
        <w:t>that previously seemed invincible</w:t>
      </w:r>
      <w:r w:rsidR="00AF27C2" w:rsidRPr="00793406">
        <w:rPr>
          <w:rFonts w:cstheme="minorHAnsi"/>
          <w:sz w:val="24"/>
          <w:szCs w:val="24"/>
        </w:rPr>
        <w:t>,</w:t>
      </w:r>
      <w:r w:rsidR="00F84A50" w:rsidRPr="00793406">
        <w:rPr>
          <w:rFonts w:cstheme="minorHAnsi"/>
          <w:sz w:val="24"/>
          <w:szCs w:val="24"/>
        </w:rPr>
        <w:t xml:space="preserve"> </w:t>
      </w:r>
      <w:r w:rsidR="00A04EDE" w:rsidRPr="00793406">
        <w:rPr>
          <w:rFonts w:cstheme="minorHAnsi"/>
          <w:sz w:val="24"/>
          <w:szCs w:val="24"/>
        </w:rPr>
        <w:t>offer</w:t>
      </w:r>
      <w:r w:rsidR="00F84A50" w:rsidRPr="00793406">
        <w:rPr>
          <w:rFonts w:cstheme="minorHAnsi"/>
          <w:sz w:val="24"/>
          <w:szCs w:val="24"/>
        </w:rPr>
        <w:t>s</w:t>
      </w:r>
      <w:r w:rsidR="00A04EDE" w:rsidRPr="00793406">
        <w:rPr>
          <w:rFonts w:cstheme="minorHAnsi"/>
          <w:sz w:val="24"/>
          <w:szCs w:val="24"/>
        </w:rPr>
        <w:t xml:space="preserve"> unique opportunity for radical change. </w:t>
      </w:r>
      <w:r w:rsidR="006E2862" w:rsidRPr="00793406">
        <w:rPr>
          <w:rFonts w:cstheme="minorHAnsi"/>
          <w:sz w:val="24"/>
          <w:szCs w:val="24"/>
        </w:rPr>
        <w:t>Here, w</w:t>
      </w:r>
      <w:r w:rsidR="00EE4F47" w:rsidRPr="00793406">
        <w:rPr>
          <w:rFonts w:cstheme="minorHAnsi"/>
          <w:sz w:val="24"/>
          <w:szCs w:val="24"/>
        </w:rPr>
        <w:t>e</w:t>
      </w:r>
      <w:r w:rsidR="00A04EDE" w:rsidRPr="00793406">
        <w:rPr>
          <w:rFonts w:cstheme="minorHAnsi"/>
          <w:sz w:val="24"/>
          <w:szCs w:val="24"/>
        </w:rPr>
        <w:t xml:space="preserve"> provide an analysis of the biomedical</w:t>
      </w:r>
      <w:r w:rsidR="006D5F43" w:rsidRPr="00793406">
        <w:rPr>
          <w:rFonts w:cstheme="minorHAnsi"/>
          <w:sz w:val="24"/>
          <w:szCs w:val="24"/>
        </w:rPr>
        <w:t>, economic</w:t>
      </w:r>
      <w:r w:rsidR="00A04EDE" w:rsidRPr="00793406">
        <w:rPr>
          <w:rFonts w:cstheme="minorHAnsi"/>
          <w:sz w:val="24"/>
          <w:szCs w:val="24"/>
        </w:rPr>
        <w:t xml:space="preserve"> and </w:t>
      </w:r>
      <w:r w:rsidR="00482B03" w:rsidRPr="00793406">
        <w:rPr>
          <w:rFonts w:cstheme="minorHAnsi"/>
          <w:sz w:val="24"/>
          <w:szCs w:val="24"/>
        </w:rPr>
        <w:t xml:space="preserve">rights-based </w:t>
      </w:r>
      <w:r w:rsidR="00A04EDE" w:rsidRPr="00793406">
        <w:rPr>
          <w:rFonts w:cstheme="minorHAnsi"/>
          <w:sz w:val="24"/>
          <w:szCs w:val="24"/>
        </w:rPr>
        <w:t xml:space="preserve">rationale for multi-faceted actions to improve the health and wellbeing </w:t>
      </w:r>
      <w:r w:rsidR="00A04EDE" w:rsidRPr="00793406">
        <w:rPr>
          <w:rFonts w:cstheme="minorHAnsi"/>
          <w:sz w:val="24"/>
          <w:szCs w:val="24"/>
        </w:rPr>
        <w:lastRenderedPageBreak/>
        <w:t>of women</w:t>
      </w:r>
      <w:r w:rsidR="006E2862" w:rsidRPr="00793406">
        <w:rPr>
          <w:rFonts w:cstheme="minorHAnsi"/>
          <w:sz w:val="24"/>
          <w:szCs w:val="24"/>
        </w:rPr>
        <w:t xml:space="preserve">, infants </w:t>
      </w:r>
      <w:r w:rsidR="00A04EDE" w:rsidRPr="00793406">
        <w:rPr>
          <w:rFonts w:cstheme="minorHAnsi"/>
          <w:sz w:val="24"/>
          <w:szCs w:val="24"/>
        </w:rPr>
        <w:t xml:space="preserve">and children as a cardinal component </w:t>
      </w:r>
      <w:r w:rsidR="00E12B32" w:rsidRPr="00793406">
        <w:rPr>
          <w:rFonts w:cstheme="minorHAnsi"/>
          <w:sz w:val="24"/>
          <w:szCs w:val="24"/>
        </w:rPr>
        <w:t>of</w:t>
      </w:r>
      <w:r w:rsidR="00AF27C2" w:rsidRPr="00793406">
        <w:rPr>
          <w:rFonts w:cstheme="minorHAnsi"/>
          <w:sz w:val="24"/>
          <w:szCs w:val="24"/>
        </w:rPr>
        <w:t xml:space="preserve"> </w:t>
      </w:r>
      <w:r w:rsidR="00E12B32" w:rsidRPr="00793406">
        <w:rPr>
          <w:rFonts w:cstheme="minorHAnsi"/>
          <w:sz w:val="24"/>
          <w:szCs w:val="24"/>
        </w:rPr>
        <w:t xml:space="preserve">new </w:t>
      </w:r>
      <w:r w:rsidR="001E7546" w:rsidRPr="00793406">
        <w:rPr>
          <w:rFonts w:cstheme="minorHAnsi"/>
          <w:sz w:val="24"/>
          <w:szCs w:val="24"/>
        </w:rPr>
        <w:t xml:space="preserve">investment </w:t>
      </w:r>
      <w:r w:rsidR="00E12B32" w:rsidRPr="00793406">
        <w:rPr>
          <w:rFonts w:cstheme="minorHAnsi"/>
          <w:sz w:val="24"/>
          <w:szCs w:val="24"/>
        </w:rPr>
        <w:t xml:space="preserve">needed for </w:t>
      </w:r>
      <w:r w:rsidR="00A04EDE" w:rsidRPr="00793406">
        <w:rPr>
          <w:rFonts w:cstheme="minorHAnsi"/>
          <w:sz w:val="24"/>
          <w:szCs w:val="24"/>
        </w:rPr>
        <w:t>post-pandemic recovery.</w:t>
      </w:r>
      <w:r w:rsidR="00275A1B" w:rsidRPr="00793406">
        <w:rPr>
          <w:rFonts w:cstheme="minorHAnsi"/>
          <w:sz w:val="24"/>
          <w:szCs w:val="24"/>
        </w:rPr>
        <w:t xml:space="preserve"> </w:t>
      </w:r>
    </w:p>
    <w:p w14:paraId="7159F771" w14:textId="4546C80D" w:rsidR="00D72713" w:rsidRPr="00793406" w:rsidRDefault="00D72713" w:rsidP="00FE6E34">
      <w:pPr>
        <w:tabs>
          <w:tab w:val="left" w:pos="3969"/>
        </w:tabs>
        <w:spacing w:after="120"/>
        <w:rPr>
          <w:rFonts w:cstheme="minorHAnsi"/>
          <w:b/>
          <w:sz w:val="24"/>
          <w:szCs w:val="24"/>
        </w:rPr>
      </w:pPr>
      <w:r w:rsidRPr="00793406">
        <w:rPr>
          <w:rFonts w:cstheme="minorHAnsi"/>
          <w:b/>
          <w:bCs/>
          <w:sz w:val="24"/>
          <w:szCs w:val="24"/>
        </w:rPr>
        <w:t>Follow the science</w:t>
      </w:r>
    </w:p>
    <w:p w14:paraId="4782CB2A" w14:textId="4B722AF4" w:rsidR="00D22C22" w:rsidRPr="00793406" w:rsidRDefault="00D22C22" w:rsidP="00FE6E34">
      <w:pPr>
        <w:spacing w:after="120"/>
        <w:rPr>
          <w:rFonts w:cstheme="minorHAnsi"/>
          <w:sz w:val="24"/>
          <w:szCs w:val="24"/>
          <w:highlight w:val="yellow"/>
        </w:rPr>
      </w:pPr>
      <w:r w:rsidRPr="00793406">
        <w:rPr>
          <w:rFonts w:cstheme="minorHAnsi"/>
          <w:sz w:val="24"/>
          <w:szCs w:val="24"/>
        </w:rPr>
        <w:t xml:space="preserve">Prior to the onset of COVID-19, governments and societies around the world were </w:t>
      </w:r>
      <w:r w:rsidR="0097590A">
        <w:rPr>
          <w:rFonts w:cstheme="minorHAnsi"/>
          <w:sz w:val="24"/>
          <w:szCs w:val="24"/>
        </w:rPr>
        <w:t xml:space="preserve">waking up to the </w:t>
      </w:r>
      <w:r w:rsidRPr="00793406">
        <w:rPr>
          <w:rFonts w:cstheme="minorHAnsi"/>
          <w:sz w:val="24"/>
          <w:szCs w:val="24"/>
        </w:rPr>
        <w:t xml:space="preserve">financial and humanitarian costs of worsening population health from non-communicable diseases (NCD), climate change, environmental degradation and armed conflict. </w:t>
      </w:r>
      <w:r w:rsidR="001C2BFF" w:rsidRPr="00793406">
        <w:rPr>
          <w:rFonts w:cstheme="minorHAnsi"/>
          <w:sz w:val="24"/>
          <w:szCs w:val="24"/>
        </w:rPr>
        <w:t>F</w:t>
      </w:r>
      <w:r w:rsidR="00DB1311" w:rsidRPr="00793406">
        <w:rPr>
          <w:rFonts w:cstheme="minorHAnsi"/>
          <w:sz w:val="24"/>
          <w:szCs w:val="24"/>
        </w:rPr>
        <w:t>uture generations will come to view t</w:t>
      </w:r>
      <w:r w:rsidRPr="00793406">
        <w:rPr>
          <w:rFonts w:cstheme="minorHAnsi"/>
          <w:sz w:val="24"/>
          <w:szCs w:val="24"/>
        </w:rPr>
        <w:t xml:space="preserve">his syndemic as a </w:t>
      </w:r>
      <w:r w:rsidR="006F5997" w:rsidRPr="00793406">
        <w:rPr>
          <w:rFonts w:cstheme="minorHAnsi"/>
          <w:sz w:val="24"/>
          <w:szCs w:val="24"/>
        </w:rPr>
        <w:t>fundamental</w:t>
      </w:r>
      <w:r w:rsidRPr="00793406">
        <w:rPr>
          <w:rFonts w:cstheme="minorHAnsi"/>
          <w:sz w:val="24"/>
          <w:szCs w:val="24"/>
        </w:rPr>
        <w:t xml:space="preserve"> consequence of the Anthropocene</w:t>
      </w:r>
      <w:r w:rsidR="00E12B32" w:rsidRPr="00793406">
        <w:rPr>
          <w:rFonts w:cstheme="minorHAnsi"/>
          <w:sz w:val="24"/>
          <w:szCs w:val="24"/>
        </w:rPr>
        <w:t xml:space="preserve"> [1]</w:t>
      </w:r>
      <w:r w:rsidR="00904190" w:rsidRPr="00793406">
        <w:rPr>
          <w:rFonts w:cstheme="minorHAnsi"/>
          <w:sz w:val="24"/>
          <w:szCs w:val="24"/>
        </w:rPr>
        <w:t>.</w:t>
      </w:r>
      <w:r w:rsidRPr="00793406">
        <w:rPr>
          <w:rFonts w:cstheme="minorHAnsi"/>
          <w:sz w:val="24"/>
          <w:szCs w:val="24"/>
        </w:rPr>
        <w:t xml:space="preserve"> These problems underscore the long-term damage </w:t>
      </w:r>
      <w:r w:rsidR="00DB1311" w:rsidRPr="00793406">
        <w:rPr>
          <w:rFonts w:cstheme="minorHAnsi"/>
          <w:sz w:val="24"/>
          <w:szCs w:val="24"/>
        </w:rPr>
        <w:t xml:space="preserve">caused by the </w:t>
      </w:r>
      <w:r w:rsidRPr="00793406">
        <w:rPr>
          <w:rFonts w:cstheme="minorHAnsi"/>
          <w:sz w:val="24"/>
          <w:szCs w:val="24"/>
        </w:rPr>
        <w:t>extractive economic models, and associated market-driven policies</w:t>
      </w:r>
      <w:r w:rsidR="00DB1311" w:rsidRPr="00793406">
        <w:rPr>
          <w:rFonts w:cstheme="minorHAnsi"/>
          <w:sz w:val="24"/>
          <w:szCs w:val="24"/>
        </w:rPr>
        <w:t xml:space="preserve"> of the 19</w:t>
      </w:r>
      <w:r w:rsidR="00DB1311" w:rsidRPr="00793406">
        <w:rPr>
          <w:rFonts w:cstheme="minorHAnsi"/>
          <w:sz w:val="24"/>
          <w:szCs w:val="24"/>
          <w:vertAlign w:val="superscript"/>
        </w:rPr>
        <w:t>th</w:t>
      </w:r>
      <w:r w:rsidR="00DB1311" w:rsidRPr="00793406">
        <w:rPr>
          <w:rFonts w:cstheme="minorHAnsi"/>
          <w:sz w:val="24"/>
          <w:szCs w:val="24"/>
        </w:rPr>
        <w:t xml:space="preserve"> and 20</w:t>
      </w:r>
      <w:r w:rsidR="00DB1311" w:rsidRPr="00793406">
        <w:rPr>
          <w:rFonts w:cstheme="minorHAnsi"/>
          <w:sz w:val="24"/>
          <w:szCs w:val="24"/>
          <w:vertAlign w:val="superscript"/>
        </w:rPr>
        <w:t>th</w:t>
      </w:r>
      <w:r w:rsidR="00DB1311" w:rsidRPr="00793406">
        <w:rPr>
          <w:rFonts w:cstheme="minorHAnsi"/>
          <w:sz w:val="24"/>
          <w:szCs w:val="24"/>
        </w:rPr>
        <w:t xml:space="preserve"> centuries</w:t>
      </w:r>
      <w:r w:rsidRPr="00793406">
        <w:rPr>
          <w:rFonts w:cstheme="minorHAnsi"/>
          <w:sz w:val="24"/>
          <w:szCs w:val="24"/>
        </w:rPr>
        <w:t xml:space="preserve">. </w:t>
      </w:r>
    </w:p>
    <w:p w14:paraId="2E5A2632" w14:textId="1B0BC4F6" w:rsidR="006C1F91" w:rsidRPr="00793406" w:rsidRDefault="00D22C22" w:rsidP="00FE6E34">
      <w:pPr>
        <w:spacing w:after="120"/>
        <w:rPr>
          <w:rFonts w:cstheme="minorHAnsi"/>
          <w:sz w:val="24"/>
          <w:szCs w:val="24"/>
        </w:rPr>
      </w:pPr>
      <w:r w:rsidRPr="00793406">
        <w:rPr>
          <w:rFonts w:cstheme="minorHAnsi"/>
          <w:sz w:val="24"/>
          <w:szCs w:val="24"/>
        </w:rPr>
        <w:t xml:space="preserve">Research over recent decades shows clearly that parental health, and the early life environment, particularly during the period from conception to age </w:t>
      </w:r>
      <w:r w:rsidR="00C56640" w:rsidRPr="00793406">
        <w:rPr>
          <w:rFonts w:cstheme="minorHAnsi"/>
          <w:sz w:val="24"/>
          <w:szCs w:val="24"/>
        </w:rPr>
        <w:t>two</w:t>
      </w:r>
      <w:r w:rsidRPr="00793406">
        <w:rPr>
          <w:rFonts w:cstheme="minorHAnsi"/>
          <w:sz w:val="24"/>
          <w:szCs w:val="24"/>
        </w:rPr>
        <w:t xml:space="preserve"> years, play an important part in </w:t>
      </w:r>
      <w:r w:rsidR="0054635B" w:rsidRPr="00793406">
        <w:rPr>
          <w:rFonts w:cstheme="minorHAnsi"/>
          <w:sz w:val="24"/>
          <w:szCs w:val="24"/>
        </w:rPr>
        <w:t xml:space="preserve">establishing risks for later </w:t>
      </w:r>
      <w:r w:rsidRPr="00793406">
        <w:rPr>
          <w:rFonts w:cstheme="minorHAnsi"/>
          <w:sz w:val="24"/>
          <w:szCs w:val="24"/>
        </w:rPr>
        <w:t>NCD. Maternal and, as increasingly recogni</w:t>
      </w:r>
      <w:r w:rsidR="00A61286" w:rsidRPr="00793406">
        <w:rPr>
          <w:rFonts w:cstheme="minorHAnsi"/>
          <w:sz w:val="24"/>
          <w:szCs w:val="24"/>
        </w:rPr>
        <w:t>s</w:t>
      </w:r>
      <w:r w:rsidRPr="00793406">
        <w:rPr>
          <w:rFonts w:cstheme="minorHAnsi"/>
          <w:sz w:val="24"/>
          <w:szCs w:val="24"/>
        </w:rPr>
        <w:t xml:space="preserve">ed, paternal nutritional, behavioural and social conditions </w:t>
      </w:r>
      <w:r w:rsidR="0054635B" w:rsidRPr="00793406">
        <w:rPr>
          <w:rFonts w:cstheme="minorHAnsi"/>
          <w:sz w:val="24"/>
          <w:szCs w:val="24"/>
        </w:rPr>
        <w:t xml:space="preserve">and environmental exposures, </w:t>
      </w:r>
      <w:r w:rsidRPr="00793406">
        <w:rPr>
          <w:rFonts w:cstheme="minorHAnsi"/>
          <w:sz w:val="24"/>
          <w:szCs w:val="24"/>
        </w:rPr>
        <w:t xml:space="preserve">alter the phenotype of the developing fetus and child. The </w:t>
      </w:r>
      <w:r w:rsidR="0054635B" w:rsidRPr="00793406">
        <w:rPr>
          <w:rFonts w:cstheme="minorHAnsi"/>
          <w:sz w:val="24"/>
          <w:szCs w:val="24"/>
        </w:rPr>
        <w:t xml:space="preserve">mechanisms </w:t>
      </w:r>
      <w:r w:rsidRPr="00793406">
        <w:rPr>
          <w:rFonts w:cstheme="minorHAnsi"/>
          <w:sz w:val="24"/>
          <w:szCs w:val="24"/>
        </w:rPr>
        <w:t xml:space="preserve">have their origins </w:t>
      </w:r>
      <w:r w:rsidR="0054635B" w:rsidRPr="00793406">
        <w:rPr>
          <w:rFonts w:cstheme="minorHAnsi"/>
          <w:sz w:val="24"/>
          <w:szCs w:val="24"/>
        </w:rPr>
        <w:t xml:space="preserve">to </w:t>
      </w:r>
      <w:r w:rsidRPr="00793406">
        <w:rPr>
          <w:rFonts w:cstheme="minorHAnsi"/>
          <w:sz w:val="24"/>
          <w:szCs w:val="24"/>
        </w:rPr>
        <w:t>promote survival</w:t>
      </w:r>
      <w:r w:rsidR="001C2BFF" w:rsidRPr="00793406">
        <w:rPr>
          <w:rFonts w:cstheme="minorHAnsi"/>
          <w:sz w:val="24"/>
          <w:szCs w:val="24"/>
        </w:rPr>
        <w:t xml:space="preserve"> in our evolutionary past</w:t>
      </w:r>
      <w:r w:rsidRPr="00793406">
        <w:rPr>
          <w:rFonts w:cstheme="minorHAnsi"/>
          <w:sz w:val="24"/>
          <w:szCs w:val="24"/>
        </w:rPr>
        <w:t xml:space="preserve">, but </w:t>
      </w:r>
      <w:r w:rsidR="0054635B" w:rsidRPr="00793406">
        <w:rPr>
          <w:rFonts w:cstheme="minorHAnsi"/>
          <w:sz w:val="24"/>
          <w:szCs w:val="24"/>
        </w:rPr>
        <w:t xml:space="preserve">are </w:t>
      </w:r>
      <w:r w:rsidRPr="00793406">
        <w:rPr>
          <w:rFonts w:cstheme="minorHAnsi"/>
          <w:sz w:val="24"/>
          <w:szCs w:val="24"/>
        </w:rPr>
        <w:t xml:space="preserve">counterproductive in the face of the challenges of </w:t>
      </w:r>
      <w:r w:rsidR="006F5997" w:rsidRPr="00793406">
        <w:rPr>
          <w:rFonts w:cstheme="minorHAnsi"/>
          <w:sz w:val="24"/>
          <w:szCs w:val="24"/>
        </w:rPr>
        <w:t>our</w:t>
      </w:r>
      <w:r w:rsidRPr="00793406">
        <w:rPr>
          <w:rFonts w:cstheme="minorHAnsi"/>
          <w:sz w:val="24"/>
          <w:szCs w:val="24"/>
        </w:rPr>
        <w:t xml:space="preserve"> contemporary world</w:t>
      </w:r>
      <w:r w:rsidR="00852D9B" w:rsidRPr="00793406">
        <w:rPr>
          <w:rFonts w:cstheme="minorHAnsi"/>
          <w:sz w:val="24"/>
          <w:szCs w:val="24"/>
        </w:rPr>
        <w:t xml:space="preserve"> such as sedentary lifestyle</w:t>
      </w:r>
      <w:r w:rsidR="0054635B" w:rsidRPr="00793406">
        <w:rPr>
          <w:rFonts w:cstheme="minorHAnsi"/>
          <w:sz w:val="24"/>
          <w:szCs w:val="24"/>
        </w:rPr>
        <w:t>s</w:t>
      </w:r>
      <w:r w:rsidR="00852D9B" w:rsidRPr="00793406">
        <w:rPr>
          <w:rFonts w:cstheme="minorHAnsi"/>
          <w:sz w:val="24"/>
          <w:szCs w:val="24"/>
        </w:rPr>
        <w:t xml:space="preserve"> and fast foods</w:t>
      </w:r>
      <w:r w:rsidR="00C56640" w:rsidRPr="00793406">
        <w:rPr>
          <w:rFonts w:cstheme="minorHAnsi"/>
          <w:sz w:val="24"/>
          <w:szCs w:val="24"/>
        </w:rPr>
        <w:t xml:space="preserve"> [2]</w:t>
      </w:r>
      <w:r w:rsidR="00852D9B" w:rsidRPr="00793406">
        <w:rPr>
          <w:rFonts w:cstheme="minorHAnsi"/>
          <w:sz w:val="24"/>
          <w:szCs w:val="24"/>
        </w:rPr>
        <w:t>.</w:t>
      </w:r>
      <w:r w:rsidR="00E266C3" w:rsidRPr="00793406">
        <w:rPr>
          <w:rFonts w:cstheme="minorHAnsi"/>
          <w:sz w:val="24"/>
          <w:szCs w:val="24"/>
        </w:rPr>
        <w:t xml:space="preserve">  The effects are substantial</w:t>
      </w:r>
      <w:r w:rsidR="001C2BFF" w:rsidRPr="00793406">
        <w:rPr>
          <w:rFonts w:cstheme="minorHAnsi"/>
          <w:sz w:val="24"/>
          <w:szCs w:val="24"/>
        </w:rPr>
        <w:t>:</w:t>
      </w:r>
      <w:r w:rsidR="00E266C3" w:rsidRPr="00793406">
        <w:rPr>
          <w:rFonts w:cstheme="minorHAnsi"/>
          <w:sz w:val="24"/>
          <w:szCs w:val="24"/>
        </w:rPr>
        <w:t xml:space="preserve"> </w:t>
      </w:r>
      <w:r w:rsidR="007B2241" w:rsidRPr="00793406">
        <w:rPr>
          <w:rFonts w:cstheme="minorHAnsi"/>
          <w:sz w:val="24"/>
          <w:szCs w:val="24"/>
        </w:rPr>
        <w:t xml:space="preserve">almost half of all babies are </w:t>
      </w:r>
      <w:r w:rsidR="00415433" w:rsidRPr="00793406">
        <w:rPr>
          <w:rFonts w:cstheme="minorHAnsi"/>
          <w:sz w:val="24"/>
          <w:szCs w:val="24"/>
        </w:rPr>
        <w:t xml:space="preserve">born </w:t>
      </w:r>
      <w:r w:rsidR="007B2241" w:rsidRPr="00793406">
        <w:rPr>
          <w:rFonts w:cstheme="minorHAnsi"/>
          <w:sz w:val="24"/>
          <w:szCs w:val="24"/>
        </w:rPr>
        <w:t xml:space="preserve">preterm, growth restricted or to a mother who is </w:t>
      </w:r>
      <w:r w:rsidR="00272464" w:rsidRPr="00793406">
        <w:rPr>
          <w:rFonts w:cstheme="minorHAnsi"/>
          <w:sz w:val="24"/>
          <w:szCs w:val="24"/>
        </w:rPr>
        <w:t xml:space="preserve">underweight, </w:t>
      </w:r>
      <w:r w:rsidR="007B2241" w:rsidRPr="00793406">
        <w:rPr>
          <w:rFonts w:cstheme="minorHAnsi"/>
          <w:sz w:val="24"/>
          <w:szCs w:val="24"/>
        </w:rPr>
        <w:t>overweight</w:t>
      </w:r>
      <w:r w:rsidR="00272464" w:rsidRPr="00793406">
        <w:rPr>
          <w:rFonts w:cstheme="minorHAnsi"/>
          <w:sz w:val="24"/>
          <w:szCs w:val="24"/>
        </w:rPr>
        <w:t xml:space="preserve"> or </w:t>
      </w:r>
      <w:r w:rsidR="007B2241" w:rsidRPr="00793406">
        <w:rPr>
          <w:rFonts w:cstheme="minorHAnsi"/>
          <w:sz w:val="24"/>
          <w:szCs w:val="24"/>
        </w:rPr>
        <w:t>diabetic</w:t>
      </w:r>
      <w:r w:rsidR="00415433" w:rsidRPr="00793406">
        <w:rPr>
          <w:rFonts w:cstheme="minorHAnsi"/>
          <w:sz w:val="24"/>
          <w:szCs w:val="24"/>
        </w:rPr>
        <w:t>; preterm birth rates range from 5-15% globally</w:t>
      </w:r>
      <w:r w:rsidR="001C2BFF" w:rsidRPr="00793406">
        <w:rPr>
          <w:rFonts w:cstheme="minorHAnsi"/>
          <w:sz w:val="24"/>
          <w:szCs w:val="24"/>
        </w:rPr>
        <w:t>;</w:t>
      </w:r>
      <w:r w:rsidR="00141108" w:rsidRPr="00793406">
        <w:rPr>
          <w:rFonts w:cstheme="minorHAnsi"/>
          <w:sz w:val="24"/>
          <w:szCs w:val="24"/>
        </w:rPr>
        <w:t xml:space="preserve"> a</w:t>
      </w:r>
      <w:r w:rsidR="00415433" w:rsidRPr="00793406">
        <w:rPr>
          <w:rFonts w:cstheme="minorHAnsi"/>
          <w:sz w:val="24"/>
          <w:szCs w:val="24"/>
        </w:rPr>
        <w:t xml:space="preserve">pproximately </w:t>
      </w:r>
      <w:r w:rsidR="00141108" w:rsidRPr="00793406">
        <w:rPr>
          <w:rFonts w:cstheme="minorHAnsi"/>
          <w:sz w:val="24"/>
          <w:szCs w:val="24"/>
        </w:rPr>
        <w:t>one</w:t>
      </w:r>
      <w:r w:rsidR="00415433" w:rsidRPr="00793406">
        <w:rPr>
          <w:rFonts w:cstheme="minorHAnsi"/>
          <w:sz w:val="24"/>
          <w:szCs w:val="24"/>
        </w:rPr>
        <w:t xml:space="preserve"> in ten babies is growth-restricted</w:t>
      </w:r>
      <w:r w:rsidR="001C2BFF" w:rsidRPr="00793406">
        <w:rPr>
          <w:rFonts w:cstheme="minorHAnsi"/>
          <w:sz w:val="24"/>
          <w:szCs w:val="24"/>
        </w:rPr>
        <w:t>;</w:t>
      </w:r>
      <w:r w:rsidR="00415433" w:rsidRPr="00793406">
        <w:rPr>
          <w:rFonts w:cstheme="minorHAnsi"/>
          <w:sz w:val="24"/>
          <w:szCs w:val="24"/>
        </w:rPr>
        <w:t xml:space="preserve"> and in the UK half of all pregnant women </w:t>
      </w:r>
      <w:r w:rsidR="00272464" w:rsidRPr="00793406">
        <w:rPr>
          <w:rFonts w:cstheme="minorHAnsi"/>
          <w:sz w:val="24"/>
          <w:szCs w:val="24"/>
        </w:rPr>
        <w:t xml:space="preserve">today </w:t>
      </w:r>
      <w:r w:rsidR="00415433" w:rsidRPr="00793406">
        <w:rPr>
          <w:rFonts w:cstheme="minorHAnsi"/>
          <w:sz w:val="24"/>
          <w:szCs w:val="24"/>
        </w:rPr>
        <w:t>are overweight or obese</w:t>
      </w:r>
      <w:r w:rsidR="00C56640" w:rsidRPr="00793406">
        <w:rPr>
          <w:rFonts w:cstheme="minorHAnsi"/>
          <w:sz w:val="24"/>
          <w:szCs w:val="24"/>
        </w:rPr>
        <w:t xml:space="preserve"> [3</w:t>
      </w:r>
      <w:r w:rsidR="00637375" w:rsidRPr="00793406">
        <w:rPr>
          <w:rFonts w:cstheme="minorHAnsi"/>
          <w:sz w:val="24"/>
          <w:szCs w:val="24"/>
        </w:rPr>
        <w:t>]</w:t>
      </w:r>
      <w:r w:rsidR="007B2241" w:rsidRPr="00793406">
        <w:rPr>
          <w:rFonts w:cstheme="minorHAnsi"/>
          <w:sz w:val="24"/>
          <w:szCs w:val="24"/>
        </w:rPr>
        <w:t>. The</w:t>
      </w:r>
      <w:r w:rsidR="006E5DC5" w:rsidRPr="00793406">
        <w:rPr>
          <w:rFonts w:cstheme="minorHAnsi"/>
          <w:sz w:val="24"/>
          <w:szCs w:val="24"/>
        </w:rPr>
        <w:t xml:space="preserve">se children </w:t>
      </w:r>
      <w:r w:rsidR="007B2241" w:rsidRPr="00793406">
        <w:rPr>
          <w:rFonts w:cstheme="minorHAnsi"/>
          <w:sz w:val="24"/>
          <w:szCs w:val="24"/>
        </w:rPr>
        <w:t xml:space="preserve">are at substantially higher risk of developing NCD in adult life than </w:t>
      </w:r>
      <w:r w:rsidR="001C2BFF" w:rsidRPr="00793406">
        <w:rPr>
          <w:rFonts w:cstheme="minorHAnsi"/>
          <w:sz w:val="24"/>
          <w:szCs w:val="24"/>
        </w:rPr>
        <w:t>those</w:t>
      </w:r>
      <w:r w:rsidR="007B2241" w:rsidRPr="00793406">
        <w:rPr>
          <w:rFonts w:cstheme="minorHAnsi"/>
          <w:sz w:val="24"/>
          <w:szCs w:val="24"/>
        </w:rPr>
        <w:t xml:space="preserve"> born </w:t>
      </w:r>
      <w:r w:rsidR="006E5DC5" w:rsidRPr="00793406">
        <w:rPr>
          <w:rFonts w:cstheme="minorHAnsi"/>
          <w:sz w:val="24"/>
          <w:szCs w:val="24"/>
        </w:rPr>
        <w:t xml:space="preserve">full-term </w:t>
      </w:r>
      <w:r w:rsidR="007B2241" w:rsidRPr="00793406">
        <w:rPr>
          <w:rFonts w:cstheme="minorHAnsi"/>
          <w:sz w:val="24"/>
          <w:szCs w:val="24"/>
        </w:rPr>
        <w:t>to a healthy mother</w:t>
      </w:r>
      <w:r w:rsidR="00C56640" w:rsidRPr="00793406">
        <w:rPr>
          <w:rFonts w:cstheme="minorHAnsi"/>
          <w:sz w:val="24"/>
          <w:szCs w:val="24"/>
        </w:rPr>
        <w:t xml:space="preserve"> [4]</w:t>
      </w:r>
      <w:r w:rsidR="007B2241" w:rsidRPr="00793406">
        <w:rPr>
          <w:rFonts w:cstheme="minorHAnsi"/>
          <w:sz w:val="24"/>
          <w:szCs w:val="24"/>
        </w:rPr>
        <w:t xml:space="preserve">. </w:t>
      </w:r>
    </w:p>
    <w:p w14:paraId="6CF81420" w14:textId="5F25E9B7" w:rsidR="00725496" w:rsidRPr="00793406" w:rsidRDefault="005C2D60" w:rsidP="00FE6E34">
      <w:pPr>
        <w:spacing w:after="120"/>
        <w:rPr>
          <w:rFonts w:cstheme="minorHAnsi"/>
          <w:sz w:val="24"/>
          <w:szCs w:val="24"/>
        </w:rPr>
      </w:pPr>
      <w:r w:rsidRPr="00793406">
        <w:rPr>
          <w:rFonts w:cstheme="minorHAnsi"/>
          <w:sz w:val="24"/>
          <w:szCs w:val="24"/>
        </w:rPr>
        <w:t>Progress in reducing the global burden of NCD is not encouraging</w:t>
      </w:r>
      <w:r w:rsidR="00C56640" w:rsidRPr="00793406">
        <w:rPr>
          <w:rFonts w:cstheme="minorHAnsi"/>
          <w:sz w:val="24"/>
          <w:szCs w:val="24"/>
        </w:rPr>
        <w:t xml:space="preserve"> [5]</w:t>
      </w:r>
      <w:r w:rsidRPr="00793406">
        <w:rPr>
          <w:rFonts w:cstheme="minorHAnsi"/>
          <w:sz w:val="24"/>
          <w:szCs w:val="24"/>
        </w:rPr>
        <w:t xml:space="preserve">.  </w:t>
      </w:r>
      <w:r w:rsidR="00AE644F" w:rsidRPr="00793406">
        <w:rPr>
          <w:rFonts w:cstheme="minorHAnsi"/>
          <w:sz w:val="24"/>
          <w:szCs w:val="24"/>
        </w:rPr>
        <w:t>This is not surprising given that c</w:t>
      </w:r>
      <w:r w:rsidR="00D22C22" w:rsidRPr="00793406">
        <w:rPr>
          <w:rFonts w:cstheme="minorHAnsi"/>
          <w:sz w:val="24"/>
          <w:szCs w:val="24"/>
        </w:rPr>
        <w:t>urrent national and global policies</w:t>
      </w:r>
      <w:r w:rsidR="00AE644F" w:rsidRPr="00793406">
        <w:rPr>
          <w:rFonts w:cstheme="minorHAnsi"/>
          <w:sz w:val="24"/>
          <w:szCs w:val="24"/>
        </w:rPr>
        <w:t xml:space="preserve">, including advocacy on behalf of the world’s poorest populations, </w:t>
      </w:r>
      <w:r w:rsidR="00D22C22" w:rsidRPr="00793406">
        <w:rPr>
          <w:rFonts w:cstheme="minorHAnsi"/>
          <w:sz w:val="24"/>
          <w:szCs w:val="24"/>
        </w:rPr>
        <w:t>focus on treatments</w:t>
      </w:r>
      <w:r w:rsidR="00AE644F" w:rsidRPr="00793406">
        <w:rPr>
          <w:rFonts w:cstheme="minorHAnsi"/>
          <w:sz w:val="24"/>
          <w:szCs w:val="24"/>
        </w:rPr>
        <w:t xml:space="preserve"> </w:t>
      </w:r>
      <w:r w:rsidR="0079310B" w:rsidRPr="00793406">
        <w:rPr>
          <w:rFonts w:cstheme="minorHAnsi"/>
          <w:sz w:val="24"/>
          <w:szCs w:val="24"/>
        </w:rPr>
        <w:t>rather than</w:t>
      </w:r>
      <w:r w:rsidR="00F65D49" w:rsidRPr="00793406">
        <w:rPr>
          <w:rFonts w:cstheme="minorHAnsi"/>
          <w:sz w:val="24"/>
          <w:szCs w:val="24"/>
        </w:rPr>
        <w:t xml:space="preserve"> root causes</w:t>
      </w:r>
      <w:r w:rsidR="00C56640" w:rsidRPr="00793406">
        <w:rPr>
          <w:rFonts w:cstheme="minorHAnsi"/>
          <w:sz w:val="24"/>
          <w:szCs w:val="24"/>
        </w:rPr>
        <w:t xml:space="preserve"> [6]</w:t>
      </w:r>
      <w:r w:rsidR="00AE644F" w:rsidRPr="00793406">
        <w:rPr>
          <w:rFonts w:cstheme="minorHAnsi"/>
          <w:sz w:val="24"/>
          <w:szCs w:val="24"/>
        </w:rPr>
        <w:t xml:space="preserve">. The Global Action Plans </w:t>
      </w:r>
      <w:r w:rsidR="00F65D49" w:rsidRPr="00793406">
        <w:rPr>
          <w:rFonts w:cstheme="minorHAnsi"/>
          <w:sz w:val="24"/>
          <w:szCs w:val="24"/>
        </w:rPr>
        <w:t xml:space="preserve">for NCD sponsored by the World Health Organisation and the World Bank </w:t>
      </w:r>
      <w:r w:rsidR="00AE644F" w:rsidRPr="00793406">
        <w:rPr>
          <w:rFonts w:cstheme="minorHAnsi"/>
          <w:sz w:val="24"/>
          <w:szCs w:val="24"/>
        </w:rPr>
        <w:t>focused initially on four major categories (cardiovascular disease, diabetes, chronic respiratory disease, and cancers) and four groups of associated risk factors (unhealthy diets, physical inactivity, tobacco use, and harmful use of alcohol)</w:t>
      </w:r>
      <w:r w:rsidR="0054635B" w:rsidRPr="00793406">
        <w:rPr>
          <w:rFonts w:cstheme="minorHAnsi"/>
          <w:sz w:val="24"/>
          <w:szCs w:val="24"/>
        </w:rPr>
        <w:t xml:space="preserve"> </w:t>
      </w:r>
      <w:r w:rsidR="00EC7AE9" w:rsidRPr="00793406">
        <w:rPr>
          <w:rFonts w:cstheme="minorHAnsi"/>
          <w:sz w:val="24"/>
          <w:szCs w:val="24"/>
        </w:rPr>
        <w:t>[7]</w:t>
      </w:r>
      <w:r w:rsidR="00AE644F" w:rsidRPr="00793406">
        <w:rPr>
          <w:rFonts w:cstheme="minorHAnsi"/>
          <w:sz w:val="24"/>
          <w:szCs w:val="24"/>
        </w:rPr>
        <w:t xml:space="preserve">. In 2018, the United Nations </w:t>
      </w:r>
      <w:r w:rsidR="0079310B" w:rsidRPr="00793406">
        <w:rPr>
          <w:rFonts w:cstheme="minorHAnsi"/>
          <w:sz w:val="24"/>
          <w:szCs w:val="24"/>
        </w:rPr>
        <w:t>added</w:t>
      </w:r>
      <w:r w:rsidR="00AE644F" w:rsidRPr="00793406">
        <w:rPr>
          <w:rFonts w:cstheme="minorHAnsi"/>
          <w:sz w:val="24"/>
          <w:szCs w:val="24"/>
        </w:rPr>
        <w:t xml:space="preserve"> mental health </w:t>
      </w:r>
      <w:r w:rsidR="00F65D49" w:rsidRPr="00793406">
        <w:rPr>
          <w:rFonts w:cstheme="minorHAnsi"/>
          <w:sz w:val="24"/>
          <w:szCs w:val="24"/>
        </w:rPr>
        <w:t xml:space="preserve">to the conditions </w:t>
      </w:r>
      <w:r w:rsidR="00AE644F" w:rsidRPr="00793406">
        <w:rPr>
          <w:rFonts w:cstheme="minorHAnsi"/>
          <w:sz w:val="24"/>
          <w:szCs w:val="24"/>
        </w:rPr>
        <w:t xml:space="preserve">and air pollution </w:t>
      </w:r>
      <w:r w:rsidR="00F65D49" w:rsidRPr="00793406">
        <w:rPr>
          <w:rFonts w:cstheme="minorHAnsi"/>
          <w:sz w:val="24"/>
          <w:szCs w:val="24"/>
        </w:rPr>
        <w:t>to the risks</w:t>
      </w:r>
      <w:r w:rsidR="0054635B" w:rsidRPr="00793406">
        <w:rPr>
          <w:rFonts w:cstheme="minorHAnsi"/>
          <w:sz w:val="24"/>
          <w:szCs w:val="24"/>
        </w:rPr>
        <w:t xml:space="preserve"> </w:t>
      </w:r>
      <w:r w:rsidR="00EC7AE9" w:rsidRPr="00793406">
        <w:rPr>
          <w:rFonts w:cstheme="minorHAnsi"/>
          <w:sz w:val="24"/>
          <w:szCs w:val="24"/>
        </w:rPr>
        <w:t>[8]</w:t>
      </w:r>
      <w:r w:rsidR="00F65D49" w:rsidRPr="00793406">
        <w:rPr>
          <w:rFonts w:cstheme="minorHAnsi"/>
          <w:sz w:val="24"/>
          <w:szCs w:val="24"/>
        </w:rPr>
        <w:t xml:space="preserve">. Extraordinarily, </w:t>
      </w:r>
      <w:r w:rsidR="001A7754" w:rsidRPr="00793406">
        <w:rPr>
          <w:rFonts w:cstheme="minorHAnsi"/>
          <w:sz w:val="24"/>
          <w:szCs w:val="24"/>
        </w:rPr>
        <w:t xml:space="preserve">apart from a clause (#26) in the 2011 Political Declaration, there has been little </w:t>
      </w:r>
      <w:r w:rsidR="00725496" w:rsidRPr="00793406">
        <w:rPr>
          <w:rFonts w:cstheme="minorHAnsi"/>
          <w:sz w:val="24"/>
          <w:szCs w:val="24"/>
        </w:rPr>
        <w:t>attention to</w:t>
      </w:r>
      <w:r w:rsidR="00F65D49" w:rsidRPr="00793406">
        <w:rPr>
          <w:rFonts w:cstheme="minorHAnsi"/>
          <w:sz w:val="24"/>
          <w:szCs w:val="24"/>
        </w:rPr>
        <w:t xml:space="preserve"> the developmental origins of NCD and the crucial role of maternal and child health. </w:t>
      </w:r>
      <w:r w:rsidR="00725496" w:rsidRPr="00793406">
        <w:rPr>
          <w:rFonts w:cstheme="minorHAnsi"/>
          <w:sz w:val="24"/>
          <w:szCs w:val="24"/>
        </w:rPr>
        <w:t>There is a lack of</w:t>
      </w:r>
      <w:r w:rsidR="00AE644F" w:rsidRPr="00793406">
        <w:rPr>
          <w:rFonts w:cstheme="minorHAnsi"/>
          <w:sz w:val="24"/>
          <w:szCs w:val="24"/>
        </w:rPr>
        <w:t xml:space="preserve"> appreciation of th</w:t>
      </w:r>
      <w:r w:rsidR="00725496" w:rsidRPr="00793406">
        <w:rPr>
          <w:rFonts w:cstheme="minorHAnsi"/>
          <w:sz w:val="24"/>
          <w:szCs w:val="24"/>
        </w:rPr>
        <w:t>is</w:t>
      </w:r>
      <w:r w:rsidR="00AE644F" w:rsidRPr="00793406">
        <w:rPr>
          <w:rFonts w:cstheme="minorHAnsi"/>
          <w:sz w:val="24"/>
          <w:szCs w:val="24"/>
        </w:rPr>
        <w:t xml:space="preserve"> </w:t>
      </w:r>
      <w:r w:rsidR="00725496" w:rsidRPr="00793406">
        <w:rPr>
          <w:rFonts w:cstheme="minorHAnsi"/>
          <w:sz w:val="24"/>
          <w:szCs w:val="24"/>
        </w:rPr>
        <w:t xml:space="preserve">causal </w:t>
      </w:r>
      <w:r w:rsidR="00AE644F" w:rsidRPr="00793406">
        <w:rPr>
          <w:rFonts w:cstheme="minorHAnsi"/>
          <w:sz w:val="24"/>
          <w:szCs w:val="24"/>
        </w:rPr>
        <w:t xml:space="preserve">chain to intergenerational </w:t>
      </w:r>
      <w:r w:rsidR="006C1F91" w:rsidRPr="00793406">
        <w:rPr>
          <w:rFonts w:cstheme="minorHAnsi"/>
          <w:sz w:val="24"/>
          <w:szCs w:val="24"/>
        </w:rPr>
        <w:t xml:space="preserve">physical and mental </w:t>
      </w:r>
      <w:r w:rsidR="00AE644F" w:rsidRPr="00793406">
        <w:rPr>
          <w:rFonts w:cstheme="minorHAnsi"/>
          <w:sz w:val="24"/>
          <w:szCs w:val="24"/>
        </w:rPr>
        <w:t>NCD</w:t>
      </w:r>
      <w:r w:rsidR="006C1F91" w:rsidRPr="00793406">
        <w:rPr>
          <w:rFonts w:cstheme="minorHAnsi"/>
          <w:sz w:val="24"/>
          <w:szCs w:val="24"/>
        </w:rPr>
        <w:t xml:space="preserve">, progressively reduced adult productivity, rising health costs </w:t>
      </w:r>
      <w:r w:rsidR="00AE644F" w:rsidRPr="00793406">
        <w:rPr>
          <w:rFonts w:cstheme="minorHAnsi"/>
          <w:sz w:val="24"/>
          <w:szCs w:val="24"/>
        </w:rPr>
        <w:t xml:space="preserve">and </w:t>
      </w:r>
      <w:r w:rsidR="00F65D49" w:rsidRPr="00793406">
        <w:rPr>
          <w:rFonts w:cstheme="minorHAnsi"/>
          <w:sz w:val="24"/>
          <w:szCs w:val="24"/>
        </w:rPr>
        <w:t xml:space="preserve">adverse </w:t>
      </w:r>
      <w:r w:rsidR="006C1F91" w:rsidRPr="00793406">
        <w:rPr>
          <w:rFonts w:cstheme="minorHAnsi"/>
          <w:sz w:val="24"/>
          <w:szCs w:val="24"/>
        </w:rPr>
        <w:t>economic impact</w:t>
      </w:r>
      <w:r w:rsidR="00AE644F" w:rsidRPr="00793406">
        <w:rPr>
          <w:rFonts w:cstheme="minorHAnsi"/>
          <w:sz w:val="24"/>
          <w:szCs w:val="24"/>
        </w:rPr>
        <w:t xml:space="preserve">. </w:t>
      </w:r>
    </w:p>
    <w:p w14:paraId="7E1ED585" w14:textId="7DACE5C8" w:rsidR="0020009A" w:rsidRPr="00793406" w:rsidRDefault="00F65D49" w:rsidP="00FE6E34">
      <w:pPr>
        <w:spacing w:after="120"/>
        <w:rPr>
          <w:rFonts w:cstheme="minorHAnsi"/>
          <w:sz w:val="24"/>
          <w:szCs w:val="24"/>
        </w:rPr>
      </w:pPr>
      <w:r w:rsidRPr="00793406">
        <w:rPr>
          <w:rFonts w:cstheme="minorHAnsi"/>
          <w:sz w:val="24"/>
          <w:szCs w:val="24"/>
        </w:rPr>
        <w:t xml:space="preserve">These fundamental biological mechanisms </w:t>
      </w:r>
      <w:r w:rsidR="006C1F91" w:rsidRPr="00793406">
        <w:rPr>
          <w:rFonts w:cstheme="minorHAnsi"/>
          <w:sz w:val="24"/>
          <w:szCs w:val="24"/>
        </w:rPr>
        <w:t xml:space="preserve">during early development </w:t>
      </w:r>
      <w:r w:rsidRPr="00793406">
        <w:rPr>
          <w:rFonts w:cstheme="minorHAnsi"/>
          <w:sz w:val="24"/>
          <w:szCs w:val="24"/>
        </w:rPr>
        <w:t xml:space="preserve">shape us all, </w:t>
      </w:r>
      <w:r w:rsidR="006C1F91" w:rsidRPr="00793406">
        <w:rPr>
          <w:rFonts w:cstheme="minorHAnsi"/>
          <w:sz w:val="24"/>
          <w:szCs w:val="24"/>
        </w:rPr>
        <w:t>i</w:t>
      </w:r>
      <w:r w:rsidRPr="00793406">
        <w:rPr>
          <w:rFonts w:cstheme="minorHAnsi"/>
          <w:sz w:val="24"/>
          <w:szCs w:val="24"/>
        </w:rPr>
        <w:t>nitiat</w:t>
      </w:r>
      <w:r w:rsidR="006C1F91" w:rsidRPr="00793406">
        <w:rPr>
          <w:rFonts w:cstheme="minorHAnsi"/>
          <w:sz w:val="24"/>
          <w:szCs w:val="24"/>
        </w:rPr>
        <w:t>ing</w:t>
      </w:r>
      <w:r w:rsidRPr="00793406">
        <w:rPr>
          <w:rFonts w:cstheme="minorHAnsi"/>
          <w:sz w:val="24"/>
          <w:szCs w:val="24"/>
        </w:rPr>
        <w:t xml:space="preserve"> </w:t>
      </w:r>
      <w:r w:rsidR="006F5997" w:rsidRPr="00793406">
        <w:rPr>
          <w:rFonts w:cstheme="minorHAnsi"/>
          <w:sz w:val="24"/>
          <w:szCs w:val="24"/>
        </w:rPr>
        <w:t xml:space="preserve">individual </w:t>
      </w:r>
      <w:r w:rsidRPr="00793406">
        <w:rPr>
          <w:rFonts w:cstheme="minorHAnsi"/>
          <w:sz w:val="24"/>
          <w:szCs w:val="24"/>
        </w:rPr>
        <w:t>trajectories of health and resilien</w:t>
      </w:r>
      <w:r w:rsidR="00A61286" w:rsidRPr="00793406">
        <w:rPr>
          <w:rFonts w:cstheme="minorHAnsi"/>
          <w:sz w:val="24"/>
          <w:szCs w:val="24"/>
        </w:rPr>
        <w:t>ce</w:t>
      </w:r>
      <w:r w:rsidR="0007057B" w:rsidRPr="00793406">
        <w:rPr>
          <w:rFonts w:cstheme="minorHAnsi"/>
          <w:sz w:val="24"/>
          <w:szCs w:val="24"/>
        </w:rPr>
        <w:t xml:space="preserve"> </w:t>
      </w:r>
      <w:r w:rsidR="00EC7AE9" w:rsidRPr="00793406">
        <w:rPr>
          <w:rFonts w:cstheme="minorHAnsi"/>
          <w:sz w:val="24"/>
          <w:szCs w:val="24"/>
        </w:rPr>
        <w:t>[9]</w:t>
      </w:r>
      <w:r w:rsidR="006C1F91" w:rsidRPr="00793406">
        <w:rPr>
          <w:rFonts w:cstheme="minorHAnsi"/>
          <w:sz w:val="24"/>
          <w:szCs w:val="24"/>
        </w:rPr>
        <w:t>. The processes</w:t>
      </w:r>
      <w:r w:rsidRPr="00793406">
        <w:rPr>
          <w:rFonts w:cstheme="minorHAnsi"/>
          <w:sz w:val="24"/>
          <w:szCs w:val="24"/>
        </w:rPr>
        <w:t xml:space="preserve"> operate in every fetus and infant, and not just in those exposed to extreme conditions such as maternal starvation or obesity. Th</w:t>
      </w:r>
      <w:r w:rsidR="002E439C" w:rsidRPr="00793406">
        <w:rPr>
          <w:rFonts w:cstheme="minorHAnsi"/>
          <w:sz w:val="24"/>
          <w:szCs w:val="24"/>
        </w:rPr>
        <w:t>e</w:t>
      </w:r>
      <w:r w:rsidR="00AE644F" w:rsidRPr="00793406">
        <w:rPr>
          <w:rFonts w:cstheme="minorHAnsi"/>
          <w:sz w:val="24"/>
          <w:szCs w:val="24"/>
        </w:rPr>
        <w:t xml:space="preserve"> substantial lacuna in understanding </w:t>
      </w:r>
      <w:r w:rsidR="002E439C" w:rsidRPr="00793406">
        <w:rPr>
          <w:rFonts w:cstheme="minorHAnsi"/>
          <w:sz w:val="24"/>
          <w:szCs w:val="24"/>
        </w:rPr>
        <w:t>th</w:t>
      </w:r>
      <w:r w:rsidR="00A61286" w:rsidRPr="00793406">
        <w:rPr>
          <w:rFonts w:cstheme="minorHAnsi"/>
          <w:sz w:val="24"/>
          <w:szCs w:val="24"/>
        </w:rPr>
        <w:t xml:space="preserve">ese relationships </w:t>
      </w:r>
      <w:r w:rsidRPr="00793406">
        <w:rPr>
          <w:rFonts w:cstheme="minorHAnsi"/>
          <w:sz w:val="24"/>
          <w:szCs w:val="24"/>
        </w:rPr>
        <w:t>is harm</w:t>
      </w:r>
      <w:r w:rsidR="006C1F91" w:rsidRPr="00793406">
        <w:rPr>
          <w:rFonts w:cstheme="minorHAnsi"/>
          <w:sz w:val="24"/>
          <w:szCs w:val="24"/>
        </w:rPr>
        <w:t xml:space="preserve">ing </w:t>
      </w:r>
      <w:r w:rsidRPr="00793406">
        <w:rPr>
          <w:rFonts w:cstheme="minorHAnsi"/>
          <w:sz w:val="24"/>
          <w:szCs w:val="24"/>
        </w:rPr>
        <w:t>peoples and nations</w:t>
      </w:r>
      <w:r w:rsidR="006C1F91" w:rsidRPr="00793406">
        <w:rPr>
          <w:rFonts w:cstheme="minorHAnsi"/>
          <w:sz w:val="24"/>
          <w:szCs w:val="24"/>
        </w:rPr>
        <w:t xml:space="preserve"> by holding back the development of po</w:t>
      </w:r>
      <w:r w:rsidR="00AD6FC1" w:rsidRPr="00793406">
        <w:rPr>
          <w:rFonts w:cstheme="minorHAnsi"/>
          <w:sz w:val="24"/>
          <w:szCs w:val="24"/>
        </w:rPr>
        <w:t>licies that target improve</w:t>
      </w:r>
      <w:r w:rsidR="005D3E4D" w:rsidRPr="00793406">
        <w:rPr>
          <w:rFonts w:cstheme="minorHAnsi"/>
          <w:sz w:val="24"/>
          <w:szCs w:val="24"/>
        </w:rPr>
        <w:t xml:space="preserve">ments in the health of </w:t>
      </w:r>
      <w:r w:rsidR="0093232F" w:rsidRPr="00793406">
        <w:rPr>
          <w:rFonts w:cstheme="minorHAnsi"/>
          <w:sz w:val="24"/>
          <w:szCs w:val="24"/>
        </w:rPr>
        <w:t>infants, children</w:t>
      </w:r>
      <w:r w:rsidR="00A61286" w:rsidRPr="00793406">
        <w:rPr>
          <w:rFonts w:cstheme="minorHAnsi"/>
          <w:sz w:val="24"/>
          <w:szCs w:val="24"/>
        </w:rPr>
        <w:t>,</w:t>
      </w:r>
      <w:r w:rsidR="0093232F" w:rsidRPr="00793406">
        <w:rPr>
          <w:rFonts w:cstheme="minorHAnsi"/>
          <w:sz w:val="24"/>
          <w:szCs w:val="24"/>
        </w:rPr>
        <w:t xml:space="preserve"> and young people contemplating </w:t>
      </w:r>
      <w:r w:rsidR="00C97C9D" w:rsidRPr="00793406">
        <w:rPr>
          <w:rFonts w:cstheme="minorHAnsi"/>
          <w:sz w:val="24"/>
          <w:szCs w:val="24"/>
        </w:rPr>
        <w:t>parenthood, which</w:t>
      </w:r>
      <w:r w:rsidR="006C1F91" w:rsidRPr="00793406">
        <w:rPr>
          <w:rFonts w:cstheme="minorHAnsi"/>
          <w:sz w:val="24"/>
          <w:szCs w:val="24"/>
        </w:rPr>
        <w:t xml:space="preserve"> lies </w:t>
      </w:r>
      <w:r w:rsidR="00AD6FC1" w:rsidRPr="00793406">
        <w:rPr>
          <w:rFonts w:cstheme="minorHAnsi"/>
          <w:sz w:val="24"/>
          <w:szCs w:val="24"/>
        </w:rPr>
        <w:t xml:space="preserve">at the heart of </w:t>
      </w:r>
      <w:r w:rsidR="006C1F91" w:rsidRPr="00793406">
        <w:rPr>
          <w:rFonts w:cstheme="minorHAnsi"/>
          <w:sz w:val="24"/>
          <w:szCs w:val="24"/>
        </w:rPr>
        <w:t>NCD reduction.</w:t>
      </w:r>
      <w:r w:rsidR="00A61286" w:rsidRPr="00793406">
        <w:rPr>
          <w:rFonts w:cstheme="minorHAnsi"/>
          <w:sz w:val="24"/>
          <w:szCs w:val="24"/>
        </w:rPr>
        <w:t xml:space="preserve"> I</w:t>
      </w:r>
      <w:r w:rsidR="00E278A5" w:rsidRPr="00793406">
        <w:rPr>
          <w:rFonts w:cstheme="minorHAnsi"/>
          <w:sz w:val="24"/>
          <w:szCs w:val="24"/>
        </w:rPr>
        <w:t xml:space="preserve">nvestment today will result in gains amplified </w:t>
      </w:r>
      <w:r w:rsidR="00AD6FC1" w:rsidRPr="00793406">
        <w:rPr>
          <w:rFonts w:cstheme="minorHAnsi"/>
          <w:sz w:val="24"/>
          <w:szCs w:val="24"/>
        </w:rPr>
        <w:t>over successive generations</w:t>
      </w:r>
      <w:r w:rsidR="00A61286" w:rsidRPr="00793406">
        <w:rPr>
          <w:rFonts w:cstheme="minorHAnsi"/>
          <w:sz w:val="24"/>
          <w:szCs w:val="24"/>
        </w:rPr>
        <w:t>, another crucial consideration in</w:t>
      </w:r>
      <w:r w:rsidR="000136D4" w:rsidRPr="00793406">
        <w:rPr>
          <w:rFonts w:cstheme="minorHAnsi"/>
          <w:sz w:val="24"/>
          <w:szCs w:val="24"/>
        </w:rPr>
        <w:t xml:space="preserve"> post-COVID recovery </w:t>
      </w:r>
      <w:r w:rsidR="00637375" w:rsidRPr="00793406">
        <w:rPr>
          <w:rFonts w:cstheme="minorHAnsi"/>
          <w:sz w:val="24"/>
          <w:szCs w:val="24"/>
        </w:rPr>
        <w:t xml:space="preserve">prioritisation </w:t>
      </w:r>
      <w:r w:rsidR="000136D4" w:rsidRPr="00793406">
        <w:rPr>
          <w:rFonts w:cstheme="minorHAnsi"/>
          <w:sz w:val="24"/>
          <w:szCs w:val="24"/>
        </w:rPr>
        <w:t>decisions</w:t>
      </w:r>
      <w:r w:rsidR="00AD6FC1" w:rsidRPr="00793406">
        <w:rPr>
          <w:rFonts w:cstheme="minorHAnsi"/>
          <w:sz w:val="24"/>
          <w:szCs w:val="24"/>
        </w:rPr>
        <w:t>.</w:t>
      </w:r>
    </w:p>
    <w:p w14:paraId="7C6A0E6B" w14:textId="73D4657C" w:rsidR="00E7546D" w:rsidRPr="00793406" w:rsidRDefault="00E7546D" w:rsidP="00FE6E34">
      <w:pPr>
        <w:spacing w:after="120"/>
        <w:rPr>
          <w:rFonts w:cstheme="minorHAnsi"/>
          <w:b/>
          <w:bCs/>
          <w:sz w:val="24"/>
          <w:szCs w:val="24"/>
        </w:rPr>
      </w:pPr>
      <w:r w:rsidRPr="00793406">
        <w:rPr>
          <w:rFonts w:cstheme="minorHAnsi"/>
          <w:b/>
          <w:bCs/>
          <w:sz w:val="24"/>
          <w:szCs w:val="24"/>
        </w:rPr>
        <w:t>It's the economy….</w:t>
      </w:r>
    </w:p>
    <w:p w14:paraId="182F05E5" w14:textId="1712C7D3" w:rsidR="005C57B6" w:rsidRPr="00793406" w:rsidRDefault="00C97675" w:rsidP="00FE6E34">
      <w:pPr>
        <w:spacing w:after="120"/>
        <w:rPr>
          <w:rFonts w:cstheme="minorHAnsi"/>
          <w:sz w:val="24"/>
          <w:szCs w:val="24"/>
        </w:rPr>
      </w:pPr>
      <w:r w:rsidRPr="00793406">
        <w:rPr>
          <w:rFonts w:cstheme="minorHAnsi"/>
          <w:sz w:val="24"/>
          <w:szCs w:val="24"/>
        </w:rPr>
        <w:t xml:space="preserve">The </w:t>
      </w:r>
      <w:r w:rsidR="005F7BBC" w:rsidRPr="00793406">
        <w:rPr>
          <w:rFonts w:cstheme="minorHAnsi"/>
          <w:sz w:val="24"/>
          <w:szCs w:val="24"/>
        </w:rPr>
        <w:t xml:space="preserve">current </w:t>
      </w:r>
      <w:r w:rsidRPr="00793406">
        <w:rPr>
          <w:rFonts w:cstheme="minorHAnsi"/>
          <w:sz w:val="24"/>
          <w:szCs w:val="24"/>
        </w:rPr>
        <w:t xml:space="preserve">priority of most governments is to restore prosperity after the economic recession caused by COVID-19. </w:t>
      </w:r>
      <w:r w:rsidR="005F7BBC" w:rsidRPr="00793406">
        <w:rPr>
          <w:rFonts w:cstheme="minorHAnsi"/>
          <w:sz w:val="24"/>
          <w:szCs w:val="24"/>
        </w:rPr>
        <w:t xml:space="preserve">Yet </w:t>
      </w:r>
      <w:r w:rsidR="00F83877" w:rsidRPr="00793406">
        <w:rPr>
          <w:rFonts w:cstheme="minorHAnsi"/>
          <w:sz w:val="24"/>
          <w:szCs w:val="24"/>
        </w:rPr>
        <w:t xml:space="preserve">as we have described, </w:t>
      </w:r>
      <w:r w:rsidR="005F7BBC" w:rsidRPr="00793406">
        <w:rPr>
          <w:rFonts w:cstheme="minorHAnsi"/>
          <w:sz w:val="24"/>
          <w:szCs w:val="24"/>
        </w:rPr>
        <w:t>the</w:t>
      </w:r>
      <w:r w:rsidRPr="00793406">
        <w:rPr>
          <w:rFonts w:cstheme="minorHAnsi"/>
          <w:sz w:val="24"/>
          <w:szCs w:val="24"/>
        </w:rPr>
        <w:t xml:space="preserve"> </w:t>
      </w:r>
      <w:r w:rsidR="005F7BBC" w:rsidRPr="00793406">
        <w:rPr>
          <w:rFonts w:cstheme="minorHAnsi"/>
          <w:sz w:val="24"/>
          <w:szCs w:val="24"/>
        </w:rPr>
        <w:t xml:space="preserve">fundamental ways in which </w:t>
      </w:r>
      <w:r w:rsidR="001F1A72" w:rsidRPr="00793406">
        <w:rPr>
          <w:rFonts w:cstheme="minorHAnsi"/>
          <w:sz w:val="24"/>
          <w:szCs w:val="24"/>
        </w:rPr>
        <w:t xml:space="preserve">the health of </w:t>
      </w:r>
      <w:r w:rsidR="005F7BBC" w:rsidRPr="00793406">
        <w:rPr>
          <w:rFonts w:cstheme="minorHAnsi"/>
          <w:sz w:val="24"/>
          <w:szCs w:val="24"/>
        </w:rPr>
        <w:t xml:space="preserve">women </w:t>
      </w:r>
      <w:r w:rsidR="005F7BBC" w:rsidRPr="00793406">
        <w:rPr>
          <w:rFonts w:cstheme="minorHAnsi"/>
          <w:sz w:val="24"/>
          <w:szCs w:val="24"/>
        </w:rPr>
        <w:lastRenderedPageBreak/>
        <w:t>and children underpins</w:t>
      </w:r>
      <w:r w:rsidRPr="00793406">
        <w:rPr>
          <w:rFonts w:cstheme="minorHAnsi"/>
          <w:sz w:val="24"/>
          <w:szCs w:val="24"/>
        </w:rPr>
        <w:t xml:space="preserve"> econom</w:t>
      </w:r>
      <w:r w:rsidR="006F6C78" w:rsidRPr="00793406">
        <w:rPr>
          <w:rFonts w:cstheme="minorHAnsi"/>
          <w:sz w:val="24"/>
          <w:szCs w:val="24"/>
        </w:rPr>
        <w:t>ies is under-recognised</w:t>
      </w:r>
      <w:r w:rsidR="001F1A72" w:rsidRPr="00793406">
        <w:rPr>
          <w:rFonts w:cstheme="minorHAnsi"/>
          <w:sz w:val="24"/>
          <w:szCs w:val="24"/>
        </w:rPr>
        <w:t xml:space="preserve">. </w:t>
      </w:r>
      <w:r w:rsidRPr="00793406">
        <w:rPr>
          <w:rFonts w:cstheme="minorHAnsi"/>
          <w:sz w:val="24"/>
          <w:szCs w:val="24"/>
        </w:rPr>
        <w:t>We recently drew attention to the evidence from previous economic shocks in the 20</w:t>
      </w:r>
      <w:r w:rsidRPr="00793406">
        <w:rPr>
          <w:rFonts w:cstheme="minorHAnsi"/>
          <w:sz w:val="24"/>
          <w:szCs w:val="24"/>
          <w:vertAlign w:val="superscript"/>
        </w:rPr>
        <w:t>th</w:t>
      </w:r>
      <w:r w:rsidRPr="00793406">
        <w:rPr>
          <w:rFonts w:cstheme="minorHAnsi"/>
          <w:sz w:val="24"/>
          <w:szCs w:val="24"/>
        </w:rPr>
        <w:t xml:space="preserve"> </w:t>
      </w:r>
      <w:r w:rsidR="005C1824" w:rsidRPr="00793406">
        <w:rPr>
          <w:rFonts w:cstheme="minorHAnsi"/>
          <w:sz w:val="24"/>
          <w:szCs w:val="24"/>
        </w:rPr>
        <w:t>c</w:t>
      </w:r>
      <w:r w:rsidRPr="00793406">
        <w:rPr>
          <w:rFonts w:cstheme="minorHAnsi"/>
          <w:sz w:val="24"/>
          <w:szCs w:val="24"/>
        </w:rPr>
        <w:t xml:space="preserve">entury and the more recent global financial crisis of 2008, that detrimental effects on </w:t>
      </w:r>
      <w:r w:rsidR="006F6C78" w:rsidRPr="00793406">
        <w:rPr>
          <w:rFonts w:cstheme="minorHAnsi"/>
          <w:sz w:val="24"/>
          <w:szCs w:val="24"/>
        </w:rPr>
        <w:t>maternal and child health</w:t>
      </w:r>
      <w:r w:rsidRPr="00793406">
        <w:rPr>
          <w:rFonts w:cstheme="minorHAnsi"/>
          <w:sz w:val="24"/>
          <w:szCs w:val="24"/>
        </w:rPr>
        <w:t xml:space="preserve"> have both short- and longer-term consequences </w:t>
      </w:r>
      <w:r w:rsidR="006F6C78" w:rsidRPr="00793406">
        <w:rPr>
          <w:rFonts w:cstheme="minorHAnsi"/>
          <w:sz w:val="24"/>
          <w:szCs w:val="24"/>
        </w:rPr>
        <w:t xml:space="preserve">for population health </w:t>
      </w:r>
      <w:r w:rsidR="00EC7AE9" w:rsidRPr="00793406">
        <w:rPr>
          <w:rFonts w:cstheme="minorHAnsi"/>
          <w:sz w:val="24"/>
          <w:szCs w:val="24"/>
        </w:rPr>
        <w:t>[10].</w:t>
      </w:r>
      <w:r w:rsidR="005C57B6" w:rsidRPr="00793406">
        <w:rPr>
          <w:rFonts w:cstheme="minorHAnsi"/>
          <w:sz w:val="24"/>
          <w:szCs w:val="24"/>
        </w:rPr>
        <w:t xml:space="preserve"> </w:t>
      </w:r>
    </w:p>
    <w:p w14:paraId="7EAF2BD0" w14:textId="3F2339C6" w:rsidR="00C97C9D" w:rsidRPr="00793406" w:rsidRDefault="005C1824" w:rsidP="00FE6E34">
      <w:pPr>
        <w:spacing w:after="120"/>
        <w:rPr>
          <w:rFonts w:cstheme="minorHAnsi"/>
          <w:sz w:val="24"/>
          <w:szCs w:val="24"/>
        </w:rPr>
      </w:pPr>
      <w:r w:rsidRPr="00793406">
        <w:rPr>
          <w:rFonts w:cstheme="minorHAnsi"/>
          <w:sz w:val="24"/>
          <w:szCs w:val="24"/>
        </w:rPr>
        <w:t>During the pandemic home working became the norm for much of the white-collar salaried workforce. They joined the great swathe of the populace who also work in the home, and thus support economies, but who are unremunerated. It exposed the paradox that the person sitting in their bedroom participating in a video conference is paid, but not the woman breast-feeding her baby or the father caring for a young child</w:t>
      </w:r>
      <w:r w:rsidR="004A088F" w:rsidRPr="00793406">
        <w:rPr>
          <w:rFonts w:cstheme="minorHAnsi"/>
          <w:sz w:val="24"/>
          <w:szCs w:val="24"/>
        </w:rPr>
        <w:t xml:space="preserve">. The </w:t>
      </w:r>
      <w:r w:rsidR="002E439C" w:rsidRPr="00793406">
        <w:rPr>
          <w:rFonts w:cstheme="minorHAnsi"/>
          <w:sz w:val="24"/>
          <w:szCs w:val="24"/>
        </w:rPr>
        <w:t xml:space="preserve">output of the </w:t>
      </w:r>
      <w:r w:rsidR="004A088F" w:rsidRPr="00793406">
        <w:rPr>
          <w:rFonts w:cstheme="minorHAnsi"/>
          <w:sz w:val="24"/>
          <w:szCs w:val="24"/>
        </w:rPr>
        <w:t>f</w:t>
      </w:r>
      <w:r w:rsidR="00732804" w:rsidRPr="00793406">
        <w:rPr>
          <w:rFonts w:cstheme="minorHAnsi"/>
          <w:sz w:val="24"/>
          <w:szCs w:val="24"/>
        </w:rPr>
        <w:t>irst</w:t>
      </w:r>
      <w:r w:rsidR="004A088F" w:rsidRPr="00793406">
        <w:rPr>
          <w:rFonts w:cstheme="minorHAnsi"/>
          <w:sz w:val="24"/>
          <w:szCs w:val="24"/>
        </w:rPr>
        <w:t xml:space="preserve"> </w:t>
      </w:r>
      <w:r w:rsidR="002E439C" w:rsidRPr="00793406">
        <w:rPr>
          <w:rFonts w:cstheme="minorHAnsi"/>
          <w:sz w:val="24"/>
          <w:szCs w:val="24"/>
        </w:rPr>
        <w:t xml:space="preserve">activity </w:t>
      </w:r>
      <w:r w:rsidR="004A088F" w:rsidRPr="00793406">
        <w:rPr>
          <w:rFonts w:cstheme="minorHAnsi"/>
          <w:sz w:val="24"/>
          <w:szCs w:val="24"/>
        </w:rPr>
        <w:t>contributes to G</w:t>
      </w:r>
      <w:r w:rsidR="0054635B" w:rsidRPr="00793406">
        <w:rPr>
          <w:rFonts w:cstheme="minorHAnsi"/>
          <w:sz w:val="24"/>
          <w:szCs w:val="24"/>
        </w:rPr>
        <w:t>ross Domestic Product (G</w:t>
      </w:r>
      <w:r w:rsidR="004A088F" w:rsidRPr="00793406">
        <w:rPr>
          <w:rFonts w:cstheme="minorHAnsi"/>
          <w:sz w:val="24"/>
          <w:szCs w:val="24"/>
        </w:rPr>
        <w:t>DP</w:t>
      </w:r>
      <w:r w:rsidR="0054635B" w:rsidRPr="00793406">
        <w:rPr>
          <w:rFonts w:cstheme="minorHAnsi"/>
          <w:sz w:val="24"/>
          <w:szCs w:val="24"/>
        </w:rPr>
        <w:t>)</w:t>
      </w:r>
      <w:r w:rsidR="004A088F" w:rsidRPr="00793406">
        <w:rPr>
          <w:rFonts w:cstheme="minorHAnsi"/>
          <w:sz w:val="24"/>
          <w:szCs w:val="24"/>
        </w:rPr>
        <w:t xml:space="preserve"> but not </w:t>
      </w:r>
      <w:r w:rsidR="002E439C" w:rsidRPr="00793406">
        <w:rPr>
          <w:rFonts w:cstheme="minorHAnsi"/>
          <w:sz w:val="24"/>
          <w:szCs w:val="24"/>
        </w:rPr>
        <w:t xml:space="preserve">that of </w:t>
      </w:r>
      <w:r w:rsidR="004A088F" w:rsidRPr="00793406">
        <w:rPr>
          <w:rFonts w:cstheme="minorHAnsi"/>
          <w:sz w:val="24"/>
          <w:szCs w:val="24"/>
        </w:rPr>
        <w:t xml:space="preserve">the </w:t>
      </w:r>
      <w:r w:rsidR="002E439C" w:rsidRPr="00793406">
        <w:rPr>
          <w:rFonts w:cstheme="minorHAnsi"/>
          <w:sz w:val="24"/>
          <w:szCs w:val="24"/>
        </w:rPr>
        <w:t>latter</w:t>
      </w:r>
      <w:r w:rsidR="004A088F" w:rsidRPr="00793406">
        <w:rPr>
          <w:rFonts w:cstheme="minorHAnsi"/>
          <w:sz w:val="24"/>
          <w:szCs w:val="24"/>
        </w:rPr>
        <w:t xml:space="preserve">, </w:t>
      </w:r>
      <w:r w:rsidRPr="00793406">
        <w:rPr>
          <w:rFonts w:cstheme="minorHAnsi"/>
          <w:sz w:val="24"/>
          <w:szCs w:val="24"/>
        </w:rPr>
        <w:t xml:space="preserve">even though </w:t>
      </w:r>
      <w:r w:rsidR="004A088F" w:rsidRPr="00793406">
        <w:rPr>
          <w:rFonts w:cstheme="minorHAnsi"/>
          <w:sz w:val="24"/>
          <w:szCs w:val="24"/>
        </w:rPr>
        <w:t>they</w:t>
      </w:r>
      <w:r w:rsidRPr="00793406">
        <w:rPr>
          <w:rFonts w:cstheme="minorHAnsi"/>
          <w:sz w:val="24"/>
          <w:szCs w:val="24"/>
        </w:rPr>
        <w:t xml:space="preserve"> are powerful determinants of long-term health and wellbeing</w:t>
      </w:r>
      <w:r w:rsidR="00EC7AE9" w:rsidRPr="00793406">
        <w:rPr>
          <w:rFonts w:cstheme="minorHAnsi"/>
          <w:sz w:val="24"/>
          <w:szCs w:val="24"/>
        </w:rPr>
        <w:t xml:space="preserve"> [11].</w:t>
      </w:r>
      <w:r w:rsidRPr="00793406">
        <w:rPr>
          <w:rFonts w:cstheme="minorHAnsi"/>
          <w:sz w:val="24"/>
          <w:szCs w:val="24"/>
        </w:rPr>
        <w:t xml:space="preserve"> </w:t>
      </w:r>
      <w:r w:rsidR="00D84A4E" w:rsidRPr="00793406">
        <w:rPr>
          <w:rFonts w:cstheme="minorHAnsi"/>
          <w:sz w:val="24"/>
          <w:szCs w:val="24"/>
        </w:rPr>
        <w:t>We are not necessarily arguing for monetary recompense to those who perform important but hitherto unremunerated work. We are pointing out that assigning such work a monetary value would enable inclusion of these contributions in productivity metrics. This would make them visible and their worth to economies measurable. Ideas such as these are surfacing; for example</w:t>
      </w:r>
      <w:r w:rsidR="00D75B57" w:rsidRPr="00793406">
        <w:rPr>
          <w:rFonts w:cstheme="minorHAnsi"/>
          <w:sz w:val="24"/>
          <w:szCs w:val="24"/>
        </w:rPr>
        <w:t>,</w:t>
      </w:r>
      <w:r w:rsidR="00D84A4E" w:rsidRPr="00793406">
        <w:rPr>
          <w:rFonts w:cstheme="minorHAnsi"/>
          <w:sz w:val="24"/>
          <w:szCs w:val="24"/>
        </w:rPr>
        <w:t xml:space="preserve"> the Bureau of Economic Analysis has indicated they will publish additional measures of prosperity in recognition of the limitations of GDP </w:t>
      </w:r>
      <w:r w:rsidR="00EC7AE9" w:rsidRPr="00793406">
        <w:rPr>
          <w:rFonts w:cstheme="minorHAnsi"/>
          <w:sz w:val="24"/>
          <w:szCs w:val="24"/>
        </w:rPr>
        <w:t>[12]</w:t>
      </w:r>
      <w:r w:rsidR="00D84A4E" w:rsidRPr="00793406">
        <w:rPr>
          <w:rFonts w:cstheme="minorHAnsi"/>
          <w:sz w:val="24"/>
          <w:szCs w:val="24"/>
        </w:rPr>
        <w:t xml:space="preserve">.  </w:t>
      </w:r>
      <w:r w:rsidR="004653B4" w:rsidRPr="00793406">
        <w:rPr>
          <w:rFonts w:cstheme="minorHAnsi"/>
          <w:sz w:val="24"/>
          <w:szCs w:val="24"/>
        </w:rPr>
        <w:t xml:space="preserve">An analysis by the </w:t>
      </w:r>
      <w:r w:rsidR="00272464" w:rsidRPr="00793406">
        <w:rPr>
          <w:sz w:val="24"/>
          <w:szCs w:val="24"/>
        </w:rPr>
        <w:t>Organisation for Economic Co-operation and Development</w:t>
      </w:r>
      <w:r w:rsidR="004653B4" w:rsidRPr="00793406">
        <w:rPr>
          <w:rFonts w:cstheme="minorHAnsi"/>
          <w:sz w:val="24"/>
          <w:szCs w:val="24"/>
        </w:rPr>
        <w:t xml:space="preserve"> suggests that the inclusion of unpaid household work alone would increase GDP from between 15% to 70% depending on the country and method of calculation [13]. </w:t>
      </w:r>
      <w:r w:rsidR="002E439C" w:rsidRPr="00793406">
        <w:rPr>
          <w:rFonts w:cstheme="minorHAnsi"/>
          <w:sz w:val="24"/>
          <w:szCs w:val="24"/>
        </w:rPr>
        <w:t>Even b</w:t>
      </w:r>
      <w:r w:rsidR="008F0D3A" w:rsidRPr="00793406">
        <w:rPr>
          <w:rFonts w:cstheme="minorHAnsi"/>
          <w:sz w:val="24"/>
          <w:szCs w:val="24"/>
        </w:rPr>
        <w:t>efore the pandemic, data assembled in the latest Global Burden of Disease study</w:t>
      </w:r>
      <w:r w:rsidR="00EC7AE9" w:rsidRPr="00793406">
        <w:rPr>
          <w:rFonts w:cstheme="minorHAnsi"/>
          <w:sz w:val="24"/>
          <w:szCs w:val="24"/>
        </w:rPr>
        <w:t xml:space="preserve"> [1</w:t>
      </w:r>
      <w:r w:rsidR="00B52B30" w:rsidRPr="00793406">
        <w:rPr>
          <w:rFonts w:cstheme="minorHAnsi"/>
          <w:sz w:val="24"/>
          <w:szCs w:val="24"/>
        </w:rPr>
        <w:t>4</w:t>
      </w:r>
      <w:r w:rsidR="00EC7AE9" w:rsidRPr="00793406">
        <w:rPr>
          <w:rFonts w:cstheme="minorHAnsi"/>
          <w:sz w:val="24"/>
          <w:szCs w:val="24"/>
        </w:rPr>
        <w:t>]</w:t>
      </w:r>
      <w:r w:rsidR="008F0D3A" w:rsidRPr="00793406">
        <w:rPr>
          <w:rFonts w:cstheme="minorHAnsi"/>
          <w:sz w:val="24"/>
          <w:szCs w:val="24"/>
        </w:rPr>
        <w:t xml:space="preserve"> emphasi</w:t>
      </w:r>
      <w:r w:rsidR="00D14B98" w:rsidRPr="00793406">
        <w:rPr>
          <w:rFonts w:cstheme="minorHAnsi"/>
          <w:sz w:val="24"/>
          <w:szCs w:val="24"/>
        </w:rPr>
        <w:t>s</w:t>
      </w:r>
      <w:r w:rsidR="008F0D3A" w:rsidRPr="00793406">
        <w:rPr>
          <w:rFonts w:cstheme="minorHAnsi"/>
          <w:sz w:val="24"/>
          <w:szCs w:val="24"/>
        </w:rPr>
        <w:t xml:space="preserve">ed the use of the Socio-Demographic Index rather than GDP to measure economic progress. </w:t>
      </w:r>
      <w:r w:rsidR="0054635B" w:rsidRPr="00793406">
        <w:rPr>
          <w:rFonts w:cstheme="minorHAnsi"/>
          <w:sz w:val="24"/>
          <w:szCs w:val="24"/>
        </w:rPr>
        <w:t xml:space="preserve">The Socio-Demographic Index </w:t>
      </w:r>
      <w:r w:rsidR="008F0D3A" w:rsidRPr="00793406">
        <w:rPr>
          <w:rFonts w:cstheme="minorHAnsi"/>
          <w:sz w:val="24"/>
          <w:szCs w:val="24"/>
        </w:rPr>
        <w:t>relates to healthy life expectancy and takes account of the positive effect of number of years of schooling and the negative effect of greater female fertility.</w:t>
      </w:r>
      <w:r w:rsidR="00F83877" w:rsidRPr="00793406">
        <w:rPr>
          <w:rFonts w:cstheme="minorHAnsi"/>
          <w:sz w:val="24"/>
          <w:szCs w:val="24"/>
        </w:rPr>
        <w:t xml:space="preserve"> </w:t>
      </w:r>
    </w:p>
    <w:p w14:paraId="71B08036" w14:textId="386A7149" w:rsidR="00606A7E" w:rsidRPr="00793406" w:rsidRDefault="00C97C9D" w:rsidP="00FE6E34">
      <w:pPr>
        <w:spacing w:after="120"/>
        <w:rPr>
          <w:rFonts w:cstheme="minorHAnsi"/>
          <w:bCs/>
          <w:sz w:val="24"/>
          <w:szCs w:val="24"/>
        </w:rPr>
      </w:pPr>
      <w:r w:rsidRPr="00793406">
        <w:rPr>
          <w:rFonts w:cstheme="minorHAnsi"/>
          <w:sz w:val="24"/>
          <w:szCs w:val="24"/>
        </w:rPr>
        <w:t xml:space="preserve">Adopting an </w:t>
      </w:r>
      <w:r w:rsidR="00C97675" w:rsidRPr="00793406">
        <w:rPr>
          <w:rFonts w:cstheme="minorHAnsi"/>
          <w:sz w:val="24"/>
          <w:szCs w:val="24"/>
        </w:rPr>
        <w:t xml:space="preserve">economic model </w:t>
      </w:r>
      <w:r w:rsidR="00F83877" w:rsidRPr="00793406">
        <w:rPr>
          <w:rFonts w:cstheme="minorHAnsi"/>
          <w:sz w:val="24"/>
          <w:szCs w:val="24"/>
        </w:rPr>
        <w:t xml:space="preserve">that incorporates </w:t>
      </w:r>
      <w:r w:rsidR="00C97675" w:rsidRPr="00793406">
        <w:rPr>
          <w:rFonts w:cstheme="minorHAnsi"/>
          <w:sz w:val="24"/>
          <w:szCs w:val="24"/>
        </w:rPr>
        <w:t>contribution</w:t>
      </w:r>
      <w:r w:rsidR="00F83877" w:rsidRPr="00793406">
        <w:rPr>
          <w:rFonts w:cstheme="minorHAnsi"/>
          <w:sz w:val="24"/>
          <w:szCs w:val="24"/>
        </w:rPr>
        <w:t xml:space="preserve">s to maternal and child </w:t>
      </w:r>
      <w:r w:rsidR="00773F9D" w:rsidRPr="00793406">
        <w:rPr>
          <w:rFonts w:cstheme="minorHAnsi"/>
          <w:sz w:val="24"/>
          <w:szCs w:val="24"/>
        </w:rPr>
        <w:t xml:space="preserve">health </w:t>
      </w:r>
      <w:r w:rsidR="00B52B30" w:rsidRPr="00793406">
        <w:rPr>
          <w:rFonts w:cstheme="minorHAnsi"/>
          <w:sz w:val="24"/>
          <w:szCs w:val="24"/>
        </w:rPr>
        <w:t>c</w:t>
      </w:r>
      <w:r w:rsidR="00F83877" w:rsidRPr="00793406">
        <w:rPr>
          <w:rFonts w:cstheme="minorHAnsi"/>
          <w:sz w:val="24"/>
          <w:szCs w:val="24"/>
        </w:rPr>
        <w:t>ould kick-s</w:t>
      </w:r>
      <w:r w:rsidR="00773F9D" w:rsidRPr="00793406">
        <w:rPr>
          <w:rFonts w:cstheme="minorHAnsi"/>
          <w:sz w:val="24"/>
          <w:szCs w:val="24"/>
        </w:rPr>
        <w:t xml:space="preserve">tart </w:t>
      </w:r>
      <w:r w:rsidR="00E328A4" w:rsidRPr="00793406">
        <w:rPr>
          <w:rFonts w:cstheme="minorHAnsi"/>
          <w:sz w:val="24"/>
          <w:szCs w:val="24"/>
        </w:rPr>
        <w:t xml:space="preserve">sustainable </w:t>
      </w:r>
      <w:r w:rsidR="00F83877" w:rsidRPr="00793406">
        <w:rPr>
          <w:rFonts w:cstheme="minorHAnsi"/>
          <w:sz w:val="24"/>
          <w:szCs w:val="24"/>
        </w:rPr>
        <w:t xml:space="preserve">COVID-19 </w:t>
      </w:r>
      <w:r w:rsidR="00773F9D" w:rsidRPr="00793406">
        <w:rPr>
          <w:rFonts w:cstheme="minorHAnsi"/>
          <w:sz w:val="24"/>
          <w:szCs w:val="24"/>
        </w:rPr>
        <w:t>recover</w:t>
      </w:r>
      <w:r w:rsidR="00E328A4" w:rsidRPr="00793406">
        <w:rPr>
          <w:rFonts w:cstheme="minorHAnsi"/>
          <w:sz w:val="24"/>
          <w:szCs w:val="24"/>
        </w:rPr>
        <w:t>y</w:t>
      </w:r>
      <w:r w:rsidR="00F83877" w:rsidRPr="00793406">
        <w:rPr>
          <w:rFonts w:cstheme="minorHAnsi"/>
          <w:sz w:val="24"/>
          <w:szCs w:val="24"/>
        </w:rPr>
        <w:t xml:space="preserve"> </w:t>
      </w:r>
      <w:r w:rsidR="00B52B30" w:rsidRPr="00793406">
        <w:rPr>
          <w:rFonts w:cstheme="minorHAnsi"/>
          <w:sz w:val="24"/>
          <w:szCs w:val="24"/>
        </w:rPr>
        <w:t>[15]</w:t>
      </w:r>
      <w:r w:rsidR="00F83877" w:rsidRPr="00793406">
        <w:rPr>
          <w:rFonts w:cstheme="minorHAnsi"/>
          <w:sz w:val="24"/>
          <w:szCs w:val="24"/>
        </w:rPr>
        <w:t>. T</w:t>
      </w:r>
      <w:r w:rsidR="00C97675" w:rsidRPr="00793406">
        <w:rPr>
          <w:rFonts w:cstheme="minorHAnsi"/>
          <w:sz w:val="24"/>
          <w:szCs w:val="24"/>
        </w:rPr>
        <w:t xml:space="preserve">he </w:t>
      </w:r>
      <w:r w:rsidR="00F83877" w:rsidRPr="00793406">
        <w:rPr>
          <w:rFonts w:cstheme="minorHAnsi"/>
          <w:sz w:val="24"/>
          <w:szCs w:val="24"/>
        </w:rPr>
        <w:t xml:space="preserve">basis </w:t>
      </w:r>
      <w:r w:rsidR="00C97675" w:rsidRPr="00793406">
        <w:rPr>
          <w:rFonts w:cstheme="minorHAnsi"/>
          <w:sz w:val="24"/>
          <w:szCs w:val="24"/>
        </w:rPr>
        <w:t xml:space="preserve">for such a new model </w:t>
      </w:r>
      <w:r w:rsidR="002E439C" w:rsidRPr="00793406">
        <w:rPr>
          <w:rFonts w:cstheme="minorHAnsi"/>
          <w:sz w:val="24"/>
          <w:szCs w:val="24"/>
        </w:rPr>
        <w:t xml:space="preserve">already </w:t>
      </w:r>
      <w:r w:rsidR="00773F9D" w:rsidRPr="00793406">
        <w:rPr>
          <w:rFonts w:cstheme="minorHAnsi"/>
          <w:sz w:val="24"/>
          <w:szCs w:val="24"/>
        </w:rPr>
        <w:t>exists</w:t>
      </w:r>
      <w:r w:rsidR="00E328A4" w:rsidRPr="00793406">
        <w:rPr>
          <w:rFonts w:cstheme="minorHAnsi"/>
          <w:sz w:val="24"/>
          <w:szCs w:val="24"/>
        </w:rPr>
        <w:t>,</w:t>
      </w:r>
      <w:r w:rsidR="00773F9D" w:rsidRPr="00793406">
        <w:rPr>
          <w:rFonts w:cstheme="minorHAnsi"/>
          <w:sz w:val="24"/>
          <w:szCs w:val="24"/>
        </w:rPr>
        <w:t xml:space="preserve"> </w:t>
      </w:r>
      <w:r w:rsidR="00C97675" w:rsidRPr="00793406">
        <w:rPr>
          <w:rFonts w:cstheme="minorHAnsi"/>
          <w:sz w:val="24"/>
          <w:szCs w:val="24"/>
        </w:rPr>
        <w:t xml:space="preserve">for example in SDG 5 target 4, which calls </w:t>
      </w:r>
      <w:r w:rsidR="00D75B57" w:rsidRPr="00793406">
        <w:rPr>
          <w:rFonts w:cstheme="minorHAnsi"/>
          <w:sz w:val="24"/>
          <w:szCs w:val="24"/>
        </w:rPr>
        <w:t xml:space="preserve">on </w:t>
      </w:r>
      <w:r w:rsidR="00C97675" w:rsidRPr="00793406">
        <w:rPr>
          <w:rFonts w:cstheme="minorHAnsi"/>
          <w:sz w:val="24"/>
          <w:szCs w:val="24"/>
        </w:rPr>
        <w:t>governments to “</w:t>
      </w:r>
      <w:r w:rsidR="00C97675" w:rsidRPr="00793406">
        <w:rPr>
          <w:rFonts w:cstheme="minorHAnsi"/>
          <w:i/>
          <w:sz w:val="24"/>
          <w:szCs w:val="24"/>
        </w:rPr>
        <w:t>recogni</w:t>
      </w:r>
      <w:r w:rsidR="00BB2376" w:rsidRPr="00793406">
        <w:rPr>
          <w:rFonts w:cstheme="minorHAnsi"/>
          <w:i/>
          <w:sz w:val="24"/>
          <w:szCs w:val="24"/>
        </w:rPr>
        <w:t>s</w:t>
      </w:r>
      <w:r w:rsidR="00C97675" w:rsidRPr="00793406">
        <w:rPr>
          <w:rFonts w:cstheme="minorHAnsi"/>
          <w:i/>
          <w:sz w:val="24"/>
          <w:szCs w:val="24"/>
        </w:rPr>
        <w:t>e and value unpaid care and domestic work through the provision of public services, infrastructure and social protection policies</w:t>
      </w:r>
      <w:r w:rsidR="00C97675" w:rsidRPr="00793406">
        <w:rPr>
          <w:rFonts w:cstheme="minorHAnsi"/>
          <w:sz w:val="24"/>
          <w:szCs w:val="24"/>
        </w:rPr>
        <w:t>….” However</w:t>
      </w:r>
      <w:r w:rsidR="002E439C" w:rsidRPr="00793406">
        <w:rPr>
          <w:rFonts w:cstheme="minorHAnsi"/>
          <w:sz w:val="24"/>
          <w:szCs w:val="24"/>
        </w:rPr>
        <w:t>,</w:t>
      </w:r>
      <w:r w:rsidR="00C97675" w:rsidRPr="00793406">
        <w:rPr>
          <w:rFonts w:cstheme="minorHAnsi"/>
          <w:sz w:val="24"/>
          <w:szCs w:val="24"/>
        </w:rPr>
        <w:t xml:space="preserve"> as </w:t>
      </w:r>
      <w:r w:rsidR="00773F9D" w:rsidRPr="00793406">
        <w:rPr>
          <w:rFonts w:cstheme="minorHAnsi"/>
          <w:sz w:val="24"/>
          <w:szCs w:val="24"/>
        </w:rPr>
        <w:t xml:space="preserve">has been pointed out </w:t>
      </w:r>
      <w:r w:rsidR="0014174B" w:rsidRPr="00793406">
        <w:rPr>
          <w:rFonts w:cstheme="minorHAnsi"/>
          <w:sz w:val="24"/>
          <w:szCs w:val="24"/>
        </w:rPr>
        <w:t>[1</w:t>
      </w:r>
      <w:r w:rsidR="00B52B30" w:rsidRPr="00793406">
        <w:rPr>
          <w:rFonts w:cstheme="minorHAnsi"/>
          <w:sz w:val="24"/>
          <w:szCs w:val="24"/>
        </w:rPr>
        <w:t>6</w:t>
      </w:r>
      <w:r w:rsidR="0014174B" w:rsidRPr="00793406">
        <w:rPr>
          <w:rFonts w:cstheme="minorHAnsi"/>
          <w:sz w:val="24"/>
          <w:szCs w:val="24"/>
        </w:rPr>
        <w:t xml:space="preserve">] </w:t>
      </w:r>
      <w:r w:rsidR="00C97675" w:rsidRPr="00793406">
        <w:rPr>
          <w:rFonts w:cstheme="minorHAnsi"/>
          <w:sz w:val="24"/>
          <w:szCs w:val="24"/>
        </w:rPr>
        <w:t>the added clause “</w:t>
      </w:r>
      <w:r w:rsidR="00C97675" w:rsidRPr="00793406">
        <w:rPr>
          <w:rFonts w:cstheme="minorHAnsi"/>
          <w:i/>
          <w:sz w:val="24"/>
          <w:szCs w:val="24"/>
        </w:rPr>
        <w:t>as nationally appropriate</w:t>
      </w:r>
      <w:r w:rsidR="00C97675" w:rsidRPr="00793406">
        <w:rPr>
          <w:rFonts w:cstheme="minorHAnsi"/>
          <w:sz w:val="24"/>
          <w:szCs w:val="24"/>
        </w:rPr>
        <w:t>” allows policy-makers to avoid such commitment</w:t>
      </w:r>
      <w:r w:rsidR="002E439C" w:rsidRPr="00793406">
        <w:rPr>
          <w:rFonts w:cstheme="minorHAnsi"/>
          <w:sz w:val="24"/>
          <w:szCs w:val="24"/>
        </w:rPr>
        <w:t>, especially during times of financial constraint</w:t>
      </w:r>
      <w:r w:rsidR="00C97675" w:rsidRPr="00793406">
        <w:rPr>
          <w:rFonts w:cstheme="minorHAnsi"/>
          <w:sz w:val="24"/>
          <w:szCs w:val="24"/>
        </w:rPr>
        <w:t xml:space="preserve">. </w:t>
      </w:r>
      <w:r w:rsidRPr="00793406">
        <w:rPr>
          <w:rFonts w:cstheme="minorHAnsi"/>
          <w:sz w:val="24"/>
          <w:szCs w:val="24"/>
        </w:rPr>
        <w:t>W</w:t>
      </w:r>
      <w:r w:rsidR="00773F9D" w:rsidRPr="00793406">
        <w:rPr>
          <w:rFonts w:cstheme="minorHAnsi"/>
          <w:sz w:val="24"/>
          <w:szCs w:val="24"/>
        </w:rPr>
        <w:t>e add</w:t>
      </w:r>
      <w:r w:rsidR="008F0D3A" w:rsidRPr="00793406">
        <w:rPr>
          <w:rFonts w:cstheme="minorHAnsi"/>
          <w:sz w:val="24"/>
          <w:szCs w:val="24"/>
        </w:rPr>
        <w:t xml:space="preserve"> that</w:t>
      </w:r>
      <w:r w:rsidR="00773F9D" w:rsidRPr="00793406">
        <w:rPr>
          <w:rFonts w:cstheme="minorHAnsi"/>
          <w:sz w:val="24"/>
          <w:szCs w:val="24"/>
        </w:rPr>
        <w:t xml:space="preserve"> the phrase </w:t>
      </w:r>
      <w:r w:rsidR="00990B64" w:rsidRPr="00793406">
        <w:rPr>
          <w:rFonts w:cstheme="minorHAnsi"/>
          <w:sz w:val="24"/>
          <w:szCs w:val="24"/>
        </w:rPr>
        <w:t>“</w:t>
      </w:r>
      <w:r w:rsidR="00990B64" w:rsidRPr="00793406">
        <w:rPr>
          <w:rFonts w:cstheme="minorHAnsi"/>
          <w:i/>
          <w:sz w:val="24"/>
          <w:szCs w:val="24"/>
        </w:rPr>
        <w:t>recognise and value</w:t>
      </w:r>
      <w:r w:rsidR="00990B64" w:rsidRPr="00793406">
        <w:rPr>
          <w:rFonts w:cstheme="minorHAnsi"/>
          <w:sz w:val="24"/>
          <w:szCs w:val="24"/>
        </w:rPr>
        <w:t>” i</w:t>
      </w:r>
      <w:r w:rsidRPr="00793406">
        <w:rPr>
          <w:rFonts w:cstheme="minorHAnsi"/>
          <w:sz w:val="24"/>
          <w:szCs w:val="24"/>
        </w:rPr>
        <w:t>s</w:t>
      </w:r>
      <w:r w:rsidR="00990B64" w:rsidRPr="00793406">
        <w:rPr>
          <w:rFonts w:cstheme="minorHAnsi"/>
          <w:sz w:val="24"/>
          <w:szCs w:val="24"/>
        </w:rPr>
        <w:t xml:space="preserve"> insufficient</w:t>
      </w:r>
      <w:r w:rsidR="008F0D3A" w:rsidRPr="00793406">
        <w:rPr>
          <w:rFonts w:cstheme="minorHAnsi"/>
          <w:sz w:val="24"/>
          <w:szCs w:val="24"/>
        </w:rPr>
        <w:t>:</w:t>
      </w:r>
      <w:r w:rsidR="00990B64" w:rsidRPr="00793406">
        <w:rPr>
          <w:rFonts w:cstheme="minorHAnsi"/>
          <w:sz w:val="24"/>
          <w:szCs w:val="24"/>
        </w:rPr>
        <w:t xml:space="preserve"> it is necessary also to measure and compute the monetary value of these contributions. </w:t>
      </w:r>
      <w:r w:rsidR="00DD7E55" w:rsidRPr="00793406">
        <w:rPr>
          <w:rFonts w:cstheme="minorHAnsi"/>
          <w:sz w:val="24"/>
          <w:szCs w:val="24"/>
        </w:rPr>
        <w:t xml:space="preserve">The upshot is that </w:t>
      </w:r>
      <w:r w:rsidR="001D4916" w:rsidRPr="00793406">
        <w:rPr>
          <w:rFonts w:cstheme="minorHAnsi"/>
          <w:sz w:val="24"/>
          <w:szCs w:val="24"/>
        </w:rPr>
        <w:t xml:space="preserve">a </w:t>
      </w:r>
      <w:r w:rsidR="00C97675" w:rsidRPr="00793406">
        <w:rPr>
          <w:rFonts w:cstheme="minorHAnsi"/>
          <w:sz w:val="24"/>
          <w:szCs w:val="24"/>
        </w:rPr>
        <w:t>policy vacuum</w:t>
      </w:r>
      <w:r w:rsidR="001D4916" w:rsidRPr="00793406">
        <w:rPr>
          <w:rFonts w:cstheme="minorHAnsi"/>
          <w:sz w:val="24"/>
          <w:szCs w:val="24"/>
        </w:rPr>
        <w:t xml:space="preserve"> has developed</w:t>
      </w:r>
      <w:r w:rsidR="00990B64" w:rsidRPr="00793406">
        <w:rPr>
          <w:rFonts w:cstheme="minorHAnsi"/>
          <w:sz w:val="24"/>
          <w:szCs w:val="24"/>
        </w:rPr>
        <w:t xml:space="preserve">. </w:t>
      </w:r>
      <w:r w:rsidR="00CA5593" w:rsidRPr="00793406">
        <w:rPr>
          <w:rFonts w:cstheme="minorHAnsi"/>
          <w:sz w:val="24"/>
          <w:szCs w:val="24"/>
        </w:rPr>
        <w:t xml:space="preserve">Recovery from the pandemic offers </w:t>
      </w:r>
      <w:r w:rsidR="008F0D3A" w:rsidRPr="00793406">
        <w:rPr>
          <w:rFonts w:cstheme="minorHAnsi"/>
          <w:sz w:val="24"/>
          <w:szCs w:val="24"/>
        </w:rPr>
        <w:t xml:space="preserve">the </w:t>
      </w:r>
      <w:r w:rsidR="00CA5593" w:rsidRPr="00793406">
        <w:rPr>
          <w:rFonts w:cstheme="minorHAnsi"/>
          <w:sz w:val="24"/>
          <w:szCs w:val="24"/>
        </w:rPr>
        <w:t xml:space="preserve">opportunity to avoid returning to the </w:t>
      </w:r>
      <w:r w:rsidR="005D3EDC" w:rsidRPr="00793406">
        <w:rPr>
          <w:rFonts w:cstheme="minorHAnsi"/>
          <w:sz w:val="24"/>
          <w:szCs w:val="24"/>
        </w:rPr>
        <w:t xml:space="preserve">failed </w:t>
      </w:r>
      <w:r w:rsidR="00CA5593" w:rsidRPr="00793406">
        <w:rPr>
          <w:rFonts w:cstheme="minorHAnsi"/>
          <w:i/>
          <w:iCs/>
          <w:sz w:val="24"/>
          <w:szCs w:val="24"/>
        </w:rPr>
        <w:t xml:space="preserve">status ante </w:t>
      </w:r>
      <w:r w:rsidR="00CA5593" w:rsidRPr="00793406">
        <w:rPr>
          <w:rFonts w:cstheme="minorHAnsi"/>
          <w:sz w:val="24"/>
          <w:szCs w:val="24"/>
        </w:rPr>
        <w:t xml:space="preserve">by developing a new agenda that </w:t>
      </w:r>
      <w:r w:rsidR="00E328A4" w:rsidRPr="00793406">
        <w:rPr>
          <w:rFonts w:cstheme="minorHAnsi"/>
          <w:sz w:val="24"/>
          <w:szCs w:val="24"/>
        </w:rPr>
        <w:t xml:space="preserve">adequately </w:t>
      </w:r>
      <w:r w:rsidR="00CA5593" w:rsidRPr="00793406">
        <w:rPr>
          <w:rFonts w:cstheme="minorHAnsi"/>
          <w:sz w:val="24"/>
          <w:szCs w:val="24"/>
        </w:rPr>
        <w:t xml:space="preserve">recognises contributions to </w:t>
      </w:r>
      <w:r w:rsidR="001D4916" w:rsidRPr="00793406">
        <w:rPr>
          <w:rFonts w:cstheme="minorHAnsi"/>
          <w:sz w:val="24"/>
          <w:szCs w:val="24"/>
        </w:rPr>
        <w:t xml:space="preserve">a healthy </w:t>
      </w:r>
      <w:r w:rsidR="00CA5593" w:rsidRPr="00793406">
        <w:rPr>
          <w:rFonts w:cstheme="minorHAnsi"/>
          <w:sz w:val="24"/>
          <w:szCs w:val="24"/>
        </w:rPr>
        <w:t>population and thus economi</w:t>
      </w:r>
      <w:r w:rsidR="004F6EDA" w:rsidRPr="00793406">
        <w:rPr>
          <w:rFonts w:cstheme="minorHAnsi"/>
          <w:sz w:val="24"/>
          <w:szCs w:val="24"/>
        </w:rPr>
        <w:t xml:space="preserve">c prosperity. </w:t>
      </w:r>
    </w:p>
    <w:p w14:paraId="384B24B3" w14:textId="5EE6F0FB" w:rsidR="00C97675" w:rsidRPr="00793406" w:rsidRDefault="009170A8" w:rsidP="00FE6E34">
      <w:pPr>
        <w:spacing w:after="120"/>
        <w:rPr>
          <w:rFonts w:cstheme="minorHAnsi"/>
          <w:b/>
          <w:bCs/>
          <w:sz w:val="24"/>
          <w:szCs w:val="24"/>
        </w:rPr>
      </w:pPr>
      <w:r w:rsidRPr="00793406">
        <w:rPr>
          <w:rFonts w:cstheme="minorHAnsi"/>
          <w:b/>
          <w:bCs/>
          <w:sz w:val="24"/>
          <w:szCs w:val="24"/>
        </w:rPr>
        <w:t>The right</w:t>
      </w:r>
      <w:r w:rsidR="00EF218D" w:rsidRPr="00793406">
        <w:rPr>
          <w:rFonts w:cstheme="minorHAnsi"/>
          <w:b/>
          <w:bCs/>
          <w:sz w:val="24"/>
          <w:szCs w:val="24"/>
        </w:rPr>
        <w:t>s</w:t>
      </w:r>
      <w:r w:rsidRPr="00793406">
        <w:rPr>
          <w:rFonts w:cstheme="minorHAnsi"/>
          <w:b/>
          <w:bCs/>
          <w:sz w:val="24"/>
          <w:szCs w:val="24"/>
        </w:rPr>
        <w:t>-based case</w:t>
      </w:r>
    </w:p>
    <w:p w14:paraId="3AA5048B" w14:textId="4149F582" w:rsidR="00796F72" w:rsidRPr="00793406" w:rsidRDefault="00965E7A" w:rsidP="00FE6E34">
      <w:pPr>
        <w:autoSpaceDE w:val="0"/>
        <w:autoSpaceDN w:val="0"/>
        <w:adjustRightInd w:val="0"/>
        <w:spacing w:after="120"/>
        <w:rPr>
          <w:rFonts w:cstheme="minorHAnsi"/>
          <w:sz w:val="24"/>
          <w:szCs w:val="24"/>
        </w:rPr>
      </w:pPr>
      <w:r w:rsidRPr="00793406">
        <w:rPr>
          <w:rFonts w:cstheme="minorHAnsi"/>
          <w:sz w:val="24"/>
          <w:szCs w:val="24"/>
        </w:rPr>
        <w:t>Gender equity</w:t>
      </w:r>
      <w:r w:rsidRPr="00793406">
        <w:rPr>
          <w:rFonts w:cstheme="minorHAnsi"/>
          <w:sz w:val="24"/>
          <w:szCs w:val="24"/>
          <w:lang w:val="en-GB"/>
        </w:rPr>
        <w:t xml:space="preserve"> is part of the wider social justice issues raised by the pandemic</w:t>
      </w:r>
      <w:r w:rsidR="003F30C0" w:rsidRPr="00793406">
        <w:rPr>
          <w:rFonts w:cstheme="minorHAnsi"/>
          <w:sz w:val="24"/>
          <w:szCs w:val="24"/>
          <w:lang w:val="en-GB"/>
        </w:rPr>
        <w:t>, as we highlight in our opening paragraphs</w:t>
      </w:r>
      <w:r w:rsidR="002470C7" w:rsidRPr="00793406">
        <w:rPr>
          <w:rFonts w:cstheme="minorHAnsi"/>
          <w:sz w:val="24"/>
          <w:szCs w:val="24"/>
          <w:lang w:val="en-GB"/>
        </w:rPr>
        <w:t xml:space="preserve">. </w:t>
      </w:r>
      <w:r w:rsidR="003F30C0" w:rsidRPr="00793406">
        <w:rPr>
          <w:rFonts w:cstheme="minorHAnsi"/>
          <w:sz w:val="24"/>
          <w:szCs w:val="24"/>
          <w:lang w:val="en-GB"/>
        </w:rPr>
        <w:t xml:space="preserve"> </w:t>
      </w:r>
      <w:r w:rsidR="003F30C0" w:rsidRPr="00793406">
        <w:rPr>
          <w:rFonts w:cstheme="minorHAnsi"/>
          <w:sz w:val="24"/>
          <w:szCs w:val="24"/>
        </w:rPr>
        <w:t xml:space="preserve">Sars-Cov-2 infection has been higher in women but </w:t>
      </w:r>
      <w:r w:rsidR="00BD43DB" w:rsidRPr="00793406">
        <w:rPr>
          <w:rFonts w:cstheme="minorHAnsi"/>
          <w:sz w:val="24"/>
          <w:szCs w:val="24"/>
        </w:rPr>
        <w:t>p</w:t>
      </w:r>
      <w:r w:rsidR="004F672F" w:rsidRPr="00793406">
        <w:rPr>
          <w:rFonts w:cstheme="minorHAnsi"/>
          <w:sz w:val="24"/>
          <w:szCs w:val="24"/>
        </w:rPr>
        <w:t xml:space="preserve">reventive directives have considered </w:t>
      </w:r>
      <w:r w:rsidR="003F30C0" w:rsidRPr="00793406">
        <w:rPr>
          <w:rFonts w:cstheme="minorHAnsi"/>
          <w:sz w:val="24"/>
          <w:szCs w:val="24"/>
        </w:rPr>
        <w:t xml:space="preserve">them </w:t>
      </w:r>
      <w:r w:rsidR="004F672F" w:rsidRPr="00793406">
        <w:rPr>
          <w:rFonts w:cstheme="minorHAnsi"/>
          <w:sz w:val="24"/>
          <w:szCs w:val="24"/>
        </w:rPr>
        <w:t xml:space="preserve">a lower priority because of their </w:t>
      </w:r>
      <w:r w:rsidR="00566983" w:rsidRPr="00793406">
        <w:rPr>
          <w:rFonts w:cstheme="minorHAnsi"/>
          <w:sz w:val="24"/>
          <w:szCs w:val="24"/>
        </w:rPr>
        <w:t>lower hospitali</w:t>
      </w:r>
      <w:r w:rsidR="00743536" w:rsidRPr="00793406">
        <w:rPr>
          <w:rFonts w:cstheme="minorHAnsi"/>
          <w:sz w:val="24"/>
          <w:szCs w:val="24"/>
        </w:rPr>
        <w:t>s</w:t>
      </w:r>
      <w:r w:rsidR="00566983" w:rsidRPr="00793406">
        <w:rPr>
          <w:rFonts w:cstheme="minorHAnsi"/>
          <w:sz w:val="24"/>
          <w:szCs w:val="24"/>
        </w:rPr>
        <w:t xml:space="preserve">ation and mortality </w:t>
      </w:r>
      <w:r w:rsidR="004F672F" w:rsidRPr="00793406">
        <w:rPr>
          <w:rFonts w:cstheme="minorHAnsi"/>
          <w:sz w:val="24"/>
          <w:szCs w:val="24"/>
        </w:rPr>
        <w:t xml:space="preserve">rates, </w:t>
      </w:r>
      <w:r w:rsidR="00161387" w:rsidRPr="00793406">
        <w:rPr>
          <w:rFonts w:cstheme="minorHAnsi"/>
          <w:sz w:val="24"/>
          <w:szCs w:val="24"/>
        </w:rPr>
        <w:t xml:space="preserve">compounding </w:t>
      </w:r>
      <w:r w:rsidR="00BE27C2" w:rsidRPr="00793406">
        <w:rPr>
          <w:rFonts w:cstheme="minorHAnsi"/>
          <w:sz w:val="24"/>
          <w:szCs w:val="24"/>
        </w:rPr>
        <w:t>pre</w:t>
      </w:r>
      <w:r w:rsidR="009B325B" w:rsidRPr="00793406">
        <w:rPr>
          <w:rFonts w:cstheme="minorHAnsi"/>
          <w:sz w:val="24"/>
          <w:szCs w:val="24"/>
        </w:rPr>
        <w:t>-</w:t>
      </w:r>
      <w:r w:rsidR="00BE27C2" w:rsidRPr="00793406">
        <w:rPr>
          <w:rFonts w:cstheme="minorHAnsi"/>
          <w:sz w:val="24"/>
          <w:szCs w:val="24"/>
        </w:rPr>
        <w:t xml:space="preserve">existing injustices. </w:t>
      </w:r>
      <w:r w:rsidR="00566983" w:rsidRPr="00793406">
        <w:rPr>
          <w:rFonts w:cstheme="minorHAnsi"/>
          <w:sz w:val="24"/>
          <w:szCs w:val="24"/>
        </w:rPr>
        <w:t xml:space="preserve">The pandemic has also affected </w:t>
      </w:r>
      <w:r w:rsidR="00A4340B" w:rsidRPr="00793406">
        <w:rPr>
          <w:rFonts w:cstheme="minorHAnsi"/>
          <w:sz w:val="24"/>
          <w:szCs w:val="24"/>
        </w:rPr>
        <w:t xml:space="preserve">the world’s </w:t>
      </w:r>
      <w:r w:rsidR="00566983" w:rsidRPr="00793406">
        <w:rPr>
          <w:rFonts w:cstheme="minorHAnsi"/>
          <w:sz w:val="24"/>
          <w:szCs w:val="24"/>
        </w:rPr>
        <w:t xml:space="preserve">children disproportionately, </w:t>
      </w:r>
      <w:r w:rsidR="003F30C0" w:rsidRPr="00793406">
        <w:rPr>
          <w:rFonts w:cstheme="minorHAnsi"/>
          <w:sz w:val="24"/>
          <w:szCs w:val="24"/>
        </w:rPr>
        <w:t xml:space="preserve">amplifying pre-pandemic concerns </w:t>
      </w:r>
      <w:r w:rsidR="00566983" w:rsidRPr="00793406">
        <w:rPr>
          <w:rFonts w:cstheme="minorHAnsi"/>
          <w:sz w:val="24"/>
          <w:szCs w:val="24"/>
        </w:rPr>
        <w:t xml:space="preserve">about </w:t>
      </w:r>
      <w:r w:rsidR="00B15AFE" w:rsidRPr="00793406">
        <w:rPr>
          <w:rFonts w:cstheme="minorHAnsi"/>
          <w:sz w:val="24"/>
          <w:szCs w:val="24"/>
        </w:rPr>
        <w:t>threats to their</w:t>
      </w:r>
      <w:r w:rsidR="00566983" w:rsidRPr="00793406">
        <w:rPr>
          <w:rFonts w:cstheme="minorHAnsi"/>
          <w:sz w:val="24"/>
          <w:szCs w:val="24"/>
        </w:rPr>
        <w:t xml:space="preserve"> future </w:t>
      </w:r>
      <w:r w:rsidR="00B15AFE" w:rsidRPr="00793406">
        <w:rPr>
          <w:rFonts w:cstheme="minorHAnsi"/>
          <w:sz w:val="24"/>
          <w:szCs w:val="24"/>
        </w:rPr>
        <w:t>from factors including climate change and environmental degradation, armed conflict and migration, malnutrition and inadequate educational opportunities [1</w:t>
      </w:r>
      <w:r w:rsidR="006A295C" w:rsidRPr="00793406">
        <w:rPr>
          <w:rFonts w:cstheme="minorHAnsi"/>
          <w:sz w:val="24"/>
          <w:szCs w:val="24"/>
        </w:rPr>
        <w:t>7</w:t>
      </w:r>
      <w:r w:rsidR="00B15AFE" w:rsidRPr="00793406">
        <w:rPr>
          <w:rFonts w:cstheme="minorHAnsi"/>
          <w:sz w:val="24"/>
          <w:szCs w:val="24"/>
        </w:rPr>
        <w:t>]</w:t>
      </w:r>
      <w:r w:rsidR="00566983" w:rsidRPr="00793406">
        <w:rPr>
          <w:rFonts w:cstheme="minorHAnsi"/>
          <w:sz w:val="24"/>
          <w:szCs w:val="24"/>
        </w:rPr>
        <w:t xml:space="preserve">. </w:t>
      </w:r>
      <w:r w:rsidR="00C6378A" w:rsidRPr="00793406">
        <w:rPr>
          <w:rFonts w:cstheme="minorHAnsi"/>
          <w:sz w:val="24"/>
          <w:szCs w:val="24"/>
        </w:rPr>
        <w:t xml:space="preserve">This led UNICEF to publish a six-point plan setting out government actions to avert a lost COVID generation </w:t>
      </w:r>
      <w:r w:rsidR="007E2E3E" w:rsidRPr="00793406">
        <w:rPr>
          <w:rFonts w:cstheme="minorHAnsi"/>
          <w:sz w:val="24"/>
          <w:szCs w:val="24"/>
        </w:rPr>
        <w:t xml:space="preserve">through addressing these issues </w:t>
      </w:r>
      <w:r w:rsidR="00B15AFE" w:rsidRPr="00793406">
        <w:rPr>
          <w:rFonts w:cstheme="minorHAnsi"/>
          <w:sz w:val="24"/>
          <w:szCs w:val="24"/>
        </w:rPr>
        <w:t>[1</w:t>
      </w:r>
      <w:r w:rsidR="006A295C" w:rsidRPr="00793406">
        <w:rPr>
          <w:rFonts w:cstheme="minorHAnsi"/>
          <w:sz w:val="24"/>
          <w:szCs w:val="24"/>
        </w:rPr>
        <w:t>8</w:t>
      </w:r>
      <w:r w:rsidR="00B15AFE" w:rsidRPr="00793406">
        <w:rPr>
          <w:rFonts w:cstheme="minorHAnsi"/>
          <w:sz w:val="24"/>
          <w:szCs w:val="24"/>
        </w:rPr>
        <w:t>].</w:t>
      </w:r>
      <w:r w:rsidR="007E2E3E" w:rsidRPr="00793406">
        <w:rPr>
          <w:rFonts w:cstheme="minorHAnsi"/>
          <w:sz w:val="24"/>
          <w:szCs w:val="24"/>
        </w:rPr>
        <w:t xml:space="preserve"> </w:t>
      </w:r>
      <w:r w:rsidR="00C6378A" w:rsidRPr="00793406">
        <w:rPr>
          <w:rFonts w:cstheme="minorHAnsi"/>
          <w:sz w:val="24"/>
          <w:szCs w:val="24"/>
        </w:rPr>
        <w:t xml:space="preserve"> </w:t>
      </w:r>
    </w:p>
    <w:p w14:paraId="524B6082" w14:textId="6688DE53" w:rsidR="00566983" w:rsidRPr="00793406" w:rsidRDefault="00FE6E34" w:rsidP="00FE6E34">
      <w:pPr>
        <w:autoSpaceDE w:val="0"/>
        <w:autoSpaceDN w:val="0"/>
        <w:adjustRightInd w:val="0"/>
        <w:spacing w:after="120"/>
        <w:rPr>
          <w:rFonts w:cstheme="minorHAnsi"/>
          <w:sz w:val="24"/>
          <w:szCs w:val="24"/>
        </w:rPr>
      </w:pPr>
      <w:r w:rsidRPr="00793406">
        <w:rPr>
          <w:rFonts w:cstheme="minorHAnsi"/>
          <w:sz w:val="24"/>
          <w:szCs w:val="24"/>
        </w:rPr>
        <w:t>T</w:t>
      </w:r>
      <w:r w:rsidR="002470C7" w:rsidRPr="00793406">
        <w:rPr>
          <w:rFonts w:cstheme="minorHAnsi"/>
          <w:sz w:val="24"/>
          <w:szCs w:val="24"/>
        </w:rPr>
        <w:t xml:space="preserve">he </w:t>
      </w:r>
      <w:r w:rsidRPr="00793406">
        <w:rPr>
          <w:rFonts w:cstheme="minorHAnsi"/>
          <w:sz w:val="24"/>
          <w:szCs w:val="24"/>
        </w:rPr>
        <w:t>broader i</w:t>
      </w:r>
      <w:r w:rsidR="002470C7" w:rsidRPr="00793406">
        <w:rPr>
          <w:rFonts w:cstheme="minorHAnsi"/>
          <w:sz w:val="24"/>
          <w:szCs w:val="24"/>
        </w:rPr>
        <w:t>mpact</w:t>
      </w:r>
      <w:r w:rsidRPr="00793406">
        <w:rPr>
          <w:rFonts w:cstheme="minorHAnsi"/>
          <w:sz w:val="24"/>
          <w:szCs w:val="24"/>
        </w:rPr>
        <w:t>s</w:t>
      </w:r>
      <w:r w:rsidR="002470C7" w:rsidRPr="00793406">
        <w:rPr>
          <w:rFonts w:cstheme="minorHAnsi"/>
          <w:sz w:val="24"/>
          <w:szCs w:val="24"/>
        </w:rPr>
        <w:t xml:space="preserve"> of widening gender-based inequities appear insufficiently recognised. </w:t>
      </w:r>
      <w:r w:rsidR="0091256E" w:rsidRPr="00793406">
        <w:rPr>
          <w:rFonts w:cstheme="minorHAnsi"/>
          <w:sz w:val="24"/>
          <w:szCs w:val="24"/>
        </w:rPr>
        <w:t>Thus, t</w:t>
      </w:r>
      <w:r w:rsidR="002470C7" w:rsidRPr="00793406">
        <w:rPr>
          <w:rFonts w:cstheme="minorHAnsi"/>
          <w:sz w:val="24"/>
          <w:szCs w:val="24"/>
        </w:rPr>
        <w:t>he Lancet COVID-19 Commission Statement for the 75</w:t>
      </w:r>
      <w:r w:rsidR="002470C7" w:rsidRPr="00793406">
        <w:rPr>
          <w:rFonts w:cstheme="minorHAnsi"/>
          <w:sz w:val="24"/>
          <w:szCs w:val="24"/>
          <w:vertAlign w:val="superscript"/>
        </w:rPr>
        <w:t>th</w:t>
      </w:r>
      <w:r w:rsidR="002470C7" w:rsidRPr="00793406">
        <w:rPr>
          <w:rFonts w:cstheme="minorHAnsi"/>
          <w:sz w:val="24"/>
          <w:szCs w:val="24"/>
        </w:rPr>
        <w:t xml:space="preserve"> session of the UN General Assembly </w:t>
      </w:r>
      <w:r w:rsidR="007E2E3E" w:rsidRPr="00793406">
        <w:rPr>
          <w:rFonts w:cstheme="minorHAnsi"/>
          <w:sz w:val="24"/>
          <w:szCs w:val="24"/>
        </w:rPr>
        <w:t>[1</w:t>
      </w:r>
      <w:r w:rsidR="006A295C" w:rsidRPr="00793406">
        <w:rPr>
          <w:rFonts w:cstheme="minorHAnsi"/>
          <w:sz w:val="24"/>
          <w:szCs w:val="24"/>
        </w:rPr>
        <w:t>9</w:t>
      </w:r>
      <w:r w:rsidR="007E2E3E" w:rsidRPr="00793406">
        <w:rPr>
          <w:rFonts w:cstheme="minorHAnsi"/>
          <w:sz w:val="24"/>
          <w:szCs w:val="24"/>
        </w:rPr>
        <w:t>]</w:t>
      </w:r>
      <w:r w:rsidR="002470C7" w:rsidRPr="00793406">
        <w:rPr>
          <w:rFonts w:cstheme="minorHAnsi"/>
          <w:sz w:val="24"/>
          <w:szCs w:val="24"/>
        </w:rPr>
        <w:t xml:space="preserve"> flags the gender dimension in terms of the need to protect vulnerable women rather than placing maternal and child health at the centre of policy.</w:t>
      </w:r>
      <w:r w:rsidR="00836170" w:rsidRPr="00793406">
        <w:rPr>
          <w:rFonts w:cstheme="minorHAnsi"/>
          <w:sz w:val="24"/>
          <w:szCs w:val="24"/>
        </w:rPr>
        <w:t xml:space="preserve"> </w:t>
      </w:r>
      <w:r w:rsidRPr="00793406">
        <w:rPr>
          <w:rFonts w:cstheme="minorHAnsi"/>
          <w:sz w:val="24"/>
          <w:szCs w:val="24"/>
        </w:rPr>
        <w:t>A particularly salutary refection is that despite longstanding recognition of the importance of including these groups in research</w:t>
      </w:r>
      <w:r w:rsidR="00637375" w:rsidRPr="00793406">
        <w:rPr>
          <w:rFonts w:cstheme="minorHAnsi"/>
          <w:sz w:val="24"/>
          <w:szCs w:val="24"/>
        </w:rPr>
        <w:t xml:space="preserve"> [20</w:t>
      </w:r>
      <w:r w:rsidR="00272464" w:rsidRPr="00793406">
        <w:rPr>
          <w:rFonts w:cstheme="minorHAnsi"/>
          <w:sz w:val="24"/>
          <w:szCs w:val="24"/>
        </w:rPr>
        <w:t>]</w:t>
      </w:r>
      <w:r w:rsidR="00637375" w:rsidRPr="00793406">
        <w:rPr>
          <w:rFonts w:cstheme="minorHAnsi"/>
          <w:sz w:val="24"/>
          <w:szCs w:val="24"/>
        </w:rPr>
        <w:t xml:space="preserve"> </w:t>
      </w:r>
      <w:r w:rsidRPr="00793406">
        <w:rPr>
          <w:rFonts w:cstheme="minorHAnsi"/>
          <w:sz w:val="24"/>
          <w:szCs w:val="24"/>
        </w:rPr>
        <w:t xml:space="preserve">COVID-19 vaccine trials have to-date excluded women who </w:t>
      </w:r>
      <w:r w:rsidRPr="00793406">
        <w:rPr>
          <w:rFonts w:cstheme="minorHAnsi"/>
          <w:sz w:val="24"/>
          <w:szCs w:val="24"/>
          <w:lang w:val="en-GB"/>
        </w:rPr>
        <w:t xml:space="preserve">are pregnant, or </w:t>
      </w:r>
      <w:r w:rsidR="00D34C24" w:rsidRPr="00793406">
        <w:rPr>
          <w:rFonts w:cstheme="minorHAnsi"/>
          <w:sz w:val="24"/>
          <w:szCs w:val="24"/>
          <w:lang w:val="en-GB"/>
        </w:rPr>
        <w:t>may become pregnant, and t</w:t>
      </w:r>
      <w:r w:rsidR="00D34C24" w:rsidRPr="00793406">
        <w:rPr>
          <w:rFonts w:cstheme="minorHAnsi"/>
          <w:sz w:val="24"/>
          <w:szCs w:val="24"/>
        </w:rPr>
        <w:t>he inclusion of c</w:t>
      </w:r>
      <w:r w:rsidRPr="00793406">
        <w:rPr>
          <w:rFonts w:cstheme="minorHAnsi"/>
          <w:sz w:val="24"/>
          <w:szCs w:val="24"/>
        </w:rPr>
        <w:t>hildren</w:t>
      </w:r>
      <w:r w:rsidR="00D34C24" w:rsidRPr="00793406">
        <w:rPr>
          <w:rFonts w:cstheme="minorHAnsi"/>
          <w:sz w:val="24"/>
          <w:szCs w:val="24"/>
        </w:rPr>
        <w:t xml:space="preserve"> </w:t>
      </w:r>
      <w:r w:rsidRPr="00793406">
        <w:rPr>
          <w:rFonts w:cstheme="minorHAnsi"/>
          <w:sz w:val="24"/>
          <w:szCs w:val="24"/>
        </w:rPr>
        <w:t>remain</w:t>
      </w:r>
      <w:r w:rsidR="00D34C24" w:rsidRPr="00793406">
        <w:rPr>
          <w:rFonts w:cstheme="minorHAnsi"/>
          <w:sz w:val="24"/>
          <w:szCs w:val="24"/>
        </w:rPr>
        <w:t>s</w:t>
      </w:r>
      <w:r w:rsidRPr="00793406">
        <w:rPr>
          <w:rFonts w:cstheme="minorHAnsi"/>
          <w:sz w:val="24"/>
          <w:szCs w:val="24"/>
        </w:rPr>
        <w:t xml:space="preserve"> very limited</w:t>
      </w:r>
      <w:r w:rsidR="00272464" w:rsidRPr="00793406">
        <w:rPr>
          <w:rFonts w:cstheme="minorHAnsi"/>
          <w:sz w:val="24"/>
          <w:szCs w:val="24"/>
        </w:rPr>
        <w:t xml:space="preserve"> [21]</w:t>
      </w:r>
      <w:r w:rsidRPr="00793406">
        <w:rPr>
          <w:rFonts w:cstheme="minorHAnsi"/>
          <w:sz w:val="24"/>
          <w:szCs w:val="24"/>
        </w:rPr>
        <w:t>. This means that the efficacy and safety of these new, rapidly developed</w:t>
      </w:r>
      <w:r w:rsidR="007E2E3E" w:rsidRPr="00793406">
        <w:rPr>
          <w:rFonts w:cstheme="minorHAnsi"/>
          <w:sz w:val="24"/>
          <w:szCs w:val="24"/>
        </w:rPr>
        <w:t>,</w:t>
      </w:r>
      <w:r w:rsidRPr="00793406">
        <w:rPr>
          <w:rFonts w:cstheme="minorHAnsi"/>
          <w:sz w:val="24"/>
          <w:szCs w:val="24"/>
        </w:rPr>
        <w:t xml:space="preserve"> products are uncertain for a large proportion of the population</w:t>
      </w:r>
      <w:r w:rsidR="00452D72" w:rsidRPr="00793406">
        <w:rPr>
          <w:rFonts w:cstheme="minorHAnsi"/>
          <w:sz w:val="24"/>
          <w:szCs w:val="24"/>
        </w:rPr>
        <w:t xml:space="preserve">. As women form the majority of the healthcare workforce, the failure to protect them </w:t>
      </w:r>
      <w:r w:rsidR="007E2E3E" w:rsidRPr="00793406">
        <w:rPr>
          <w:rFonts w:cstheme="minorHAnsi"/>
          <w:sz w:val="24"/>
          <w:szCs w:val="24"/>
        </w:rPr>
        <w:t>may</w:t>
      </w:r>
      <w:r w:rsidR="00452D72" w:rsidRPr="00793406">
        <w:rPr>
          <w:rFonts w:cstheme="minorHAnsi"/>
          <w:sz w:val="24"/>
          <w:szCs w:val="24"/>
        </w:rPr>
        <w:t xml:space="preserve"> have multiple adverse downstream consequences.  </w:t>
      </w:r>
    </w:p>
    <w:p w14:paraId="05D0E512" w14:textId="7540D437" w:rsidR="00497962" w:rsidRPr="00793406" w:rsidRDefault="00497962" w:rsidP="00FE6E34">
      <w:pPr>
        <w:autoSpaceDE w:val="0"/>
        <w:autoSpaceDN w:val="0"/>
        <w:adjustRightInd w:val="0"/>
        <w:spacing w:after="120"/>
        <w:rPr>
          <w:rFonts w:cstheme="minorHAnsi"/>
          <w:sz w:val="24"/>
          <w:szCs w:val="24"/>
        </w:rPr>
      </w:pPr>
      <w:r w:rsidRPr="00793406">
        <w:rPr>
          <w:rFonts w:cstheme="minorHAnsi"/>
          <w:sz w:val="24"/>
          <w:szCs w:val="24"/>
          <w:lang w:val="en-GB"/>
        </w:rPr>
        <w:t>Many commentators have likened the challenge of recovery after COVID-19 to the aftermath of the Second World War</w:t>
      </w:r>
      <w:r w:rsidR="003F30C0" w:rsidRPr="00793406">
        <w:rPr>
          <w:rFonts w:cstheme="minorHAnsi"/>
          <w:sz w:val="24"/>
          <w:szCs w:val="24"/>
          <w:lang w:val="en-GB"/>
        </w:rPr>
        <w:t xml:space="preserve">. The war led to the formation of the </w:t>
      </w:r>
      <w:r w:rsidRPr="00793406">
        <w:rPr>
          <w:rFonts w:cstheme="minorHAnsi"/>
          <w:sz w:val="24"/>
          <w:szCs w:val="24"/>
          <w:lang w:val="en-GB"/>
        </w:rPr>
        <w:t xml:space="preserve">World Health Organisation and the International Covenant on Economic, Social and Cultural Rights </w:t>
      </w:r>
      <w:r w:rsidR="003F30C0" w:rsidRPr="00793406">
        <w:rPr>
          <w:rFonts w:cstheme="minorHAnsi"/>
          <w:sz w:val="24"/>
          <w:szCs w:val="24"/>
          <w:lang w:val="en-GB"/>
        </w:rPr>
        <w:t xml:space="preserve">that </w:t>
      </w:r>
      <w:r w:rsidRPr="00793406">
        <w:rPr>
          <w:rFonts w:cstheme="minorHAnsi"/>
          <w:sz w:val="24"/>
          <w:szCs w:val="24"/>
          <w:lang w:val="en-GB"/>
        </w:rPr>
        <w:t xml:space="preserve">established the right to health as a universal principle. </w:t>
      </w:r>
      <w:r w:rsidRPr="00793406">
        <w:rPr>
          <w:rFonts w:cstheme="minorHAnsi"/>
          <w:sz w:val="24"/>
          <w:szCs w:val="24"/>
        </w:rPr>
        <w:t>This right was also recognized in articles 11.1 (f) and 12 of the Convention on the Elimination of All Forms of Discrimination against Women (1979) and article 24 of the Convention on the Rights of the Child (1989).  However, the ambition of “</w:t>
      </w:r>
      <w:r w:rsidRPr="00793406">
        <w:rPr>
          <w:rFonts w:cstheme="minorHAnsi"/>
          <w:i/>
          <w:sz w:val="24"/>
          <w:szCs w:val="24"/>
        </w:rPr>
        <w:t>the right of everyone to the enjoyment of the highest attainable standard of physical and mental health</w:t>
      </w:r>
      <w:r w:rsidRPr="00793406">
        <w:rPr>
          <w:rFonts w:cstheme="minorHAnsi"/>
          <w:sz w:val="24"/>
          <w:szCs w:val="24"/>
        </w:rPr>
        <w:t>” in the Covenant made unattainable demands on health providers. Allowing countries to adjust their commitment in relation to available resources was implicit in the later U</w:t>
      </w:r>
      <w:r w:rsidR="000B06B6" w:rsidRPr="00793406">
        <w:rPr>
          <w:rFonts w:cstheme="minorHAnsi"/>
          <w:sz w:val="24"/>
          <w:szCs w:val="24"/>
        </w:rPr>
        <w:t xml:space="preserve">nited Nations Economic, Social and Cultural Rights (UNESCR) Committee </w:t>
      </w:r>
      <w:r w:rsidRPr="00793406">
        <w:rPr>
          <w:rFonts w:cstheme="minorHAnsi"/>
          <w:sz w:val="24"/>
          <w:szCs w:val="24"/>
        </w:rPr>
        <w:t>General Comment #14 (2000)</w:t>
      </w:r>
      <w:r w:rsidR="00D218D9" w:rsidRPr="00793406">
        <w:rPr>
          <w:rFonts w:cstheme="minorHAnsi"/>
          <w:sz w:val="24"/>
          <w:szCs w:val="24"/>
        </w:rPr>
        <w:t xml:space="preserve"> </w:t>
      </w:r>
      <w:r w:rsidR="00637375" w:rsidRPr="00793406">
        <w:rPr>
          <w:rFonts w:cstheme="minorHAnsi"/>
          <w:sz w:val="24"/>
          <w:szCs w:val="24"/>
        </w:rPr>
        <w:t>[2</w:t>
      </w:r>
      <w:r w:rsidR="006A295C" w:rsidRPr="00793406">
        <w:rPr>
          <w:rFonts w:cstheme="minorHAnsi"/>
          <w:sz w:val="24"/>
          <w:szCs w:val="24"/>
        </w:rPr>
        <w:t>2</w:t>
      </w:r>
      <w:r w:rsidR="00637375" w:rsidRPr="00793406">
        <w:rPr>
          <w:rFonts w:cstheme="minorHAnsi"/>
          <w:sz w:val="24"/>
          <w:szCs w:val="24"/>
        </w:rPr>
        <w:t>]</w:t>
      </w:r>
      <w:r w:rsidRPr="00793406">
        <w:rPr>
          <w:rFonts w:cstheme="minorHAnsi"/>
          <w:sz w:val="24"/>
          <w:szCs w:val="24"/>
        </w:rPr>
        <w:t xml:space="preserve">, which </w:t>
      </w:r>
      <w:r w:rsidR="003F30C0" w:rsidRPr="00793406">
        <w:rPr>
          <w:rFonts w:cstheme="minorHAnsi"/>
          <w:sz w:val="24"/>
          <w:szCs w:val="24"/>
        </w:rPr>
        <w:t>stressed,</w:t>
      </w:r>
      <w:r w:rsidR="00B87950" w:rsidRPr="00793406">
        <w:rPr>
          <w:rFonts w:cstheme="minorHAnsi"/>
          <w:sz w:val="24"/>
          <w:szCs w:val="24"/>
        </w:rPr>
        <w:t xml:space="preserve"> </w:t>
      </w:r>
      <w:r w:rsidRPr="00793406">
        <w:rPr>
          <w:rFonts w:cstheme="minorHAnsi"/>
          <w:sz w:val="24"/>
          <w:szCs w:val="24"/>
        </w:rPr>
        <w:t>“</w:t>
      </w:r>
      <w:r w:rsidRPr="00793406">
        <w:rPr>
          <w:rFonts w:cstheme="minorHAnsi"/>
          <w:i/>
          <w:sz w:val="24"/>
          <w:szCs w:val="24"/>
        </w:rPr>
        <w:t xml:space="preserve">The right to health is not to be understood as a right to be </w:t>
      </w:r>
      <w:r w:rsidRPr="00793406">
        <w:rPr>
          <w:rFonts w:cstheme="minorHAnsi"/>
          <w:i/>
          <w:iCs/>
          <w:sz w:val="24"/>
          <w:szCs w:val="24"/>
          <w:u w:val="single"/>
        </w:rPr>
        <w:t>healthy</w:t>
      </w:r>
      <w:r w:rsidRPr="00793406">
        <w:rPr>
          <w:rFonts w:cstheme="minorHAnsi"/>
          <w:sz w:val="24"/>
          <w:szCs w:val="24"/>
        </w:rPr>
        <w:t xml:space="preserve">” (UNESCR emphasis). </w:t>
      </w:r>
      <w:r w:rsidR="00102423" w:rsidRPr="00793406">
        <w:rPr>
          <w:rFonts w:cstheme="minorHAnsi"/>
          <w:sz w:val="24"/>
          <w:szCs w:val="24"/>
        </w:rPr>
        <w:t xml:space="preserve">We </w:t>
      </w:r>
      <w:r w:rsidR="00B87950" w:rsidRPr="00793406">
        <w:rPr>
          <w:rFonts w:cstheme="minorHAnsi"/>
          <w:sz w:val="24"/>
          <w:szCs w:val="24"/>
        </w:rPr>
        <w:t>emphasise</w:t>
      </w:r>
      <w:r w:rsidR="00102423" w:rsidRPr="00793406">
        <w:rPr>
          <w:rFonts w:cstheme="minorHAnsi"/>
          <w:sz w:val="24"/>
          <w:szCs w:val="24"/>
        </w:rPr>
        <w:t xml:space="preserve"> that </w:t>
      </w:r>
      <w:r w:rsidR="00640C87" w:rsidRPr="00793406">
        <w:rPr>
          <w:rFonts w:cstheme="minorHAnsi"/>
          <w:sz w:val="24"/>
          <w:szCs w:val="24"/>
        </w:rPr>
        <w:t xml:space="preserve">the </w:t>
      </w:r>
      <w:r w:rsidR="00102423" w:rsidRPr="00793406">
        <w:rPr>
          <w:rFonts w:cstheme="minorHAnsi"/>
          <w:sz w:val="24"/>
          <w:szCs w:val="24"/>
        </w:rPr>
        <w:t xml:space="preserve">pathway </w:t>
      </w:r>
      <w:r w:rsidR="00640C87" w:rsidRPr="00793406">
        <w:rPr>
          <w:rFonts w:cstheme="minorHAnsi"/>
          <w:sz w:val="24"/>
          <w:szCs w:val="24"/>
        </w:rPr>
        <w:t xml:space="preserve">to being healthy </w:t>
      </w:r>
      <w:r w:rsidR="00A067CF" w:rsidRPr="00793406">
        <w:rPr>
          <w:rFonts w:cstheme="minorHAnsi"/>
          <w:sz w:val="24"/>
          <w:szCs w:val="24"/>
        </w:rPr>
        <w:t>starts in the early life of every individual and forms part of the transmission of opportunity, or disadvantage, across generations</w:t>
      </w:r>
      <w:r w:rsidR="00A506A0" w:rsidRPr="00793406">
        <w:rPr>
          <w:rFonts w:cstheme="minorHAnsi"/>
          <w:sz w:val="24"/>
          <w:szCs w:val="24"/>
        </w:rPr>
        <w:t xml:space="preserve">, </w:t>
      </w:r>
      <w:r w:rsidR="008B5485" w:rsidRPr="00793406">
        <w:rPr>
          <w:rFonts w:cstheme="minorHAnsi"/>
          <w:sz w:val="24"/>
          <w:szCs w:val="24"/>
        </w:rPr>
        <w:t xml:space="preserve">particularly important in the post-COVID-19 era. </w:t>
      </w:r>
      <w:r w:rsidR="00A506A0" w:rsidRPr="00793406">
        <w:rPr>
          <w:rFonts w:cstheme="minorHAnsi"/>
          <w:sz w:val="24"/>
          <w:szCs w:val="24"/>
        </w:rPr>
        <w:t>T</w:t>
      </w:r>
      <w:r w:rsidR="00A067CF" w:rsidRPr="00793406">
        <w:rPr>
          <w:rFonts w:cstheme="minorHAnsi"/>
          <w:sz w:val="24"/>
          <w:szCs w:val="24"/>
        </w:rPr>
        <w:t>he focus on health has allowed</w:t>
      </w:r>
      <w:r w:rsidRPr="00793406">
        <w:rPr>
          <w:rFonts w:cstheme="minorHAnsi"/>
          <w:sz w:val="24"/>
          <w:szCs w:val="24"/>
        </w:rPr>
        <w:t xml:space="preserve"> policy-makers to avoid </w:t>
      </w:r>
      <w:r w:rsidR="00A067CF" w:rsidRPr="00793406">
        <w:rPr>
          <w:rFonts w:cstheme="minorHAnsi"/>
          <w:sz w:val="24"/>
          <w:szCs w:val="24"/>
        </w:rPr>
        <w:t xml:space="preserve">investment in </w:t>
      </w:r>
      <w:r w:rsidR="00640C87" w:rsidRPr="00793406">
        <w:rPr>
          <w:rFonts w:cstheme="minorHAnsi"/>
          <w:sz w:val="24"/>
          <w:szCs w:val="24"/>
        </w:rPr>
        <w:t xml:space="preserve">the wellbeing of </w:t>
      </w:r>
      <w:r w:rsidR="00A067CF" w:rsidRPr="00793406">
        <w:rPr>
          <w:rFonts w:cstheme="minorHAnsi"/>
          <w:sz w:val="24"/>
          <w:szCs w:val="24"/>
        </w:rPr>
        <w:t>women and children</w:t>
      </w:r>
      <w:r w:rsidR="00640C87" w:rsidRPr="00793406">
        <w:rPr>
          <w:rFonts w:cstheme="minorHAnsi"/>
          <w:sz w:val="24"/>
          <w:szCs w:val="24"/>
        </w:rPr>
        <w:t xml:space="preserve">, and instead </w:t>
      </w:r>
      <w:r w:rsidR="007E2E3E" w:rsidRPr="00793406">
        <w:rPr>
          <w:rFonts w:cstheme="minorHAnsi"/>
          <w:sz w:val="24"/>
          <w:szCs w:val="24"/>
        </w:rPr>
        <w:t xml:space="preserve">to </w:t>
      </w:r>
      <w:r w:rsidR="00B3459B" w:rsidRPr="00793406">
        <w:rPr>
          <w:rFonts w:cstheme="minorHAnsi"/>
          <w:sz w:val="24"/>
          <w:szCs w:val="24"/>
        </w:rPr>
        <w:t xml:space="preserve">prioritise </w:t>
      </w:r>
      <w:r w:rsidR="00640C87" w:rsidRPr="00793406">
        <w:rPr>
          <w:rFonts w:cstheme="minorHAnsi"/>
          <w:sz w:val="24"/>
          <w:szCs w:val="24"/>
        </w:rPr>
        <w:t xml:space="preserve">the delivery of healthcare, a notion encapsulated in the call for “universal healthcare”. This </w:t>
      </w:r>
      <w:r w:rsidR="00A506A0" w:rsidRPr="00793406">
        <w:rPr>
          <w:rFonts w:cstheme="minorHAnsi"/>
          <w:sz w:val="24"/>
          <w:szCs w:val="24"/>
        </w:rPr>
        <w:t xml:space="preserve">leads to </w:t>
      </w:r>
      <w:r w:rsidR="00640C87" w:rsidRPr="00793406">
        <w:rPr>
          <w:rFonts w:cstheme="minorHAnsi"/>
          <w:sz w:val="24"/>
          <w:szCs w:val="24"/>
        </w:rPr>
        <w:t xml:space="preserve">a damaging </w:t>
      </w:r>
      <w:r w:rsidR="00090001" w:rsidRPr="00793406">
        <w:rPr>
          <w:rFonts w:cstheme="minorHAnsi"/>
          <w:sz w:val="24"/>
          <w:szCs w:val="24"/>
        </w:rPr>
        <w:t>conceptualis</w:t>
      </w:r>
      <w:r w:rsidR="00640C87" w:rsidRPr="00793406">
        <w:rPr>
          <w:rFonts w:cstheme="minorHAnsi"/>
          <w:sz w:val="24"/>
          <w:szCs w:val="24"/>
        </w:rPr>
        <w:t xml:space="preserve">ation of health as </w:t>
      </w:r>
      <w:r w:rsidR="00942604" w:rsidRPr="00793406">
        <w:rPr>
          <w:rFonts w:cstheme="minorHAnsi"/>
          <w:sz w:val="24"/>
          <w:szCs w:val="24"/>
        </w:rPr>
        <w:t xml:space="preserve">primarily </w:t>
      </w:r>
      <w:r w:rsidR="00640C87" w:rsidRPr="00793406">
        <w:rPr>
          <w:rFonts w:cstheme="minorHAnsi"/>
          <w:sz w:val="24"/>
          <w:szCs w:val="24"/>
        </w:rPr>
        <w:t xml:space="preserve">the product of healthcare, </w:t>
      </w:r>
      <w:r w:rsidR="00A506A0" w:rsidRPr="00793406">
        <w:rPr>
          <w:rFonts w:cstheme="minorHAnsi"/>
          <w:sz w:val="24"/>
          <w:szCs w:val="24"/>
        </w:rPr>
        <w:t xml:space="preserve">whereas being healthy involves many underlying </w:t>
      </w:r>
      <w:r w:rsidR="00640C87" w:rsidRPr="00793406">
        <w:rPr>
          <w:rFonts w:cstheme="minorHAnsi"/>
          <w:sz w:val="24"/>
          <w:szCs w:val="24"/>
        </w:rPr>
        <w:t xml:space="preserve">factors of which healthcare is arguably the least important.  </w:t>
      </w:r>
    </w:p>
    <w:p w14:paraId="624C9530" w14:textId="723B4666" w:rsidR="002C724F" w:rsidRPr="00793406" w:rsidRDefault="00C97675" w:rsidP="00FE6E34">
      <w:pPr>
        <w:spacing w:after="120"/>
        <w:rPr>
          <w:rFonts w:cstheme="minorHAnsi"/>
          <w:b/>
          <w:bCs/>
          <w:sz w:val="24"/>
          <w:szCs w:val="24"/>
        </w:rPr>
      </w:pPr>
      <w:r w:rsidRPr="00793406">
        <w:rPr>
          <w:rFonts w:cstheme="minorHAnsi"/>
          <w:b/>
          <w:bCs/>
          <w:sz w:val="24"/>
          <w:szCs w:val="24"/>
        </w:rPr>
        <w:t>A bold new vision</w:t>
      </w:r>
    </w:p>
    <w:p w14:paraId="32C92494" w14:textId="3F9917B8" w:rsidR="0070026F" w:rsidRPr="00793406" w:rsidRDefault="0070026F" w:rsidP="00FE6E34">
      <w:pPr>
        <w:spacing w:after="120"/>
        <w:rPr>
          <w:rFonts w:cstheme="minorHAnsi"/>
          <w:sz w:val="24"/>
          <w:szCs w:val="24"/>
        </w:rPr>
      </w:pPr>
      <w:r w:rsidRPr="00793406">
        <w:rPr>
          <w:rFonts w:cstheme="minorHAnsi"/>
          <w:sz w:val="24"/>
          <w:szCs w:val="24"/>
        </w:rPr>
        <w:t xml:space="preserve">We would like readers from diverse backgrounds to be aware of the life-long and intergenerational impacts of maternal and child health. </w:t>
      </w:r>
      <w:r w:rsidR="00612426" w:rsidRPr="00793406">
        <w:rPr>
          <w:rFonts w:cstheme="minorHAnsi"/>
          <w:sz w:val="24"/>
          <w:szCs w:val="24"/>
        </w:rPr>
        <w:t>T</w:t>
      </w:r>
      <w:r w:rsidRPr="00793406">
        <w:rPr>
          <w:rFonts w:cstheme="minorHAnsi"/>
          <w:sz w:val="24"/>
          <w:szCs w:val="24"/>
        </w:rPr>
        <w:t xml:space="preserve">he voices of the medical and scientific communities </w:t>
      </w:r>
      <w:r w:rsidR="00612426" w:rsidRPr="00793406">
        <w:rPr>
          <w:rFonts w:cstheme="minorHAnsi"/>
          <w:sz w:val="24"/>
          <w:szCs w:val="24"/>
        </w:rPr>
        <w:t xml:space="preserve">are crucial to making the case for </w:t>
      </w:r>
      <w:r w:rsidRPr="00793406">
        <w:rPr>
          <w:rFonts w:cstheme="minorHAnsi"/>
          <w:sz w:val="24"/>
          <w:szCs w:val="24"/>
        </w:rPr>
        <w:t>replac</w:t>
      </w:r>
      <w:r w:rsidR="00612426" w:rsidRPr="00793406">
        <w:rPr>
          <w:rFonts w:cstheme="minorHAnsi"/>
          <w:sz w:val="24"/>
          <w:szCs w:val="24"/>
        </w:rPr>
        <w:t>ing</w:t>
      </w:r>
      <w:r w:rsidRPr="00793406">
        <w:rPr>
          <w:rFonts w:cstheme="minorHAnsi"/>
          <w:sz w:val="24"/>
          <w:szCs w:val="24"/>
        </w:rPr>
        <w:t xml:space="preserve"> the destructive, gender-inequitable economic policies and societal frameworks, which have long undermined population health and will reduce resilience to future challenges.</w:t>
      </w:r>
    </w:p>
    <w:p w14:paraId="5A39E28F" w14:textId="3A0E255F" w:rsidR="0070026F" w:rsidRPr="00793406" w:rsidRDefault="0070026F" w:rsidP="00FE6E34">
      <w:pPr>
        <w:autoSpaceDE w:val="0"/>
        <w:autoSpaceDN w:val="0"/>
        <w:adjustRightInd w:val="0"/>
        <w:spacing w:after="120"/>
        <w:rPr>
          <w:rFonts w:cstheme="minorHAnsi"/>
          <w:sz w:val="24"/>
          <w:szCs w:val="24"/>
        </w:rPr>
      </w:pPr>
      <w:r w:rsidRPr="00793406">
        <w:rPr>
          <w:rFonts w:cstheme="minorHAnsi"/>
          <w:sz w:val="24"/>
          <w:szCs w:val="24"/>
        </w:rPr>
        <w:t xml:space="preserve">Our analysis demonstrates that putting women and children first meets three important </w:t>
      </w:r>
      <w:r w:rsidR="00612426" w:rsidRPr="00793406">
        <w:rPr>
          <w:rFonts w:cstheme="minorHAnsi"/>
          <w:sz w:val="24"/>
          <w:szCs w:val="24"/>
        </w:rPr>
        <w:t>policy prerequisites.</w:t>
      </w:r>
      <w:r w:rsidRPr="00793406">
        <w:rPr>
          <w:rFonts w:cstheme="minorHAnsi"/>
          <w:sz w:val="24"/>
          <w:szCs w:val="24"/>
        </w:rPr>
        <w:t xml:space="preserve"> First, there is strong and undisputed scientific evidence showing the c</w:t>
      </w:r>
      <w:r w:rsidR="00612426" w:rsidRPr="00793406">
        <w:rPr>
          <w:rFonts w:cstheme="minorHAnsi"/>
          <w:sz w:val="24"/>
          <w:szCs w:val="24"/>
        </w:rPr>
        <w:t xml:space="preserve">ausal relationship of </w:t>
      </w:r>
      <w:r w:rsidRPr="00793406">
        <w:rPr>
          <w:rFonts w:cstheme="minorHAnsi"/>
          <w:sz w:val="24"/>
          <w:szCs w:val="24"/>
        </w:rPr>
        <w:t xml:space="preserve">maternal and child health </w:t>
      </w:r>
      <w:r w:rsidR="00612426" w:rsidRPr="00793406">
        <w:rPr>
          <w:rFonts w:cstheme="minorHAnsi"/>
          <w:sz w:val="24"/>
          <w:szCs w:val="24"/>
        </w:rPr>
        <w:t xml:space="preserve">to </w:t>
      </w:r>
      <w:r w:rsidRPr="00793406">
        <w:rPr>
          <w:rFonts w:cstheme="minorHAnsi"/>
          <w:sz w:val="24"/>
          <w:szCs w:val="24"/>
        </w:rPr>
        <w:t xml:space="preserve">population health. Second, the importance of population health to the economy is clear. Third, there </w:t>
      </w:r>
      <w:r w:rsidR="00612426" w:rsidRPr="00793406">
        <w:rPr>
          <w:rFonts w:cstheme="minorHAnsi"/>
          <w:sz w:val="24"/>
          <w:szCs w:val="24"/>
        </w:rPr>
        <w:t xml:space="preserve">are strong </w:t>
      </w:r>
      <w:r w:rsidRPr="00793406">
        <w:rPr>
          <w:rFonts w:cstheme="minorHAnsi"/>
          <w:sz w:val="24"/>
          <w:szCs w:val="24"/>
        </w:rPr>
        <w:t xml:space="preserve">rights-based </w:t>
      </w:r>
      <w:r w:rsidR="00612426" w:rsidRPr="00793406">
        <w:rPr>
          <w:rFonts w:cstheme="minorHAnsi"/>
          <w:sz w:val="24"/>
          <w:szCs w:val="24"/>
        </w:rPr>
        <w:t xml:space="preserve">justifications to end gender and age-based inequities. </w:t>
      </w:r>
      <w:r w:rsidRPr="00793406">
        <w:rPr>
          <w:rFonts w:cstheme="minorHAnsi"/>
          <w:sz w:val="24"/>
          <w:szCs w:val="24"/>
        </w:rPr>
        <w:t xml:space="preserve">The </w:t>
      </w:r>
      <w:r w:rsidR="00612426" w:rsidRPr="00793406">
        <w:rPr>
          <w:rFonts w:cstheme="minorHAnsi"/>
          <w:sz w:val="24"/>
          <w:szCs w:val="24"/>
        </w:rPr>
        <w:t xml:space="preserve">collapse of long-established businesses and industries caused by </w:t>
      </w:r>
      <w:r w:rsidRPr="00793406">
        <w:rPr>
          <w:rFonts w:cstheme="minorHAnsi"/>
          <w:sz w:val="24"/>
          <w:szCs w:val="24"/>
        </w:rPr>
        <w:t>COVID offers opportunity to implement bold new policies</w:t>
      </w:r>
      <w:r w:rsidR="00612426" w:rsidRPr="00793406">
        <w:rPr>
          <w:rFonts w:cstheme="minorHAnsi"/>
          <w:bCs/>
          <w:sz w:val="24"/>
          <w:szCs w:val="24"/>
        </w:rPr>
        <w:t xml:space="preserve"> and create investment opportunities predicated on an economic model fit for the 21</w:t>
      </w:r>
      <w:r w:rsidR="00612426" w:rsidRPr="00793406">
        <w:rPr>
          <w:rFonts w:cstheme="minorHAnsi"/>
          <w:bCs/>
          <w:sz w:val="24"/>
          <w:szCs w:val="24"/>
          <w:vertAlign w:val="superscript"/>
        </w:rPr>
        <w:t>st</w:t>
      </w:r>
      <w:r w:rsidR="00612426" w:rsidRPr="00793406">
        <w:rPr>
          <w:rFonts w:cstheme="minorHAnsi"/>
          <w:bCs/>
          <w:sz w:val="24"/>
          <w:szCs w:val="24"/>
        </w:rPr>
        <w:t xml:space="preserve"> century</w:t>
      </w:r>
      <w:r w:rsidR="00612426" w:rsidRPr="00793406">
        <w:rPr>
          <w:rFonts w:cstheme="minorHAnsi"/>
          <w:sz w:val="24"/>
          <w:szCs w:val="24"/>
        </w:rPr>
        <w:t>.</w:t>
      </w:r>
      <w:r w:rsidRPr="00793406">
        <w:rPr>
          <w:rFonts w:cstheme="minorHAnsi"/>
          <w:sz w:val="24"/>
          <w:szCs w:val="24"/>
        </w:rPr>
        <w:t xml:space="preserve"> </w:t>
      </w:r>
    </w:p>
    <w:p w14:paraId="59747EE8" w14:textId="0967EE53" w:rsidR="0018350B" w:rsidRPr="00793406" w:rsidRDefault="007C3D72" w:rsidP="00FE6E34">
      <w:pPr>
        <w:spacing w:after="120"/>
        <w:rPr>
          <w:rFonts w:cstheme="minorHAnsi"/>
          <w:bCs/>
          <w:sz w:val="24"/>
          <w:szCs w:val="24"/>
        </w:rPr>
      </w:pPr>
      <w:r w:rsidRPr="00793406">
        <w:rPr>
          <w:rFonts w:cstheme="minorHAnsi"/>
          <w:bCs/>
          <w:sz w:val="24"/>
          <w:szCs w:val="24"/>
        </w:rPr>
        <w:t>A</w:t>
      </w:r>
      <w:r w:rsidR="00612426" w:rsidRPr="00793406">
        <w:rPr>
          <w:rFonts w:cstheme="minorHAnsi"/>
          <w:bCs/>
          <w:sz w:val="24"/>
          <w:szCs w:val="24"/>
        </w:rPr>
        <w:t>chiev</w:t>
      </w:r>
      <w:r w:rsidRPr="00793406">
        <w:rPr>
          <w:rFonts w:cstheme="minorHAnsi"/>
          <w:bCs/>
          <w:sz w:val="24"/>
          <w:szCs w:val="24"/>
        </w:rPr>
        <w:t>ing</w:t>
      </w:r>
      <w:r w:rsidR="00612426" w:rsidRPr="00793406">
        <w:rPr>
          <w:rFonts w:cstheme="minorHAnsi"/>
          <w:bCs/>
          <w:sz w:val="24"/>
          <w:szCs w:val="24"/>
        </w:rPr>
        <w:t xml:space="preserve"> th</w:t>
      </w:r>
      <w:r w:rsidRPr="00793406">
        <w:rPr>
          <w:rFonts w:cstheme="minorHAnsi"/>
          <w:bCs/>
          <w:sz w:val="24"/>
          <w:szCs w:val="24"/>
        </w:rPr>
        <w:t>e</w:t>
      </w:r>
      <w:r w:rsidR="00612426" w:rsidRPr="00793406">
        <w:rPr>
          <w:rFonts w:cstheme="minorHAnsi"/>
          <w:bCs/>
          <w:sz w:val="24"/>
          <w:szCs w:val="24"/>
        </w:rPr>
        <w:t xml:space="preserve"> vision wh</w:t>
      </w:r>
      <w:r w:rsidRPr="00793406">
        <w:rPr>
          <w:rFonts w:cstheme="minorHAnsi"/>
          <w:bCs/>
          <w:sz w:val="24"/>
          <w:szCs w:val="24"/>
        </w:rPr>
        <w:t>ere</w:t>
      </w:r>
      <w:r w:rsidR="00612426" w:rsidRPr="00793406">
        <w:rPr>
          <w:rFonts w:cstheme="minorHAnsi"/>
          <w:bCs/>
          <w:sz w:val="24"/>
          <w:szCs w:val="24"/>
        </w:rPr>
        <w:t xml:space="preserve"> governments see </w:t>
      </w:r>
      <w:r w:rsidRPr="00793406">
        <w:rPr>
          <w:rFonts w:cstheme="minorHAnsi"/>
          <w:bCs/>
          <w:sz w:val="24"/>
          <w:szCs w:val="24"/>
        </w:rPr>
        <w:t xml:space="preserve">a healthy </w:t>
      </w:r>
      <w:r w:rsidR="00612426" w:rsidRPr="00793406">
        <w:rPr>
          <w:rFonts w:cstheme="minorHAnsi"/>
          <w:bCs/>
          <w:sz w:val="24"/>
          <w:szCs w:val="24"/>
        </w:rPr>
        <w:t>population as a moral responsibility</w:t>
      </w:r>
      <w:r w:rsidRPr="00793406">
        <w:rPr>
          <w:rFonts w:cstheme="minorHAnsi"/>
          <w:bCs/>
          <w:sz w:val="24"/>
          <w:szCs w:val="24"/>
        </w:rPr>
        <w:t xml:space="preserve"> </w:t>
      </w:r>
      <w:r w:rsidR="00A149EE" w:rsidRPr="00793406">
        <w:rPr>
          <w:rFonts w:cstheme="minorHAnsi"/>
          <w:bCs/>
          <w:sz w:val="24"/>
          <w:szCs w:val="24"/>
        </w:rPr>
        <w:t>and</w:t>
      </w:r>
      <w:r w:rsidR="00612426" w:rsidRPr="00793406">
        <w:rPr>
          <w:rFonts w:cstheme="minorHAnsi"/>
          <w:bCs/>
          <w:sz w:val="24"/>
          <w:szCs w:val="24"/>
        </w:rPr>
        <w:t xml:space="preserve"> the </w:t>
      </w:r>
      <w:r w:rsidR="007E2E3E" w:rsidRPr="00793406">
        <w:rPr>
          <w:rFonts w:cstheme="minorHAnsi"/>
          <w:bCs/>
          <w:sz w:val="24"/>
          <w:szCs w:val="24"/>
        </w:rPr>
        <w:t>corner</w:t>
      </w:r>
      <w:r w:rsidR="00612426" w:rsidRPr="00793406">
        <w:rPr>
          <w:rFonts w:cstheme="minorHAnsi"/>
          <w:bCs/>
          <w:sz w:val="24"/>
          <w:szCs w:val="24"/>
        </w:rPr>
        <w:t xml:space="preserve">stone of economic prosperity requires </w:t>
      </w:r>
      <w:r w:rsidRPr="00793406">
        <w:rPr>
          <w:rFonts w:cstheme="minorHAnsi"/>
          <w:bCs/>
          <w:sz w:val="24"/>
          <w:szCs w:val="24"/>
        </w:rPr>
        <w:t>thinking outside the box</w:t>
      </w:r>
      <w:r w:rsidR="00612426" w:rsidRPr="00793406">
        <w:rPr>
          <w:rFonts w:cstheme="minorHAnsi"/>
          <w:bCs/>
          <w:sz w:val="24"/>
          <w:szCs w:val="24"/>
        </w:rPr>
        <w:t xml:space="preserve">. </w:t>
      </w:r>
      <w:r w:rsidR="0070026F" w:rsidRPr="00793406">
        <w:rPr>
          <w:rFonts w:cstheme="minorHAnsi"/>
          <w:bCs/>
          <w:sz w:val="24"/>
          <w:szCs w:val="24"/>
        </w:rPr>
        <w:t xml:space="preserve">The world requires an economic framework that assigns a value to actions such as breast-feeding and child rearing that initiate healthy life-course trajectories, and methods to assess progress. </w:t>
      </w:r>
      <w:r w:rsidR="004B2C15" w:rsidRPr="00793406">
        <w:rPr>
          <w:rFonts w:cstheme="minorHAnsi"/>
          <w:bCs/>
          <w:sz w:val="24"/>
          <w:szCs w:val="24"/>
        </w:rPr>
        <w:t xml:space="preserve">We therefore call on interested organisations and individuals to join us to build a </w:t>
      </w:r>
      <w:r w:rsidR="001B3139" w:rsidRPr="00793406">
        <w:rPr>
          <w:rFonts w:cstheme="minorHAnsi"/>
          <w:bCs/>
          <w:sz w:val="24"/>
          <w:szCs w:val="24"/>
        </w:rPr>
        <w:t xml:space="preserve">movement </w:t>
      </w:r>
      <w:r w:rsidR="004B2C15" w:rsidRPr="00793406">
        <w:rPr>
          <w:rFonts w:cstheme="minorHAnsi"/>
          <w:bCs/>
          <w:sz w:val="24"/>
          <w:szCs w:val="24"/>
        </w:rPr>
        <w:t xml:space="preserve">to grow recognition of the centrality of maternal and child health </w:t>
      </w:r>
      <w:r w:rsidR="0097590A">
        <w:rPr>
          <w:rFonts w:cstheme="minorHAnsi"/>
          <w:bCs/>
          <w:sz w:val="24"/>
          <w:szCs w:val="24"/>
        </w:rPr>
        <w:t>to</w:t>
      </w:r>
      <w:r w:rsidR="00FF5E6A" w:rsidRPr="00793406">
        <w:rPr>
          <w:rFonts w:cstheme="minorHAnsi"/>
          <w:bCs/>
          <w:sz w:val="24"/>
          <w:szCs w:val="24"/>
        </w:rPr>
        <w:t xml:space="preserve"> a sustainable future</w:t>
      </w:r>
      <w:r w:rsidR="0070026F" w:rsidRPr="00793406">
        <w:rPr>
          <w:rFonts w:cstheme="minorHAnsi"/>
          <w:bCs/>
          <w:sz w:val="24"/>
          <w:szCs w:val="24"/>
        </w:rPr>
        <w:t xml:space="preserve">.  </w:t>
      </w:r>
    </w:p>
    <w:p w14:paraId="224132A0" w14:textId="77777777" w:rsidR="00497962" w:rsidRPr="00793406" w:rsidRDefault="00497962" w:rsidP="00FE6E34">
      <w:pPr>
        <w:spacing w:after="120"/>
        <w:rPr>
          <w:rFonts w:cstheme="minorHAnsi"/>
          <w:b/>
          <w:bCs/>
          <w:sz w:val="24"/>
          <w:szCs w:val="24"/>
        </w:rPr>
      </w:pPr>
    </w:p>
    <w:p w14:paraId="361C9A31" w14:textId="4ABDC621" w:rsidR="00A149EE" w:rsidRPr="00793406" w:rsidRDefault="00A149EE" w:rsidP="00A149EE">
      <w:pPr>
        <w:pStyle w:val="NormalWeb"/>
        <w:spacing w:before="0" w:beforeAutospacing="0" w:after="120" w:afterAutospacing="0"/>
        <w:rPr>
          <w:rFonts w:asciiTheme="minorHAnsi" w:hAnsiTheme="minorHAnsi"/>
        </w:rPr>
      </w:pPr>
      <w:r w:rsidRPr="00793406">
        <w:rPr>
          <w:rFonts w:asciiTheme="minorHAnsi" w:hAnsiTheme="minorHAnsi" w:cs="Arial"/>
          <w:b/>
          <w:bCs/>
          <w:color w:val="333333"/>
        </w:rPr>
        <w:t>Key messages box</w:t>
      </w:r>
    </w:p>
    <w:p w14:paraId="6A39B25B" w14:textId="7E6BAB95" w:rsidR="00A149EE" w:rsidRPr="00793406" w:rsidRDefault="00A149EE" w:rsidP="00A149EE">
      <w:pPr>
        <w:pStyle w:val="ListParagraph"/>
        <w:numPr>
          <w:ilvl w:val="0"/>
          <w:numId w:val="6"/>
        </w:numPr>
        <w:autoSpaceDE w:val="0"/>
        <w:autoSpaceDN w:val="0"/>
        <w:adjustRightInd w:val="0"/>
        <w:spacing w:after="120"/>
        <w:ind w:left="284" w:hanging="284"/>
        <w:contextualSpacing w:val="0"/>
        <w:rPr>
          <w:rFonts w:cstheme="minorHAnsi"/>
          <w:sz w:val="24"/>
          <w:szCs w:val="24"/>
        </w:rPr>
      </w:pPr>
      <w:r w:rsidRPr="00793406">
        <w:rPr>
          <w:rFonts w:cstheme="minorHAnsi"/>
          <w:sz w:val="24"/>
          <w:szCs w:val="24"/>
        </w:rPr>
        <w:t>There is strong scientific evidence for a causal effect of maternal and child health on population health, which is central to sustained economic recovery post-COVID</w:t>
      </w:r>
    </w:p>
    <w:p w14:paraId="2ED4DC64" w14:textId="77777777" w:rsidR="00A149EE" w:rsidRPr="00793406" w:rsidRDefault="00A149EE" w:rsidP="00A149EE">
      <w:pPr>
        <w:pStyle w:val="ListParagraph"/>
        <w:numPr>
          <w:ilvl w:val="0"/>
          <w:numId w:val="6"/>
        </w:numPr>
        <w:autoSpaceDE w:val="0"/>
        <w:autoSpaceDN w:val="0"/>
        <w:adjustRightInd w:val="0"/>
        <w:spacing w:after="120"/>
        <w:ind w:left="284" w:hanging="284"/>
        <w:contextualSpacing w:val="0"/>
        <w:rPr>
          <w:rFonts w:cstheme="minorHAnsi"/>
          <w:sz w:val="24"/>
          <w:szCs w:val="24"/>
        </w:rPr>
      </w:pPr>
      <w:r w:rsidRPr="00793406">
        <w:rPr>
          <w:rFonts w:cstheme="minorHAnsi"/>
          <w:sz w:val="24"/>
          <w:szCs w:val="24"/>
        </w:rPr>
        <w:t>There are strong rights-based justifications to end gender and age-based inequities</w:t>
      </w:r>
    </w:p>
    <w:p w14:paraId="33D0542E" w14:textId="5B5E82F7" w:rsidR="00C4414C" w:rsidRPr="00793406" w:rsidRDefault="00A149EE" w:rsidP="00A149EE">
      <w:pPr>
        <w:pStyle w:val="ListParagraph"/>
        <w:numPr>
          <w:ilvl w:val="0"/>
          <w:numId w:val="6"/>
        </w:numPr>
        <w:autoSpaceDE w:val="0"/>
        <w:autoSpaceDN w:val="0"/>
        <w:adjustRightInd w:val="0"/>
        <w:spacing w:after="120"/>
        <w:ind w:left="284" w:hanging="284"/>
        <w:contextualSpacing w:val="0"/>
        <w:rPr>
          <w:rFonts w:cstheme="minorHAnsi"/>
          <w:sz w:val="24"/>
          <w:szCs w:val="24"/>
        </w:rPr>
      </w:pPr>
      <w:r w:rsidRPr="00793406">
        <w:rPr>
          <w:rFonts w:cstheme="minorHAnsi"/>
          <w:sz w:val="24"/>
          <w:szCs w:val="24"/>
        </w:rPr>
        <w:t>The collapse of long-established businesses and industries caused by COVID offers opportunity to implement new policies</w:t>
      </w:r>
      <w:r w:rsidRPr="00793406">
        <w:rPr>
          <w:rFonts w:cstheme="minorHAnsi"/>
          <w:bCs/>
          <w:sz w:val="24"/>
          <w:szCs w:val="24"/>
        </w:rPr>
        <w:t xml:space="preserve"> predicated on an economic model which assigns measurable value to actions and policies that improve the health and wellbeing of women and children </w:t>
      </w:r>
    </w:p>
    <w:p w14:paraId="684C9ACC" w14:textId="77777777" w:rsidR="00C4414C" w:rsidRPr="00793406" w:rsidRDefault="00C4414C" w:rsidP="00C4414C">
      <w:pPr>
        <w:autoSpaceDE w:val="0"/>
        <w:autoSpaceDN w:val="0"/>
        <w:adjustRightInd w:val="0"/>
        <w:spacing w:after="120"/>
        <w:rPr>
          <w:rFonts w:cstheme="minorHAnsi"/>
          <w:sz w:val="24"/>
          <w:szCs w:val="24"/>
        </w:rPr>
      </w:pPr>
    </w:p>
    <w:p w14:paraId="41590B6D" w14:textId="44A043D6" w:rsidR="00C4414C" w:rsidRPr="00793406" w:rsidRDefault="00C4414C" w:rsidP="00C4414C">
      <w:pPr>
        <w:pStyle w:val="NormalWeb"/>
        <w:spacing w:before="0" w:beforeAutospacing="0" w:after="0" w:afterAutospacing="0"/>
        <w:rPr>
          <w:rFonts w:asciiTheme="minorHAnsi" w:hAnsiTheme="minorHAnsi"/>
        </w:rPr>
      </w:pPr>
      <w:r w:rsidRPr="00793406">
        <w:rPr>
          <w:rFonts w:asciiTheme="minorHAnsi" w:hAnsiTheme="minorHAnsi" w:cs="Arial"/>
          <w:iCs/>
          <w:color w:val="333333"/>
        </w:rPr>
        <w:t>The Corresponding Author has the right to grant on behalf of all authors and does grant on behalf of all authors, an exclusive licence on a worldwide basis to the BMJ Publishing Group Ltd ("BMJ"), and its Licensees to permit this article (if accepted) to be published in The BMJ's editions and any other BMJ products and to exploit all subsidiary rights, as set out in the BMJ licence</w:t>
      </w:r>
    </w:p>
    <w:p w14:paraId="2B48ADD0" w14:textId="2704220D" w:rsidR="00A149EE" w:rsidRPr="00793406" w:rsidRDefault="00A149EE" w:rsidP="00C4414C">
      <w:pPr>
        <w:autoSpaceDE w:val="0"/>
        <w:autoSpaceDN w:val="0"/>
        <w:adjustRightInd w:val="0"/>
        <w:spacing w:after="120"/>
        <w:rPr>
          <w:rFonts w:cstheme="minorHAnsi"/>
          <w:sz w:val="24"/>
          <w:szCs w:val="24"/>
        </w:rPr>
      </w:pPr>
    </w:p>
    <w:p w14:paraId="3CA7F274" w14:textId="77777777" w:rsidR="00C4414C" w:rsidRPr="00DB4E62" w:rsidRDefault="00C4414C" w:rsidP="00C4414C">
      <w:pPr>
        <w:pStyle w:val="NormalWeb"/>
        <w:spacing w:before="0" w:beforeAutospacing="0" w:after="0" w:afterAutospacing="0"/>
        <w:rPr>
          <w:rFonts w:asciiTheme="minorHAnsi" w:hAnsiTheme="minorHAnsi"/>
        </w:rPr>
      </w:pPr>
      <w:r w:rsidRPr="00DB4E62">
        <w:rPr>
          <w:rFonts w:asciiTheme="minorHAnsi" w:hAnsiTheme="minorHAnsi" w:cs="Arial"/>
          <w:b/>
          <w:bCs/>
          <w:color w:val="333333"/>
        </w:rPr>
        <w:t>Contributors and sources</w:t>
      </w:r>
    </w:p>
    <w:p w14:paraId="0086BC7A" w14:textId="34515A14" w:rsidR="00CE3821" w:rsidRPr="00822199" w:rsidRDefault="00CE3821" w:rsidP="00A149EE">
      <w:pPr>
        <w:autoSpaceDE w:val="0"/>
        <w:autoSpaceDN w:val="0"/>
        <w:adjustRightInd w:val="0"/>
        <w:spacing w:after="120"/>
        <w:rPr>
          <w:rFonts w:cstheme="minorHAnsi"/>
          <w:sz w:val="24"/>
          <w:szCs w:val="24"/>
        </w:rPr>
      </w:pPr>
      <w:r w:rsidRPr="00822199">
        <w:rPr>
          <w:rFonts w:cstheme="minorHAnsi"/>
          <w:sz w:val="24"/>
          <w:szCs w:val="24"/>
        </w:rPr>
        <w:t xml:space="preserve">Both authors contributed equally to this paper, which arose out of discussions over several months. Both authors have been involved in research </w:t>
      </w:r>
      <w:r w:rsidR="00793406" w:rsidRPr="00822199">
        <w:rPr>
          <w:rFonts w:cstheme="minorHAnsi"/>
          <w:sz w:val="24"/>
          <w:szCs w:val="24"/>
        </w:rPr>
        <w:t xml:space="preserve">and policy initiatives relevant to mother and child health. </w:t>
      </w:r>
      <w:r w:rsidRPr="00822199">
        <w:rPr>
          <w:rFonts w:cstheme="minorHAnsi"/>
          <w:sz w:val="24"/>
          <w:szCs w:val="24"/>
        </w:rPr>
        <w:t xml:space="preserve">NM is </w:t>
      </w:r>
      <w:r w:rsidR="00793406" w:rsidRPr="00822199">
        <w:rPr>
          <w:rFonts w:cstheme="minorHAnsi"/>
          <w:sz w:val="24"/>
          <w:szCs w:val="24"/>
        </w:rPr>
        <w:t>the guarantor of the paper.</w:t>
      </w:r>
    </w:p>
    <w:p w14:paraId="25AC8E5D" w14:textId="77777777" w:rsidR="00CE3821" w:rsidRPr="00793406" w:rsidRDefault="00CE3821" w:rsidP="00FE6E34">
      <w:pPr>
        <w:autoSpaceDE w:val="0"/>
        <w:autoSpaceDN w:val="0"/>
        <w:adjustRightInd w:val="0"/>
        <w:spacing w:after="120"/>
        <w:rPr>
          <w:rFonts w:cstheme="minorHAnsi"/>
          <w:b/>
          <w:sz w:val="24"/>
          <w:szCs w:val="24"/>
        </w:rPr>
      </w:pPr>
    </w:p>
    <w:p w14:paraId="676B28C6" w14:textId="67DE4313" w:rsidR="00A149EE" w:rsidRPr="00793406" w:rsidRDefault="00CE3821" w:rsidP="00FE6E34">
      <w:pPr>
        <w:autoSpaceDE w:val="0"/>
        <w:autoSpaceDN w:val="0"/>
        <w:adjustRightInd w:val="0"/>
        <w:spacing w:after="120"/>
        <w:rPr>
          <w:rFonts w:cstheme="minorHAnsi"/>
          <w:b/>
          <w:sz w:val="24"/>
          <w:szCs w:val="24"/>
        </w:rPr>
      </w:pPr>
      <w:r w:rsidRPr="00793406">
        <w:rPr>
          <w:rFonts w:cstheme="minorHAnsi"/>
          <w:b/>
          <w:sz w:val="24"/>
          <w:szCs w:val="24"/>
        </w:rPr>
        <w:t>Disclosures</w:t>
      </w:r>
    </w:p>
    <w:p w14:paraId="7174CF2E" w14:textId="612CE5A2" w:rsidR="00A149EE" w:rsidRPr="00793406" w:rsidRDefault="00CE3821" w:rsidP="00FE6E34">
      <w:pPr>
        <w:autoSpaceDE w:val="0"/>
        <w:autoSpaceDN w:val="0"/>
        <w:adjustRightInd w:val="0"/>
        <w:spacing w:after="120"/>
        <w:rPr>
          <w:rFonts w:cstheme="minorHAnsi"/>
          <w:b/>
          <w:sz w:val="24"/>
          <w:szCs w:val="24"/>
        </w:rPr>
      </w:pPr>
      <w:r w:rsidRPr="00793406">
        <w:rPr>
          <w:rFonts w:cs="Myriad Pro"/>
          <w:sz w:val="24"/>
          <w:szCs w:val="24"/>
          <w:lang w:val="en-GB"/>
        </w:rPr>
        <w:t xml:space="preserve">NM reports grants outside the submitted work from the National Institute for Health Research, Medical Research Council, British Heart Foundation, Health Data Research UK, HCA International, Nestle, Shire Pharmaceuticals, Prolacta Life Sciences, Chiesi Pharmaceuticals and March of Dimes. NM is </w:t>
      </w:r>
      <w:r w:rsidR="0097590A">
        <w:rPr>
          <w:rFonts w:cs="Myriad Pro"/>
          <w:sz w:val="24"/>
          <w:szCs w:val="24"/>
          <w:lang w:val="en-GB"/>
        </w:rPr>
        <w:t xml:space="preserve">a member of the Nestle Scientific Advisory Board, </w:t>
      </w:r>
      <w:r w:rsidRPr="00793406">
        <w:rPr>
          <w:rFonts w:cs="Myriad Pro"/>
          <w:sz w:val="24"/>
          <w:szCs w:val="24"/>
          <w:lang w:val="en-GB"/>
        </w:rPr>
        <w:t>the president of the UK Medical Women's Federation, vice-chair of the Strategy and Advocacy Committee of the Medical Women's International Association, immediate past-president of the UK Royal College of Paediatrics and Child Health, president-elect of the British Medical Association, patron of Keep Our NHS Public, and trustee of the charities TheirWorld and Action Cerebral Palsy. The views expressed are her own.</w:t>
      </w:r>
      <w:r w:rsidR="00DB4E62">
        <w:rPr>
          <w:rFonts w:cs="Myriad Pro"/>
          <w:sz w:val="24"/>
          <w:szCs w:val="24"/>
          <w:lang w:val="en-GB"/>
        </w:rPr>
        <w:t xml:space="preserve"> MH reports grants outsie the submitted work for British Heart Foundation, European Union Horizon 2020 LifeCycle Programme and The Royal Soiety. The views expressed are his own. </w:t>
      </w:r>
    </w:p>
    <w:p w14:paraId="2652AEA0" w14:textId="77777777" w:rsidR="00A149EE" w:rsidRPr="00793406" w:rsidRDefault="00A149EE" w:rsidP="00FE6E34">
      <w:pPr>
        <w:autoSpaceDE w:val="0"/>
        <w:autoSpaceDN w:val="0"/>
        <w:adjustRightInd w:val="0"/>
        <w:spacing w:after="120"/>
        <w:rPr>
          <w:rFonts w:cstheme="minorHAnsi"/>
          <w:b/>
          <w:sz w:val="24"/>
          <w:szCs w:val="24"/>
        </w:rPr>
      </w:pPr>
    </w:p>
    <w:p w14:paraId="0732B3E6" w14:textId="77777777" w:rsidR="00A149EE" w:rsidRPr="00793406" w:rsidRDefault="00A149EE" w:rsidP="00FE6E34">
      <w:pPr>
        <w:autoSpaceDE w:val="0"/>
        <w:autoSpaceDN w:val="0"/>
        <w:adjustRightInd w:val="0"/>
        <w:spacing w:after="120"/>
        <w:rPr>
          <w:rFonts w:cstheme="minorHAnsi"/>
          <w:b/>
          <w:sz w:val="24"/>
          <w:szCs w:val="24"/>
        </w:rPr>
      </w:pPr>
    </w:p>
    <w:p w14:paraId="2EE2C222" w14:textId="5DC5C566" w:rsidR="008F0D3A" w:rsidRPr="00793406" w:rsidRDefault="00E12B32" w:rsidP="00FE6E34">
      <w:pPr>
        <w:autoSpaceDE w:val="0"/>
        <w:autoSpaceDN w:val="0"/>
        <w:adjustRightInd w:val="0"/>
        <w:spacing w:after="120"/>
        <w:rPr>
          <w:rFonts w:cstheme="minorHAnsi"/>
          <w:b/>
          <w:sz w:val="24"/>
          <w:szCs w:val="24"/>
        </w:rPr>
      </w:pPr>
      <w:r w:rsidRPr="00793406">
        <w:rPr>
          <w:rFonts w:cstheme="minorHAnsi"/>
          <w:b/>
          <w:sz w:val="24"/>
          <w:szCs w:val="24"/>
        </w:rPr>
        <w:t>References</w:t>
      </w:r>
    </w:p>
    <w:p w14:paraId="0D75EF91" w14:textId="448E5EB4" w:rsidR="00E12B32" w:rsidRPr="009B2BD7" w:rsidRDefault="00E12B32" w:rsidP="00FE6E34">
      <w:pPr>
        <w:autoSpaceDE w:val="0"/>
        <w:autoSpaceDN w:val="0"/>
        <w:adjustRightInd w:val="0"/>
        <w:spacing w:after="120"/>
        <w:rPr>
          <w:rFonts w:cstheme="minorHAnsi"/>
          <w:sz w:val="24"/>
          <w:szCs w:val="24"/>
          <w:highlight w:val="cyan"/>
        </w:rPr>
      </w:pPr>
      <w:r w:rsidRPr="00891E01">
        <w:rPr>
          <w:rFonts w:cstheme="minorHAnsi"/>
          <w:sz w:val="24"/>
          <w:szCs w:val="24"/>
        </w:rPr>
        <w:t xml:space="preserve">1) </w:t>
      </w:r>
      <w:r w:rsidRPr="00891E01">
        <w:rPr>
          <w:rFonts w:cs="Arial"/>
          <w:color w:val="222222"/>
          <w:sz w:val="24"/>
          <w:szCs w:val="24"/>
          <w:shd w:val="clear" w:color="auto" w:fill="FFFFFF"/>
        </w:rPr>
        <w:t>Gluckman PD, Low FM, Hanson MA. Anthropocene-related disease</w:t>
      </w:r>
      <w:r w:rsidR="00C65534" w:rsidRPr="00891E01">
        <w:rPr>
          <w:rFonts w:cs="Arial"/>
          <w:color w:val="222222"/>
          <w:sz w:val="24"/>
          <w:szCs w:val="24"/>
          <w:shd w:val="clear" w:color="auto" w:fill="FFFFFF"/>
        </w:rPr>
        <w:t xml:space="preserve"> - </w:t>
      </w:r>
      <w:r w:rsidRPr="00891E01">
        <w:rPr>
          <w:rFonts w:cs="Arial"/>
          <w:color w:val="222222"/>
          <w:sz w:val="24"/>
          <w:szCs w:val="24"/>
          <w:shd w:val="clear" w:color="auto" w:fill="FFFFFF"/>
        </w:rPr>
        <w:t>the inevitable outcome of progressive niche modification? Evolution, Medicine, and Public Health. 2020 Nov 10</w:t>
      </w:r>
      <w:r w:rsidR="00891E01" w:rsidRPr="00891E01">
        <w:rPr>
          <w:rFonts w:cs="Arial"/>
          <w:color w:val="222222"/>
          <w:sz w:val="24"/>
          <w:szCs w:val="24"/>
          <w:shd w:val="clear" w:color="auto" w:fill="FFFFFF"/>
        </w:rPr>
        <w:t xml:space="preserve">. </w:t>
      </w:r>
      <w:hyperlink r:id="rId6" w:history="1">
        <w:r w:rsidR="00891E01">
          <w:rPr>
            <w:rStyle w:val="Hyperlink"/>
            <w:rFonts w:ascii="Source Sans Pro" w:hAnsi="Source Sans Pro"/>
            <w:color w:val="006FB7"/>
            <w:sz w:val="23"/>
            <w:szCs w:val="23"/>
            <w:bdr w:val="none" w:sz="0" w:space="0" w:color="auto" w:frame="1"/>
            <w:shd w:val="clear" w:color="auto" w:fill="FFFFFF"/>
          </w:rPr>
          <w:t>https://doi.org/10.1093/emph/eoaa042</w:t>
        </w:r>
      </w:hyperlink>
    </w:p>
    <w:p w14:paraId="1174A560" w14:textId="6533C5CC" w:rsidR="00E12B32" w:rsidRPr="00793406" w:rsidRDefault="00E12B32" w:rsidP="00FE6E34">
      <w:pPr>
        <w:autoSpaceDE w:val="0"/>
        <w:autoSpaceDN w:val="0"/>
        <w:adjustRightInd w:val="0"/>
        <w:spacing w:after="120"/>
        <w:rPr>
          <w:rFonts w:cstheme="minorHAnsi"/>
          <w:sz w:val="24"/>
          <w:szCs w:val="24"/>
        </w:rPr>
      </w:pPr>
      <w:r w:rsidRPr="00891E01">
        <w:rPr>
          <w:rFonts w:cstheme="minorHAnsi"/>
          <w:sz w:val="24"/>
          <w:szCs w:val="24"/>
        </w:rPr>
        <w:t>2)</w:t>
      </w:r>
      <w:r w:rsidR="00C56640" w:rsidRPr="00891E01">
        <w:rPr>
          <w:rFonts w:cstheme="minorHAnsi"/>
          <w:sz w:val="24"/>
          <w:szCs w:val="24"/>
        </w:rPr>
        <w:t xml:space="preserve"> </w:t>
      </w:r>
      <w:r w:rsidR="00C56640" w:rsidRPr="00891E01">
        <w:rPr>
          <w:rFonts w:cs="Arial"/>
          <w:color w:val="222222"/>
          <w:sz w:val="24"/>
          <w:szCs w:val="24"/>
          <w:shd w:val="clear" w:color="auto" w:fill="FFFFFF"/>
        </w:rPr>
        <w:t xml:space="preserve">Gluckman P, Hanson M. </w:t>
      </w:r>
      <w:r w:rsidR="00C56640" w:rsidRPr="00891E01">
        <w:rPr>
          <w:rFonts w:cs="Arial"/>
          <w:i/>
          <w:iCs/>
          <w:color w:val="222222"/>
          <w:sz w:val="24"/>
          <w:szCs w:val="24"/>
          <w:shd w:val="clear" w:color="auto" w:fill="FFFFFF"/>
        </w:rPr>
        <w:t>Mismatch: Why our world no longer fits our bodies</w:t>
      </w:r>
      <w:r w:rsidR="00C56640" w:rsidRPr="00891E01">
        <w:rPr>
          <w:rFonts w:cs="Arial"/>
          <w:color w:val="222222"/>
          <w:sz w:val="24"/>
          <w:szCs w:val="24"/>
          <w:shd w:val="clear" w:color="auto" w:fill="FFFFFF"/>
        </w:rPr>
        <w:t>. Oxford University Press; 2006</w:t>
      </w:r>
    </w:p>
    <w:p w14:paraId="0E2C862A" w14:textId="10F1CAF7" w:rsidR="00E12B32" w:rsidRPr="00793406" w:rsidRDefault="00E12B32" w:rsidP="004653B4">
      <w:pPr>
        <w:autoSpaceDE w:val="0"/>
        <w:autoSpaceDN w:val="0"/>
        <w:adjustRightInd w:val="0"/>
        <w:spacing w:after="120"/>
        <w:jc w:val="left"/>
        <w:rPr>
          <w:rFonts w:cstheme="minorHAnsi"/>
          <w:sz w:val="24"/>
          <w:szCs w:val="24"/>
        </w:rPr>
      </w:pPr>
      <w:r w:rsidRPr="00793406">
        <w:rPr>
          <w:rFonts w:cstheme="minorHAnsi"/>
          <w:sz w:val="24"/>
          <w:szCs w:val="24"/>
        </w:rPr>
        <w:t>3)</w:t>
      </w:r>
      <w:r w:rsidR="00B028F3" w:rsidRPr="00793406">
        <w:rPr>
          <w:rFonts w:cs="Arial"/>
          <w:sz w:val="24"/>
          <w:szCs w:val="24"/>
        </w:rPr>
        <w:t xml:space="preserve"> Public Health England. Health of women before and during pregnancy: health behaviours, risk factors and inequalities</w:t>
      </w:r>
      <w:r w:rsidR="00B028F3" w:rsidRPr="00793406">
        <w:rPr>
          <w:sz w:val="24"/>
          <w:szCs w:val="24"/>
        </w:rPr>
        <w:t xml:space="preserve"> </w:t>
      </w:r>
      <w:hyperlink r:id="rId7" w:history="1">
        <w:r w:rsidR="00C4414C" w:rsidRPr="00793406">
          <w:rPr>
            <w:rStyle w:val="Hyperlink"/>
            <w:rFonts w:cs="Arial"/>
            <w:sz w:val="24"/>
            <w:szCs w:val="24"/>
          </w:rPr>
          <w:t>https://assets.publishing.service.gov.uk/government/uploads/system/uploads/attachment_data/file/844210/Health_of_women_before_and_during_pregnancy_2019.pdf</w:t>
        </w:r>
      </w:hyperlink>
      <w:r w:rsidR="00B028F3" w:rsidRPr="00793406">
        <w:rPr>
          <w:rFonts w:cs="Arial"/>
          <w:sz w:val="24"/>
          <w:szCs w:val="24"/>
        </w:rPr>
        <w:t>; last accessed 06-12-2020</w:t>
      </w:r>
    </w:p>
    <w:p w14:paraId="3ACEB044" w14:textId="0EE4BEB5" w:rsidR="00A902E1" w:rsidRPr="00891E01" w:rsidRDefault="00E12B32" w:rsidP="00272464">
      <w:pPr>
        <w:pStyle w:val="Default"/>
        <w:spacing w:after="120"/>
        <w:rPr>
          <w:rFonts w:asciiTheme="minorHAnsi" w:hAnsiTheme="minorHAnsi" w:cstheme="minorHAnsi"/>
        </w:rPr>
      </w:pPr>
      <w:r w:rsidRPr="00793406">
        <w:rPr>
          <w:rFonts w:asciiTheme="minorHAnsi" w:hAnsiTheme="minorHAnsi" w:cstheme="minorHAnsi"/>
        </w:rPr>
        <w:t>4)</w:t>
      </w:r>
      <w:r w:rsidR="00A902E1" w:rsidRPr="00793406">
        <w:rPr>
          <w:rFonts w:asciiTheme="minorHAnsi" w:hAnsiTheme="minorHAnsi" w:cstheme="minorHAnsi"/>
        </w:rPr>
        <w:t xml:space="preserve"> Parkinson JRC, Emsley R, Tarry Adkins JL, Longford N, Ozanne SE, Holmes E, Modi N Clinical and molecular evidence of accelerated ageing following very preterm birth Pediatr Res  2020; </w:t>
      </w:r>
      <w:r w:rsidR="00A902E1" w:rsidRPr="00891E01">
        <w:rPr>
          <w:rFonts w:asciiTheme="minorHAnsi" w:hAnsiTheme="minorHAnsi" w:cstheme="minorHAnsi"/>
        </w:rPr>
        <w:t xml:space="preserve">87(6):1005-10 </w:t>
      </w:r>
    </w:p>
    <w:p w14:paraId="46F2ECAF" w14:textId="6685B028" w:rsidR="00C56640" w:rsidRPr="00793406" w:rsidRDefault="00C56640" w:rsidP="00FE6E34">
      <w:pPr>
        <w:autoSpaceDE w:val="0"/>
        <w:autoSpaceDN w:val="0"/>
        <w:adjustRightInd w:val="0"/>
        <w:spacing w:after="120"/>
        <w:rPr>
          <w:rFonts w:cs="Arial"/>
          <w:color w:val="222222"/>
          <w:sz w:val="24"/>
          <w:szCs w:val="24"/>
          <w:shd w:val="clear" w:color="auto" w:fill="FFFFFF"/>
        </w:rPr>
      </w:pPr>
      <w:r w:rsidRPr="00891E01">
        <w:rPr>
          <w:rFonts w:cstheme="minorHAnsi"/>
          <w:sz w:val="24"/>
          <w:szCs w:val="24"/>
        </w:rPr>
        <w:t xml:space="preserve">5) </w:t>
      </w:r>
      <w:r w:rsidRPr="00891E01">
        <w:rPr>
          <w:rFonts w:cs="Arial"/>
          <w:color w:val="222222"/>
          <w:sz w:val="24"/>
          <w:szCs w:val="24"/>
          <w:shd w:val="clear" w:color="auto" w:fill="FFFFFF"/>
        </w:rPr>
        <w:t>NCD Countdown 2030: pathways to achieving Sustainable Development Goal target 3.4. The Lancet. 2020 Sep 3</w:t>
      </w:r>
      <w:r w:rsidR="00891E01" w:rsidRPr="00891E01">
        <w:rPr>
          <w:rFonts w:cs="Arial"/>
          <w:color w:val="222222"/>
          <w:sz w:val="24"/>
          <w:szCs w:val="24"/>
          <w:shd w:val="clear" w:color="auto" w:fill="FFFFFF"/>
        </w:rPr>
        <w:t>.</w:t>
      </w:r>
      <w:r w:rsidR="00891E01">
        <w:rPr>
          <w:rFonts w:cs="Arial"/>
          <w:color w:val="222222"/>
          <w:sz w:val="24"/>
          <w:szCs w:val="24"/>
          <w:shd w:val="clear" w:color="auto" w:fill="FFFFFF"/>
        </w:rPr>
        <w:t xml:space="preserve"> </w:t>
      </w:r>
      <w:hyperlink r:id="rId8" w:tgtFrame="_blank" w:tooltip="Persistent link using digital object identifier" w:history="1">
        <w:r w:rsidR="00891E01">
          <w:rPr>
            <w:rStyle w:val="Hyperlink"/>
            <w:rFonts w:ascii="Arial" w:hAnsi="Arial" w:cs="Arial"/>
            <w:color w:val="0C7DBB"/>
            <w:sz w:val="21"/>
            <w:szCs w:val="21"/>
          </w:rPr>
          <w:t>https://doi.org/10.1016/S0140-6736(20)31761-X</w:t>
        </w:r>
      </w:hyperlink>
    </w:p>
    <w:p w14:paraId="2554BF55" w14:textId="7B62CF63" w:rsidR="00C56640" w:rsidRPr="00793406" w:rsidRDefault="00C56640" w:rsidP="00FE6E3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6) Bukhman G, Mocumbi AO, Atun R, Becker AE, Bhutta Z, Binagwaho A, Clinton C, Coates MM, Dain K, Ezzati M, Gottlieb G. The Lancet NCDI Poverty Commission: bridging a gap in universal health coverage for the poorest billion. The Lancet 2020;</w:t>
      </w:r>
      <w:r w:rsidR="00F73582" w:rsidRPr="00793406">
        <w:rPr>
          <w:rFonts w:cs="Arial"/>
          <w:color w:val="222222"/>
          <w:sz w:val="24"/>
          <w:szCs w:val="24"/>
          <w:shd w:val="clear" w:color="auto" w:fill="FFFFFF"/>
        </w:rPr>
        <w:t xml:space="preserve"> </w:t>
      </w:r>
      <w:r w:rsidRPr="00793406">
        <w:rPr>
          <w:rFonts w:cs="Arial"/>
          <w:color w:val="222222"/>
          <w:sz w:val="24"/>
          <w:szCs w:val="24"/>
          <w:shd w:val="clear" w:color="auto" w:fill="FFFFFF"/>
        </w:rPr>
        <w:t>396</w:t>
      </w:r>
      <w:r w:rsidR="00B028F3" w:rsidRPr="00793406">
        <w:rPr>
          <w:rFonts w:cs="Arial"/>
          <w:color w:val="222222"/>
          <w:sz w:val="24"/>
          <w:szCs w:val="24"/>
          <w:shd w:val="clear" w:color="auto" w:fill="FFFFFF"/>
        </w:rPr>
        <w:t xml:space="preserve"> </w:t>
      </w:r>
      <w:r w:rsidRPr="00793406">
        <w:rPr>
          <w:rFonts w:cs="Arial"/>
          <w:color w:val="222222"/>
          <w:sz w:val="24"/>
          <w:szCs w:val="24"/>
          <w:shd w:val="clear" w:color="auto" w:fill="FFFFFF"/>
        </w:rPr>
        <w:t>(10256):991-1044.</w:t>
      </w:r>
    </w:p>
    <w:p w14:paraId="5C38C340" w14:textId="29383E0E" w:rsidR="00DC39B4" w:rsidRPr="00793406" w:rsidRDefault="00DC39B4" w:rsidP="00FE6E34">
      <w:pPr>
        <w:autoSpaceDE w:val="0"/>
        <w:autoSpaceDN w:val="0"/>
        <w:adjustRightInd w:val="0"/>
        <w:spacing w:after="120"/>
        <w:rPr>
          <w:rFonts w:cs="Arial"/>
          <w:color w:val="222222"/>
          <w:sz w:val="24"/>
          <w:szCs w:val="24"/>
          <w:shd w:val="clear" w:color="auto" w:fill="FFFFFF"/>
        </w:rPr>
      </w:pPr>
      <w:r w:rsidRPr="00E26C13">
        <w:rPr>
          <w:rFonts w:cs="Arial"/>
          <w:color w:val="222222"/>
          <w:sz w:val="24"/>
          <w:szCs w:val="24"/>
          <w:shd w:val="clear" w:color="auto" w:fill="FFFFFF"/>
        </w:rPr>
        <w:t>7) United Nations, General Assembly. (2011). Political declaration of the High</w:t>
      </w:r>
      <w:r w:rsidRPr="00E26C13">
        <w:rPr>
          <w:rFonts w:cs="Cambria Math"/>
          <w:color w:val="222222"/>
          <w:sz w:val="24"/>
          <w:szCs w:val="24"/>
          <w:shd w:val="clear" w:color="auto" w:fill="FFFFFF"/>
        </w:rPr>
        <w:t>‐</w:t>
      </w:r>
      <w:r w:rsidRPr="00E26C13">
        <w:rPr>
          <w:rFonts w:cs="Arial"/>
          <w:color w:val="222222"/>
          <w:sz w:val="24"/>
          <w:szCs w:val="24"/>
          <w:shd w:val="clear" w:color="auto" w:fill="FFFFFF"/>
        </w:rPr>
        <w:t>level Meeting of the General Assembly on the Prevention and Control of Non</w:t>
      </w:r>
      <w:r w:rsidRPr="00E26C13">
        <w:rPr>
          <w:rFonts w:cs="Cambria Math"/>
          <w:color w:val="222222"/>
          <w:sz w:val="24"/>
          <w:szCs w:val="24"/>
          <w:shd w:val="clear" w:color="auto" w:fill="FFFFFF"/>
        </w:rPr>
        <w:t>‐</w:t>
      </w:r>
      <w:r w:rsidRPr="00E26C13">
        <w:rPr>
          <w:rFonts w:cs="Arial"/>
          <w:color w:val="222222"/>
          <w:sz w:val="24"/>
          <w:szCs w:val="24"/>
          <w:shd w:val="clear" w:color="auto" w:fill="FFFFFF"/>
        </w:rPr>
        <w:t>communicable Diseases, A/66/L. 1</w:t>
      </w:r>
      <w:r w:rsidR="00F73582" w:rsidRPr="00793406">
        <w:rPr>
          <w:rFonts w:cs="Arial"/>
          <w:color w:val="222222"/>
          <w:sz w:val="24"/>
          <w:szCs w:val="24"/>
          <w:shd w:val="clear" w:color="auto" w:fill="FFFFFF"/>
        </w:rPr>
        <w:t xml:space="preserve"> </w:t>
      </w:r>
      <w:r w:rsidR="00E26C13" w:rsidRPr="00E26C13">
        <w:rPr>
          <w:rFonts w:cs="Arial"/>
          <w:color w:val="222222"/>
          <w:sz w:val="24"/>
          <w:szCs w:val="24"/>
          <w:shd w:val="clear" w:color="auto" w:fill="FFFFFF"/>
        </w:rPr>
        <w:t>https://digitallibrary.un.org/record/710899?ln=en</w:t>
      </w:r>
    </w:p>
    <w:p w14:paraId="771F08C3" w14:textId="7260B7F9" w:rsidR="00DC39B4" w:rsidRPr="009B2BD7" w:rsidRDefault="00DC39B4" w:rsidP="009B2BD7">
      <w:pPr>
        <w:autoSpaceDE w:val="0"/>
        <w:autoSpaceDN w:val="0"/>
        <w:adjustRightInd w:val="0"/>
        <w:spacing w:after="120"/>
        <w:rPr>
          <w:sz w:val="24"/>
          <w:szCs w:val="24"/>
        </w:rPr>
      </w:pPr>
      <w:r w:rsidRPr="00793406">
        <w:rPr>
          <w:rFonts w:cs="Arial"/>
          <w:color w:val="222222"/>
          <w:sz w:val="24"/>
          <w:szCs w:val="24"/>
          <w:shd w:val="clear" w:color="auto" w:fill="FFFFFF"/>
        </w:rPr>
        <w:t>8).</w:t>
      </w:r>
      <w:r w:rsidR="001A7754" w:rsidRPr="00793406">
        <w:rPr>
          <w:rFonts w:cs="Arial"/>
          <w:color w:val="222222"/>
          <w:sz w:val="24"/>
          <w:szCs w:val="24"/>
          <w:shd w:val="clear" w:color="auto" w:fill="FFFFFF"/>
        </w:rPr>
        <w:t xml:space="preserve"> </w:t>
      </w:r>
      <w:r w:rsidR="001A7754" w:rsidRPr="00793406">
        <w:rPr>
          <w:sz w:val="24"/>
          <w:szCs w:val="24"/>
        </w:rPr>
        <w:t xml:space="preserve">Time to deliver: report of the WHO Independent High-level Commission on Noncommunicable Diseases. Geneva: World Health Organization; 2018. (http://www.who.int/ncds/ </w:t>
      </w:r>
      <w:r w:rsidR="001A7754" w:rsidRPr="009B2BD7">
        <w:rPr>
          <w:sz w:val="24"/>
          <w:szCs w:val="24"/>
        </w:rPr>
        <w:t>management/time-to-deliver/en/</w:t>
      </w:r>
    </w:p>
    <w:p w14:paraId="037EB7E2" w14:textId="6C608487" w:rsidR="001A7754" w:rsidRPr="00E26C13" w:rsidRDefault="001A7754" w:rsidP="009B2BD7">
      <w:pPr>
        <w:autoSpaceDE w:val="0"/>
        <w:autoSpaceDN w:val="0"/>
        <w:adjustRightInd w:val="0"/>
        <w:spacing w:after="120"/>
        <w:rPr>
          <w:rFonts w:cs="Arial"/>
          <w:color w:val="222222"/>
          <w:sz w:val="24"/>
          <w:szCs w:val="24"/>
          <w:shd w:val="clear" w:color="auto" w:fill="FFFFFF"/>
        </w:rPr>
      </w:pPr>
      <w:r w:rsidRPr="00E26C13">
        <w:rPr>
          <w:sz w:val="24"/>
          <w:szCs w:val="24"/>
        </w:rPr>
        <w:t>9)</w:t>
      </w:r>
      <w:r w:rsidR="00A902E1" w:rsidRPr="00E26C13">
        <w:rPr>
          <w:sz w:val="24"/>
          <w:szCs w:val="24"/>
        </w:rPr>
        <w:t xml:space="preserve"> </w:t>
      </w:r>
      <w:r w:rsidR="0007057B" w:rsidRPr="00E26C13">
        <w:rPr>
          <w:rFonts w:cs="Arial"/>
          <w:color w:val="222222"/>
          <w:sz w:val="24"/>
          <w:szCs w:val="24"/>
          <w:shd w:val="clear" w:color="auto" w:fill="FFFFFF"/>
        </w:rPr>
        <w:t xml:space="preserve">Hanson MA, Gluckman PD. Early developmental conditioning of later health and disease: physiology or pathophysiology? Physiological reviews. </w:t>
      </w:r>
      <w:r w:rsidR="00E26C13" w:rsidRPr="00E26C13">
        <w:rPr>
          <w:sz w:val="24"/>
          <w:szCs w:val="24"/>
        </w:rPr>
        <w:t>94: 1027–1076, 2014</w:t>
      </w:r>
    </w:p>
    <w:p w14:paraId="62BC0357" w14:textId="45924A07" w:rsidR="00EC7AE9" w:rsidRPr="009B2BD7" w:rsidRDefault="00EC7AE9" w:rsidP="009B2BD7">
      <w:pPr>
        <w:pStyle w:val="Default"/>
        <w:spacing w:after="120"/>
        <w:rPr>
          <w:rFonts w:asciiTheme="minorHAnsi" w:hAnsiTheme="minorHAnsi" w:cs="Arial"/>
          <w:color w:val="222222"/>
          <w:shd w:val="clear" w:color="auto" w:fill="FFFFFF"/>
        </w:rPr>
      </w:pPr>
      <w:r w:rsidRPr="009B2BD7">
        <w:rPr>
          <w:rFonts w:asciiTheme="minorHAnsi" w:hAnsiTheme="minorHAnsi" w:cs="Arial"/>
          <w:color w:val="222222"/>
          <w:shd w:val="clear" w:color="auto" w:fill="FFFFFF"/>
        </w:rPr>
        <w:t xml:space="preserve">10) Jacob CM, Briana DD, Di Renzo GC, Modi N, Bustreo F, Conti G, Malamitsi-Puchner A, Hanson M. Building resilient societies after COVID-19: the case for investing in maternal, neonatal, and child health. The Lancet Public Health </w:t>
      </w:r>
      <w:r w:rsidR="009B2BD7" w:rsidRPr="009B2BD7">
        <w:rPr>
          <w:rFonts w:asciiTheme="minorHAnsi" w:hAnsiTheme="minorHAnsi" w:cs="Shaker 2 Lancet"/>
        </w:rPr>
        <w:t xml:space="preserve">Published </w:t>
      </w:r>
      <w:r w:rsidR="009B2BD7" w:rsidRPr="009B2BD7">
        <w:rPr>
          <w:rFonts w:asciiTheme="minorHAnsi" w:hAnsiTheme="minorHAnsi" w:cs="Shaker 2 Lancet"/>
          <w:b/>
          <w:bCs/>
        </w:rPr>
        <w:t xml:space="preserve">Online </w:t>
      </w:r>
      <w:r w:rsidR="009B2BD7" w:rsidRPr="009B2BD7">
        <w:rPr>
          <w:rFonts w:asciiTheme="minorHAnsi" w:hAnsiTheme="minorHAnsi" w:cs="Shaker 2 Lancet"/>
        </w:rPr>
        <w:t>September 21, 2020 https://doi.org/10.1016/ S2468-2667(20)30200-0</w:t>
      </w:r>
    </w:p>
    <w:p w14:paraId="070335AF" w14:textId="0621FC27" w:rsidR="00EC7AE9" w:rsidRPr="009B2BD7" w:rsidRDefault="00EC7AE9" w:rsidP="009B2BD7">
      <w:pPr>
        <w:autoSpaceDE w:val="0"/>
        <w:autoSpaceDN w:val="0"/>
        <w:adjustRightInd w:val="0"/>
        <w:spacing w:after="120"/>
        <w:rPr>
          <w:rFonts w:cs="Arial"/>
          <w:color w:val="222222"/>
          <w:sz w:val="24"/>
          <w:szCs w:val="24"/>
          <w:shd w:val="clear" w:color="auto" w:fill="FFFFFF"/>
        </w:rPr>
      </w:pPr>
      <w:r w:rsidRPr="009B2BD7">
        <w:rPr>
          <w:rFonts w:cs="Arial"/>
          <w:color w:val="222222"/>
          <w:sz w:val="24"/>
          <w:szCs w:val="24"/>
          <w:shd w:val="clear" w:color="auto" w:fill="FFFFFF"/>
        </w:rPr>
        <w:t xml:space="preserve">11) Mazzucato M. </w:t>
      </w:r>
      <w:r w:rsidRPr="00E26C13">
        <w:rPr>
          <w:rFonts w:cs="Arial"/>
          <w:i/>
          <w:iCs/>
          <w:color w:val="222222"/>
          <w:sz w:val="24"/>
          <w:szCs w:val="24"/>
          <w:shd w:val="clear" w:color="auto" w:fill="FFFFFF"/>
        </w:rPr>
        <w:t>The value of everything: Making and taking in the global economy</w:t>
      </w:r>
      <w:r w:rsidRPr="009B2BD7">
        <w:rPr>
          <w:rFonts w:cs="Arial"/>
          <w:color w:val="222222"/>
          <w:sz w:val="24"/>
          <w:szCs w:val="24"/>
          <w:shd w:val="clear" w:color="auto" w:fill="FFFFFF"/>
        </w:rPr>
        <w:t>. Hachette UK; 2018 Sep 11</w:t>
      </w:r>
    </w:p>
    <w:p w14:paraId="7B9FEC56" w14:textId="5AC76D14" w:rsidR="00EC7AE9" w:rsidRPr="00793406" w:rsidRDefault="00EC7AE9" w:rsidP="00FE6E3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 xml:space="preserve">12) </w:t>
      </w:r>
      <w:r w:rsidR="004653B4" w:rsidRPr="00793406">
        <w:rPr>
          <w:sz w:val="24"/>
          <w:szCs w:val="24"/>
        </w:rPr>
        <w:t>Landefeld JS, Villones S, Holdren A GDP and Beyond: Priorities and Plan Survey of Current Business 2020</w:t>
      </w:r>
      <w:r w:rsidR="00B27703" w:rsidRPr="00793406">
        <w:rPr>
          <w:sz w:val="24"/>
          <w:szCs w:val="24"/>
        </w:rPr>
        <w:t xml:space="preserve">; 100 (6); 1-34; </w:t>
      </w:r>
      <w:hyperlink r:id="rId9" w:history="1">
        <w:r w:rsidR="00B27703" w:rsidRPr="00793406">
          <w:rPr>
            <w:rStyle w:val="Hyperlink"/>
            <w:sz w:val="24"/>
            <w:szCs w:val="24"/>
          </w:rPr>
          <w:t>https://apps.bea.gov/scb/2020/06-june/pdf/0620-beyond-gdp-landefeld.pdf</w:t>
        </w:r>
      </w:hyperlink>
      <w:r w:rsidR="00B27703" w:rsidRPr="00793406">
        <w:rPr>
          <w:sz w:val="24"/>
          <w:szCs w:val="24"/>
        </w:rPr>
        <w:t>; last accessed 06-12-2020</w:t>
      </w:r>
    </w:p>
    <w:p w14:paraId="1F91EEFB" w14:textId="77777777" w:rsidR="00B52B30" w:rsidRPr="00793406" w:rsidRDefault="00EC7AE9" w:rsidP="00272464">
      <w:pPr>
        <w:pStyle w:val="Default"/>
        <w:rPr>
          <w:rFonts w:asciiTheme="minorHAnsi" w:hAnsiTheme="minorHAnsi" w:cstheme="minorHAnsi"/>
        </w:rPr>
      </w:pPr>
      <w:r w:rsidRPr="00793406">
        <w:rPr>
          <w:rFonts w:asciiTheme="minorHAnsi" w:hAnsiTheme="minorHAnsi" w:cs="Arial"/>
          <w:color w:val="222222"/>
          <w:shd w:val="clear" w:color="auto" w:fill="FFFFFF"/>
        </w:rPr>
        <w:t xml:space="preserve">13) </w:t>
      </w:r>
      <w:r w:rsidR="00B52B30" w:rsidRPr="00793406">
        <w:rPr>
          <w:rFonts w:asciiTheme="minorHAnsi" w:hAnsiTheme="minorHAnsi" w:cstheme="minorHAnsi"/>
        </w:rPr>
        <w:t xml:space="preserve">Van de Ven P, Zwijnenburg J, De Queljoe M, OECD Statistics and Data Directorate; Including unpaid household activities: An estimate of its impact on macro-economic indicators in the  G7 economies and the way forward; Working paper No.91; 25th July 1918; </w:t>
      </w:r>
    </w:p>
    <w:p w14:paraId="7ACD0D9B" w14:textId="77777777" w:rsidR="00B52B30" w:rsidRPr="00793406" w:rsidRDefault="002D5815" w:rsidP="00272464">
      <w:pPr>
        <w:pStyle w:val="Default"/>
        <w:spacing w:after="120"/>
        <w:rPr>
          <w:rFonts w:asciiTheme="minorHAnsi" w:hAnsiTheme="minorHAnsi" w:cstheme="minorHAnsi"/>
        </w:rPr>
      </w:pPr>
      <w:hyperlink r:id="rId10" w:history="1">
        <w:r w:rsidR="00B52B30" w:rsidRPr="00793406">
          <w:rPr>
            <w:rStyle w:val="Hyperlink"/>
            <w:rFonts w:asciiTheme="minorHAnsi" w:hAnsiTheme="minorHAnsi" w:cstheme="minorHAnsi"/>
          </w:rPr>
          <w:t>https://www.oecd.org/officialdocuments/publicdisplaydocumentpdf/?cote=SDD/DOC(2018)4&amp;docLanguage=En</w:t>
        </w:r>
      </w:hyperlink>
      <w:r w:rsidR="00B52B30" w:rsidRPr="00793406">
        <w:rPr>
          <w:rFonts w:asciiTheme="minorHAnsi" w:hAnsiTheme="minorHAnsi" w:cstheme="minorHAnsi"/>
        </w:rPr>
        <w:t xml:space="preserve">; last accessed 14 Sept 2020 </w:t>
      </w:r>
    </w:p>
    <w:p w14:paraId="12AA9399" w14:textId="7E6C83DD" w:rsidR="00EC7AE9" w:rsidRPr="00793406" w:rsidRDefault="00B52B30" w:rsidP="00272464">
      <w:pPr>
        <w:pStyle w:val="Default"/>
        <w:spacing w:after="120"/>
        <w:rPr>
          <w:rFonts w:asciiTheme="minorHAnsi" w:hAnsiTheme="minorHAnsi" w:cstheme="minorHAnsi"/>
        </w:rPr>
      </w:pPr>
      <w:r w:rsidRPr="00793406">
        <w:rPr>
          <w:rFonts w:asciiTheme="minorHAnsi" w:hAnsiTheme="minorHAnsi" w:cs="Arial"/>
          <w:color w:val="222222"/>
          <w:shd w:val="clear" w:color="auto" w:fill="FFFFFF"/>
        </w:rPr>
        <w:t xml:space="preserve">14) </w:t>
      </w:r>
      <w:r w:rsidR="00EC7AE9" w:rsidRPr="00793406">
        <w:rPr>
          <w:rFonts w:asciiTheme="minorHAnsi" w:hAnsiTheme="minorHAnsi" w:cs="Arial"/>
          <w:color w:val="222222"/>
          <w:shd w:val="clear" w:color="auto" w:fill="FFFFFF"/>
        </w:rPr>
        <w:t>Murray CJ, Abbafati C, Abbas KM, Abbasi M, Abbasi-Kangevari M, Abd-Allah F, Abdollahi M, Abedi P, Abedi A, Abolhassani H, Aboyans V. Five insights from the global burden of disease study 2019. The Lancet 2020;</w:t>
      </w:r>
      <w:r w:rsidR="00F73582" w:rsidRPr="00793406">
        <w:rPr>
          <w:rFonts w:asciiTheme="minorHAnsi" w:hAnsiTheme="minorHAnsi" w:cs="Arial"/>
          <w:color w:val="222222"/>
          <w:shd w:val="clear" w:color="auto" w:fill="FFFFFF"/>
        </w:rPr>
        <w:t xml:space="preserve"> </w:t>
      </w:r>
      <w:r w:rsidR="00EC7AE9" w:rsidRPr="00793406">
        <w:rPr>
          <w:rFonts w:asciiTheme="minorHAnsi" w:hAnsiTheme="minorHAnsi" w:cs="Arial"/>
          <w:color w:val="222222"/>
          <w:shd w:val="clear" w:color="auto" w:fill="FFFFFF"/>
        </w:rPr>
        <w:t>396(10258):1135-59</w:t>
      </w:r>
    </w:p>
    <w:p w14:paraId="20FC458D" w14:textId="240BA1EF" w:rsidR="0014174B" w:rsidRPr="00793406" w:rsidRDefault="0014174B" w:rsidP="0027246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1</w:t>
      </w:r>
      <w:r w:rsidR="00B52B30" w:rsidRPr="00793406">
        <w:rPr>
          <w:rFonts w:cs="Arial"/>
          <w:color w:val="222222"/>
          <w:sz w:val="24"/>
          <w:szCs w:val="24"/>
          <w:shd w:val="clear" w:color="auto" w:fill="FFFFFF"/>
        </w:rPr>
        <w:t>5</w:t>
      </w:r>
      <w:r w:rsidRPr="00793406">
        <w:rPr>
          <w:rFonts w:cs="Arial"/>
          <w:color w:val="222222"/>
          <w:sz w:val="24"/>
          <w:szCs w:val="24"/>
          <w:shd w:val="clear" w:color="auto" w:fill="FFFFFF"/>
        </w:rPr>
        <w:t>) Stenberg K, Axelson H, Sheehan P, Anderson I, Gülmezoglu AM, Temmerman M, Mason E, Friedman HS, Bhutta ZA, Lawn JE, Sweeny K. Advancing social and economic development by investing in women's and children's health: a new Global Investment Framework. The Lancet 2014;</w:t>
      </w:r>
      <w:r w:rsidR="00F73582" w:rsidRPr="00793406">
        <w:rPr>
          <w:rFonts w:cs="Arial"/>
          <w:color w:val="222222"/>
          <w:sz w:val="24"/>
          <w:szCs w:val="24"/>
          <w:shd w:val="clear" w:color="auto" w:fill="FFFFFF"/>
        </w:rPr>
        <w:t xml:space="preserve"> </w:t>
      </w:r>
      <w:r w:rsidRPr="00793406">
        <w:rPr>
          <w:rFonts w:cs="Arial"/>
          <w:color w:val="222222"/>
          <w:sz w:val="24"/>
          <w:szCs w:val="24"/>
          <w:shd w:val="clear" w:color="auto" w:fill="FFFFFF"/>
        </w:rPr>
        <w:t>383(9925):1333-54</w:t>
      </w:r>
    </w:p>
    <w:p w14:paraId="19493CEB" w14:textId="0A194AC2" w:rsidR="0014174B" w:rsidRPr="00793406" w:rsidRDefault="0014174B" w:rsidP="0027246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1</w:t>
      </w:r>
      <w:r w:rsidR="00B52B30" w:rsidRPr="00793406">
        <w:rPr>
          <w:rFonts w:cs="Arial"/>
          <w:color w:val="222222"/>
          <w:sz w:val="24"/>
          <w:szCs w:val="24"/>
          <w:shd w:val="clear" w:color="auto" w:fill="FFFFFF"/>
        </w:rPr>
        <w:t>6</w:t>
      </w:r>
      <w:r w:rsidRPr="00793406">
        <w:rPr>
          <w:rFonts w:cs="Arial"/>
          <w:color w:val="222222"/>
          <w:sz w:val="24"/>
          <w:szCs w:val="24"/>
          <w:shd w:val="clear" w:color="auto" w:fill="FFFFFF"/>
        </w:rPr>
        <w:t>) Hawkes S. T</w:t>
      </w:r>
      <w:r w:rsidR="00F73582" w:rsidRPr="00793406">
        <w:rPr>
          <w:rFonts w:cs="Arial"/>
          <w:color w:val="222222"/>
          <w:sz w:val="24"/>
          <w:szCs w:val="24"/>
          <w:shd w:val="clear" w:color="auto" w:fill="FFFFFF"/>
        </w:rPr>
        <w:t>h</w:t>
      </w:r>
      <w:r w:rsidRPr="00793406">
        <w:rPr>
          <w:rFonts w:cs="Arial"/>
          <w:color w:val="222222"/>
          <w:sz w:val="24"/>
          <w:szCs w:val="24"/>
          <w:shd w:val="clear" w:color="auto" w:fill="FFFFFF"/>
        </w:rPr>
        <w:t>e banality of patriarchy. The Lancet 2020</w:t>
      </w:r>
      <w:r w:rsidR="00912A43">
        <w:rPr>
          <w:rFonts w:cs="Arial"/>
          <w:color w:val="222222"/>
          <w:sz w:val="24"/>
          <w:szCs w:val="24"/>
          <w:shd w:val="clear" w:color="auto" w:fill="FFFFFF"/>
        </w:rPr>
        <w:t xml:space="preserve">; </w:t>
      </w:r>
      <w:r w:rsidRPr="00793406">
        <w:rPr>
          <w:rFonts w:cs="Arial"/>
          <w:color w:val="222222"/>
          <w:sz w:val="24"/>
          <w:szCs w:val="24"/>
          <w:shd w:val="clear" w:color="auto" w:fill="FFFFFF"/>
        </w:rPr>
        <w:t>396:1624-5</w:t>
      </w:r>
    </w:p>
    <w:p w14:paraId="0BC37BA4" w14:textId="6D500FFC" w:rsidR="0014174B" w:rsidRPr="00793406" w:rsidRDefault="00B15AFE" w:rsidP="00FE6E3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1</w:t>
      </w:r>
      <w:r w:rsidR="006A295C" w:rsidRPr="00793406">
        <w:rPr>
          <w:rFonts w:cs="Arial"/>
          <w:color w:val="222222"/>
          <w:sz w:val="24"/>
          <w:szCs w:val="24"/>
          <w:shd w:val="clear" w:color="auto" w:fill="FFFFFF"/>
        </w:rPr>
        <w:t>7</w:t>
      </w:r>
      <w:r w:rsidRPr="00793406">
        <w:rPr>
          <w:rFonts w:cs="Arial"/>
          <w:color w:val="222222"/>
          <w:sz w:val="24"/>
          <w:szCs w:val="24"/>
          <w:shd w:val="clear" w:color="auto" w:fill="FFFFFF"/>
        </w:rPr>
        <w:t xml:space="preserve">) Clark H, Coll-Seck AM, Banerjee A, Peterson S, Dalglish SL, Ameratunga S, Balabanova D, Bhan </w:t>
      </w:r>
      <w:r w:rsidR="00B52B30" w:rsidRPr="00793406">
        <w:rPr>
          <w:rFonts w:cs="Arial"/>
          <w:color w:val="222222"/>
          <w:sz w:val="24"/>
          <w:szCs w:val="24"/>
          <w:shd w:val="clear" w:color="auto" w:fill="FFFFFF"/>
        </w:rPr>
        <w:t>-</w:t>
      </w:r>
      <w:r w:rsidRPr="00793406">
        <w:rPr>
          <w:rFonts w:cs="Arial"/>
          <w:color w:val="222222"/>
          <w:sz w:val="24"/>
          <w:szCs w:val="24"/>
          <w:shd w:val="clear" w:color="auto" w:fill="FFFFFF"/>
        </w:rPr>
        <w:t xml:space="preserve">MK, Bhutta ZA, Borrazzo J, Claeson M. A future for the world's children? A </w:t>
      </w:r>
      <w:r w:rsidR="00F73582" w:rsidRPr="00793406">
        <w:rPr>
          <w:rFonts w:cs="Arial"/>
          <w:color w:val="222222"/>
          <w:sz w:val="24"/>
          <w:szCs w:val="24"/>
          <w:shd w:val="clear" w:color="auto" w:fill="FFFFFF"/>
        </w:rPr>
        <w:t>W</w:t>
      </w:r>
      <w:r w:rsidRPr="00793406">
        <w:rPr>
          <w:rFonts w:cs="Arial"/>
          <w:color w:val="222222"/>
          <w:sz w:val="24"/>
          <w:szCs w:val="24"/>
          <w:shd w:val="clear" w:color="auto" w:fill="FFFFFF"/>
        </w:rPr>
        <w:t>HO</w:t>
      </w:r>
      <w:r w:rsidR="00B52B30" w:rsidRPr="00793406">
        <w:rPr>
          <w:rFonts w:cs="Arial"/>
          <w:color w:val="222222"/>
          <w:sz w:val="24"/>
          <w:szCs w:val="24"/>
          <w:shd w:val="clear" w:color="auto" w:fill="FFFFFF"/>
        </w:rPr>
        <w:t>-</w:t>
      </w:r>
      <w:r w:rsidRPr="00793406">
        <w:rPr>
          <w:rFonts w:cs="Arial"/>
          <w:color w:val="222222"/>
          <w:sz w:val="24"/>
          <w:szCs w:val="24"/>
          <w:shd w:val="clear" w:color="auto" w:fill="FFFFFF"/>
        </w:rPr>
        <w:t>UNICEF</w:t>
      </w:r>
      <w:r w:rsidR="00B52B30" w:rsidRPr="00793406">
        <w:rPr>
          <w:rFonts w:cs="Arial"/>
          <w:color w:val="222222"/>
          <w:sz w:val="24"/>
          <w:szCs w:val="24"/>
          <w:shd w:val="clear" w:color="auto" w:fill="FFFFFF"/>
        </w:rPr>
        <w:t>-</w:t>
      </w:r>
      <w:r w:rsidRPr="00793406">
        <w:rPr>
          <w:rFonts w:cs="Arial"/>
          <w:color w:val="222222"/>
          <w:sz w:val="24"/>
          <w:szCs w:val="24"/>
          <w:shd w:val="clear" w:color="auto" w:fill="FFFFFF"/>
        </w:rPr>
        <w:t>Lancet Commission. The Lancet 2020;</w:t>
      </w:r>
      <w:r w:rsidR="00F73582" w:rsidRPr="00793406">
        <w:rPr>
          <w:rFonts w:cs="Arial"/>
          <w:color w:val="222222"/>
          <w:sz w:val="24"/>
          <w:szCs w:val="24"/>
          <w:shd w:val="clear" w:color="auto" w:fill="FFFFFF"/>
        </w:rPr>
        <w:t xml:space="preserve"> </w:t>
      </w:r>
      <w:r w:rsidRPr="00793406">
        <w:rPr>
          <w:rFonts w:cs="Arial"/>
          <w:color w:val="222222"/>
          <w:sz w:val="24"/>
          <w:szCs w:val="24"/>
          <w:shd w:val="clear" w:color="auto" w:fill="FFFFFF"/>
        </w:rPr>
        <w:t>395(10224):605-58</w:t>
      </w:r>
    </w:p>
    <w:p w14:paraId="7763E80D" w14:textId="1DD60D91" w:rsidR="00B15AFE" w:rsidRPr="00793406" w:rsidRDefault="00B15AFE" w:rsidP="00FE6E3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1</w:t>
      </w:r>
      <w:r w:rsidR="006A295C" w:rsidRPr="00793406">
        <w:rPr>
          <w:rFonts w:cs="Arial"/>
          <w:color w:val="222222"/>
          <w:sz w:val="24"/>
          <w:szCs w:val="24"/>
          <w:shd w:val="clear" w:color="auto" w:fill="FFFFFF"/>
        </w:rPr>
        <w:t>8</w:t>
      </w:r>
      <w:r w:rsidRPr="00793406">
        <w:rPr>
          <w:rFonts w:cs="Arial"/>
          <w:color w:val="222222"/>
          <w:sz w:val="24"/>
          <w:szCs w:val="24"/>
          <w:shd w:val="clear" w:color="auto" w:fill="FFFFFF"/>
        </w:rPr>
        <w:t xml:space="preserve">) </w:t>
      </w:r>
      <w:hyperlink r:id="rId11" w:history="1">
        <w:r w:rsidR="009E1583" w:rsidRPr="00793406">
          <w:rPr>
            <w:rStyle w:val="Hyperlink"/>
            <w:rFonts w:cs="Arial"/>
            <w:sz w:val="24"/>
            <w:szCs w:val="24"/>
            <w:shd w:val="clear" w:color="auto" w:fill="FFFFFF"/>
          </w:rPr>
          <w:t>https://www.unicef.org/reports/averting-lost-generation-covid19-world-childrens-day-2020-brief</w:t>
        </w:r>
      </w:hyperlink>
      <w:r w:rsidR="006A295C" w:rsidRPr="00793406">
        <w:rPr>
          <w:rStyle w:val="Hyperlink"/>
          <w:rFonts w:cs="Arial"/>
          <w:sz w:val="24"/>
          <w:szCs w:val="24"/>
          <w:shd w:val="clear" w:color="auto" w:fill="FFFFFF"/>
        </w:rPr>
        <w:t>; last accessed 06=12-2020</w:t>
      </w:r>
    </w:p>
    <w:p w14:paraId="686B7F1B" w14:textId="33821F4C" w:rsidR="009E1583" w:rsidRPr="00793406" w:rsidRDefault="009E1583" w:rsidP="00FE6E3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1</w:t>
      </w:r>
      <w:r w:rsidR="006A295C" w:rsidRPr="00793406">
        <w:rPr>
          <w:rFonts w:cs="Arial"/>
          <w:color w:val="222222"/>
          <w:sz w:val="24"/>
          <w:szCs w:val="24"/>
          <w:shd w:val="clear" w:color="auto" w:fill="FFFFFF"/>
        </w:rPr>
        <w:t>9</w:t>
      </w:r>
      <w:r w:rsidRPr="00793406">
        <w:rPr>
          <w:rFonts w:cs="Arial"/>
          <w:color w:val="222222"/>
          <w:sz w:val="24"/>
          <w:szCs w:val="24"/>
          <w:shd w:val="clear" w:color="auto" w:fill="FFFFFF"/>
        </w:rPr>
        <w:t xml:space="preserve">) </w:t>
      </w:r>
      <w:r w:rsidR="007E2E3E" w:rsidRPr="00793406">
        <w:rPr>
          <w:rFonts w:cs="Arial"/>
          <w:color w:val="222222"/>
          <w:sz w:val="24"/>
          <w:szCs w:val="24"/>
          <w:shd w:val="clear" w:color="auto" w:fill="FFFFFF"/>
        </w:rPr>
        <w:t>Sachs JD, Karim SA, Aknin L, Allen J, Brosbøl K, Barron GC, Daszak P, Espinosa MF, Gaspar V, Gaviria A, Haines A. Lancet COVID-19 Commission Statement on the occasion of the 75th session of the UN General Assembly. The Lancet 2020;</w:t>
      </w:r>
      <w:r w:rsidR="00272464" w:rsidRPr="00793406">
        <w:rPr>
          <w:rFonts w:cs="Arial"/>
          <w:color w:val="222222"/>
          <w:sz w:val="24"/>
          <w:szCs w:val="24"/>
          <w:shd w:val="clear" w:color="auto" w:fill="FFFFFF"/>
        </w:rPr>
        <w:t xml:space="preserve"> </w:t>
      </w:r>
      <w:r w:rsidR="007E2E3E" w:rsidRPr="00793406">
        <w:rPr>
          <w:rFonts w:cs="Arial"/>
          <w:color w:val="222222"/>
          <w:sz w:val="24"/>
          <w:szCs w:val="24"/>
          <w:shd w:val="clear" w:color="auto" w:fill="FFFFFF"/>
        </w:rPr>
        <w:t>396(10257):1102-24</w:t>
      </w:r>
    </w:p>
    <w:p w14:paraId="427A47C1" w14:textId="6BBE8DD1" w:rsidR="001E66D1" w:rsidRPr="00793406" w:rsidRDefault="007E2E3E" w:rsidP="00272464">
      <w:pPr>
        <w:autoSpaceDE w:val="0"/>
        <w:autoSpaceDN w:val="0"/>
        <w:adjustRightInd w:val="0"/>
        <w:spacing w:after="120"/>
        <w:jc w:val="left"/>
        <w:rPr>
          <w:rFonts w:cs="Arial"/>
          <w:color w:val="000000" w:themeColor="text1"/>
          <w:sz w:val="24"/>
          <w:szCs w:val="24"/>
          <w:shd w:val="clear" w:color="auto" w:fill="FFFFFF"/>
        </w:rPr>
      </w:pPr>
      <w:r w:rsidRPr="00793406">
        <w:rPr>
          <w:rFonts w:cs="Arial"/>
          <w:color w:val="222222"/>
          <w:sz w:val="24"/>
          <w:szCs w:val="24"/>
          <w:shd w:val="clear" w:color="auto" w:fill="FFFFFF"/>
        </w:rPr>
        <w:t xml:space="preserve">19) </w:t>
      </w:r>
      <w:r w:rsidR="00272464" w:rsidRPr="00793406">
        <w:rPr>
          <w:rFonts w:cs="Arial"/>
          <w:color w:val="222222"/>
          <w:sz w:val="24"/>
          <w:szCs w:val="24"/>
          <w:shd w:val="clear" w:color="auto" w:fill="FFFFFF"/>
        </w:rPr>
        <w:t xml:space="preserve">United Nations Economic and Social Council </w:t>
      </w:r>
      <w:hyperlink r:id="rId12" w:history="1">
        <w:r w:rsidR="008B5485" w:rsidRPr="00793406">
          <w:rPr>
            <w:rStyle w:val="Hyperlink"/>
            <w:rFonts w:cs="Arial"/>
            <w:sz w:val="24"/>
            <w:szCs w:val="24"/>
            <w:shd w:val="clear" w:color="auto" w:fill="FFFFFF"/>
          </w:rPr>
          <w:t>http://docstore.ohchr.org/SelfServices/FilesHandler.ashx?enc=4slQ6QSmlBEDzFEovLCuW1AVC1NkPsgUedPlF1vfPMJ2c7ey6PAz2qaojTzDJmC0y%2B9t%2BsAtGDNzdEqA6SuP2r0w%2F6sVBGTpvTSCbiOr4XVFTqhQY65auTFbQRPWNDxL</w:t>
        </w:r>
      </w:hyperlink>
      <w:r w:rsidR="00272464" w:rsidRPr="00793406">
        <w:rPr>
          <w:rStyle w:val="Hyperlink"/>
          <w:rFonts w:cs="Arial"/>
          <w:color w:val="000000" w:themeColor="text1"/>
          <w:sz w:val="24"/>
          <w:szCs w:val="24"/>
          <w:u w:val="none"/>
          <w:shd w:val="clear" w:color="auto" w:fill="FFFFFF"/>
        </w:rPr>
        <w:t>; last accessed 06-12-2020</w:t>
      </w:r>
    </w:p>
    <w:p w14:paraId="14C9DA4F" w14:textId="5A9C58E0" w:rsidR="001E66D1" w:rsidRPr="00793406" w:rsidRDefault="001E66D1" w:rsidP="00272464">
      <w:pPr>
        <w:autoSpaceDE w:val="0"/>
        <w:autoSpaceDN w:val="0"/>
        <w:adjustRightInd w:val="0"/>
        <w:spacing w:after="120"/>
        <w:rPr>
          <w:rFonts w:eastAsia="MS Mincho" w:cs="Calibri"/>
          <w:sz w:val="24"/>
          <w:szCs w:val="24"/>
          <w:lang w:eastAsia="ja-JP"/>
        </w:rPr>
      </w:pPr>
      <w:r w:rsidRPr="00793406">
        <w:rPr>
          <w:rFonts w:cs="Arial"/>
          <w:color w:val="222222"/>
          <w:sz w:val="24"/>
          <w:szCs w:val="24"/>
          <w:shd w:val="clear" w:color="auto" w:fill="FFFFFF"/>
        </w:rPr>
        <w:t xml:space="preserve">20) </w:t>
      </w:r>
      <w:r w:rsidRPr="00793406">
        <w:rPr>
          <w:rFonts w:cs="Calibri"/>
          <w:bCs/>
          <w:sz w:val="24"/>
          <w:szCs w:val="24"/>
        </w:rPr>
        <w:t>Modi N</w:t>
      </w:r>
      <w:r w:rsidRPr="00793406">
        <w:rPr>
          <w:rFonts w:cs="Calibri"/>
          <w:sz w:val="24"/>
          <w:szCs w:val="24"/>
        </w:rPr>
        <w:t>, Clark H, Wolfe I, Costello A, Budge H for the writing group of the Royal College of Paediatrics and Child Health Commission on Child Health Research</w:t>
      </w:r>
      <w:r w:rsidR="00627E36" w:rsidRPr="00793406">
        <w:rPr>
          <w:rFonts w:cs="Calibri"/>
          <w:sz w:val="24"/>
          <w:szCs w:val="24"/>
        </w:rPr>
        <w:t>.</w:t>
      </w:r>
      <w:r w:rsidRPr="00793406">
        <w:rPr>
          <w:rFonts w:cs="Calibri"/>
          <w:sz w:val="24"/>
          <w:szCs w:val="24"/>
        </w:rPr>
        <w:t xml:space="preserve"> A healthy nation: strengthening child health research in the UK Lancet 2013; 381(9860):73-87 </w:t>
      </w:r>
    </w:p>
    <w:p w14:paraId="1F6C7DB0" w14:textId="2685B23D" w:rsidR="003A725F" w:rsidRPr="00793406" w:rsidRDefault="006A295C" w:rsidP="00272464">
      <w:pPr>
        <w:spacing w:after="120"/>
        <w:jc w:val="left"/>
        <w:rPr>
          <w:rFonts w:cstheme="minorHAnsi"/>
          <w:color w:val="000000" w:themeColor="text1"/>
          <w:sz w:val="24"/>
          <w:szCs w:val="24"/>
        </w:rPr>
      </w:pPr>
      <w:r w:rsidRPr="00793406">
        <w:rPr>
          <w:rFonts w:cs="Arial"/>
          <w:color w:val="222222"/>
          <w:sz w:val="24"/>
          <w:szCs w:val="24"/>
          <w:shd w:val="clear" w:color="auto" w:fill="FFFFFF"/>
        </w:rPr>
        <w:t>21</w:t>
      </w:r>
      <w:r w:rsidR="003A725F" w:rsidRPr="00793406">
        <w:rPr>
          <w:rFonts w:cs="Arial"/>
          <w:color w:val="222222"/>
          <w:sz w:val="24"/>
          <w:szCs w:val="24"/>
          <w:shd w:val="clear" w:color="auto" w:fill="FFFFFF"/>
        </w:rPr>
        <w:t>)</w:t>
      </w:r>
      <w:r w:rsidRPr="00793406">
        <w:rPr>
          <w:rFonts w:cs="Arial"/>
          <w:color w:val="222222"/>
          <w:sz w:val="24"/>
          <w:szCs w:val="24"/>
          <w:shd w:val="clear" w:color="auto" w:fill="FFFFFF"/>
        </w:rPr>
        <w:t xml:space="preserve"> </w:t>
      </w:r>
      <w:r w:rsidR="003A725F" w:rsidRPr="00793406">
        <w:rPr>
          <w:rFonts w:cstheme="minorHAnsi"/>
          <w:sz w:val="24"/>
          <w:szCs w:val="24"/>
        </w:rPr>
        <w:t xml:space="preserve">WHO-SAGE roadmap for prioritizing uses of COVID-19 vaccines in the context of a limited supply: An approach to inform planning and subsequent recommendations based upon epidemiologic setting and vaccine supply scenarios Version 1.113 November2020 </w:t>
      </w:r>
      <w:hyperlink r:id="rId13" w:history="1">
        <w:r w:rsidR="003A725F" w:rsidRPr="00793406">
          <w:rPr>
            <w:rStyle w:val="Hyperlink"/>
            <w:rFonts w:cstheme="minorHAnsi"/>
            <w:sz w:val="24"/>
            <w:szCs w:val="24"/>
          </w:rPr>
          <w:t>https://www.who.int/docs/default-source/immunization/sage/covid/sage-prioritization-roadmap-covid19-vaccines.pdf?Status=Temp&amp;sfvrsn=bf227443_2</w:t>
        </w:r>
      </w:hyperlink>
      <w:r w:rsidR="003A725F" w:rsidRPr="00793406">
        <w:rPr>
          <w:rStyle w:val="Hyperlink"/>
          <w:rFonts w:cstheme="minorHAnsi"/>
          <w:color w:val="000000" w:themeColor="text1"/>
          <w:sz w:val="24"/>
          <w:szCs w:val="24"/>
          <w:u w:val="none"/>
        </w:rPr>
        <w:t>; last accessed 06-12-2020</w:t>
      </w:r>
    </w:p>
    <w:p w14:paraId="23C70E8E" w14:textId="21F77E0E" w:rsidR="008B5485" w:rsidRPr="00793406" w:rsidRDefault="006A295C" w:rsidP="00FE6E34">
      <w:pPr>
        <w:autoSpaceDE w:val="0"/>
        <w:autoSpaceDN w:val="0"/>
        <w:adjustRightInd w:val="0"/>
        <w:spacing w:after="120"/>
        <w:rPr>
          <w:rFonts w:cs="Arial"/>
          <w:color w:val="222222"/>
          <w:sz w:val="24"/>
          <w:szCs w:val="24"/>
          <w:shd w:val="clear" w:color="auto" w:fill="FFFFFF"/>
        </w:rPr>
      </w:pPr>
      <w:r w:rsidRPr="00793406">
        <w:rPr>
          <w:rFonts w:cs="Arial"/>
          <w:color w:val="222222"/>
          <w:sz w:val="24"/>
          <w:szCs w:val="24"/>
          <w:shd w:val="clear" w:color="auto" w:fill="FFFFFF"/>
        </w:rPr>
        <w:t xml:space="preserve">22) </w:t>
      </w:r>
      <w:r w:rsidR="008B5485" w:rsidRPr="00793406">
        <w:rPr>
          <w:rFonts w:cs="Arial"/>
          <w:color w:val="222222"/>
          <w:sz w:val="24"/>
          <w:szCs w:val="24"/>
          <w:shd w:val="clear" w:color="auto" w:fill="FFFFFF"/>
        </w:rPr>
        <w:t>Penkler M, Müller R, Kenney M, Hanson M. Back to normal? Building community resilience after COVID-19. The Lancet Diabetes &amp; Endocrinology 2020;</w:t>
      </w:r>
      <w:r w:rsidR="00F73582" w:rsidRPr="00793406">
        <w:rPr>
          <w:rFonts w:cs="Arial"/>
          <w:color w:val="222222"/>
          <w:sz w:val="24"/>
          <w:szCs w:val="24"/>
          <w:shd w:val="clear" w:color="auto" w:fill="FFFFFF"/>
        </w:rPr>
        <w:t xml:space="preserve"> </w:t>
      </w:r>
      <w:r w:rsidR="008B5485" w:rsidRPr="00793406">
        <w:rPr>
          <w:rFonts w:cs="Arial"/>
          <w:color w:val="222222"/>
          <w:sz w:val="24"/>
          <w:szCs w:val="24"/>
          <w:shd w:val="clear" w:color="auto" w:fill="FFFFFF"/>
        </w:rPr>
        <w:t>8(8):664-5</w:t>
      </w:r>
    </w:p>
    <w:p w14:paraId="2DFBBB63" w14:textId="4D88D089" w:rsidR="00C55025" w:rsidRDefault="00C55025" w:rsidP="00FE6E34">
      <w:pPr>
        <w:autoSpaceDE w:val="0"/>
        <w:autoSpaceDN w:val="0"/>
        <w:adjustRightInd w:val="0"/>
        <w:spacing w:after="120"/>
        <w:rPr>
          <w:rFonts w:cstheme="minorHAnsi"/>
          <w:sz w:val="24"/>
          <w:szCs w:val="24"/>
        </w:rPr>
      </w:pPr>
    </w:p>
    <w:p w14:paraId="59E34B74" w14:textId="77777777" w:rsidR="00C55025" w:rsidRPr="00793406" w:rsidRDefault="00C55025" w:rsidP="00FE6E34">
      <w:pPr>
        <w:autoSpaceDE w:val="0"/>
        <w:autoSpaceDN w:val="0"/>
        <w:adjustRightInd w:val="0"/>
        <w:spacing w:after="120"/>
        <w:rPr>
          <w:rFonts w:cstheme="minorHAnsi"/>
          <w:sz w:val="24"/>
          <w:szCs w:val="24"/>
        </w:rPr>
      </w:pPr>
    </w:p>
    <w:sectPr w:rsidR="00C55025" w:rsidRPr="00793406" w:rsidSect="0031051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Source Sans Pro">
    <w:altName w:val="Cambria Math"/>
    <w:charset w:val="00"/>
    <w:family w:val="swiss"/>
    <w:pitch w:val="variable"/>
    <w:sig w:usb0="00000001" w:usb1="02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haker 2 Lancet">
    <w:altName w:val="Shaker 2 Lance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36A6"/>
    <w:multiLevelType w:val="hybridMultilevel"/>
    <w:tmpl w:val="65B4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96E16"/>
    <w:multiLevelType w:val="hybridMultilevel"/>
    <w:tmpl w:val="07964D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B89"/>
    <w:multiLevelType w:val="hybridMultilevel"/>
    <w:tmpl w:val="25F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80D99"/>
    <w:multiLevelType w:val="hybridMultilevel"/>
    <w:tmpl w:val="918C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61D2E"/>
    <w:multiLevelType w:val="hybridMultilevel"/>
    <w:tmpl w:val="6BD0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2523D"/>
    <w:multiLevelType w:val="hybridMultilevel"/>
    <w:tmpl w:val="E6A864EC"/>
    <w:lvl w:ilvl="0" w:tplc="E3A4AC28">
      <w:start w:val="1"/>
      <w:numFmt w:val="decimal"/>
      <w:lvlText w:val="%1)"/>
      <w:lvlJc w:val="left"/>
      <w:pPr>
        <w:ind w:left="720" w:hanging="360"/>
      </w:pPr>
      <w:rPr>
        <w:rFonts w:hint="default"/>
        <w:b w:val="0"/>
        <w:i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D3"/>
    <w:rsid w:val="00001100"/>
    <w:rsid w:val="000136D4"/>
    <w:rsid w:val="000567D4"/>
    <w:rsid w:val="0007057B"/>
    <w:rsid w:val="00070E7E"/>
    <w:rsid w:val="00072DB9"/>
    <w:rsid w:val="0007532F"/>
    <w:rsid w:val="00075825"/>
    <w:rsid w:val="000775D6"/>
    <w:rsid w:val="00081E33"/>
    <w:rsid w:val="000823A7"/>
    <w:rsid w:val="0008309C"/>
    <w:rsid w:val="00084771"/>
    <w:rsid w:val="00086AA9"/>
    <w:rsid w:val="000870D0"/>
    <w:rsid w:val="00090001"/>
    <w:rsid w:val="0009474F"/>
    <w:rsid w:val="000B06B6"/>
    <w:rsid w:val="000B1004"/>
    <w:rsid w:val="000E6188"/>
    <w:rsid w:val="000E7190"/>
    <w:rsid w:val="000F185E"/>
    <w:rsid w:val="000F1C11"/>
    <w:rsid w:val="000F70DF"/>
    <w:rsid w:val="00102423"/>
    <w:rsid w:val="00104908"/>
    <w:rsid w:val="0010670F"/>
    <w:rsid w:val="00140179"/>
    <w:rsid w:val="00141108"/>
    <w:rsid w:val="0014174B"/>
    <w:rsid w:val="00161387"/>
    <w:rsid w:val="00162613"/>
    <w:rsid w:val="001761A9"/>
    <w:rsid w:val="0018350B"/>
    <w:rsid w:val="00184108"/>
    <w:rsid w:val="001A4861"/>
    <w:rsid w:val="001A7754"/>
    <w:rsid w:val="001B171C"/>
    <w:rsid w:val="001B3139"/>
    <w:rsid w:val="001C2BFF"/>
    <w:rsid w:val="001D37A4"/>
    <w:rsid w:val="001D4916"/>
    <w:rsid w:val="001E66D1"/>
    <w:rsid w:val="001E7546"/>
    <w:rsid w:val="001F0CF0"/>
    <w:rsid w:val="001F1A72"/>
    <w:rsid w:val="001F5DFE"/>
    <w:rsid w:val="0020009A"/>
    <w:rsid w:val="002129E2"/>
    <w:rsid w:val="002432A2"/>
    <w:rsid w:val="002470C7"/>
    <w:rsid w:val="002531F2"/>
    <w:rsid w:val="0026488F"/>
    <w:rsid w:val="00271209"/>
    <w:rsid w:val="00272464"/>
    <w:rsid w:val="00275A1B"/>
    <w:rsid w:val="00280D82"/>
    <w:rsid w:val="00291F56"/>
    <w:rsid w:val="002A5A44"/>
    <w:rsid w:val="002A77DE"/>
    <w:rsid w:val="002C6D82"/>
    <w:rsid w:val="002C724F"/>
    <w:rsid w:val="002D5815"/>
    <w:rsid w:val="002E439C"/>
    <w:rsid w:val="003007B8"/>
    <w:rsid w:val="00310518"/>
    <w:rsid w:val="00311A91"/>
    <w:rsid w:val="0032348A"/>
    <w:rsid w:val="003622A6"/>
    <w:rsid w:val="00371A22"/>
    <w:rsid w:val="00391847"/>
    <w:rsid w:val="003974F2"/>
    <w:rsid w:val="003A725F"/>
    <w:rsid w:val="003B47A2"/>
    <w:rsid w:val="003C2A7E"/>
    <w:rsid w:val="003C4F6C"/>
    <w:rsid w:val="003F30C0"/>
    <w:rsid w:val="00401C77"/>
    <w:rsid w:val="00411436"/>
    <w:rsid w:val="00411FBF"/>
    <w:rsid w:val="00415433"/>
    <w:rsid w:val="0044259C"/>
    <w:rsid w:val="00445EE2"/>
    <w:rsid w:val="00446EAA"/>
    <w:rsid w:val="00452D72"/>
    <w:rsid w:val="004542CD"/>
    <w:rsid w:val="004653B4"/>
    <w:rsid w:val="00482B03"/>
    <w:rsid w:val="00486690"/>
    <w:rsid w:val="00493980"/>
    <w:rsid w:val="00497962"/>
    <w:rsid w:val="004A088F"/>
    <w:rsid w:val="004A7B42"/>
    <w:rsid w:val="004B2C15"/>
    <w:rsid w:val="004B6D98"/>
    <w:rsid w:val="004C20C9"/>
    <w:rsid w:val="004E1FC9"/>
    <w:rsid w:val="004F050F"/>
    <w:rsid w:val="004F672F"/>
    <w:rsid w:val="004F695B"/>
    <w:rsid w:val="004F6EDA"/>
    <w:rsid w:val="005178EA"/>
    <w:rsid w:val="00522BCE"/>
    <w:rsid w:val="0054635B"/>
    <w:rsid w:val="00551938"/>
    <w:rsid w:val="00561B1E"/>
    <w:rsid w:val="00566983"/>
    <w:rsid w:val="00570D36"/>
    <w:rsid w:val="005715AE"/>
    <w:rsid w:val="005B7970"/>
    <w:rsid w:val="005C1824"/>
    <w:rsid w:val="005C2D60"/>
    <w:rsid w:val="005C57B6"/>
    <w:rsid w:val="005C5A01"/>
    <w:rsid w:val="005C7395"/>
    <w:rsid w:val="005D254E"/>
    <w:rsid w:val="005D3E4D"/>
    <w:rsid w:val="005D3EDC"/>
    <w:rsid w:val="005F4EA3"/>
    <w:rsid w:val="005F7BBC"/>
    <w:rsid w:val="00601654"/>
    <w:rsid w:val="00606A7E"/>
    <w:rsid w:val="00612426"/>
    <w:rsid w:val="00616ABF"/>
    <w:rsid w:val="00627E36"/>
    <w:rsid w:val="00627F76"/>
    <w:rsid w:val="00637375"/>
    <w:rsid w:val="00640C87"/>
    <w:rsid w:val="006459CD"/>
    <w:rsid w:val="00657CB1"/>
    <w:rsid w:val="00662266"/>
    <w:rsid w:val="00665D96"/>
    <w:rsid w:val="00677600"/>
    <w:rsid w:val="00684F85"/>
    <w:rsid w:val="0069595A"/>
    <w:rsid w:val="0069609E"/>
    <w:rsid w:val="006A0081"/>
    <w:rsid w:val="006A295C"/>
    <w:rsid w:val="006A3B67"/>
    <w:rsid w:val="006A5C37"/>
    <w:rsid w:val="006B4F0C"/>
    <w:rsid w:val="006B60EC"/>
    <w:rsid w:val="006C1F91"/>
    <w:rsid w:val="006C560D"/>
    <w:rsid w:val="006D5F43"/>
    <w:rsid w:val="006E2862"/>
    <w:rsid w:val="006E5DC5"/>
    <w:rsid w:val="006F5997"/>
    <w:rsid w:val="006F6C78"/>
    <w:rsid w:val="0070026F"/>
    <w:rsid w:val="007022F6"/>
    <w:rsid w:val="0070314C"/>
    <w:rsid w:val="007079DB"/>
    <w:rsid w:val="00725496"/>
    <w:rsid w:val="007271D3"/>
    <w:rsid w:val="00732804"/>
    <w:rsid w:val="00740EAA"/>
    <w:rsid w:val="00741FBE"/>
    <w:rsid w:val="00743536"/>
    <w:rsid w:val="00756F99"/>
    <w:rsid w:val="00773F9D"/>
    <w:rsid w:val="007858F1"/>
    <w:rsid w:val="00791886"/>
    <w:rsid w:val="0079310B"/>
    <w:rsid w:val="00793406"/>
    <w:rsid w:val="00796F72"/>
    <w:rsid w:val="007A4DBF"/>
    <w:rsid w:val="007A7836"/>
    <w:rsid w:val="007A7AC1"/>
    <w:rsid w:val="007B2241"/>
    <w:rsid w:val="007C3D72"/>
    <w:rsid w:val="007D55DE"/>
    <w:rsid w:val="007E2E3E"/>
    <w:rsid w:val="00812F6C"/>
    <w:rsid w:val="008132C9"/>
    <w:rsid w:val="00822199"/>
    <w:rsid w:val="0083298A"/>
    <w:rsid w:val="00836170"/>
    <w:rsid w:val="00847BB6"/>
    <w:rsid w:val="00852D9B"/>
    <w:rsid w:val="00877E14"/>
    <w:rsid w:val="00891E01"/>
    <w:rsid w:val="008B18F8"/>
    <w:rsid w:val="008B5485"/>
    <w:rsid w:val="008B7CD8"/>
    <w:rsid w:val="008C1E59"/>
    <w:rsid w:val="008D3E8D"/>
    <w:rsid w:val="008F0D3A"/>
    <w:rsid w:val="00903B76"/>
    <w:rsid w:val="00904190"/>
    <w:rsid w:val="0091256E"/>
    <w:rsid w:val="00912A43"/>
    <w:rsid w:val="00912D32"/>
    <w:rsid w:val="009170A8"/>
    <w:rsid w:val="00923784"/>
    <w:rsid w:val="0092408F"/>
    <w:rsid w:val="0093232F"/>
    <w:rsid w:val="00937B06"/>
    <w:rsid w:val="00942604"/>
    <w:rsid w:val="009468AE"/>
    <w:rsid w:val="00962CB7"/>
    <w:rsid w:val="00965E7A"/>
    <w:rsid w:val="0097590A"/>
    <w:rsid w:val="00976042"/>
    <w:rsid w:val="00984B7B"/>
    <w:rsid w:val="00986947"/>
    <w:rsid w:val="00990B64"/>
    <w:rsid w:val="00991A9B"/>
    <w:rsid w:val="00993995"/>
    <w:rsid w:val="009A6159"/>
    <w:rsid w:val="009B2BD7"/>
    <w:rsid w:val="009B325B"/>
    <w:rsid w:val="009B73BF"/>
    <w:rsid w:val="009D1A1F"/>
    <w:rsid w:val="009E03BD"/>
    <w:rsid w:val="009E1583"/>
    <w:rsid w:val="009E7BD8"/>
    <w:rsid w:val="00A04EDE"/>
    <w:rsid w:val="00A067CF"/>
    <w:rsid w:val="00A10898"/>
    <w:rsid w:val="00A149EE"/>
    <w:rsid w:val="00A16616"/>
    <w:rsid w:val="00A22CF7"/>
    <w:rsid w:val="00A269F7"/>
    <w:rsid w:val="00A4340B"/>
    <w:rsid w:val="00A506A0"/>
    <w:rsid w:val="00A53D69"/>
    <w:rsid w:val="00A61286"/>
    <w:rsid w:val="00A902E1"/>
    <w:rsid w:val="00A96584"/>
    <w:rsid w:val="00AB73F5"/>
    <w:rsid w:val="00AD347E"/>
    <w:rsid w:val="00AD6FC1"/>
    <w:rsid w:val="00AD7CC8"/>
    <w:rsid w:val="00AE644F"/>
    <w:rsid w:val="00AF27C2"/>
    <w:rsid w:val="00AF383D"/>
    <w:rsid w:val="00AF5C0A"/>
    <w:rsid w:val="00B028F3"/>
    <w:rsid w:val="00B12C2C"/>
    <w:rsid w:val="00B1490A"/>
    <w:rsid w:val="00B1512C"/>
    <w:rsid w:val="00B15AFE"/>
    <w:rsid w:val="00B20F50"/>
    <w:rsid w:val="00B2676F"/>
    <w:rsid w:val="00B27703"/>
    <w:rsid w:val="00B3459B"/>
    <w:rsid w:val="00B421B9"/>
    <w:rsid w:val="00B46F0B"/>
    <w:rsid w:val="00B52B30"/>
    <w:rsid w:val="00B67240"/>
    <w:rsid w:val="00B868AE"/>
    <w:rsid w:val="00B87950"/>
    <w:rsid w:val="00B9060A"/>
    <w:rsid w:val="00BB2376"/>
    <w:rsid w:val="00BC1023"/>
    <w:rsid w:val="00BC5B36"/>
    <w:rsid w:val="00BD3550"/>
    <w:rsid w:val="00BD43DB"/>
    <w:rsid w:val="00BD7A4D"/>
    <w:rsid w:val="00BE27C2"/>
    <w:rsid w:val="00C00353"/>
    <w:rsid w:val="00C057C1"/>
    <w:rsid w:val="00C16A97"/>
    <w:rsid w:val="00C27F66"/>
    <w:rsid w:val="00C4414C"/>
    <w:rsid w:val="00C447B6"/>
    <w:rsid w:val="00C55025"/>
    <w:rsid w:val="00C56640"/>
    <w:rsid w:val="00C611E1"/>
    <w:rsid w:val="00C6378A"/>
    <w:rsid w:val="00C65534"/>
    <w:rsid w:val="00C65D61"/>
    <w:rsid w:val="00C8696C"/>
    <w:rsid w:val="00C97675"/>
    <w:rsid w:val="00C97C9D"/>
    <w:rsid w:val="00CA5593"/>
    <w:rsid w:val="00CB70CD"/>
    <w:rsid w:val="00CD2B2E"/>
    <w:rsid w:val="00CE3821"/>
    <w:rsid w:val="00CF5BCD"/>
    <w:rsid w:val="00D1346C"/>
    <w:rsid w:val="00D14B98"/>
    <w:rsid w:val="00D218D9"/>
    <w:rsid w:val="00D22410"/>
    <w:rsid w:val="00D22C22"/>
    <w:rsid w:val="00D316E4"/>
    <w:rsid w:val="00D34C24"/>
    <w:rsid w:val="00D356FA"/>
    <w:rsid w:val="00D37737"/>
    <w:rsid w:val="00D50CF4"/>
    <w:rsid w:val="00D70AE9"/>
    <w:rsid w:val="00D717E8"/>
    <w:rsid w:val="00D72713"/>
    <w:rsid w:val="00D75B57"/>
    <w:rsid w:val="00D84A4E"/>
    <w:rsid w:val="00D856E5"/>
    <w:rsid w:val="00DB1311"/>
    <w:rsid w:val="00DB4E62"/>
    <w:rsid w:val="00DC39B4"/>
    <w:rsid w:val="00DD7E55"/>
    <w:rsid w:val="00E02701"/>
    <w:rsid w:val="00E06127"/>
    <w:rsid w:val="00E0786C"/>
    <w:rsid w:val="00E12B32"/>
    <w:rsid w:val="00E130A1"/>
    <w:rsid w:val="00E1675B"/>
    <w:rsid w:val="00E266C3"/>
    <w:rsid w:val="00E26C13"/>
    <w:rsid w:val="00E278A5"/>
    <w:rsid w:val="00E3213C"/>
    <w:rsid w:val="00E328A4"/>
    <w:rsid w:val="00E35FD1"/>
    <w:rsid w:val="00E572FA"/>
    <w:rsid w:val="00E61CA0"/>
    <w:rsid w:val="00E66D25"/>
    <w:rsid w:val="00E73151"/>
    <w:rsid w:val="00E7546D"/>
    <w:rsid w:val="00E81973"/>
    <w:rsid w:val="00EB4B6C"/>
    <w:rsid w:val="00EC7AE9"/>
    <w:rsid w:val="00EE4F47"/>
    <w:rsid w:val="00EF218D"/>
    <w:rsid w:val="00F03D59"/>
    <w:rsid w:val="00F16525"/>
    <w:rsid w:val="00F4333B"/>
    <w:rsid w:val="00F65D49"/>
    <w:rsid w:val="00F73582"/>
    <w:rsid w:val="00F837D3"/>
    <w:rsid w:val="00F83877"/>
    <w:rsid w:val="00F84A50"/>
    <w:rsid w:val="00F9086A"/>
    <w:rsid w:val="00F93D97"/>
    <w:rsid w:val="00FA0EE0"/>
    <w:rsid w:val="00FA1AF2"/>
    <w:rsid w:val="00FA6EBA"/>
    <w:rsid w:val="00FE6E34"/>
    <w:rsid w:val="00FF49E4"/>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CABB"/>
  <w15:chartTrackingRefBased/>
  <w15:docId w15:val="{6F474B19-4550-4F05-A4D0-1D297945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55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unhideWhenUsed/>
    <w:qFormat/>
    <w:rsid w:val="007D55D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37D3"/>
    <w:rPr>
      <w:sz w:val="16"/>
      <w:szCs w:val="16"/>
    </w:rPr>
  </w:style>
  <w:style w:type="paragraph" w:styleId="CommentText">
    <w:name w:val="annotation text"/>
    <w:basedOn w:val="Normal"/>
    <w:link w:val="CommentTextChar"/>
    <w:uiPriority w:val="99"/>
    <w:semiHidden/>
    <w:unhideWhenUsed/>
    <w:rsid w:val="00F837D3"/>
    <w:rPr>
      <w:sz w:val="20"/>
      <w:szCs w:val="20"/>
    </w:rPr>
  </w:style>
  <w:style w:type="character" w:customStyle="1" w:styleId="CommentTextChar">
    <w:name w:val="Comment Text Char"/>
    <w:basedOn w:val="DefaultParagraphFont"/>
    <w:link w:val="CommentText"/>
    <w:uiPriority w:val="99"/>
    <w:semiHidden/>
    <w:rsid w:val="00F837D3"/>
    <w:rPr>
      <w:sz w:val="20"/>
      <w:szCs w:val="20"/>
    </w:rPr>
  </w:style>
  <w:style w:type="paragraph" w:styleId="CommentSubject">
    <w:name w:val="annotation subject"/>
    <w:basedOn w:val="CommentText"/>
    <w:next w:val="CommentText"/>
    <w:link w:val="CommentSubjectChar"/>
    <w:uiPriority w:val="99"/>
    <w:semiHidden/>
    <w:unhideWhenUsed/>
    <w:rsid w:val="00F837D3"/>
    <w:rPr>
      <w:b/>
      <w:bCs/>
    </w:rPr>
  </w:style>
  <w:style w:type="character" w:customStyle="1" w:styleId="CommentSubjectChar">
    <w:name w:val="Comment Subject Char"/>
    <w:basedOn w:val="CommentTextChar"/>
    <w:link w:val="CommentSubject"/>
    <w:uiPriority w:val="99"/>
    <w:semiHidden/>
    <w:rsid w:val="00F837D3"/>
    <w:rPr>
      <w:b/>
      <w:bCs/>
      <w:sz w:val="20"/>
      <w:szCs w:val="20"/>
    </w:rPr>
  </w:style>
  <w:style w:type="paragraph" w:styleId="BalloonText">
    <w:name w:val="Balloon Text"/>
    <w:basedOn w:val="Normal"/>
    <w:link w:val="BalloonTextChar"/>
    <w:uiPriority w:val="99"/>
    <w:semiHidden/>
    <w:unhideWhenUsed/>
    <w:rsid w:val="00F83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7D3"/>
    <w:rPr>
      <w:rFonts w:ascii="Segoe UI" w:hAnsi="Segoe UI" w:cs="Segoe UI"/>
      <w:sz w:val="18"/>
      <w:szCs w:val="18"/>
    </w:rPr>
  </w:style>
  <w:style w:type="paragraph" w:styleId="ListParagraph">
    <w:name w:val="List Paragraph"/>
    <w:basedOn w:val="Normal"/>
    <w:uiPriority w:val="34"/>
    <w:qFormat/>
    <w:rsid w:val="00F837D3"/>
    <w:pPr>
      <w:ind w:left="720"/>
      <w:contextualSpacing/>
    </w:pPr>
  </w:style>
  <w:style w:type="character" w:styleId="Hyperlink">
    <w:name w:val="Hyperlink"/>
    <w:basedOn w:val="DefaultParagraphFont"/>
    <w:uiPriority w:val="99"/>
    <w:unhideWhenUsed/>
    <w:rsid w:val="005C7395"/>
    <w:rPr>
      <w:color w:val="0563C1"/>
      <w:u w:val="single"/>
    </w:rPr>
  </w:style>
  <w:style w:type="character" w:customStyle="1" w:styleId="UnresolvedMention1">
    <w:name w:val="Unresolved Mention1"/>
    <w:basedOn w:val="DefaultParagraphFont"/>
    <w:uiPriority w:val="99"/>
    <w:semiHidden/>
    <w:unhideWhenUsed/>
    <w:rsid w:val="00BC5B36"/>
    <w:rPr>
      <w:color w:val="605E5C"/>
      <w:shd w:val="clear" w:color="auto" w:fill="E1DFDD"/>
    </w:rPr>
  </w:style>
  <w:style w:type="character" w:customStyle="1" w:styleId="Heading5Char">
    <w:name w:val="Heading 5 Char"/>
    <w:basedOn w:val="DefaultParagraphFont"/>
    <w:link w:val="Heading5"/>
    <w:uiPriority w:val="9"/>
    <w:rsid w:val="007D55DE"/>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7D55DE"/>
    <w:rPr>
      <w:rFonts w:asciiTheme="majorHAnsi" w:eastAsiaTheme="majorEastAsia" w:hAnsiTheme="majorHAnsi" w:cstheme="majorBidi"/>
      <w:color w:val="2E74B5" w:themeColor="accent1" w:themeShade="BF"/>
      <w:sz w:val="32"/>
      <w:szCs w:val="32"/>
    </w:rPr>
  </w:style>
  <w:style w:type="paragraph" w:customStyle="1" w:styleId="Default">
    <w:name w:val="Default"/>
    <w:rsid w:val="00903B76"/>
    <w:pPr>
      <w:autoSpaceDE w:val="0"/>
      <w:autoSpaceDN w:val="0"/>
      <w:adjustRightInd w:val="0"/>
      <w:jc w:val="left"/>
    </w:pPr>
    <w:rPr>
      <w:rFonts w:ascii="Calibri" w:hAnsi="Calibri" w:cs="Calibri"/>
      <w:color w:val="000000"/>
      <w:sz w:val="24"/>
      <w:szCs w:val="24"/>
      <w:lang w:val="en-GB"/>
    </w:rPr>
  </w:style>
  <w:style w:type="character" w:customStyle="1" w:styleId="UnresolvedMention2">
    <w:name w:val="Unresolved Mention2"/>
    <w:basedOn w:val="DefaultParagraphFont"/>
    <w:uiPriority w:val="99"/>
    <w:semiHidden/>
    <w:unhideWhenUsed/>
    <w:rsid w:val="009E1583"/>
    <w:rPr>
      <w:color w:val="605E5C"/>
      <w:shd w:val="clear" w:color="auto" w:fill="E1DFDD"/>
    </w:rPr>
  </w:style>
  <w:style w:type="character" w:styleId="FollowedHyperlink">
    <w:name w:val="FollowedHyperlink"/>
    <w:basedOn w:val="DefaultParagraphFont"/>
    <w:uiPriority w:val="99"/>
    <w:semiHidden/>
    <w:unhideWhenUsed/>
    <w:rsid w:val="006A295C"/>
    <w:rPr>
      <w:color w:val="954F72" w:themeColor="followedHyperlink"/>
      <w:u w:val="single"/>
    </w:rPr>
  </w:style>
  <w:style w:type="paragraph" w:styleId="NormalWeb">
    <w:name w:val="Normal (Web)"/>
    <w:basedOn w:val="Normal"/>
    <w:uiPriority w:val="99"/>
    <w:semiHidden/>
    <w:unhideWhenUsed/>
    <w:rsid w:val="00A149EE"/>
    <w:pPr>
      <w:spacing w:before="100" w:beforeAutospacing="1" w:after="100" w:afterAutospacing="1"/>
      <w:jc w:val="left"/>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3419">
      <w:bodyDiv w:val="1"/>
      <w:marLeft w:val="0"/>
      <w:marRight w:val="0"/>
      <w:marTop w:val="0"/>
      <w:marBottom w:val="0"/>
      <w:divBdr>
        <w:top w:val="none" w:sz="0" w:space="0" w:color="auto"/>
        <w:left w:val="none" w:sz="0" w:space="0" w:color="auto"/>
        <w:bottom w:val="none" w:sz="0" w:space="0" w:color="auto"/>
        <w:right w:val="none" w:sz="0" w:space="0" w:color="auto"/>
      </w:divBdr>
    </w:div>
    <w:div w:id="410275386">
      <w:bodyDiv w:val="1"/>
      <w:marLeft w:val="0"/>
      <w:marRight w:val="0"/>
      <w:marTop w:val="0"/>
      <w:marBottom w:val="0"/>
      <w:divBdr>
        <w:top w:val="none" w:sz="0" w:space="0" w:color="auto"/>
        <w:left w:val="none" w:sz="0" w:space="0" w:color="auto"/>
        <w:bottom w:val="none" w:sz="0" w:space="0" w:color="auto"/>
        <w:right w:val="none" w:sz="0" w:space="0" w:color="auto"/>
      </w:divBdr>
    </w:div>
    <w:div w:id="809593206">
      <w:bodyDiv w:val="1"/>
      <w:marLeft w:val="0"/>
      <w:marRight w:val="0"/>
      <w:marTop w:val="0"/>
      <w:marBottom w:val="0"/>
      <w:divBdr>
        <w:top w:val="none" w:sz="0" w:space="0" w:color="auto"/>
        <w:left w:val="none" w:sz="0" w:space="0" w:color="auto"/>
        <w:bottom w:val="none" w:sz="0" w:space="0" w:color="auto"/>
        <w:right w:val="none" w:sz="0" w:space="0" w:color="auto"/>
      </w:divBdr>
    </w:div>
    <w:div w:id="1036614106">
      <w:bodyDiv w:val="1"/>
      <w:marLeft w:val="0"/>
      <w:marRight w:val="0"/>
      <w:marTop w:val="0"/>
      <w:marBottom w:val="0"/>
      <w:divBdr>
        <w:top w:val="none" w:sz="0" w:space="0" w:color="auto"/>
        <w:left w:val="none" w:sz="0" w:space="0" w:color="auto"/>
        <w:bottom w:val="none" w:sz="0" w:space="0" w:color="auto"/>
        <w:right w:val="none" w:sz="0" w:space="0" w:color="auto"/>
      </w:divBdr>
    </w:div>
    <w:div w:id="1120415885">
      <w:bodyDiv w:val="1"/>
      <w:marLeft w:val="0"/>
      <w:marRight w:val="0"/>
      <w:marTop w:val="0"/>
      <w:marBottom w:val="0"/>
      <w:divBdr>
        <w:top w:val="none" w:sz="0" w:space="0" w:color="auto"/>
        <w:left w:val="none" w:sz="0" w:space="0" w:color="auto"/>
        <w:bottom w:val="none" w:sz="0" w:space="0" w:color="auto"/>
        <w:right w:val="none" w:sz="0" w:space="0" w:color="auto"/>
      </w:divBdr>
    </w:div>
    <w:div w:id="1800300982">
      <w:bodyDiv w:val="1"/>
      <w:marLeft w:val="0"/>
      <w:marRight w:val="0"/>
      <w:marTop w:val="0"/>
      <w:marBottom w:val="0"/>
      <w:divBdr>
        <w:top w:val="none" w:sz="0" w:space="0" w:color="auto"/>
        <w:left w:val="none" w:sz="0" w:space="0" w:color="auto"/>
        <w:bottom w:val="none" w:sz="0" w:space="0" w:color="auto"/>
        <w:right w:val="none" w:sz="0" w:space="0" w:color="auto"/>
      </w:divBdr>
    </w:div>
    <w:div w:id="21303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0)31761-X" TargetMode="External"/><Relationship Id="rId13" Type="http://schemas.openxmlformats.org/officeDocument/2006/relationships/hyperlink" Target="https://www.who.int/docs/default-source/immunization/sage/covid/sage-prioritization-roadmap-covid19-vaccines.pdf?Status=Temp&amp;sfvrsn=bf227443_2" TargetMode="Externa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844210/Health_of_women_before_and_during_pregnancy_2019.pdf" TargetMode="External"/><Relationship Id="rId12" Type="http://schemas.openxmlformats.org/officeDocument/2006/relationships/hyperlink" Target="http://docstore.ohchr.org/SelfServices/FilesHandler.ashx?enc=4slQ6QSmlBEDzFEovLCuW1AVC1NkPsgUedPlF1vfPMJ2c7ey6PAz2qaojTzDJmC0y%2B9t%2BsAtGDNzdEqA6SuP2r0w%2F6sVBGTpvTSCbiOr4XVFTqhQY65auTFbQRPWNDx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93/emph/eoaa042" TargetMode="External"/><Relationship Id="rId11" Type="http://schemas.openxmlformats.org/officeDocument/2006/relationships/hyperlink" Target="https://www.unicef.org/reports/averting-lost-generation-covid19-world-childrens-day-2020-bri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ecd.org/officialdocuments/publicdisplaydocumentpdf/?cote=SDD/DOC(2018)4&amp;docLanguage=En" TargetMode="External"/><Relationship Id="rId4" Type="http://schemas.openxmlformats.org/officeDocument/2006/relationships/settings" Target="settings.xml"/><Relationship Id="rId9" Type="http://schemas.openxmlformats.org/officeDocument/2006/relationships/hyperlink" Target="https://apps.bea.gov/scb/2020/06-june/pdf/0620-beyond-gdp-landefel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A8D3-A1F9-4E3F-8E7D-F1F5D049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3446</Words>
  <Characters>19647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markh</dc:creator>
  <cp:keywords/>
  <dc:description/>
  <cp:lastModifiedBy>Kitcher J.E.</cp:lastModifiedBy>
  <cp:revision>2</cp:revision>
  <cp:lastPrinted>2020-11-29T17:10:00Z</cp:lastPrinted>
  <dcterms:created xsi:type="dcterms:W3CDTF">2021-06-11T14:14:00Z</dcterms:created>
  <dcterms:modified xsi:type="dcterms:W3CDTF">2021-06-11T14:14:00Z</dcterms:modified>
</cp:coreProperties>
</file>