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BCE4F" w14:textId="0FF2C54B" w:rsidR="00D07B20" w:rsidRPr="00D07B20" w:rsidRDefault="00D07B20" w:rsidP="00D07B20">
      <w:pPr>
        <w:suppressAutoHyphens/>
        <w:spacing w:after="90" w:line="288" w:lineRule="auto"/>
        <w:jc w:val="center"/>
        <w:rPr>
          <w:rFonts w:ascii="Calibri" w:eastAsia="Times New Roman" w:hAnsi="Calibri" w:cs="Calibri"/>
          <w:b/>
          <w:lang w:eastAsia="ar-SA"/>
        </w:rPr>
      </w:pPr>
      <w:r>
        <w:rPr>
          <w:rFonts w:ascii="Calibri" w:eastAsia="Times New Roman" w:hAnsi="Calibri" w:cs="Calibri"/>
          <w:b/>
          <w:bCs/>
          <w:lang w:eastAsia="ar-SA"/>
        </w:rPr>
        <w:t xml:space="preserve">Revised </w:t>
      </w:r>
      <w:r w:rsidRPr="00D07B20">
        <w:rPr>
          <w:rFonts w:ascii="Calibri" w:eastAsia="Times New Roman" w:hAnsi="Calibri" w:cs="Calibri"/>
          <w:b/>
          <w:bCs/>
          <w:lang w:eastAsia="ar-SA"/>
        </w:rPr>
        <w:t>Manuscript ID CLT-2021-04-0054 [email ref: DL-SW-2-a]</w:t>
      </w:r>
    </w:p>
    <w:p w14:paraId="4AF16A27" w14:textId="77777777" w:rsidR="00D84A12" w:rsidRDefault="00D84A12" w:rsidP="00E6250F">
      <w:pPr>
        <w:jc w:val="center"/>
        <w:rPr>
          <w:b/>
          <w:bCs/>
        </w:rPr>
      </w:pPr>
    </w:p>
    <w:p w14:paraId="4389091A" w14:textId="6F2A75AD" w:rsidR="004806D5" w:rsidRDefault="0053535E" w:rsidP="00E6250F">
      <w:pPr>
        <w:jc w:val="center"/>
        <w:rPr>
          <w:b/>
          <w:bCs/>
        </w:rPr>
      </w:pPr>
      <w:r>
        <w:rPr>
          <w:b/>
          <w:bCs/>
        </w:rPr>
        <w:t>Circulating miRNA</w:t>
      </w:r>
      <w:r w:rsidR="006962AA">
        <w:rPr>
          <w:b/>
          <w:bCs/>
        </w:rPr>
        <w:t>s – a potential tool to identify severe</w:t>
      </w:r>
      <w:r w:rsidR="007E4FDF">
        <w:rPr>
          <w:b/>
          <w:bCs/>
        </w:rPr>
        <w:t xml:space="preserve"> asthma</w:t>
      </w:r>
      <w:r w:rsidR="006962AA">
        <w:rPr>
          <w:b/>
          <w:bCs/>
        </w:rPr>
        <w:t xml:space="preserve"> </w:t>
      </w:r>
      <w:r w:rsidR="00E5336A">
        <w:rPr>
          <w:b/>
          <w:bCs/>
        </w:rPr>
        <w:t>risk?</w:t>
      </w:r>
    </w:p>
    <w:p w14:paraId="0DD0099F" w14:textId="2327DAD9" w:rsidR="00D11385" w:rsidRDefault="00B45319" w:rsidP="003113D1">
      <w:pPr>
        <w:jc w:val="center"/>
        <w:rPr>
          <w:b/>
          <w:bCs/>
        </w:rPr>
      </w:pPr>
      <w:r>
        <w:rPr>
          <w:b/>
          <w:bCs/>
        </w:rPr>
        <w:t>M Aref Kyyaly</w:t>
      </w:r>
      <w:r w:rsidR="00C27647" w:rsidRPr="00C27647">
        <w:rPr>
          <w:b/>
          <w:bCs/>
          <w:vertAlign w:val="superscript"/>
        </w:rPr>
        <w:t>1,</w:t>
      </w:r>
      <w:r w:rsidR="00D11385">
        <w:rPr>
          <w:b/>
          <w:bCs/>
          <w:vertAlign w:val="superscript"/>
        </w:rPr>
        <w:t>2,3</w:t>
      </w:r>
      <w:r>
        <w:rPr>
          <w:b/>
          <w:bCs/>
        </w:rPr>
        <w:t>,</w:t>
      </w:r>
      <w:r w:rsidRPr="00B45319">
        <w:t xml:space="preserve"> </w:t>
      </w:r>
      <w:r w:rsidRPr="00B45319">
        <w:rPr>
          <w:b/>
          <w:bCs/>
        </w:rPr>
        <w:t>Tilman</w:t>
      </w:r>
      <w:r w:rsidRPr="00B45319">
        <w:t xml:space="preserve"> </w:t>
      </w:r>
      <w:r w:rsidRPr="00B45319">
        <w:rPr>
          <w:b/>
          <w:bCs/>
        </w:rPr>
        <w:t>Sanchez-Elsner</w:t>
      </w:r>
      <w:r w:rsidR="00D11385">
        <w:rPr>
          <w:b/>
          <w:bCs/>
          <w:vertAlign w:val="superscript"/>
        </w:rPr>
        <w:t>2</w:t>
      </w:r>
      <w:r w:rsidR="00916DA1">
        <w:rPr>
          <w:b/>
          <w:bCs/>
          <w:vertAlign w:val="superscript"/>
        </w:rPr>
        <w:t>,3</w:t>
      </w:r>
      <w:r>
        <w:rPr>
          <w:b/>
          <w:bCs/>
        </w:rPr>
        <w:t>,</w:t>
      </w:r>
      <w:r w:rsidR="0023109B">
        <w:rPr>
          <w:b/>
          <w:bCs/>
        </w:rPr>
        <w:t xml:space="preserve"> Peijun He</w:t>
      </w:r>
      <w:r w:rsidR="0091213C">
        <w:rPr>
          <w:b/>
          <w:bCs/>
          <w:vertAlign w:val="superscript"/>
        </w:rPr>
        <w:t>4</w:t>
      </w:r>
      <w:r w:rsidR="0023109B">
        <w:rPr>
          <w:b/>
          <w:bCs/>
        </w:rPr>
        <w:t>,</w:t>
      </w:r>
      <w:r w:rsidRPr="00B45319">
        <w:rPr>
          <w:b/>
          <w:bCs/>
        </w:rPr>
        <w:t xml:space="preserve"> </w:t>
      </w:r>
      <w:r w:rsidR="003113D1" w:rsidRPr="00B45319">
        <w:rPr>
          <w:b/>
          <w:bCs/>
        </w:rPr>
        <w:t xml:space="preserve">Collin L </w:t>
      </w:r>
      <w:r w:rsidR="003113D1" w:rsidRPr="003113D1">
        <w:rPr>
          <w:b/>
          <w:bCs/>
        </w:rPr>
        <w:t>Sones4</w:t>
      </w:r>
      <w:r w:rsidR="003113D1">
        <w:rPr>
          <w:b/>
          <w:bCs/>
        </w:rPr>
        <w:t xml:space="preserve">, </w:t>
      </w:r>
      <w:r w:rsidRPr="003113D1">
        <w:rPr>
          <w:b/>
          <w:bCs/>
        </w:rPr>
        <w:t>S</w:t>
      </w:r>
      <w:r w:rsidRPr="00B45319">
        <w:rPr>
          <w:b/>
          <w:bCs/>
        </w:rPr>
        <w:t xml:space="preserve"> Hasan Arshad</w:t>
      </w:r>
      <w:r w:rsidR="00D11385">
        <w:rPr>
          <w:b/>
          <w:bCs/>
          <w:vertAlign w:val="superscript"/>
        </w:rPr>
        <w:t>1,2,3</w:t>
      </w:r>
      <w:r>
        <w:rPr>
          <w:b/>
          <w:bCs/>
        </w:rPr>
        <w:t xml:space="preserve">, and </w:t>
      </w:r>
      <w:r w:rsidR="001A38D1">
        <w:rPr>
          <w:b/>
          <w:bCs/>
        </w:rPr>
        <w:t>*</w:t>
      </w:r>
      <w:r w:rsidRPr="00B45319">
        <w:rPr>
          <w:b/>
          <w:bCs/>
        </w:rPr>
        <w:t>Ramesh J Kurukulaaratchy</w:t>
      </w:r>
      <w:r>
        <w:rPr>
          <w:b/>
          <w:bCs/>
          <w:vertAlign w:val="superscript"/>
        </w:rPr>
        <w:t>1</w:t>
      </w:r>
      <w:r w:rsidR="00D11385">
        <w:rPr>
          <w:b/>
          <w:bCs/>
          <w:vertAlign w:val="superscript"/>
        </w:rPr>
        <w:t>,2,3</w:t>
      </w:r>
      <w:r>
        <w:rPr>
          <w:b/>
          <w:bCs/>
        </w:rPr>
        <w:t xml:space="preserve"> </w:t>
      </w:r>
    </w:p>
    <w:p w14:paraId="2B1193F8" w14:textId="4B0386B5" w:rsidR="00B45319" w:rsidRDefault="00D11385" w:rsidP="0091213C">
      <w:pPr>
        <w:jc w:val="center"/>
        <w:rPr>
          <w:b/>
          <w:bCs/>
        </w:rPr>
      </w:pPr>
      <w:r w:rsidRPr="00D11385">
        <w:rPr>
          <w:b/>
          <w:bCs/>
          <w:vertAlign w:val="superscript"/>
        </w:rPr>
        <w:t>1</w:t>
      </w:r>
      <w:r w:rsidRPr="00D11385">
        <w:rPr>
          <w:b/>
          <w:bCs/>
        </w:rPr>
        <w:t xml:space="preserve">David Hide Asthma and Allergy Research Centre, Isle of Wight, UK. </w:t>
      </w:r>
      <w:r w:rsidRPr="00D11385">
        <w:rPr>
          <w:b/>
          <w:bCs/>
          <w:vertAlign w:val="superscript"/>
        </w:rPr>
        <w:t>2</w:t>
      </w:r>
      <w:r w:rsidRPr="00D11385">
        <w:rPr>
          <w:b/>
          <w:bCs/>
        </w:rPr>
        <w:t xml:space="preserve">Clinical and Experimental Sciences, Faculty of Medicine, University of Southampton, Southampton, UK. </w:t>
      </w:r>
      <w:r w:rsidRPr="00D11385">
        <w:rPr>
          <w:b/>
          <w:bCs/>
          <w:vertAlign w:val="superscript"/>
        </w:rPr>
        <w:t>3</w:t>
      </w:r>
      <w:r w:rsidRPr="00D11385">
        <w:rPr>
          <w:b/>
          <w:bCs/>
        </w:rPr>
        <w:t xml:space="preserve">Respiratory Biomedical Research Centre, University Hospitals Southampton NHS Foundation Trust, Southampton, </w:t>
      </w:r>
      <w:r w:rsidR="0091213C">
        <w:rPr>
          <w:b/>
          <w:bCs/>
          <w:vertAlign w:val="superscript"/>
        </w:rPr>
        <w:t>4</w:t>
      </w:r>
      <w:r w:rsidRPr="00D11385">
        <w:rPr>
          <w:b/>
          <w:bCs/>
        </w:rPr>
        <w:t>Optoelectronics Research Centre, University of Southampton</w:t>
      </w:r>
    </w:p>
    <w:p w14:paraId="6153995B" w14:textId="48DF945E" w:rsidR="001A38D1" w:rsidRDefault="001A38D1" w:rsidP="00B54B2C">
      <w:pPr>
        <w:rPr>
          <w:b/>
          <w:bCs/>
        </w:rPr>
      </w:pPr>
      <w:r>
        <w:rPr>
          <w:b/>
          <w:bCs/>
        </w:rPr>
        <w:t>*corresponding author</w:t>
      </w:r>
    </w:p>
    <w:p w14:paraId="4121C9B4" w14:textId="6C367618" w:rsidR="009F21E0" w:rsidRPr="009F21E0" w:rsidRDefault="008B2654" w:rsidP="009F21E0">
      <w:pPr>
        <w:rPr>
          <w:b/>
          <w:bCs/>
        </w:rPr>
      </w:pPr>
      <w:r w:rsidRPr="00F8260B">
        <w:rPr>
          <w:b/>
          <w:bCs/>
        </w:rPr>
        <w:t xml:space="preserve">Corresponding author: </w:t>
      </w:r>
      <w:r w:rsidR="009F21E0" w:rsidRPr="009F21E0">
        <w:rPr>
          <w:b/>
          <w:bCs/>
        </w:rPr>
        <w:t>Ramesh J Kurukulaaratchy, David Hide</w:t>
      </w:r>
      <w:r w:rsidR="009F21E0">
        <w:rPr>
          <w:b/>
          <w:bCs/>
        </w:rPr>
        <w:t xml:space="preserve"> </w:t>
      </w:r>
      <w:r w:rsidR="009F21E0" w:rsidRPr="009F21E0">
        <w:rPr>
          <w:b/>
          <w:bCs/>
        </w:rPr>
        <w:t>Asthma and Allergy Research Centre,</w:t>
      </w:r>
      <w:r w:rsidR="009F21E0">
        <w:rPr>
          <w:b/>
          <w:bCs/>
        </w:rPr>
        <w:t xml:space="preserve"> </w:t>
      </w:r>
      <w:r w:rsidR="009F21E0" w:rsidRPr="009F21E0">
        <w:rPr>
          <w:b/>
          <w:bCs/>
        </w:rPr>
        <w:t>Isle of Wight, School of Clinical and</w:t>
      </w:r>
      <w:r w:rsidR="009F21E0">
        <w:rPr>
          <w:b/>
          <w:bCs/>
        </w:rPr>
        <w:t xml:space="preserve"> </w:t>
      </w:r>
      <w:r w:rsidR="009F21E0" w:rsidRPr="009F21E0">
        <w:rPr>
          <w:b/>
          <w:bCs/>
        </w:rPr>
        <w:t>Experimental Sciences, Faculty of</w:t>
      </w:r>
      <w:r w:rsidR="009F21E0">
        <w:rPr>
          <w:b/>
          <w:bCs/>
        </w:rPr>
        <w:t xml:space="preserve"> </w:t>
      </w:r>
      <w:r w:rsidR="009F21E0" w:rsidRPr="009F21E0">
        <w:rPr>
          <w:b/>
          <w:bCs/>
        </w:rPr>
        <w:t>Medicine, University of Southampton,</w:t>
      </w:r>
      <w:r w:rsidR="009F21E0">
        <w:rPr>
          <w:b/>
          <w:bCs/>
        </w:rPr>
        <w:t xml:space="preserve"> </w:t>
      </w:r>
      <w:r w:rsidR="009F21E0" w:rsidRPr="009F21E0">
        <w:rPr>
          <w:b/>
          <w:bCs/>
        </w:rPr>
        <w:t>NIHR Southampton Biomedical Research</w:t>
      </w:r>
      <w:r w:rsidR="009F21E0">
        <w:rPr>
          <w:b/>
          <w:bCs/>
        </w:rPr>
        <w:t xml:space="preserve"> Centre, University Hospital </w:t>
      </w:r>
      <w:r w:rsidR="009F21E0" w:rsidRPr="009F21E0">
        <w:rPr>
          <w:b/>
          <w:bCs/>
        </w:rPr>
        <w:t>Southampton,</w:t>
      </w:r>
      <w:r w:rsidR="009F21E0">
        <w:rPr>
          <w:b/>
          <w:bCs/>
        </w:rPr>
        <w:t xml:space="preserve"> </w:t>
      </w:r>
      <w:r w:rsidR="009F21E0" w:rsidRPr="009F21E0">
        <w:rPr>
          <w:b/>
          <w:bCs/>
        </w:rPr>
        <w:t>NHS Foundation Trust, UK, Level F, South</w:t>
      </w:r>
      <w:r w:rsidR="009F21E0">
        <w:rPr>
          <w:b/>
          <w:bCs/>
        </w:rPr>
        <w:t xml:space="preserve"> </w:t>
      </w:r>
      <w:r w:rsidR="009F21E0" w:rsidRPr="009F21E0">
        <w:rPr>
          <w:b/>
          <w:bCs/>
        </w:rPr>
        <w:t>Academic Block, Southampton General</w:t>
      </w:r>
    </w:p>
    <w:p w14:paraId="0128D862" w14:textId="1B01806B" w:rsidR="00A26C62" w:rsidRPr="00B54B2C" w:rsidRDefault="009F21E0" w:rsidP="009F21E0">
      <w:pPr>
        <w:rPr>
          <w:b/>
          <w:bCs/>
          <w:sz w:val="24"/>
          <w:szCs w:val="24"/>
        </w:rPr>
      </w:pPr>
      <w:r w:rsidRPr="009F21E0">
        <w:rPr>
          <w:b/>
          <w:bCs/>
        </w:rPr>
        <w:t>Hospital, Southampton SO16 6YD, UK.</w:t>
      </w:r>
      <w:r>
        <w:rPr>
          <w:b/>
          <w:bCs/>
        </w:rPr>
        <w:t xml:space="preserve"> </w:t>
      </w:r>
      <w:r w:rsidRPr="009F21E0">
        <w:rPr>
          <w:b/>
          <w:bCs/>
        </w:rPr>
        <w:t>Email: R.J.Kurukulaaratchy@soton.ac.uk</w:t>
      </w:r>
      <w:r w:rsidRPr="009F21E0" w:rsidDel="009F21E0">
        <w:rPr>
          <w:b/>
          <w:bCs/>
        </w:rPr>
        <w:t xml:space="preserve"> </w:t>
      </w:r>
    </w:p>
    <w:p w14:paraId="3A7E1FA0" w14:textId="46164535" w:rsidR="00A26C62" w:rsidRDefault="00A26C62" w:rsidP="00B54B2C">
      <w:pPr>
        <w:rPr>
          <w:b/>
          <w:bCs/>
          <w:sz w:val="24"/>
          <w:szCs w:val="24"/>
        </w:rPr>
      </w:pPr>
      <w:r w:rsidRPr="00B54B2C">
        <w:rPr>
          <w:b/>
          <w:bCs/>
          <w:sz w:val="24"/>
          <w:szCs w:val="24"/>
        </w:rPr>
        <w:t>Abstract</w:t>
      </w:r>
    </w:p>
    <w:p w14:paraId="28CA2743" w14:textId="77777777" w:rsidR="0030186D" w:rsidRDefault="0030186D" w:rsidP="0030186D">
      <w:r>
        <w:t>Background: Identifying patients at risk of severe asthma is vitally important given the disproportionate burden of disease imposed by that state. However, biomarkers to support such needs remain elusive.</w:t>
      </w:r>
    </w:p>
    <w:p w14:paraId="6E50FC12" w14:textId="77777777" w:rsidR="0030186D" w:rsidRDefault="0030186D" w:rsidP="0030186D"/>
    <w:p w14:paraId="33E32A5D" w14:textId="77777777" w:rsidR="0030186D" w:rsidRDefault="0030186D" w:rsidP="0030186D">
      <w:r>
        <w:t>Methods: In this letter, we show that assessed whether specific panels of circulating miRNAs (microRNAs) can differentiate between mild and severe asthma patients as well as between healthy subjects and severe asthma patients.</w:t>
      </w:r>
    </w:p>
    <w:p w14:paraId="2CDCF3F3" w14:textId="77777777" w:rsidR="0030186D" w:rsidRDefault="0030186D" w:rsidP="0030186D"/>
    <w:p w14:paraId="338773AA" w14:textId="77777777" w:rsidR="0030186D" w:rsidRDefault="0030186D" w:rsidP="0030186D">
      <w:r>
        <w:t>Results: To our knowledge, the miRNAs identified in our work such as miR‐28‐3p, miR‐16‐2‐3p, and miR‐210‐3p have not been previously reported as differentially expressed in the serum of severe asthma patients.</w:t>
      </w:r>
    </w:p>
    <w:p w14:paraId="6E6D180C" w14:textId="77777777" w:rsidR="0030186D" w:rsidRDefault="0030186D" w:rsidP="0030186D"/>
    <w:p w14:paraId="630EA1B1" w14:textId="77777777" w:rsidR="0030186D" w:rsidRDefault="0030186D" w:rsidP="0030186D">
      <w:r>
        <w:t>Conclusion: Our findings suggest that miRNA expression profiles may have the capability as potential biomarkers that signal the risk of having severe asthma. As such, these findings have significant novelty and merit wider dissemination to facilitate further work in this field.</w:t>
      </w:r>
    </w:p>
    <w:p w14:paraId="3245EF6B" w14:textId="45EE53B8" w:rsidR="00A26C62" w:rsidRDefault="00A26C62" w:rsidP="0030186D">
      <w:pPr>
        <w:rPr>
          <w:b/>
          <w:bCs/>
          <w:sz w:val="24"/>
          <w:szCs w:val="24"/>
        </w:rPr>
      </w:pPr>
      <w:r w:rsidRPr="00A26C62">
        <w:rPr>
          <w:b/>
          <w:bCs/>
          <w:sz w:val="24"/>
          <w:szCs w:val="24"/>
        </w:rPr>
        <w:t>Keywords</w:t>
      </w:r>
    </w:p>
    <w:p w14:paraId="773B3ED2" w14:textId="3D025DEF" w:rsidR="00A26C62" w:rsidRPr="00B54B2C" w:rsidRDefault="00A26C62" w:rsidP="00B54B2C">
      <w:r>
        <w:t>Asthma, MicroRNA, Biomarkers</w:t>
      </w:r>
    </w:p>
    <w:p w14:paraId="5B5334CA" w14:textId="77777777" w:rsidR="00A26C62" w:rsidRPr="00B54B2C" w:rsidRDefault="00A26C62" w:rsidP="00B54B2C">
      <w:pPr>
        <w:rPr>
          <w:sz w:val="24"/>
          <w:szCs w:val="24"/>
        </w:rPr>
      </w:pPr>
    </w:p>
    <w:p w14:paraId="7B2EF43F" w14:textId="23799358" w:rsidR="003434B1" w:rsidRPr="002C35E1" w:rsidRDefault="00E55FAB" w:rsidP="009B2900">
      <w:pPr>
        <w:rPr>
          <w:b/>
          <w:bCs/>
        </w:rPr>
      </w:pPr>
      <w:r>
        <w:rPr>
          <w:b/>
          <w:bCs/>
        </w:rPr>
        <w:t>To the Editor:</w:t>
      </w:r>
    </w:p>
    <w:p w14:paraId="34834A97" w14:textId="7760A909" w:rsidR="009B5779" w:rsidRPr="00244F00" w:rsidRDefault="008B2D1B" w:rsidP="006C74B0">
      <w:r>
        <w:t xml:space="preserve">Although </w:t>
      </w:r>
      <w:r w:rsidR="00503E90">
        <w:t xml:space="preserve">one </w:t>
      </w:r>
      <w:r>
        <w:t xml:space="preserve">of the commonest chronic diseases, asthma </w:t>
      </w:r>
      <w:r w:rsidR="00246C97">
        <w:t xml:space="preserve">lacks a gold standard diagnostic </w:t>
      </w:r>
      <w:r w:rsidR="00CF033E">
        <w:t xml:space="preserve">test. Reliance on a clinical diagnosis alongside </w:t>
      </w:r>
      <w:r w:rsidR="00D16C61">
        <w:t>the</w:t>
      </w:r>
      <w:r w:rsidR="00430BEB">
        <w:t xml:space="preserve"> </w:t>
      </w:r>
      <w:r w:rsidR="00CF033E">
        <w:t xml:space="preserve">heterogeneous </w:t>
      </w:r>
      <w:r w:rsidR="00430BEB">
        <w:t xml:space="preserve">nature </w:t>
      </w:r>
      <w:r w:rsidR="00D16C61">
        <w:t>of asthma mean</w:t>
      </w:r>
      <w:r w:rsidR="00C4046E">
        <w:t>s</w:t>
      </w:r>
      <w:r w:rsidR="00D16C61">
        <w:t xml:space="preserve"> that asthma </w:t>
      </w:r>
      <w:r w:rsidR="00D16C61">
        <w:lastRenderedPageBreak/>
        <w:t xml:space="preserve">diagnosis </w:t>
      </w:r>
      <w:r w:rsidR="004113E4">
        <w:t xml:space="preserve">is often </w:t>
      </w:r>
      <w:r w:rsidR="00260A7A">
        <w:t>delayed</w:t>
      </w:r>
      <w:r w:rsidR="004113E4">
        <w:t xml:space="preserve"> to the detriment of the patient</w:t>
      </w:r>
      <w:r w:rsidR="00260A7A">
        <w:t xml:space="preserve">. </w:t>
      </w:r>
      <w:r w:rsidR="00CB71CD">
        <w:t>Therefore,</w:t>
      </w:r>
      <w:r w:rsidR="00260A7A">
        <w:t xml:space="preserve"> </w:t>
      </w:r>
      <w:r w:rsidR="005C6752">
        <w:t xml:space="preserve">new </w:t>
      </w:r>
      <w:r w:rsidR="006A76D4">
        <w:t xml:space="preserve">asthma </w:t>
      </w:r>
      <w:r w:rsidR="005C6752">
        <w:t xml:space="preserve">diagnostic </w:t>
      </w:r>
      <w:r w:rsidR="006A76D4">
        <w:t>bio</w:t>
      </w:r>
      <w:r w:rsidR="005C6752">
        <w:t>markers</w:t>
      </w:r>
      <w:r w:rsidR="006A76D4">
        <w:t xml:space="preserve"> are an important research focus. </w:t>
      </w:r>
      <w:r w:rsidR="00E07CBB">
        <w:t xml:space="preserve">MicroRNAs (miRNAs) </w:t>
      </w:r>
      <w:r w:rsidR="00B915CB">
        <w:t>might hold promise in that regard. These</w:t>
      </w:r>
      <w:r w:rsidR="00A14CFE">
        <w:t xml:space="preserve"> small noncoding RNAs act</w:t>
      </w:r>
      <w:r w:rsidR="00D44B4A">
        <w:t xml:space="preserve"> through RNA-</w:t>
      </w:r>
      <w:r w:rsidR="00537346">
        <w:t xml:space="preserve">induced </w:t>
      </w:r>
      <w:r w:rsidR="00D44B4A">
        <w:t>silencing</w:t>
      </w:r>
      <w:r w:rsidR="00537346">
        <w:t xml:space="preserve"> </w:t>
      </w:r>
      <w:r w:rsidR="005A2211">
        <w:t xml:space="preserve">complexes </w:t>
      </w:r>
      <w:r w:rsidR="007E6305">
        <w:t xml:space="preserve">to </w:t>
      </w:r>
      <w:r w:rsidR="00513503">
        <w:t>post-transcrip</w:t>
      </w:r>
      <w:r w:rsidR="00B76802">
        <w:t>tionally</w:t>
      </w:r>
      <w:r w:rsidR="007E6305">
        <w:t xml:space="preserve"> regulate</w:t>
      </w:r>
      <w:r w:rsidR="003308AA">
        <w:t xml:space="preserve"> mRNA</w:t>
      </w:r>
      <w:r w:rsidR="00C4046E">
        <w:t xml:space="preserve"> (messenger RNA)</w:t>
      </w:r>
      <w:r w:rsidR="00A41C77">
        <w:t>.</w:t>
      </w:r>
      <w:r w:rsidR="00A14CFE">
        <w:t xml:space="preserve"> </w:t>
      </w:r>
      <w:r w:rsidR="00AD2BD5">
        <w:t xml:space="preserve">A previous study </w:t>
      </w:r>
      <w:r w:rsidR="003A2CDF">
        <w:t>demonstrated</w:t>
      </w:r>
      <w:r w:rsidR="00AD2BD5">
        <w:t xml:space="preserve"> differential miRNA expression </w:t>
      </w:r>
      <w:r w:rsidR="00C75EBB">
        <w:t>in</w:t>
      </w:r>
      <w:r w:rsidR="009D4505">
        <w:t xml:space="preserve"> blood</w:t>
      </w:r>
      <w:r w:rsidR="00AD2BD5">
        <w:t xml:space="preserve"> eosinophils </w:t>
      </w:r>
      <w:r w:rsidR="00C75EBB">
        <w:t xml:space="preserve">from </w:t>
      </w:r>
      <w:r w:rsidR="00AD2BD5">
        <w:t>asthmatics compared with healthy individuals</w:t>
      </w:r>
      <w:r w:rsidR="00E410DA">
        <w:t xml:space="preserve">. </w:t>
      </w:r>
      <w:r w:rsidR="00CF1F05">
        <w:t>They</w:t>
      </w:r>
      <w:r w:rsidR="00AD2BD5">
        <w:t xml:space="preserve"> cluster</w:t>
      </w:r>
      <w:r w:rsidR="00CF1F05">
        <w:t>ed</w:t>
      </w:r>
      <w:r w:rsidR="00AD2BD5">
        <w:t xml:space="preserve"> asthmatics and healthy subjects showing </w:t>
      </w:r>
      <w:r w:rsidR="00AD2BD5" w:rsidRPr="00AD2BD5">
        <w:t>that miRNA profile</w:t>
      </w:r>
      <w:r w:rsidR="00C2539F">
        <w:t>s</w:t>
      </w:r>
      <w:r w:rsidR="00AD2BD5" w:rsidRPr="00AD2BD5">
        <w:t xml:space="preserve"> in eosinophils</w:t>
      </w:r>
      <w:r w:rsidR="0058286D">
        <w:t xml:space="preserve"> </w:t>
      </w:r>
      <w:r w:rsidR="00555A76">
        <w:t xml:space="preserve">(especially miR-185-5p and miR-1246) </w:t>
      </w:r>
      <w:r w:rsidR="002E55A1">
        <w:t xml:space="preserve">are </w:t>
      </w:r>
      <w:r w:rsidR="0058286D">
        <w:t xml:space="preserve">potential serum </w:t>
      </w:r>
      <w:r w:rsidR="00AD2BD5" w:rsidRPr="00AD2BD5">
        <w:t>biomarker</w:t>
      </w:r>
      <w:r w:rsidR="00C4046E">
        <w:t xml:space="preserve">s for ranking </w:t>
      </w:r>
      <w:r w:rsidR="00AD2BD5" w:rsidRPr="00AD2BD5">
        <w:t>asthma severity.</w:t>
      </w:r>
      <w:r w:rsidR="00CE4CF0">
        <w:t>(1)</w:t>
      </w:r>
      <w:r w:rsidR="006E5D67">
        <w:t xml:space="preserve"> </w:t>
      </w:r>
      <w:r w:rsidR="009B5779">
        <w:t>Another study</w:t>
      </w:r>
      <w:r w:rsidR="006C74B0">
        <w:t xml:space="preserve"> from our lab</w:t>
      </w:r>
      <w:r w:rsidR="009B5779">
        <w:t xml:space="preserve"> demonstrated that</w:t>
      </w:r>
      <w:r w:rsidR="00244F00">
        <w:t xml:space="preserve"> </w:t>
      </w:r>
      <w:r w:rsidR="006C74B0">
        <w:t xml:space="preserve">miR-150, miR-152, and miR-375 are up-regulated </w:t>
      </w:r>
      <w:r w:rsidR="009B5779">
        <w:t>in severe asthma</w:t>
      </w:r>
      <w:r w:rsidR="00244F00">
        <w:t>.(2)</w:t>
      </w:r>
    </w:p>
    <w:p w14:paraId="2BD14DA3" w14:textId="77BF3F05" w:rsidR="00874E8A" w:rsidRDefault="00C27647" w:rsidP="003113D1">
      <w:r>
        <w:t>W</w:t>
      </w:r>
      <w:r w:rsidR="00874E8A" w:rsidRPr="003434B1">
        <w:t xml:space="preserve">e determined the differential miRNA expression </w:t>
      </w:r>
      <w:r w:rsidR="00DF3233">
        <w:t>in sera</w:t>
      </w:r>
      <w:r>
        <w:t xml:space="preserve"> of severe asthmatic patients and compared it to mild asthma and no asthma</w:t>
      </w:r>
      <w:r w:rsidR="00874E8A">
        <w:t xml:space="preserve"> to </w:t>
      </w:r>
      <w:r w:rsidR="0053319C">
        <w:t>assess</w:t>
      </w:r>
      <w:r w:rsidR="00874E8A" w:rsidRPr="003434B1">
        <w:t xml:space="preserve"> </w:t>
      </w:r>
      <w:r w:rsidR="003113D1">
        <w:t>their</w:t>
      </w:r>
      <w:r w:rsidR="00874E8A">
        <w:t xml:space="preserve"> </w:t>
      </w:r>
      <w:r w:rsidR="00386BD5">
        <w:t>potential</w:t>
      </w:r>
      <w:r w:rsidR="003113D1">
        <w:t xml:space="preserve"> as</w:t>
      </w:r>
      <w:r w:rsidR="00386BD5">
        <w:t xml:space="preserve"> </w:t>
      </w:r>
      <w:r w:rsidR="00874E8A">
        <w:t>biomarker</w:t>
      </w:r>
      <w:r w:rsidR="00386BD5">
        <w:t>s</w:t>
      </w:r>
      <w:r w:rsidR="00874E8A">
        <w:t xml:space="preserve"> </w:t>
      </w:r>
      <w:r w:rsidR="00C27D73">
        <w:t>for</w:t>
      </w:r>
      <w:r w:rsidR="00874E8A">
        <w:t xml:space="preserve"> the diagnosis of asthma and its </w:t>
      </w:r>
      <w:r>
        <w:t xml:space="preserve">discriminative capability for asthma </w:t>
      </w:r>
      <w:r w:rsidR="00874E8A">
        <w:t>severity.</w:t>
      </w:r>
    </w:p>
    <w:p w14:paraId="179C2455" w14:textId="579EF951" w:rsidR="00874E8A" w:rsidRDefault="00874E8A" w:rsidP="003113D1">
      <w:r>
        <w:t xml:space="preserve">We </w:t>
      </w:r>
      <w:r w:rsidR="00333E6F">
        <w:t>investigated</w:t>
      </w:r>
      <w:r w:rsidR="003113D1">
        <w:t xml:space="preserve"> the</w:t>
      </w:r>
      <w:r w:rsidR="00333E6F">
        <w:t xml:space="preserve"> presence of 17</w:t>
      </w:r>
      <w:r w:rsidR="00DF3233">
        <w:t>5</w:t>
      </w:r>
      <w:r>
        <w:t xml:space="preserve"> miRNAs in </w:t>
      </w:r>
      <w:r w:rsidR="00F11AA4">
        <w:t xml:space="preserve">serum samples </w:t>
      </w:r>
      <w:r w:rsidR="00C62D39">
        <w:t xml:space="preserve">collected </w:t>
      </w:r>
      <w:r w:rsidR="00F11AA4">
        <w:t xml:space="preserve">from </w:t>
      </w:r>
      <w:r>
        <w:t xml:space="preserve">12 </w:t>
      </w:r>
      <w:r w:rsidR="00F61EFD">
        <w:t xml:space="preserve">adult </w:t>
      </w:r>
      <w:r>
        <w:t>subjects (4</w:t>
      </w:r>
      <w:r w:rsidR="00EA475D">
        <w:t xml:space="preserve"> </w:t>
      </w:r>
      <w:r>
        <w:t>healthy, 4 mild asthma, and 4 severe asthma)</w:t>
      </w:r>
      <w:r w:rsidR="00F11AA4">
        <w:t xml:space="preserve"> </w:t>
      </w:r>
      <w:r w:rsidR="003113D1">
        <w:t xml:space="preserve">of </w:t>
      </w:r>
      <w:r w:rsidR="001711FC">
        <w:t>our</w:t>
      </w:r>
      <w:r w:rsidR="00576C7E">
        <w:t xml:space="preserve"> cohort studies</w:t>
      </w:r>
      <w:r w:rsidR="00AD7044">
        <w:t xml:space="preserve"> (</w:t>
      </w:r>
      <w:r w:rsidR="00E626E2">
        <w:t>summary features</w:t>
      </w:r>
      <w:r w:rsidR="00A86F13">
        <w:t xml:space="preserve"> and definitions</w:t>
      </w:r>
      <w:r w:rsidR="00E626E2">
        <w:t>, Table 1)</w:t>
      </w:r>
      <w:r>
        <w:t xml:space="preserve">. </w:t>
      </w:r>
      <w:r w:rsidR="00E02BF7">
        <w:t xml:space="preserve">Healthy subjects and </w:t>
      </w:r>
      <w:r w:rsidR="00850432">
        <w:t xml:space="preserve">mild </w:t>
      </w:r>
      <w:r w:rsidR="001A0D2C">
        <w:t xml:space="preserve">asthma </w:t>
      </w:r>
      <w:r w:rsidR="00F11AA4">
        <w:t xml:space="preserve">patients </w:t>
      </w:r>
      <w:r w:rsidR="00CD5EB6">
        <w:t>were from the Isle of Wight Birth Cohort</w:t>
      </w:r>
      <w:r w:rsidR="004A3B8F">
        <w:t xml:space="preserve"> (IOWBC)</w:t>
      </w:r>
      <w:r w:rsidR="00CD5EB6">
        <w:t xml:space="preserve"> </w:t>
      </w:r>
      <w:r w:rsidR="0030186D">
        <w:t>(4</w:t>
      </w:r>
      <w:r w:rsidR="00134406">
        <w:t xml:space="preserve">), </w:t>
      </w:r>
      <w:r w:rsidR="00436755">
        <w:t xml:space="preserve">while severe asthma </w:t>
      </w:r>
      <w:r w:rsidR="00C62D39">
        <w:t xml:space="preserve">patients were from the Wessex AsThma CoHort </w:t>
      </w:r>
      <w:r w:rsidR="00134406">
        <w:t>of d</w:t>
      </w:r>
      <w:r w:rsidR="0030186D">
        <w:t>ifficult asthma (WATCH) study (5</w:t>
      </w:r>
      <w:r w:rsidR="00134406">
        <w:t>).</w:t>
      </w:r>
      <w:r w:rsidR="001A0D2C">
        <w:t xml:space="preserve"> </w:t>
      </w:r>
      <w:r>
        <w:t xml:space="preserve">We hypothesized that </w:t>
      </w:r>
      <w:r w:rsidR="00373723">
        <w:t>asthma-specific</w:t>
      </w:r>
      <w:r>
        <w:t xml:space="preserve"> miRNAs may differentiate asthmatic from healthy subjects, while other miRNAs </w:t>
      </w:r>
      <w:r w:rsidR="00202EDB">
        <w:t>may</w:t>
      </w:r>
      <w:r>
        <w:t xml:space="preserve"> differentiate mild </w:t>
      </w:r>
      <w:r w:rsidR="00DD3A81">
        <w:t>from</w:t>
      </w:r>
      <w:r>
        <w:t xml:space="preserve"> severe asthma.</w:t>
      </w:r>
    </w:p>
    <w:p w14:paraId="70D111AF" w14:textId="50923238" w:rsidR="00633643" w:rsidRDefault="00CA2B1D" w:rsidP="00DF3233">
      <w:r w:rsidRPr="00CA2B1D">
        <w:t xml:space="preserve">We extracted miRNAs </w:t>
      </w:r>
      <w:r w:rsidR="0064758D">
        <w:t xml:space="preserve">from </w:t>
      </w:r>
      <w:r w:rsidR="00AC6CA1">
        <w:t xml:space="preserve">stored </w:t>
      </w:r>
      <w:r w:rsidR="0064758D">
        <w:t xml:space="preserve">serum </w:t>
      </w:r>
      <w:r w:rsidRPr="00CA2B1D">
        <w:t>using miRNeasy Serum/Plasma Kit (QIAGEN)</w:t>
      </w:r>
      <w:r>
        <w:t xml:space="preserve">. </w:t>
      </w:r>
      <w:r w:rsidR="007E3668">
        <w:t>After extraction, RNA was reverse-transcribed to cDNA</w:t>
      </w:r>
      <w:r w:rsidR="00840A25">
        <w:t>.</w:t>
      </w:r>
      <w:r w:rsidR="001A0E5B">
        <w:t xml:space="preserve"> We then</w:t>
      </w:r>
      <w:r w:rsidR="007E3668">
        <w:t xml:space="preserve"> evaluated miRNA expression by quantitative PCR using</w:t>
      </w:r>
      <w:r w:rsidR="00304622">
        <w:t xml:space="preserve"> </w:t>
      </w:r>
      <w:r w:rsidR="00304622" w:rsidRPr="00304622">
        <w:t>Human Serum/Plasma Focus, miRCURY LNA miRNA Focus PCR Panel</w:t>
      </w:r>
      <w:r w:rsidR="00304622">
        <w:t xml:space="preserve"> kit</w:t>
      </w:r>
      <w:r w:rsidR="007E3668">
        <w:t xml:space="preserve"> </w:t>
      </w:r>
      <w:r w:rsidR="00304622">
        <w:t>(</w:t>
      </w:r>
      <w:r w:rsidR="007E3668">
        <w:t>QIAGEN</w:t>
      </w:r>
      <w:r w:rsidR="00304622">
        <w:t xml:space="preserve">) which </w:t>
      </w:r>
      <w:r w:rsidR="00DF3233">
        <w:t xml:space="preserve">is </w:t>
      </w:r>
      <w:r w:rsidR="00DF3233" w:rsidRPr="00DF3233">
        <w:t xml:space="preserve">designed for profiling 175 human miRNAs commonly found in serum and plasma. </w:t>
      </w:r>
      <w:r w:rsidR="00DF3233">
        <w:t xml:space="preserve">  </w:t>
      </w:r>
      <w:r w:rsidR="00057D88">
        <w:t>R</w:t>
      </w:r>
      <w:r w:rsidR="00333E6F">
        <w:t xml:space="preserve">esults were analysed using QIAGEN web portal GeneGlobe. </w:t>
      </w:r>
      <w:r w:rsidR="00684930">
        <w:t>A</w:t>
      </w:r>
      <w:r w:rsidR="004928D4">
        <w:t xml:space="preserve">t least two-fold change in expression and P </w:t>
      </w:r>
      <w:r w:rsidR="004928D4">
        <w:rPr>
          <w:rFonts w:cstheme="minorHAnsi"/>
        </w:rPr>
        <w:t>≥</w:t>
      </w:r>
      <w:r w:rsidR="004928D4">
        <w:t xml:space="preserve">0.05 </w:t>
      </w:r>
      <w:r w:rsidR="003D03E2">
        <w:t xml:space="preserve">were required </w:t>
      </w:r>
      <w:r w:rsidR="004928D4">
        <w:t xml:space="preserve">to consider the miRNA of diagnostic value. </w:t>
      </w:r>
    </w:p>
    <w:p w14:paraId="6B5DD8FC" w14:textId="126CE91A" w:rsidR="0025420F" w:rsidRDefault="004928D4" w:rsidP="00D74B04">
      <w:r>
        <w:t>Figure 1 shows volcano plots</w:t>
      </w:r>
      <w:r w:rsidR="00304622">
        <w:t xml:space="preserve"> for comparisons</w:t>
      </w:r>
      <w:r>
        <w:t xml:space="preserve"> of the studied miRNAs in severe asthmatic, mild asthmatic, and </w:t>
      </w:r>
      <w:r w:rsidR="00EC1BEE">
        <w:t>h</w:t>
      </w:r>
      <w:r>
        <w:t xml:space="preserve">ealthy groups. </w:t>
      </w:r>
      <w:r w:rsidR="007E6FFF">
        <w:t>W</w:t>
      </w:r>
      <w:r w:rsidR="007E3668" w:rsidRPr="00AC1FD2">
        <w:t>e found that</w:t>
      </w:r>
      <w:r w:rsidR="00711114" w:rsidRPr="00AC1FD2">
        <w:t>, miR</w:t>
      </w:r>
      <w:r w:rsidR="00F4759A" w:rsidRPr="00AC1FD2">
        <w:rPr>
          <w:rFonts w:ascii="Calibri" w:hAnsi="Calibri" w:cs="Calibri"/>
        </w:rPr>
        <w:t>-193a-5p</w:t>
      </w:r>
      <w:r w:rsidR="008F240B" w:rsidRPr="00AC1FD2">
        <w:t xml:space="preserve"> </w:t>
      </w:r>
      <w:r w:rsidR="002E7096">
        <w:t xml:space="preserve">was </w:t>
      </w:r>
      <w:r w:rsidR="008F240B" w:rsidRPr="00AC1FD2">
        <w:t>significantly</w:t>
      </w:r>
      <w:r w:rsidR="00F4759A" w:rsidRPr="00AC1FD2">
        <w:t xml:space="preserve"> </w:t>
      </w:r>
      <w:r w:rsidR="00711114" w:rsidRPr="00AC1FD2">
        <w:t>increased</w:t>
      </w:r>
      <w:r w:rsidR="007E3668" w:rsidRPr="00AC1FD2">
        <w:t xml:space="preserve"> </w:t>
      </w:r>
      <w:r w:rsidR="00F4759A" w:rsidRPr="00AC1FD2">
        <w:t xml:space="preserve">while </w:t>
      </w:r>
      <w:r w:rsidR="00F4759A" w:rsidRPr="00AC1FD2">
        <w:rPr>
          <w:rFonts w:ascii="Calibri" w:hAnsi="Calibri" w:cs="Calibri"/>
        </w:rPr>
        <w:t>miR-181a-5p, miR-146a-5p, and miR-16-2-3p</w:t>
      </w:r>
      <w:r w:rsidR="00711114" w:rsidRPr="00AC1FD2">
        <w:rPr>
          <w:rFonts w:ascii="Calibri" w:hAnsi="Calibri" w:cs="Calibri"/>
        </w:rPr>
        <w:t xml:space="preserve"> </w:t>
      </w:r>
      <w:r w:rsidR="002E7096">
        <w:rPr>
          <w:rFonts w:ascii="Calibri" w:hAnsi="Calibri" w:cs="Calibri"/>
        </w:rPr>
        <w:t xml:space="preserve">were </w:t>
      </w:r>
      <w:r w:rsidR="008F240B" w:rsidRPr="00AC1FD2">
        <w:rPr>
          <w:rFonts w:ascii="Calibri" w:hAnsi="Calibri" w:cs="Calibri"/>
        </w:rPr>
        <w:t>significantly</w:t>
      </w:r>
      <w:r w:rsidR="00F4759A" w:rsidRPr="00AC1FD2">
        <w:rPr>
          <w:rFonts w:ascii="Calibri" w:hAnsi="Calibri" w:cs="Calibri"/>
        </w:rPr>
        <w:t xml:space="preserve"> decreased </w:t>
      </w:r>
      <w:r w:rsidR="007E3668" w:rsidRPr="00AC1FD2">
        <w:t xml:space="preserve">in serum from </w:t>
      </w:r>
      <w:r w:rsidR="00F4759A" w:rsidRPr="00AC1FD2">
        <w:t xml:space="preserve">severe </w:t>
      </w:r>
      <w:r w:rsidR="007E3668" w:rsidRPr="00AC1FD2">
        <w:t xml:space="preserve">asthmatics compared to </w:t>
      </w:r>
      <w:r w:rsidR="00F4759A" w:rsidRPr="00AC1FD2">
        <w:t>healthy subjects</w:t>
      </w:r>
      <w:r w:rsidR="00711114" w:rsidRPr="00AC1FD2">
        <w:t xml:space="preserve">. </w:t>
      </w:r>
      <w:r w:rsidR="00460BDC">
        <w:t>Furthermore</w:t>
      </w:r>
      <w:r w:rsidR="00711114" w:rsidRPr="00AC1FD2">
        <w:t>,</w:t>
      </w:r>
      <w:r w:rsidR="00D74B04">
        <w:t xml:space="preserve"> </w:t>
      </w:r>
      <w:r w:rsidR="00D74B04" w:rsidRPr="00D74B04">
        <w:t>miR-197-3p</w:t>
      </w:r>
      <w:r w:rsidR="00D74B04">
        <w:t xml:space="preserve">, </w:t>
      </w:r>
      <w:r w:rsidR="00D74B04" w:rsidRPr="00D74B04">
        <w:t>miR-223-3p</w:t>
      </w:r>
      <w:r w:rsidR="00D74B04">
        <w:t>,</w:t>
      </w:r>
      <w:r w:rsidR="00D74B04" w:rsidRPr="00D74B04">
        <w:t xml:space="preserve"> miR-151a-3p</w:t>
      </w:r>
      <w:r w:rsidR="00D74B04">
        <w:t>,</w:t>
      </w:r>
      <w:r w:rsidR="00711114" w:rsidRPr="00AC1FD2">
        <w:t xml:space="preserve"> </w:t>
      </w:r>
      <w:r w:rsidR="00711114" w:rsidRPr="00AC1FD2">
        <w:rPr>
          <w:rFonts w:ascii="Calibri" w:hAnsi="Calibri" w:cs="Calibri"/>
        </w:rPr>
        <w:t xml:space="preserve">miR-191-5p, and miR-28-3p </w:t>
      </w:r>
      <w:r w:rsidR="000054DA">
        <w:rPr>
          <w:rFonts w:ascii="Calibri" w:hAnsi="Calibri" w:cs="Calibri"/>
        </w:rPr>
        <w:t xml:space="preserve">were </w:t>
      </w:r>
      <w:r w:rsidR="008F240B" w:rsidRPr="00AC1FD2">
        <w:t>significantly</w:t>
      </w:r>
      <w:r w:rsidR="00711114" w:rsidRPr="00AC1FD2">
        <w:t xml:space="preserve"> increased and </w:t>
      </w:r>
      <w:r w:rsidR="00711114" w:rsidRPr="00AC1FD2">
        <w:rPr>
          <w:rFonts w:ascii="Calibri" w:hAnsi="Calibri" w:cs="Calibri"/>
        </w:rPr>
        <w:t xml:space="preserve">miR-451a, miR-16-2-3p, miR-210-3p, </w:t>
      </w:r>
      <w:r w:rsidR="00D74B04" w:rsidRPr="00D74B04">
        <w:rPr>
          <w:rFonts w:ascii="Calibri" w:hAnsi="Calibri" w:cs="Calibri"/>
        </w:rPr>
        <w:t>miR-133a-3p</w:t>
      </w:r>
      <w:r w:rsidR="00D74B04">
        <w:rPr>
          <w:rFonts w:ascii="Calibri" w:hAnsi="Calibri" w:cs="Calibri"/>
        </w:rPr>
        <w:t>,</w:t>
      </w:r>
      <w:r w:rsidR="00D74B04" w:rsidRPr="00D74B04">
        <w:t xml:space="preserve"> </w:t>
      </w:r>
      <w:r w:rsidR="00D74B04" w:rsidRPr="00D74B04">
        <w:rPr>
          <w:rFonts w:ascii="Calibri" w:hAnsi="Calibri" w:cs="Calibri"/>
        </w:rPr>
        <w:t xml:space="preserve">miR-660-5p </w:t>
      </w:r>
      <w:r w:rsidR="00711114" w:rsidRPr="00AC1FD2">
        <w:rPr>
          <w:rFonts w:ascii="Calibri" w:hAnsi="Calibri" w:cs="Calibri"/>
        </w:rPr>
        <w:t xml:space="preserve">and miR-144-3p </w:t>
      </w:r>
      <w:r w:rsidR="008F240B" w:rsidRPr="00AC1FD2">
        <w:rPr>
          <w:rFonts w:ascii="Calibri" w:hAnsi="Calibri" w:cs="Calibri"/>
        </w:rPr>
        <w:t>significantly</w:t>
      </w:r>
      <w:r w:rsidR="00711114" w:rsidRPr="00AC1FD2">
        <w:rPr>
          <w:rFonts w:ascii="Calibri" w:hAnsi="Calibri" w:cs="Calibri"/>
        </w:rPr>
        <w:t xml:space="preserve"> decreased </w:t>
      </w:r>
      <w:r w:rsidR="00711114" w:rsidRPr="00AC1FD2">
        <w:t>in serum from severe asthmatics compared to mild asthmatics</w:t>
      </w:r>
      <w:r w:rsidR="007E3668" w:rsidRPr="00AC1FD2">
        <w:t>.</w:t>
      </w:r>
      <w:r w:rsidR="00E6250F">
        <w:t xml:space="preserve"> </w:t>
      </w:r>
      <w:r w:rsidR="0075207E" w:rsidRPr="0075207E">
        <w:t>There were no significant differences in expression of the studied miRNAs in serum between healthy subjects and mild asthma patients.</w:t>
      </w:r>
    </w:p>
    <w:p w14:paraId="6BC4D695" w14:textId="0FD260E8" w:rsidR="008F240B" w:rsidRDefault="004944DE" w:rsidP="00DF3B27">
      <w:r>
        <w:t xml:space="preserve">Our </w:t>
      </w:r>
      <w:r w:rsidR="00AE5D6F">
        <w:t xml:space="preserve">preliminary </w:t>
      </w:r>
      <w:r>
        <w:t>stud</w:t>
      </w:r>
      <w:r w:rsidR="00C62AF2">
        <w:t>y</w:t>
      </w:r>
      <w:r>
        <w:t xml:space="preserve"> demonstrate</w:t>
      </w:r>
      <w:r w:rsidR="00C62AF2">
        <w:t>d</w:t>
      </w:r>
      <w:r w:rsidR="00E75054">
        <w:t xml:space="preserve"> differential </w:t>
      </w:r>
      <w:r w:rsidR="00AC6CFA">
        <w:t xml:space="preserve">sera </w:t>
      </w:r>
      <w:r w:rsidR="00E75054">
        <w:t>miRNA expression in severe asthma</w:t>
      </w:r>
      <w:r w:rsidR="00C62AF2">
        <w:t xml:space="preserve"> compared to</w:t>
      </w:r>
      <w:r w:rsidR="003A334A">
        <w:t xml:space="preserve"> both mild asthma and healthy subjects.</w:t>
      </w:r>
      <w:r w:rsidR="00E75054">
        <w:t xml:space="preserve"> </w:t>
      </w:r>
      <w:r w:rsidR="0021694A" w:rsidRPr="0021694A">
        <w:t xml:space="preserve">We </w:t>
      </w:r>
      <w:r w:rsidR="0021694A">
        <w:t xml:space="preserve">also </w:t>
      </w:r>
      <w:r w:rsidR="0021694A" w:rsidRPr="0021694A">
        <w:t xml:space="preserve">found that different miRNAs </w:t>
      </w:r>
      <w:r w:rsidR="00AC6CFA">
        <w:t xml:space="preserve">respectively </w:t>
      </w:r>
      <w:r w:rsidR="0021694A" w:rsidRPr="0021694A">
        <w:t>distinguished severe asthma from mild asthma than from healthy controls.</w:t>
      </w:r>
      <w:r w:rsidR="00AC6CFA">
        <w:t xml:space="preserve"> Such findings emphasise the distinctive nature of severe asthma and may aid understanding of mechanistic differences between mild and severe asthma. </w:t>
      </w:r>
      <w:r w:rsidR="00E6250F" w:rsidRPr="00D11385">
        <w:t xml:space="preserve">To our knowledge, </w:t>
      </w:r>
      <w:r w:rsidR="00E6250F" w:rsidRPr="00D11385">
        <w:rPr>
          <w:rFonts w:ascii="Calibri" w:hAnsi="Calibri" w:cs="Calibri"/>
        </w:rPr>
        <w:t xml:space="preserve">miR-28-3p, miR-16-2-3p, and miR-210-3p have not been </w:t>
      </w:r>
      <w:r w:rsidR="00460BDC" w:rsidRPr="00D11385">
        <w:rPr>
          <w:rFonts w:ascii="Calibri" w:hAnsi="Calibri" w:cs="Calibri"/>
        </w:rPr>
        <w:t xml:space="preserve">previously </w:t>
      </w:r>
      <w:r w:rsidR="00E6250F" w:rsidRPr="00D11385">
        <w:rPr>
          <w:rFonts w:ascii="Calibri" w:hAnsi="Calibri" w:cs="Calibri"/>
        </w:rPr>
        <w:t>reported as differentially expressed miRNAs in asthma</w:t>
      </w:r>
      <w:r w:rsidR="00D74B04" w:rsidRPr="00D11385">
        <w:rPr>
          <w:rFonts w:ascii="Calibri" w:hAnsi="Calibri" w:cs="Calibri"/>
        </w:rPr>
        <w:t xml:space="preserve"> while</w:t>
      </w:r>
      <w:r w:rsidR="00D74B04" w:rsidRPr="00D11385">
        <w:t xml:space="preserve"> </w:t>
      </w:r>
      <w:r w:rsidR="00D74B04" w:rsidRPr="00D11385">
        <w:rPr>
          <w:rFonts w:ascii="Calibri" w:hAnsi="Calibri" w:cs="Calibri"/>
        </w:rPr>
        <w:t xml:space="preserve">miR-151a-3p </w:t>
      </w:r>
      <w:r w:rsidR="00792BAA">
        <w:rPr>
          <w:rFonts w:ascii="Calibri" w:hAnsi="Calibri" w:cs="Calibri"/>
        </w:rPr>
        <w:t>has been</w:t>
      </w:r>
      <w:r w:rsidR="00134587" w:rsidRPr="00D11385">
        <w:t xml:space="preserve"> </w:t>
      </w:r>
      <w:r w:rsidR="00134587" w:rsidRPr="00D11385">
        <w:rPr>
          <w:rFonts w:ascii="Calibri" w:hAnsi="Calibri" w:cs="Calibri"/>
        </w:rPr>
        <w:t xml:space="preserve">inversely correlated with </w:t>
      </w:r>
      <w:r w:rsidR="0091213C" w:rsidRPr="0091213C">
        <w:rPr>
          <w:rFonts w:ascii="Calibri" w:hAnsi="Calibri" w:cs="Calibri"/>
        </w:rPr>
        <w:t>Bronchoalveolar lavage</w:t>
      </w:r>
      <w:r w:rsidR="0091213C">
        <w:rPr>
          <w:rFonts w:ascii="Calibri" w:hAnsi="Calibri" w:cs="Calibri"/>
        </w:rPr>
        <w:t xml:space="preserve"> (</w:t>
      </w:r>
      <w:r w:rsidR="00134587" w:rsidRPr="00D11385">
        <w:rPr>
          <w:rFonts w:ascii="Calibri" w:hAnsi="Calibri" w:cs="Calibri"/>
        </w:rPr>
        <w:t>BAL</w:t>
      </w:r>
      <w:r w:rsidR="0091213C">
        <w:rPr>
          <w:rFonts w:ascii="Calibri" w:hAnsi="Calibri" w:cs="Calibri"/>
        </w:rPr>
        <w:t>)</w:t>
      </w:r>
      <w:r w:rsidR="00134587" w:rsidRPr="00D11385">
        <w:rPr>
          <w:rFonts w:ascii="Calibri" w:hAnsi="Calibri" w:cs="Calibri"/>
        </w:rPr>
        <w:t xml:space="preserve"> eosinophil percentage in asthma patients</w:t>
      </w:r>
      <w:r w:rsidR="00DF3B27">
        <w:rPr>
          <w:rFonts w:ascii="Calibri" w:hAnsi="Calibri" w:cs="Calibri"/>
        </w:rPr>
        <w:t>.</w:t>
      </w:r>
      <w:r w:rsidR="0030186D">
        <w:rPr>
          <w:rFonts w:ascii="Calibri" w:hAnsi="Calibri" w:cs="Calibri"/>
        </w:rPr>
        <w:t>(6</w:t>
      </w:r>
      <w:r w:rsidR="00134587" w:rsidRPr="00D11385">
        <w:rPr>
          <w:rFonts w:ascii="Calibri" w:hAnsi="Calibri" w:cs="Calibri"/>
        </w:rPr>
        <w:t>)</w:t>
      </w:r>
      <w:r w:rsidR="00E6250F" w:rsidRPr="00D11385">
        <w:t xml:space="preserve"> </w:t>
      </w:r>
      <w:r w:rsidR="00A31F01" w:rsidRPr="00A31F01">
        <w:t>We tested 17</w:t>
      </w:r>
      <w:r w:rsidR="00DF3233">
        <w:t>5</w:t>
      </w:r>
      <w:r w:rsidR="00A31F01" w:rsidRPr="00A31F01">
        <w:t xml:space="preserve"> miRNAs </w:t>
      </w:r>
      <w:r w:rsidR="00C4046E">
        <w:t xml:space="preserve">within a standard panel </w:t>
      </w:r>
      <w:r w:rsidR="00A31F01" w:rsidRPr="00A31F01">
        <w:t>but other miRNAs</w:t>
      </w:r>
      <w:r w:rsidR="00863BE8">
        <w:t xml:space="preserve"> </w:t>
      </w:r>
      <w:r w:rsidR="00F32F84">
        <w:t>previously</w:t>
      </w:r>
      <w:r w:rsidR="00A31F01" w:rsidRPr="00A31F01">
        <w:t xml:space="preserve"> reported in the literature may differentiate asthmatic patients from healthy subjects</w:t>
      </w:r>
      <w:r w:rsidR="00DF3B27">
        <w:t>.</w:t>
      </w:r>
      <w:r w:rsidR="009B2BB4">
        <w:t>(1, 2)</w:t>
      </w:r>
      <w:r w:rsidR="00A31F01" w:rsidRPr="00A31F01">
        <w:t xml:space="preserve"> </w:t>
      </w:r>
      <w:r w:rsidR="00AC6CFA">
        <w:t>Furthermore, a</w:t>
      </w:r>
      <w:r w:rsidR="006226EB">
        <w:t>sthma is a heterogeneous condition so different miRNA</w:t>
      </w:r>
      <w:r w:rsidR="00AC6CFA">
        <w:t>s</w:t>
      </w:r>
      <w:r w:rsidR="004D0005">
        <w:t xml:space="preserve"> may be relevant to</w:t>
      </w:r>
      <w:r w:rsidR="002165A6">
        <w:t xml:space="preserve"> different phenotypes and endotypes.</w:t>
      </w:r>
      <w:r w:rsidR="00486F15">
        <w:t xml:space="preserve"> </w:t>
      </w:r>
      <w:r w:rsidR="0094596F">
        <w:t xml:space="preserve">Differential miRNA expression </w:t>
      </w:r>
      <w:r w:rsidR="00E56094">
        <w:t xml:space="preserve">may be seen in different tissues </w:t>
      </w:r>
      <w:r w:rsidR="00D81DF1">
        <w:t xml:space="preserve">too. </w:t>
      </w:r>
      <w:r w:rsidR="003F1939">
        <w:t xml:space="preserve">Our pilot study shows that miRNA expression </w:t>
      </w:r>
      <w:r w:rsidR="001C24AF">
        <w:t>may help</w:t>
      </w:r>
      <w:r w:rsidR="003F1939">
        <w:t xml:space="preserve"> to </w:t>
      </w:r>
      <w:r w:rsidR="00D361B5">
        <w:t xml:space="preserve">distinguish </w:t>
      </w:r>
      <w:r w:rsidR="003F1939">
        <w:t>severe asthma</w:t>
      </w:r>
      <w:r w:rsidR="00D361B5">
        <w:t xml:space="preserve"> status</w:t>
      </w:r>
      <w:r w:rsidR="003F1939">
        <w:t>.</w:t>
      </w:r>
      <w:r w:rsidR="00911A69">
        <w:t xml:space="preserve"> However</w:t>
      </w:r>
      <w:r w:rsidR="00ED72B2">
        <w:t>,</w:t>
      </w:r>
      <w:r w:rsidR="00911A69">
        <w:t xml:space="preserve"> the number</w:t>
      </w:r>
      <w:r w:rsidR="000811CB">
        <w:t>s</w:t>
      </w:r>
      <w:r w:rsidR="00911A69">
        <w:t xml:space="preserve"> studied were </w:t>
      </w:r>
      <w:r w:rsidR="00765EC7">
        <w:t>small</w:t>
      </w:r>
      <w:r w:rsidR="000811CB">
        <w:t>. Furthermore</w:t>
      </w:r>
      <w:r w:rsidR="00ED72B2">
        <w:t>,</w:t>
      </w:r>
      <w:r w:rsidR="00765EC7">
        <w:t xml:space="preserve"> there were </w:t>
      </w:r>
      <w:r w:rsidR="00AD57BE">
        <w:t>factors</w:t>
      </w:r>
      <w:r w:rsidR="00765EC7">
        <w:t xml:space="preserve"> </w:t>
      </w:r>
      <w:r w:rsidR="00F5471D">
        <w:t xml:space="preserve">other than severity that differed between the groups </w:t>
      </w:r>
      <w:r w:rsidR="00AD57BE">
        <w:t xml:space="preserve">in </w:t>
      </w:r>
      <w:r w:rsidR="00AD57BE">
        <w:lastRenderedPageBreak/>
        <w:t xml:space="preserve">our study </w:t>
      </w:r>
      <w:r w:rsidR="00F5471D">
        <w:t xml:space="preserve">including age, </w:t>
      </w:r>
      <w:r w:rsidR="00ED72B2">
        <w:t>b</w:t>
      </w:r>
      <w:r w:rsidR="00F5471D">
        <w:t xml:space="preserve">ody </w:t>
      </w:r>
      <w:r w:rsidR="00ED72B2">
        <w:t>m</w:t>
      </w:r>
      <w:r w:rsidR="00F5471D">
        <w:t xml:space="preserve">ass </w:t>
      </w:r>
      <w:r w:rsidR="00ED72B2">
        <w:t>i</w:t>
      </w:r>
      <w:r w:rsidR="00F5471D">
        <w:t xml:space="preserve">ndex and current </w:t>
      </w:r>
      <w:r w:rsidR="000811CB">
        <w:t>smoking status</w:t>
      </w:r>
      <w:r w:rsidR="00AD57BE">
        <w:t xml:space="preserve"> which might also have plausibly </w:t>
      </w:r>
      <w:r w:rsidR="00EB39D3">
        <w:t>impacted on differential miRNA expression.</w:t>
      </w:r>
      <w:r w:rsidR="0077225F">
        <w:t xml:space="preserve"> It is worth noting though that more difficult-to-treat asthma </w:t>
      </w:r>
      <w:r w:rsidR="00177867">
        <w:t xml:space="preserve">in our </w:t>
      </w:r>
      <w:r w:rsidR="001D50BB">
        <w:t xml:space="preserve">WATCH cohort is typically </w:t>
      </w:r>
      <w:r w:rsidR="004D3B71">
        <w:t>a multimorbid state</w:t>
      </w:r>
      <w:r w:rsidR="005623AA">
        <w:t xml:space="preserve"> associated with older age</w:t>
      </w:r>
      <w:r w:rsidR="00177867">
        <w:t xml:space="preserve">, obesity and </w:t>
      </w:r>
      <w:r w:rsidR="001D50BB">
        <w:t>absence of current smoking</w:t>
      </w:r>
      <w:r w:rsidR="00350210">
        <w:t xml:space="preserve"> </w:t>
      </w:r>
      <w:r w:rsidR="001A331A">
        <w:t xml:space="preserve">(7) </w:t>
      </w:r>
      <w:r w:rsidR="00350210">
        <w:t xml:space="preserve">as seen in the </w:t>
      </w:r>
      <w:r w:rsidR="005A3DA4">
        <w:t xml:space="preserve">severe asthma </w:t>
      </w:r>
      <w:r w:rsidR="00350210">
        <w:t>subgroup analysed</w:t>
      </w:r>
      <w:r w:rsidR="005A3DA4">
        <w:t xml:space="preserve"> in this study.</w:t>
      </w:r>
      <w:r w:rsidR="00350210">
        <w:t xml:space="preserve"> </w:t>
      </w:r>
      <w:r w:rsidR="003F1939">
        <w:t xml:space="preserve"> </w:t>
      </w:r>
      <w:r w:rsidR="00486F15">
        <w:t xml:space="preserve">Larger scale work studying miRNA expression in </w:t>
      </w:r>
      <w:r w:rsidR="00F61B35">
        <w:t xml:space="preserve">different </w:t>
      </w:r>
      <w:r w:rsidR="00B7144E">
        <w:t>asthma subgroups</w:t>
      </w:r>
      <w:r w:rsidR="00AC6CFA">
        <w:t>, d</w:t>
      </w:r>
      <w:r w:rsidR="00D81DF1">
        <w:t xml:space="preserve">ifferent tissue compartments </w:t>
      </w:r>
      <w:r w:rsidR="00AC6CFA">
        <w:t xml:space="preserve">and using </w:t>
      </w:r>
      <w:r w:rsidR="00AE5D6F">
        <w:t xml:space="preserve">a </w:t>
      </w:r>
      <w:r w:rsidR="00AC6CFA">
        <w:t xml:space="preserve">wider array </w:t>
      </w:r>
      <w:r w:rsidR="00345756">
        <w:t xml:space="preserve">of </w:t>
      </w:r>
      <w:r w:rsidR="00AC6CFA">
        <w:t xml:space="preserve">miRNAs </w:t>
      </w:r>
      <w:r w:rsidR="007E5337">
        <w:t>is therefor</w:t>
      </w:r>
      <w:r w:rsidR="002F2F6C">
        <w:t>e</w:t>
      </w:r>
      <w:r w:rsidR="007E5337">
        <w:t xml:space="preserve"> warranted</w:t>
      </w:r>
      <w:r w:rsidR="000612C3">
        <w:t xml:space="preserve"> as we </w:t>
      </w:r>
      <w:r w:rsidR="00A93EE0">
        <w:t>seek to build on these initial findings.</w:t>
      </w:r>
    </w:p>
    <w:p w14:paraId="1BBBA402" w14:textId="4C81DE63" w:rsidR="003B248F" w:rsidRDefault="003B248F"/>
    <w:p w14:paraId="36D48F63" w14:textId="043260E3" w:rsidR="009B2900" w:rsidRDefault="005814FE" w:rsidP="009F772C">
      <w:r>
        <w:t xml:space="preserve">Table1: </w:t>
      </w:r>
      <w:r w:rsidR="009F772C">
        <w:t>Clinical characteristics for subjects from different groups.</w:t>
      </w:r>
    </w:p>
    <w:tbl>
      <w:tblPr>
        <w:tblStyle w:val="TableGrid"/>
        <w:tblW w:w="0" w:type="auto"/>
        <w:jc w:val="center"/>
        <w:tblLook w:val="04A0" w:firstRow="1" w:lastRow="0" w:firstColumn="1" w:lastColumn="0" w:noHBand="0" w:noVBand="1"/>
      </w:tblPr>
      <w:tblGrid>
        <w:gridCol w:w="1838"/>
        <w:gridCol w:w="1889"/>
        <w:gridCol w:w="2399"/>
        <w:gridCol w:w="2409"/>
      </w:tblGrid>
      <w:tr w:rsidR="00F855EE" w:rsidRPr="004928D4" w14:paraId="6353FD62" w14:textId="77777777" w:rsidTr="00E55FAB">
        <w:trPr>
          <w:trHeight w:val="714"/>
          <w:jc w:val="center"/>
        </w:trPr>
        <w:tc>
          <w:tcPr>
            <w:tcW w:w="1838" w:type="dxa"/>
            <w:shd w:val="clear" w:color="auto" w:fill="F2F2F2" w:themeFill="background1" w:themeFillShade="F2"/>
          </w:tcPr>
          <w:p w14:paraId="138DA4AE" w14:textId="77777777" w:rsidR="00F855EE" w:rsidRPr="004928D4" w:rsidRDefault="00F855EE" w:rsidP="00AF1E66">
            <w:pPr>
              <w:jc w:val="center"/>
              <w:rPr>
                <w:sz w:val="20"/>
                <w:szCs w:val="20"/>
              </w:rPr>
            </w:pPr>
          </w:p>
        </w:tc>
        <w:tc>
          <w:tcPr>
            <w:tcW w:w="1889" w:type="dxa"/>
            <w:shd w:val="clear" w:color="auto" w:fill="auto"/>
          </w:tcPr>
          <w:p w14:paraId="3BF36746" w14:textId="77777777" w:rsidR="00F855EE" w:rsidRDefault="00F855EE" w:rsidP="00AF1E66">
            <w:pPr>
              <w:jc w:val="center"/>
              <w:rPr>
                <w:sz w:val="20"/>
                <w:szCs w:val="20"/>
              </w:rPr>
            </w:pPr>
            <w:r>
              <w:rPr>
                <w:sz w:val="20"/>
                <w:szCs w:val="20"/>
              </w:rPr>
              <w:t>Severe asthma</w:t>
            </w:r>
          </w:p>
          <w:p w14:paraId="03CDCDE3" w14:textId="77777777" w:rsidR="0000063E" w:rsidRPr="004928D4" w:rsidRDefault="0000063E" w:rsidP="00AF1E66">
            <w:pPr>
              <w:jc w:val="center"/>
              <w:rPr>
                <w:sz w:val="20"/>
                <w:szCs w:val="20"/>
              </w:rPr>
            </w:pPr>
            <w:r>
              <w:rPr>
                <w:sz w:val="20"/>
                <w:szCs w:val="20"/>
              </w:rPr>
              <w:t>N=4</w:t>
            </w:r>
          </w:p>
        </w:tc>
        <w:tc>
          <w:tcPr>
            <w:tcW w:w="2399" w:type="dxa"/>
            <w:shd w:val="clear" w:color="auto" w:fill="auto"/>
          </w:tcPr>
          <w:p w14:paraId="09602EB2" w14:textId="77777777" w:rsidR="00F855EE" w:rsidRDefault="00F855EE" w:rsidP="00AF1E66">
            <w:pPr>
              <w:jc w:val="center"/>
              <w:rPr>
                <w:sz w:val="20"/>
                <w:szCs w:val="20"/>
              </w:rPr>
            </w:pPr>
            <w:r>
              <w:rPr>
                <w:sz w:val="20"/>
                <w:szCs w:val="20"/>
              </w:rPr>
              <w:t>Mild asthma</w:t>
            </w:r>
          </w:p>
          <w:p w14:paraId="49EC231A" w14:textId="77777777" w:rsidR="0000063E" w:rsidRPr="004928D4" w:rsidRDefault="0000063E" w:rsidP="00AF1E66">
            <w:pPr>
              <w:jc w:val="center"/>
              <w:rPr>
                <w:sz w:val="20"/>
                <w:szCs w:val="20"/>
              </w:rPr>
            </w:pPr>
            <w:r>
              <w:rPr>
                <w:sz w:val="20"/>
                <w:szCs w:val="20"/>
              </w:rPr>
              <w:t>N=4</w:t>
            </w:r>
          </w:p>
        </w:tc>
        <w:tc>
          <w:tcPr>
            <w:tcW w:w="2409" w:type="dxa"/>
            <w:shd w:val="clear" w:color="auto" w:fill="auto"/>
          </w:tcPr>
          <w:p w14:paraId="030B7E61" w14:textId="77777777" w:rsidR="00F855EE" w:rsidRDefault="00F855EE" w:rsidP="00AF1E66">
            <w:pPr>
              <w:jc w:val="center"/>
              <w:rPr>
                <w:sz w:val="20"/>
                <w:szCs w:val="20"/>
              </w:rPr>
            </w:pPr>
            <w:r>
              <w:rPr>
                <w:sz w:val="20"/>
                <w:szCs w:val="20"/>
              </w:rPr>
              <w:t>Healthy</w:t>
            </w:r>
          </w:p>
          <w:p w14:paraId="6AFC1239" w14:textId="77777777" w:rsidR="0000063E" w:rsidRPr="004928D4" w:rsidRDefault="0000063E" w:rsidP="00AF1E66">
            <w:pPr>
              <w:jc w:val="center"/>
              <w:rPr>
                <w:sz w:val="20"/>
                <w:szCs w:val="20"/>
              </w:rPr>
            </w:pPr>
            <w:r>
              <w:rPr>
                <w:sz w:val="20"/>
                <w:szCs w:val="20"/>
              </w:rPr>
              <w:t>N=4</w:t>
            </w:r>
          </w:p>
        </w:tc>
      </w:tr>
      <w:tr w:rsidR="00F57CD5" w:rsidRPr="004928D4" w14:paraId="6E0C21A7" w14:textId="77777777" w:rsidTr="00E55FAB">
        <w:trPr>
          <w:trHeight w:val="476"/>
          <w:jc w:val="center"/>
        </w:trPr>
        <w:tc>
          <w:tcPr>
            <w:tcW w:w="1838" w:type="dxa"/>
            <w:shd w:val="clear" w:color="auto" w:fill="F2F2F2" w:themeFill="background1" w:themeFillShade="F2"/>
          </w:tcPr>
          <w:p w14:paraId="39E0219A" w14:textId="41ADC12A" w:rsidR="00F57CD5" w:rsidRPr="004928D4" w:rsidRDefault="00F57CD5" w:rsidP="00AF1E66">
            <w:pPr>
              <w:jc w:val="center"/>
              <w:rPr>
                <w:sz w:val="20"/>
                <w:szCs w:val="20"/>
              </w:rPr>
            </w:pPr>
            <w:r>
              <w:rPr>
                <w:sz w:val="20"/>
                <w:szCs w:val="20"/>
              </w:rPr>
              <w:t>Definition</w:t>
            </w:r>
            <w:r w:rsidR="00BB743D">
              <w:rPr>
                <w:sz w:val="20"/>
                <w:szCs w:val="20"/>
              </w:rPr>
              <w:t xml:space="preserve"> of Asthma Status</w:t>
            </w:r>
          </w:p>
        </w:tc>
        <w:tc>
          <w:tcPr>
            <w:tcW w:w="1889" w:type="dxa"/>
            <w:shd w:val="clear" w:color="auto" w:fill="auto"/>
          </w:tcPr>
          <w:p w14:paraId="6675F3B3" w14:textId="171497DF" w:rsidR="00F57CD5" w:rsidRDefault="00570F61" w:rsidP="00E55FAB">
            <w:pPr>
              <w:jc w:val="center"/>
              <w:rPr>
                <w:sz w:val="20"/>
                <w:szCs w:val="20"/>
              </w:rPr>
            </w:pPr>
            <w:r>
              <w:rPr>
                <w:sz w:val="20"/>
                <w:szCs w:val="20"/>
              </w:rPr>
              <w:t>Enrolled in WATCH study and t</w:t>
            </w:r>
            <w:r w:rsidR="007315D7" w:rsidRPr="007315D7">
              <w:rPr>
                <w:sz w:val="20"/>
                <w:szCs w:val="20"/>
              </w:rPr>
              <w:t xml:space="preserve">aking BTS steps </w:t>
            </w:r>
            <w:r w:rsidR="00C541AF">
              <w:rPr>
                <w:sz w:val="20"/>
                <w:szCs w:val="20"/>
              </w:rPr>
              <w:t>“</w:t>
            </w:r>
            <w:r w:rsidR="007315D7" w:rsidRPr="007315D7">
              <w:rPr>
                <w:sz w:val="20"/>
                <w:szCs w:val="20"/>
              </w:rPr>
              <w:t>additional controller therapies/specialist therapies</w:t>
            </w:r>
            <w:r w:rsidR="00E55FAB">
              <w:rPr>
                <w:sz w:val="20"/>
                <w:szCs w:val="20"/>
              </w:rPr>
              <w:t>”</w:t>
            </w:r>
            <w:r w:rsidR="007315D7" w:rsidRPr="007315D7">
              <w:rPr>
                <w:sz w:val="20"/>
                <w:szCs w:val="20"/>
              </w:rPr>
              <w:t xml:space="preserve"> (</w:t>
            </w:r>
            <w:r w:rsidR="0030186D">
              <w:rPr>
                <w:sz w:val="20"/>
                <w:szCs w:val="20"/>
              </w:rPr>
              <w:t>3</w:t>
            </w:r>
            <w:r w:rsidR="007315D7" w:rsidRPr="007315D7">
              <w:rPr>
                <w:sz w:val="20"/>
                <w:szCs w:val="20"/>
              </w:rPr>
              <w:t>)</w:t>
            </w:r>
          </w:p>
        </w:tc>
        <w:tc>
          <w:tcPr>
            <w:tcW w:w="2399" w:type="dxa"/>
            <w:shd w:val="clear" w:color="auto" w:fill="auto"/>
          </w:tcPr>
          <w:p w14:paraId="5613034D" w14:textId="6EF8FF0A" w:rsidR="00F57CD5" w:rsidRDefault="00575752" w:rsidP="00E55FAB">
            <w:pPr>
              <w:jc w:val="center"/>
              <w:rPr>
                <w:sz w:val="20"/>
                <w:szCs w:val="20"/>
              </w:rPr>
            </w:pPr>
            <w:r>
              <w:rPr>
                <w:sz w:val="20"/>
                <w:szCs w:val="20"/>
              </w:rPr>
              <w:t>Enrolled in IOWBC</w:t>
            </w:r>
            <w:r w:rsidR="00BB743D">
              <w:rPr>
                <w:sz w:val="20"/>
                <w:szCs w:val="20"/>
              </w:rPr>
              <w:t xml:space="preserve">. </w:t>
            </w:r>
            <w:r w:rsidR="006A4B33" w:rsidRPr="006A4B33">
              <w:rPr>
                <w:sz w:val="20"/>
                <w:szCs w:val="20"/>
              </w:rPr>
              <w:t xml:space="preserve">Physician diagnosis of asthma </w:t>
            </w:r>
            <w:r w:rsidR="006533D0">
              <w:rPr>
                <w:sz w:val="20"/>
                <w:szCs w:val="20"/>
              </w:rPr>
              <w:t xml:space="preserve">at age </w:t>
            </w:r>
            <w:r w:rsidR="004607D3">
              <w:rPr>
                <w:sz w:val="20"/>
                <w:szCs w:val="20"/>
              </w:rPr>
              <w:t>18</w:t>
            </w:r>
            <w:r w:rsidR="006533D0">
              <w:rPr>
                <w:sz w:val="20"/>
                <w:szCs w:val="20"/>
              </w:rPr>
              <w:t xml:space="preserve">-years </w:t>
            </w:r>
            <w:r w:rsidR="006A4B33" w:rsidRPr="006A4B33">
              <w:rPr>
                <w:sz w:val="20"/>
                <w:szCs w:val="20"/>
              </w:rPr>
              <w:t xml:space="preserve">plus either wheeze within the last 12 months or currently taking asthma medication at BTS steps </w:t>
            </w:r>
            <w:r w:rsidR="00E55FAB">
              <w:rPr>
                <w:sz w:val="20"/>
                <w:szCs w:val="20"/>
              </w:rPr>
              <w:t>“</w:t>
            </w:r>
            <w:r w:rsidR="006A4B33" w:rsidRPr="006A4B33">
              <w:rPr>
                <w:sz w:val="20"/>
                <w:szCs w:val="20"/>
              </w:rPr>
              <w:t>regular preventer/ initial add on therapy</w:t>
            </w:r>
            <w:r w:rsidR="00E55FAB">
              <w:rPr>
                <w:sz w:val="20"/>
                <w:szCs w:val="20"/>
              </w:rPr>
              <w:t>”</w:t>
            </w:r>
            <w:r w:rsidR="00A11A70">
              <w:rPr>
                <w:sz w:val="20"/>
                <w:szCs w:val="20"/>
              </w:rPr>
              <w:t xml:space="preserve"> (</w:t>
            </w:r>
            <w:r w:rsidR="0030186D">
              <w:rPr>
                <w:sz w:val="20"/>
                <w:szCs w:val="20"/>
              </w:rPr>
              <w:t>3</w:t>
            </w:r>
            <w:r w:rsidR="00A11A70">
              <w:rPr>
                <w:sz w:val="20"/>
                <w:szCs w:val="20"/>
              </w:rPr>
              <w:t>)</w:t>
            </w:r>
          </w:p>
        </w:tc>
        <w:tc>
          <w:tcPr>
            <w:tcW w:w="2409" w:type="dxa"/>
            <w:shd w:val="clear" w:color="auto" w:fill="auto"/>
          </w:tcPr>
          <w:p w14:paraId="327282AE" w14:textId="392DDBA6" w:rsidR="00F57CD5" w:rsidRDefault="00BB743D" w:rsidP="00AF1E66">
            <w:pPr>
              <w:jc w:val="center"/>
              <w:rPr>
                <w:sz w:val="20"/>
                <w:szCs w:val="20"/>
              </w:rPr>
            </w:pPr>
            <w:r>
              <w:rPr>
                <w:sz w:val="20"/>
                <w:szCs w:val="20"/>
              </w:rPr>
              <w:t xml:space="preserve">Enrolled in IOWBC. </w:t>
            </w:r>
            <w:r w:rsidR="00F57CD5">
              <w:rPr>
                <w:sz w:val="20"/>
                <w:szCs w:val="20"/>
              </w:rPr>
              <w:t xml:space="preserve">No </w:t>
            </w:r>
            <w:r w:rsidR="006A4B33">
              <w:rPr>
                <w:sz w:val="20"/>
                <w:szCs w:val="20"/>
              </w:rPr>
              <w:t>documented history of asthma ever</w:t>
            </w:r>
            <w:r w:rsidR="004607D3">
              <w:rPr>
                <w:sz w:val="20"/>
                <w:szCs w:val="20"/>
              </w:rPr>
              <w:t xml:space="preserve"> at age 18-years</w:t>
            </w:r>
          </w:p>
        </w:tc>
      </w:tr>
      <w:tr w:rsidR="00E55FAB" w:rsidRPr="004928D4" w14:paraId="6268226A" w14:textId="77777777" w:rsidTr="00E55FAB">
        <w:trPr>
          <w:trHeight w:val="476"/>
          <w:jc w:val="center"/>
        </w:trPr>
        <w:tc>
          <w:tcPr>
            <w:tcW w:w="1838" w:type="dxa"/>
            <w:shd w:val="clear" w:color="auto" w:fill="F2F2F2" w:themeFill="background1" w:themeFillShade="F2"/>
          </w:tcPr>
          <w:p w14:paraId="1A0EFA00" w14:textId="77777777" w:rsidR="00E55FAB" w:rsidRDefault="00E55FAB" w:rsidP="00E55FAB">
            <w:pPr>
              <w:jc w:val="center"/>
              <w:rPr>
                <w:sz w:val="20"/>
                <w:szCs w:val="20"/>
              </w:rPr>
            </w:pPr>
            <w:r>
              <w:rPr>
                <w:sz w:val="20"/>
                <w:szCs w:val="20"/>
              </w:rPr>
              <w:t>Age</w:t>
            </w:r>
          </w:p>
          <w:p w14:paraId="124FD26A" w14:textId="2387C33A" w:rsidR="00E55FAB" w:rsidRDefault="002C35E1" w:rsidP="00E55FAB">
            <w:pPr>
              <w:jc w:val="center"/>
              <w:rPr>
                <w:sz w:val="20"/>
                <w:szCs w:val="20"/>
              </w:rPr>
            </w:pPr>
            <w:r>
              <w:rPr>
                <w:sz w:val="20"/>
                <w:szCs w:val="20"/>
              </w:rPr>
              <w:t>(</w:t>
            </w:r>
            <w:r w:rsidR="00E55FAB">
              <w:rPr>
                <w:sz w:val="20"/>
                <w:szCs w:val="20"/>
              </w:rPr>
              <w:t>Years</w:t>
            </w:r>
            <w:r>
              <w:rPr>
                <w:sz w:val="20"/>
                <w:szCs w:val="20"/>
              </w:rPr>
              <w:t>)</w:t>
            </w:r>
          </w:p>
        </w:tc>
        <w:tc>
          <w:tcPr>
            <w:tcW w:w="1889" w:type="dxa"/>
            <w:shd w:val="clear" w:color="auto" w:fill="auto"/>
          </w:tcPr>
          <w:p w14:paraId="405BECD8" w14:textId="77777777" w:rsidR="00E55FAB" w:rsidRDefault="00E55FAB" w:rsidP="00E55FAB">
            <w:pPr>
              <w:jc w:val="center"/>
              <w:rPr>
                <w:sz w:val="20"/>
                <w:szCs w:val="20"/>
              </w:rPr>
            </w:pPr>
            <w:r>
              <w:rPr>
                <w:sz w:val="20"/>
                <w:szCs w:val="20"/>
              </w:rPr>
              <w:t>35.7</w:t>
            </w:r>
          </w:p>
          <w:p w14:paraId="1B47E289" w14:textId="320DAFE6" w:rsidR="002C35E1" w:rsidRDefault="002C35E1" w:rsidP="00E55FAB">
            <w:pPr>
              <w:jc w:val="center"/>
              <w:rPr>
                <w:sz w:val="20"/>
                <w:szCs w:val="20"/>
              </w:rPr>
            </w:pPr>
            <w:r>
              <w:rPr>
                <w:sz w:val="20"/>
                <w:szCs w:val="20"/>
              </w:rPr>
              <w:t>(18-52)</w:t>
            </w:r>
          </w:p>
        </w:tc>
        <w:tc>
          <w:tcPr>
            <w:tcW w:w="2399" w:type="dxa"/>
            <w:shd w:val="clear" w:color="auto" w:fill="auto"/>
          </w:tcPr>
          <w:p w14:paraId="75B7713A" w14:textId="3F20AA30" w:rsidR="00E55FAB" w:rsidRDefault="00E55FAB" w:rsidP="00E55FAB">
            <w:pPr>
              <w:jc w:val="center"/>
              <w:rPr>
                <w:sz w:val="20"/>
                <w:szCs w:val="20"/>
              </w:rPr>
            </w:pPr>
            <w:r>
              <w:rPr>
                <w:sz w:val="20"/>
                <w:szCs w:val="20"/>
              </w:rPr>
              <w:t>18</w:t>
            </w:r>
          </w:p>
          <w:p w14:paraId="632DCDA6" w14:textId="261AFC96" w:rsidR="00E75836" w:rsidRDefault="00E75836" w:rsidP="00E55FAB">
            <w:pPr>
              <w:jc w:val="center"/>
              <w:rPr>
                <w:sz w:val="20"/>
                <w:szCs w:val="20"/>
              </w:rPr>
            </w:pPr>
            <w:r>
              <w:rPr>
                <w:sz w:val="20"/>
                <w:szCs w:val="20"/>
              </w:rPr>
              <w:t>(NA)</w:t>
            </w:r>
          </w:p>
          <w:p w14:paraId="2FCA53D3" w14:textId="6D9B8072" w:rsidR="002C35E1" w:rsidRDefault="002C35E1" w:rsidP="00E55FAB">
            <w:pPr>
              <w:jc w:val="center"/>
              <w:rPr>
                <w:sz w:val="20"/>
                <w:szCs w:val="20"/>
              </w:rPr>
            </w:pPr>
          </w:p>
        </w:tc>
        <w:tc>
          <w:tcPr>
            <w:tcW w:w="2409" w:type="dxa"/>
            <w:shd w:val="clear" w:color="auto" w:fill="auto"/>
          </w:tcPr>
          <w:p w14:paraId="0D1F3708" w14:textId="77777777" w:rsidR="00C541AF" w:rsidRDefault="00E55FAB" w:rsidP="00C541AF">
            <w:pPr>
              <w:jc w:val="center"/>
              <w:rPr>
                <w:sz w:val="20"/>
                <w:szCs w:val="20"/>
              </w:rPr>
            </w:pPr>
            <w:r>
              <w:rPr>
                <w:sz w:val="20"/>
                <w:szCs w:val="20"/>
              </w:rPr>
              <w:t>18</w:t>
            </w:r>
          </w:p>
          <w:p w14:paraId="7FFE8603" w14:textId="656C9DA5" w:rsidR="00E75836" w:rsidRDefault="00E75836" w:rsidP="00C541AF">
            <w:pPr>
              <w:jc w:val="center"/>
              <w:rPr>
                <w:sz w:val="20"/>
                <w:szCs w:val="20"/>
              </w:rPr>
            </w:pPr>
            <w:r>
              <w:rPr>
                <w:sz w:val="20"/>
                <w:szCs w:val="20"/>
              </w:rPr>
              <w:t>(NA)</w:t>
            </w:r>
          </w:p>
        </w:tc>
      </w:tr>
      <w:tr w:rsidR="00E55FAB" w:rsidRPr="004928D4" w14:paraId="4C28A919" w14:textId="77777777" w:rsidTr="00E55FAB">
        <w:trPr>
          <w:trHeight w:val="476"/>
          <w:jc w:val="center"/>
        </w:trPr>
        <w:tc>
          <w:tcPr>
            <w:tcW w:w="1838" w:type="dxa"/>
            <w:shd w:val="clear" w:color="auto" w:fill="F2F2F2" w:themeFill="background1" w:themeFillShade="F2"/>
          </w:tcPr>
          <w:p w14:paraId="282C7FEE" w14:textId="77777777" w:rsidR="00E55FAB" w:rsidRDefault="00E55FAB" w:rsidP="00E55FAB">
            <w:pPr>
              <w:jc w:val="center"/>
              <w:rPr>
                <w:sz w:val="20"/>
                <w:szCs w:val="20"/>
              </w:rPr>
            </w:pPr>
            <w:r w:rsidRPr="004928D4">
              <w:rPr>
                <w:sz w:val="20"/>
                <w:szCs w:val="20"/>
              </w:rPr>
              <w:t>Gender</w:t>
            </w:r>
            <w:r>
              <w:rPr>
                <w:sz w:val="20"/>
                <w:szCs w:val="20"/>
              </w:rPr>
              <w:t xml:space="preserve"> (F)</w:t>
            </w:r>
          </w:p>
          <w:p w14:paraId="4E349372" w14:textId="77777777" w:rsidR="00E55FAB" w:rsidRPr="004928D4" w:rsidRDefault="00E55FAB" w:rsidP="00E55FAB">
            <w:pPr>
              <w:jc w:val="center"/>
              <w:rPr>
                <w:sz w:val="20"/>
                <w:szCs w:val="20"/>
              </w:rPr>
            </w:pPr>
            <w:r>
              <w:rPr>
                <w:sz w:val="20"/>
                <w:szCs w:val="20"/>
              </w:rPr>
              <w:t>% (N)</w:t>
            </w:r>
          </w:p>
        </w:tc>
        <w:tc>
          <w:tcPr>
            <w:tcW w:w="1889" w:type="dxa"/>
            <w:shd w:val="clear" w:color="auto" w:fill="auto"/>
          </w:tcPr>
          <w:p w14:paraId="520948EA" w14:textId="77777777" w:rsidR="00E55FAB" w:rsidRDefault="00E55FAB" w:rsidP="00E55FAB">
            <w:pPr>
              <w:jc w:val="center"/>
              <w:rPr>
                <w:sz w:val="20"/>
                <w:szCs w:val="20"/>
              </w:rPr>
            </w:pPr>
            <w:r>
              <w:rPr>
                <w:sz w:val="20"/>
                <w:szCs w:val="20"/>
              </w:rPr>
              <w:t>75</w:t>
            </w:r>
          </w:p>
          <w:p w14:paraId="493F244E" w14:textId="77777777" w:rsidR="00E55FAB" w:rsidRPr="004928D4" w:rsidRDefault="00E55FAB" w:rsidP="00E55FAB">
            <w:pPr>
              <w:jc w:val="center"/>
              <w:rPr>
                <w:sz w:val="20"/>
                <w:szCs w:val="20"/>
              </w:rPr>
            </w:pPr>
            <w:r>
              <w:rPr>
                <w:sz w:val="20"/>
                <w:szCs w:val="20"/>
              </w:rPr>
              <w:t>(3)</w:t>
            </w:r>
          </w:p>
        </w:tc>
        <w:tc>
          <w:tcPr>
            <w:tcW w:w="2399" w:type="dxa"/>
            <w:shd w:val="clear" w:color="auto" w:fill="auto"/>
          </w:tcPr>
          <w:p w14:paraId="1660A260" w14:textId="77777777" w:rsidR="00E55FAB" w:rsidRDefault="00E55FAB" w:rsidP="00E55FAB">
            <w:pPr>
              <w:jc w:val="center"/>
              <w:rPr>
                <w:sz w:val="20"/>
                <w:szCs w:val="20"/>
              </w:rPr>
            </w:pPr>
            <w:r>
              <w:rPr>
                <w:sz w:val="20"/>
                <w:szCs w:val="20"/>
              </w:rPr>
              <w:t>75</w:t>
            </w:r>
          </w:p>
          <w:p w14:paraId="1441EEC8" w14:textId="77777777" w:rsidR="00E55FAB" w:rsidRPr="004928D4" w:rsidRDefault="00E55FAB" w:rsidP="00E55FAB">
            <w:pPr>
              <w:jc w:val="center"/>
              <w:rPr>
                <w:sz w:val="20"/>
                <w:szCs w:val="20"/>
              </w:rPr>
            </w:pPr>
            <w:r>
              <w:rPr>
                <w:sz w:val="20"/>
                <w:szCs w:val="20"/>
              </w:rPr>
              <w:t>(3)</w:t>
            </w:r>
          </w:p>
        </w:tc>
        <w:tc>
          <w:tcPr>
            <w:tcW w:w="2409" w:type="dxa"/>
            <w:shd w:val="clear" w:color="auto" w:fill="auto"/>
          </w:tcPr>
          <w:p w14:paraId="40722115" w14:textId="77777777" w:rsidR="00E55FAB" w:rsidRDefault="00E55FAB" w:rsidP="00E55FAB">
            <w:pPr>
              <w:jc w:val="center"/>
              <w:rPr>
                <w:sz w:val="20"/>
                <w:szCs w:val="20"/>
              </w:rPr>
            </w:pPr>
            <w:r>
              <w:rPr>
                <w:sz w:val="20"/>
                <w:szCs w:val="20"/>
              </w:rPr>
              <w:t>100</w:t>
            </w:r>
          </w:p>
          <w:p w14:paraId="756C05D5" w14:textId="77777777" w:rsidR="00E55FAB" w:rsidRPr="004928D4" w:rsidRDefault="00E55FAB" w:rsidP="00E55FAB">
            <w:pPr>
              <w:jc w:val="center"/>
              <w:rPr>
                <w:sz w:val="20"/>
                <w:szCs w:val="20"/>
              </w:rPr>
            </w:pPr>
            <w:r>
              <w:rPr>
                <w:sz w:val="20"/>
                <w:szCs w:val="20"/>
              </w:rPr>
              <w:t>(4)</w:t>
            </w:r>
          </w:p>
        </w:tc>
      </w:tr>
      <w:tr w:rsidR="00E55FAB" w:rsidRPr="004928D4" w14:paraId="72431B9E" w14:textId="77777777" w:rsidTr="00E55FAB">
        <w:trPr>
          <w:trHeight w:val="476"/>
          <w:jc w:val="center"/>
        </w:trPr>
        <w:tc>
          <w:tcPr>
            <w:tcW w:w="1838" w:type="dxa"/>
            <w:shd w:val="clear" w:color="auto" w:fill="F2F2F2" w:themeFill="background1" w:themeFillShade="F2"/>
          </w:tcPr>
          <w:p w14:paraId="4EEC1380" w14:textId="77777777" w:rsidR="00E55FAB" w:rsidRDefault="00E55FAB" w:rsidP="00E55FAB">
            <w:pPr>
              <w:jc w:val="center"/>
              <w:rPr>
                <w:sz w:val="20"/>
                <w:szCs w:val="20"/>
              </w:rPr>
            </w:pPr>
            <w:r>
              <w:rPr>
                <w:sz w:val="20"/>
                <w:szCs w:val="20"/>
              </w:rPr>
              <w:t>Current Smoker</w:t>
            </w:r>
          </w:p>
          <w:p w14:paraId="51B4F329" w14:textId="77777777" w:rsidR="00E55FAB" w:rsidRPr="004928D4" w:rsidRDefault="00E55FAB" w:rsidP="00E55FAB">
            <w:pPr>
              <w:jc w:val="center"/>
              <w:rPr>
                <w:sz w:val="20"/>
                <w:szCs w:val="20"/>
              </w:rPr>
            </w:pPr>
            <w:r>
              <w:rPr>
                <w:sz w:val="20"/>
                <w:szCs w:val="20"/>
              </w:rPr>
              <w:t>% (N)</w:t>
            </w:r>
          </w:p>
        </w:tc>
        <w:tc>
          <w:tcPr>
            <w:tcW w:w="1889" w:type="dxa"/>
            <w:shd w:val="clear" w:color="auto" w:fill="auto"/>
          </w:tcPr>
          <w:p w14:paraId="25E147AF" w14:textId="77777777" w:rsidR="00E55FAB" w:rsidRDefault="00E55FAB" w:rsidP="00E55FAB">
            <w:pPr>
              <w:jc w:val="center"/>
              <w:rPr>
                <w:sz w:val="20"/>
                <w:szCs w:val="20"/>
              </w:rPr>
            </w:pPr>
            <w:r>
              <w:rPr>
                <w:sz w:val="20"/>
                <w:szCs w:val="20"/>
              </w:rPr>
              <w:t>0</w:t>
            </w:r>
          </w:p>
          <w:p w14:paraId="4E87CB9B" w14:textId="77777777" w:rsidR="00E55FAB" w:rsidRPr="004928D4" w:rsidRDefault="00E55FAB" w:rsidP="00E55FAB">
            <w:pPr>
              <w:jc w:val="center"/>
              <w:rPr>
                <w:sz w:val="20"/>
                <w:szCs w:val="20"/>
              </w:rPr>
            </w:pPr>
            <w:r>
              <w:rPr>
                <w:sz w:val="20"/>
                <w:szCs w:val="20"/>
              </w:rPr>
              <w:t>(0)</w:t>
            </w:r>
          </w:p>
        </w:tc>
        <w:tc>
          <w:tcPr>
            <w:tcW w:w="2399" w:type="dxa"/>
            <w:shd w:val="clear" w:color="auto" w:fill="auto"/>
          </w:tcPr>
          <w:p w14:paraId="4A9ADAA4" w14:textId="77777777" w:rsidR="00E55FAB" w:rsidRDefault="00E55FAB" w:rsidP="00E55FAB">
            <w:pPr>
              <w:jc w:val="center"/>
              <w:rPr>
                <w:sz w:val="20"/>
                <w:szCs w:val="20"/>
              </w:rPr>
            </w:pPr>
            <w:r>
              <w:rPr>
                <w:sz w:val="20"/>
                <w:szCs w:val="20"/>
              </w:rPr>
              <w:t>50</w:t>
            </w:r>
          </w:p>
          <w:p w14:paraId="31C29D8C" w14:textId="77777777" w:rsidR="00E55FAB" w:rsidRPr="004928D4" w:rsidRDefault="00E55FAB" w:rsidP="00E55FAB">
            <w:pPr>
              <w:jc w:val="center"/>
              <w:rPr>
                <w:sz w:val="20"/>
                <w:szCs w:val="20"/>
              </w:rPr>
            </w:pPr>
            <w:r>
              <w:rPr>
                <w:sz w:val="20"/>
                <w:szCs w:val="20"/>
              </w:rPr>
              <w:t>(2)</w:t>
            </w:r>
          </w:p>
        </w:tc>
        <w:tc>
          <w:tcPr>
            <w:tcW w:w="2409" w:type="dxa"/>
            <w:shd w:val="clear" w:color="auto" w:fill="auto"/>
          </w:tcPr>
          <w:p w14:paraId="1222C0C7" w14:textId="77777777" w:rsidR="00E55FAB" w:rsidRDefault="00E55FAB" w:rsidP="00E55FAB">
            <w:pPr>
              <w:jc w:val="center"/>
              <w:rPr>
                <w:sz w:val="20"/>
                <w:szCs w:val="20"/>
              </w:rPr>
            </w:pPr>
            <w:r>
              <w:rPr>
                <w:sz w:val="20"/>
                <w:szCs w:val="20"/>
              </w:rPr>
              <w:t>25</w:t>
            </w:r>
          </w:p>
          <w:p w14:paraId="5A4A5F9E" w14:textId="77777777" w:rsidR="00E55FAB" w:rsidRPr="004928D4" w:rsidRDefault="00E55FAB" w:rsidP="00E55FAB">
            <w:pPr>
              <w:jc w:val="center"/>
              <w:rPr>
                <w:sz w:val="20"/>
                <w:szCs w:val="20"/>
              </w:rPr>
            </w:pPr>
            <w:r>
              <w:rPr>
                <w:sz w:val="20"/>
                <w:szCs w:val="20"/>
              </w:rPr>
              <w:t>(1)</w:t>
            </w:r>
          </w:p>
        </w:tc>
      </w:tr>
      <w:tr w:rsidR="00E55FAB" w:rsidRPr="004928D4" w14:paraId="7DE49E7D" w14:textId="77777777" w:rsidTr="00E55FAB">
        <w:trPr>
          <w:trHeight w:val="476"/>
          <w:jc w:val="center"/>
        </w:trPr>
        <w:tc>
          <w:tcPr>
            <w:tcW w:w="1838" w:type="dxa"/>
            <w:shd w:val="clear" w:color="auto" w:fill="F2F2F2" w:themeFill="background1" w:themeFillShade="F2"/>
          </w:tcPr>
          <w:p w14:paraId="138779D5" w14:textId="49441B28" w:rsidR="00E55FAB" w:rsidRDefault="00E55FAB" w:rsidP="00E55FAB">
            <w:pPr>
              <w:jc w:val="center"/>
              <w:rPr>
                <w:sz w:val="20"/>
                <w:szCs w:val="20"/>
              </w:rPr>
            </w:pPr>
            <w:r>
              <w:rPr>
                <w:sz w:val="20"/>
                <w:szCs w:val="20"/>
              </w:rPr>
              <w:t>Never smoked</w:t>
            </w:r>
          </w:p>
          <w:p w14:paraId="4F59968D" w14:textId="77777777" w:rsidR="00E55FAB" w:rsidRPr="004928D4" w:rsidRDefault="00E55FAB" w:rsidP="00E55FAB">
            <w:pPr>
              <w:jc w:val="center"/>
              <w:rPr>
                <w:sz w:val="20"/>
                <w:szCs w:val="20"/>
              </w:rPr>
            </w:pPr>
            <w:r>
              <w:rPr>
                <w:sz w:val="20"/>
                <w:szCs w:val="20"/>
              </w:rPr>
              <w:t>% (N)</w:t>
            </w:r>
          </w:p>
        </w:tc>
        <w:tc>
          <w:tcPr>
            <w:tcW w:w="1889" w:type="dxa"/>
            <w:shd w:val="clear" w:color="auto" w:fill="auto"/>
          </w:tcPr>
          <w:p w14:paraId="3AF18593" w14:textId="77777777" w:rsidR="00E55FAB" w:rsidRDefault="00E55FAB" w:rsidP="00E55FAB">
            <w:pPr>
              <w:jc w:val="center"/>
              <w:rPr>
                <w:sz w:val="20"/>
                <w:szCs w:val="20"/>
              </w:rPr>
            </w:pPr>
            <w:r>
              <w:rPr>
                <w:sz w:val="20"/>
                <w:szCs w:val="20"/>
              </w:rPr>
              <w:t>50</w:t>
            </w:r>
          </w:p>
          <w:p w14:paraId="5E9E36E3" w14:textId="77777777" w:rsidR="00E55FAB" w:rsidRPr="004928D4" w:rsidRDefault="00E55FAB" w:rsidP="00E55FAB">
            <w:pPr>
              <w:jc w:val="center"/>
              <w:rPr>
                <w:sz w:val="20"/>
                <w:szCs w:val="20"/>
              </w:rPr>
            </w:pPr>
            <w:r>
              <w:rPr>
                <w:sz w:val="20"/>
                <w:szCs w:val="20"/>
              </w:rPr>
              <w:t>(2)</w:t>
            </w:r>
          </w:p>
        </w:tc>
        <w:tc>
          <w:tcPr>
            <w:tcW w:w="2399" w:type="dxa"/>
            <w:shd w:val="clear" w:color="auto" w:fill="auto"/>
          </w:tcPr>
          <w:p w14:paraId="76AC7E2D" w14:textId="77777777" w:rsidR="00E55FAB" w:rsidRDefault="00E55FAB" w:rsidP="00E55FAB">
            <w:pPr>
              <w:jc w:val="center"/>
              <w:rPr>
                <w:sz w:val="20"/>
                <w:szCs w:val="20"/>
              </w:rPr>
            </w:pPr>
            <w:r>
              <w:rPr>
                <w:sz w:val="20"/>
                <w:szCs w:val="20"/>
              </w:rPr>
              <w:t>25</w:t>
            </w:r>
          </w:p>
          <w:p w14:paraId="52716AC6" w14:textId="77777777" w:rsidR="00E55FAB" w:rsidRPr="004928D4" w:rsidRDefault="00E55FAB" w:rsidP="00E55FAB">
            <w:pPr>
              <w:jc w:val="center"/>
              <w:rPr>
                <w:sz w:val="20"/>
                <w:szCs w:val="20"/>
              </w:rPr>
            </w:pPr>
            <w:r>
              <w:rPr>
                <w:sz w:val="20"/>
                <w:szCs w:val="20"/>
              </w:rPr>
              <w:t>(1)</w:t>
            </w:r>
          </w:p>
        </w:tc>
        <w:tc>
          <w:tcPr>
            <w:tcW w:w="2409" w:type="dxa"/>
            <w:shd w:val="clear" w:color="auto" w:fill="auto"/>
          </w:tcPr>
          <w:p w14:paraId="641A1375" w14:textId="77777777" w:rsidR="00E55FAB" w:rsidRDefault="00E55FAB" w:rsidP="00E55FAB">
            <w:pPr>
              <w:jc w:val="center"/>
              <w:rPr>
                <w:sz w:val="20"/>
                <w:szCs w:val="20"/>
              </w:rPr>
            </w:pPr>
            <w:r>
              <w:rPr>
                <w:sz w:val="20"/>
                <w:szCs w:val="20"/>
              </w:rPr>
              <w:t>75</w:t>
            </w:r>
          </w:p>
          <w:p w14:paraId="57694E10" w14:textId="77777777" w:rsidR="00E55FAB" w:rsidRPr="004928D4" w:rsidRDefault="00E55FAB" w:rsidP="00E55FAB">
            <w:pPr>
              <w:jc w:val="center"/>
              <w:rPr>
                <w:sz w:val="20"/>
                <w:szCs w:val="20"/>
              </w:rPr>
            </w:pPr>
            <w:r>
              <w:rPr>
                <w:sz w:val="20"/>
                <w:szCs w:val="20"/>
              </w:rPr>
              <w:t>(3)</w:t>
            </w:r>
          </w:p>
        </w:tc>
      </w:tr>
      <w:tr w:rsidR="00E55FAB" w:rsidRPr="004928D4" w14:paraId="4010E7C8" w14:textId="77777777" w:rsidTr="00E55FAB">
        <w:trPr>
          <w:trHeight w:val="476"/>
          <w:jc w:val="center"/>
        </w:trPr>
        <w:tc>
          <w:tcPr>
            <w:tcW w:w="1838" w:type="dxa"/>
            <w:shd w:val="clear" w:color="auto" w:fill="F2F2F2" w:themeFill="background1" w:themeFillShade="F2"/>
          </w:tcPr>
          <w:p w14:paraId="3C2865F7" w14:textId="77777777" w:rsidR="002C35E1" w:rsidRDefault="00E55FAB" w:rsidP="00E55FAB">
            <w:pPr>
              <w:jc w:val="center"/>
              <w:rPr>
                <w:sz w:val="20"/>
                <w:szCs w:val="20"/>
              </w:rPr>
            </w:pPr>
            <w:r>
              <w:rPr>
                <w:sz w:val="20"/>
                <w:szCs w:val="20"/>
              </w:rPr>
              <w:t xml:space="preserve">ICS dose </w:t>
            </w:r>
          </w:p>
          <w:p w14:paraId="46A12A14" w14:textId="2D2713A1" w:rsidR="00E55FAB" w:rsidRPr="004928D4" w:rsidRDefault="002C35E1" w:rsidP="00E55FAB">
            <w:pPr>
              <w:jc w:val="center"/>
              <w:rPr>
                <w:sz w:val="20"/>
                <w:szCs w:val="20"/>
              </w:rPr>
            </w:pPr>
            <w:r>
              <w:rPr>
                <w:sz w:val="20"/>
                <w:szCs w:val="20"/>
              </w:rPr>
              <w:t>(</w:t>
            </w:r>
            <w:r w:rsidR="00E55FAB">
              <w:rPr>
                <w:sz w:val="20"/>
                <w:szCs w:val="20"/>
              </w:rPr>
              <w:t>BDP equivalent μg/day</w:t>
            </w:r>
            <w:r>
              <w:rPr>
                <w:sz w:val="20"/>
                <w:szCs w:val="20"/>
              </w:rPr>
              <w:t>)*</w:t>
            </w:r>
          </w:p>
        </w:tc>
        <w:tc>
          <w:tcPr>
            <w:tcW w:w="1889" w:type="dxa"/>
            <w:shd w:val="clear" w:color="auto" w:fill="auto"/>
          </w:tcPr>
          <w:p w14:paraId="2FD82718" w14:textId="77777777" w:rsidR="00E55FAB" w:rsidRDefault="00E55FAB" w:rsidP="00E55FAB">
            <w:pPr>
              <w:jc w:val="center"/>
              <w:rPr>
                <w:sz w:val="20"/>
                <w:szCs w:val="20"/>
              </w:rPr>
            </w:pPr>
            <w:r w:rsidRPr="004928D4">
              <w:rPr>
                <w:sz w:val="20"/>
                <w:szCs w:val="20"/>
              </w:rPr>
              <w:t>2500</w:t>
            </w:r>
          </w:p>
          <w:p w14:paraId="126097CB" w14:textId="77777777" w:rsidR="00E55FAB" w:rsidRPr="004928D4" w:rsidRDefault="00E55FAB" w:rsidP="00E55FAB">
            <w:pPr>
              <w:jc w:val="center"/>
              <w:rPr>
                <w:sz w:val="20"/>
                <w:szCs w:val="20"/>
              </w:rPr>
            </w:pPr>
            <w:r>
              <w:rPr>
                <w:sz w:val="20"/>
                <w:szCs w:val="20"/>
              </w:rPr>
              <w:t>(1000-3000)</w:t>
            </w:r>
          </w:p>
        </w:tc>
        <w:tc>
          <w:tcPr>
            <w:tcW w:w="2399" w:type="dxa"/>
            <w:shd w:val="clear" w:color="auto" w:fill="auto"/>
          </w:tcPr>
          <w:p w14:paraId="31A23E9C" w14:textId="53B0C3E8" w:rsidR="00E55FAB" w:rsidRDefault="00E55FAB" w:rsidP="00E55FAB">
            <w:pPr>
              <w:jc w:val="center"/>
              <w:rPr>
                <w:sz w:val="20"/>
                <w:szCs w:val="20"/>
              </w:rPr>
            </w:pPr>
            <w:r>
              <w:rPr>
                <w:sz w:val="20"/>
                <w:szCs w:val="20"/>
              </w:rPr>
              <w:t>400</w:t>
            </w:r>
          </w:p>
          <w:p w14:paraId="1EABF295" w14:textId="34C4B5EF" w:rsidR="00E55FAB" w:rsidRPr="004928D4" w:rsidRDefault="00E55FAB" w:rsidP="00E55FAB">
            <w:pPr>
              <w:jc w:val="center"/>
              <w:rPr>
                <w:sz w:val="20"/>
                <w:szCs w:val="20"/>
              </w:rPr>
            </w:pPr>
            <w:r>
              <w:rPr>
                <w:sz w:val="20"/>
                <w:szCs w:val="20"/>
              </w:rPr>
              <w:t>(0-800)</w:t>
            </w:r>
          </w:p>
        </w:tc>
        <w:tc>
          <w:tcPr>
            <w:tcW w:w="2409" w:type="dxa"/>
            <w:shd w:val="clear" w:color="auto" w:fill="auto"/>
          </w:tcPr>
          <w:p w14:paraId="4585FB92" w14:textId="77777777" w:rsidR="00E55FAB" w:rsidRPr="004928D4" w:rsidRDefault="00E55FAB" w:rsidP="00E55FAB">
            <w:pPr>
              <w:jc w:val="center"/>
              <w:rPr>
                <w:sz w:val="20"/>
                <w:szCs w:val="20"/>
              </w:rPr>
            </w:pPr>
            <w:r w:rsidRPr="004928D4">
              <w:rPr>
                <w:sz w:val="20"/>
                <w:szCs w:val="20"/>
              </w:rPr>
              <w:t>NA</w:t>
            </w:r>
          </w:p>
        </w:tc>
      </w:tr>
      <w:tr w:rsidR="00E55FAB" w:rsidRPr="004928D4" w14:paraId="20008740" w14:textId="77777777" w:rsidTr="00E55FAB">
        <w:trPr>
          <w:trHeight w:val="491"/>
          <w:jc w:val="center"/>
        </w:trPr>
        <w:tc>
          <w:tcPr>
            <w:tcW w:w="1838" w:type="dxa"/>
            <w:shd w:val="clear" w:color="auto" w:fill="F2F2F2" w:themeFill="background1" w:themeFillShade="F2"/>
          </w:tcPr>
          <w:p w14:paraId="6398B208" w14:textId="77777777" w:rsidR="00E55FAB" w:rsidRDefault="00E55FAB" w:rsidP="00E55FAB">
            <w:pPr>
              <w:jc w:val="center"/>
              <w:rPr>
                <w:sz w:val="20"/>
                <w:szCs w:val="20"/>
              </w:rPr>
            </w:pPr>
            <w:r w:rsidRPr="004928D4">
              <w:rPr>
                <w:sz w:val="20"/>
                <w:szCs w:val="20"/>
              </w:rPr>
              <w:t>BMI</w:t>
            </w:r>
          </w:p>
          <w:p w14:paraId="73F2B698" w14:textId="77777777" w:rsidR="00E55FAB" w:rsidRDefault="00E55FAB" w:rsidP="00E55FAB">
            <w:pPr>
              <w:jc w:val="center"/>
              <w:rPr>
                <w:sz w:val="20"/>
                <w:szCs w:val="20"/>
              </w:rPr>
            </w:pPr>
            <w:r>
              <w:rPr>
                <w:sz w:val="20"/>
                <w:szCs w:val="20"/>
              </w:rPr>
              <w:t>(Kg/m</w:t>
            </w:r>
            <w:r>
              <w:rPr>
                <w:sz w:val="20"/>
                <w:szCs w:val="20"/>
                <w:vertAlign w:val="superscript"/>
              </w:rPr>
              <w:t>2</w:t>
            </w:r>
            <w:r>
              <w:rPr>
                <w:sz w:val="20"/>
                <w:szCs w:val="20"/>
              </w:rPr>
              <w:t>)*</w:t>
            </w:r>
          </w:p>
          <w:p w14:paraId="4153CF51" w14:textId="77777777" w:rsidR="00E55FAB" w:rsidRPr="004928D4" w:rsidRDefault="00E55FAB" w:rsidP="00E55FAB">
            <w:pPr>
              <w:jc w:val="center"/>
              <w:rPr>
                <w:sz w:val="20"/>
                <w:szCs w:val="20"/>
              </w:rPr>
            </w:pPr>
          </w:p>
        </w:tc>
        <w:tc>
          <w:tcPr>
            <w:tcW w:w="1889" w:type="dxa"/>
            <w:shd w:val="clear" w:color="auto" w:fill="auto"/>
          </w:tcPr>
          <w:p w14:paraId="4745380F" w14:textId="77777777" w:rsidR="00E55FAB" w:rsidRDefault="00E55FAB" w:rsidP="00E55FAB">
            <w:pPr>
              <w:jc w:val="center"/>
              <w:rPr>
                <w:sz w:val="20"/>
                <w:szCs w:val="20"/>
              </w:rPr>
            </w:pPr>
            <w:r w:rsidRPr="004928D4">
              <w:rPr>
                <w:sz w:val="20"/>
                <w:szCs w:val="20"/>
              </w:rPr>
              <w:t>31.8</w:t>
            </w:r>
          </w:p>
          <w:p w14:paraId="458464ED" w14:textId="77777777" w:rsidR="00E55FAB" w:rsidRPr="004928D4" w:rsidRDefault="00E55FAB" w:rsidP="00E55FAB">
            <w:pPr>
              <w:jc w:val="center"/>
              <w:rPr>
                <w:sz w:val="20"/>
                <w:szCs w:val="20"/>
              </w:rPr>
            </w:pPr>
            <w:r>
              <w:rPr>
                <w:sz w:val="20"/>
                <w:szCs w:val="20"/>
              </w:rPr>
              <w:t>(22.1-39.6)</w:t>
            </w:r>
          </w:p>
        </w:tc>
        <w:tc>
          <w:tcPr>
            <w:tcW w:w="2399" w:type="dxa"/>
            <w:shd w:val="clear" w:color="auto" w:fill="auto"/>
          </w:tcPr>
          <w:p w14:paraId="0320AAE6" w14:textId="77777777" w:rsidR="00E55FAB" w:rsidRDefault="00E55FAB" w:rsidP="00E55FAB">
            <w:pPr>
              <w:jc w:val="center"/>
              <w:rPr>
                <w:sz w:val="20"/>
                <w:szCs w:val="20"/>
              </w:rPr>
            </w:pPr>
            <w:r w:rsidRPr="004928D4">
              <w:rPr>
                <w:sz w:val="20"/>
                <w:szCs w:val="20"/>
              </w:rPr>
              <w:t>23.9</w:t>
            </w:r>
          </w:p>
          <w:p w14:paraId="1748E205" w14:textId="77777777" w:rsidR="00E55FAB" w:rsidRPr="004928D4" w:rsidRDefault="00E55FAB" w:rsidP="00E55FAB">
            <w:pPr>
              <w:jc w:val="center"/>
              <w:rPr>
                <w:sz w:val="20"/>
                <w:szCs w:val="20"/>
              </w:rPr>
            </w:pPr>
            <w:r>
              <w:rPr>
                <w:sz w:val="20"/>
                <w:szCs w:val="20"/>
              </w:rPr>
              <w:t>(20.2-26.4)</w:t>
            </w:r>
          </w:p>
        </w:tc>
        <w:tc>
          <w:tcPr>
            <w:tcW w:w="2409" w:type="dxa"/>
            <w:shd w:val="clear" w:color="auto" w:fill="auto"/>
          </w:tcPr>
          <w:p w14:paraId="62139097" w14:textId="77777777" w:rsidR="00E55FAB" w:rsidRDefault="00E55FAB" w:rsidP="00E55FAB">
            <w:pPr>
              <w:jc w:val="center"/>
              <w:rPr>
                <w:sz w:val="20"/>
                <w:szCs w:val="20"/>
              </w:rPr>
            </w:pPr>
            <w:r w:rsidRPr="004928D4">
              <w:rPr>
                <w:sz w:val="20"/>
                <w:szCs w:val="20"/>
              </w:rPr>
              <w:t>21.7</w:t>
            </w:r>
          </w:p>
          <w:p w14:paraId="239ED93C" w14:textId="77777777" w:rsidR="00E55FAB" w:rsidRPr="004928D4" w:rsidRDefault="00E55FAB" w:rsidP="00E55FAB">
            <w:pPr>
              <w:jc w:val="center"/>
              <w:rPr>
                <w:sz w:val="20"/>
                <w:szCs w:val="20"/>
              </w:rPr>
            </w:pPr>
            <w:r>
              <w:rPr>
                <w:sz w:val="20"/>
                <w:szCs w:val="20"/>
              </w:rPr>
              <w:t>(19.0-24.6)</w:t>
            </w:r>
          </w:p>
        </w:tc>
      </w:tr>
      <w:tr w:rsidR="00E55FAB" w:rsidRPr="004928D4" w14:paraId="3DC94D3E" w14:textId="77777777" w:rsidTr="00E55FAB">
        <w:trPr>
          <w:trHeight w:val="714"/>
          <w:jc w:val="center"/>
        </w:trPr>
        <w:tc>
          <w:tcPr>
            <w:tcW w:w="1838" w:type="dxa"/>
            <w:shd w:val="clear" w:color="auto" w:fill="F2F2F2" w:themeFill="background1" w:themeFillShade="F2"/>
          </w:tcPr>
          <w:p w14:paraId="4F515B6B" w14:textId="29D2B689" w:rsidR="00E55FAB" w:rsidRDefault="00E55FAB" w:rsidP="00E55FAB">
            <w:pPr>
              <w:jc w:val="center"/>
              <w:rPr>
                <w:sz w:val="20"/>
                <w:szCs w:val="20"/>
              </w:rPr>
            </w:pPr>
            <w:r w:rsidRPr="004928D4">
              <w:rPr>
                <w:sz w:val="20"/>
                <w:szCs w:val="20"/>
              </w:rPr>
              <w:t>Rescue OCS (</w:t>
            </w:r>
            <w:r>
              <w:rPr>
                <w:sz w:val="20"/>
                <w:szCs w:val="20"/>
              </w:rPr>
              <w:t xml:space="preserve">in last </w:t>
            </w:r>
            <w:r w:rsidRPr="004928D4">
              <w:rPr>
                <w:sz w:val="20"/>
                <w:szCs w:val="20"/>
              </w:rPr>
              <w:t>12</w:t>
            </w:r>
            <w:r>
              <w:rPr>
                <w:sz w:val="20"/>
                <w:szCs w:val="20"/>
              </w:rPr>
              <w:t xml:space="preserve"> </w:t>
            </w:r>
            <w:r w:rsidRPr="004928D4">
              <w:rPr>
                <w:sz w:val="20"/>
                <w:szCs w:val="20"/>
              </w:rPr>
              <w:t>m</w:t>
            </w:r>
            <w:r>
              <w:rPr>
                <w:sz w:val="20"/>
                <w:szCs w:val="20"/>
              </w:rPr>
              <w:t>onths</w:t>
            </w:r>
            <w:r w:rsidRPr="004928D4">
              <w:rPr>
                <w:sz w:val="20"/>
                <w:szCs w:val="20"/>
              </w:rPr>
              <w:t>)</w:t>
            </w:r>
          </w:p>
          <w:p w14:paraId="7F2D0869" w14:textId="77777777" w:rsidR="00E55FAB" w:rsidRPr="004928D4" w:rsidRDefault="00E55FAB" w:rsidP="00E55FAB">
            <w:pPr>
              <w:jc w:val="center"/>
              <w:rPr>
                <w:sz w:val="20"/>
                <w:szCs w:val="20"/>
              </w:rPr>
            </w:pPr>
            <w:r>
              <w:rPr>
                <w:sz w:val="20"/>
                <w:szCs w:val="20"/>
              </w:rPr>
              <w:t>(N)*</w:t>
            </w:r>
          </w:p>
        </w:tc>
        <w:tc>
          <w:tcPr>
            <w:tcW w:w="1889" w:type="dxa"/>
            <w:shd w:val="clear" w:color="auto" w:fill="auto"/>
          </w:tcPr>
          <w:p w14:paraId="7DA89D9A" w14:textId="77777777" w:rsidR="00E55FAB" w:rsidRDefault="00E55FAB" w:rsidP="00E55FAB">
            <w:pPr>
              <w:jc w:val="center"/>
              <w:rPr>
                <w:sz w:val="20"/>
                <w:szCs w:val="20"/>
              </w:rPr>
            </w:pPr>
            <w:r w:rsidRPr="004928D4">
              <w:rPr>
                <w:sz w:val="20"/>
                <w:szCs w:val="20"/>
              </w:rPr>
              <w:t>3.7</w:t>
            </w:r>
          </w:p>
          <w:p w14:paraId="48B307B8" w14:textId="77777777" w:rsidR="00E55FAB" w:rsidRPr="004928D4" w:rsidRDefault="00E55FAB" w:rsidP="00E55FAB">
            <w:pPr>
              <w:jc w:val="center"/>
              <w:rPr>
                <w:sz w:val="20"/>
                <w:szCs w:val="20"/>
              </w:rPr>
            </w:pPr>
            <w:r>
              <w:rPr>
                <w:sz w:val="20"/>
                <w:szCs w:val="20"/>
              </w:rPr>
              <w:t>(1-7)</w:t>
            </w:r>
          </w:p>
        </w:tc>
        <w:tc>
          <w:tcPr>
            <w:tcW w:w="2399" w:type="dxa"/>
            <w:shd w:val="clear" w:color="auto" w:fill="auto"/>
          </w:tcPr>
          <w:p w14:paraId="173BF18B" w14:textId="77777777" w:rsidR="00E55FAB" w:rsidRPr="004928D4" w:rsidRDefault="00E55FAB" w:rsidP="00E55FAB">
            <w:pPr>
              <w:jc w:val="center"/>
              <w:rPr>
                <w:sz w:val="20"/>
                <w:szCs w:val="20"/>
              </w:rPr>
            </w:pPr>
            <w:r>
              <w:rPr>
                <w:sz w:val="20"/>
                <w:szCs w:val="20"/>
              </w:rPr>
              <w:t>0</w:t>
            </w:r>
          </w:p>
        </w:tc>
        <w:tc>
          <w:tcPr>
            <w:tcW w:w="2409" w:type="dxa"/>
            <w:shd w:val="clear" w:color="auto" w:fill="auto"/>
          </w:tcPr>
          <w:p w14:paraId="71AE10D9" w14:textId="77777777" w:rsidR="00E55FAB" w:rsidRPr="004928D4" w:rsidRDefault="00E55FAB" w:rsidP="00E55FAB">
            <w:pPr>
              <w:jc w:val="center"/>
              <w:rPr>
                <w:sz w:val="20"/>
                <w:szCs w:val="20"/>
              </w:rPr>
            </w:pPr>
            <w:r>
              <w:rPr>
                <w:sz w:val="20"/>
                <w:szCs w:val="20"/>
              </w:rPr>
              <w:t>0</w:t>
            </w:r>
          </w:p>
        </w:tc>
      </w:tr>
      <w:tr w:rsidR="00E55FAB" w:rsidRPr="004928D4" w14:paraId="79F2C75D" w14:textId="77777777" w:rsidTr="00E55FAB">
        <w:trPr>
          <w:trHeight w:val="238"/>
          <w:jc w:val="center"/>
        </w:trPr>
        <w:tc>
          <w:tcPr>
            <w:tcW w:w="1838" w:type="dxa"/>
            <w:shd w:val="clear" w:color="auto" w:fill="F2F2F2" w:themeFill="background1" w:themeFillShade="F2"/>
          </w:tcPr>
          <w:p w14:paraId="6EA51977" w14:textId="77777777" w:rsidR="00E55FAB" w:rsidRPr="004928D4" w:rsidRDefault="00E55FAB" w:rsidP="00E55FAB">
            <w:pPr>
              <w:jc w:val="center"/>
              <w:rPr>
                <w:sz w:val="20"/>
                <w:szCs w:val="20"/>
              </w:rPr>
            </w:pPr>
            <w:r>
              <w:rPr>
                <w:sz w:val="20"/>
                <w:szCs w:val="20"/>
              </w:rPr>
              <w:t xml:space="preserve">On </w:t>
            </w:r>
            <w:r w:rsidRPr="004928D4">
              <w:rPr>
                <w:sz w:val="20"/>
                <w:szCs w:val="20"/>
              </w:rPr>
              <w:t>M</w:t>
            </w:r>
            <w:r>
              <w:rPr>
                <w:sz w:val="20"/>
                <w:szCs w:val="20"/>
              </w:rPr>
              <w:t xml:space="preserve">aintenance </w:t>
            </w:r>
            <w:r w:rsidRPr="004928D4">
              <w:rPr>
                <w:sz w:val="20"/>
                <w:szCs w:val="20"/>
              </w:rPr>
              <w:t>OCS</w:t>
            </w:r>
          </w:p>
        </w:tc>
        <w:tc>
          <w:tcPr>
            <w:tcW w:w="1889" w:type="dxa"/>
            <w:shd w:val="clear" w:color="auto" w:fill="auto"/>
          </w:tcPr>
          <w:p w14:paraId="4ECED12E" w14:textId="77777777" w:rsidR="00E55FAB" w:rsidRPr="004928D4" w:rsidRDefault="00E55FAB" w:rsidP="00E55FAB">
            <w:pPr>
              <w:jc w:val="center"/>
              <w:rPr>
                <w:sz w:val="20"/>
                <w:szCs w:val="20"/>
              </w:rPr>
            </w:pPr>
            <w:r w:rsidRPr="004928D4">
              <w:rPr>
                <w:sz w:val="20"/>
                <w:szCs w:val="20"/>
              </w:rPr>
              <w:t>No</w:t>
            </w:r>
          </w:p>
        </w:tc>
        <w:tc>
          <w:tcPr>
            <w:tcW w:w="2399" w:type="dxa"/>
            <w:shd w:val="clear" w:color="auto" w:fill="auto"/>
          </w:tcPr>
          <w:p w14:paraId="6F3BC1BA" w14:textId="77777777" w:rsidR="00E55FAB" w:rsidRPr="004928D4" w:rsidRDefault="00E55FAB" w:rsidP="00E55FAB">
            <w:pPr>
              <w:jc w:val="center"/>
              <w:rPr>
                <w:sz w:val="20"/>
                <w:szCs w:val="20"/>
              </w:rPr>
            </w:pPr>
            <w:r>
              <w:rPr>
                <w:sz w:val="20"/>
                <w:szCs w:val="20"/>
              </w:rPr>
              <w:t>No</w:t>
            </w:r>
          </w:p>
        </w:tc>
        <w:tc>
          <w:tcPr>
            <w:tcW w:w="2409" w:type="dxa"/>
            <w:shd w:val="clear" w:color="auto" w:fill="auto"/>
          </w:tcPr>
          <w:p w14:paraId="6283EB9D" w14:textId="77777777" w:rsidR="00E55FAB" w:rsidRPr="004928D4" w:rsidRDefault="00E55FAB" w:rsidP="00E55FAB">
            <w:pPr>
              <w:jc w:val="center"/>
              <w:rPr>
                <w:sz w:val="20"/>
                <w:szCs w:val="20"/>
              </w:rPr>
            </w:pPr>
            <w:r>
              <w:rPr>
                <w:sz w:val="20"/>
                <w:szCs w:val="20"/>
              </w:rPr>
              <w:t>No</w:t>
            </w:r>
          </w:p>
        </w:tc>
      </w:tr>
      <w:tr w:rsidR="00E55FAB" w:rsidRPr="004928D4" w14:paraId="0CB1A6BC" w14:textId="77777777" w:rsidTr="00E55FAB">
        <w:trPr>
          <w:trHeight w:val="476"/>
          <w:jc w:val="center"/>
        </w:trPr>
        <w:tc>
          <w:tcPr>
            <w:tcW w:w="1838" w:type="dxa"/>
            <w:shd w:val="clear" w:color="auto" w:fill="F2F2F2" w:themeFill="background1" w:themeFillShade="F2"/>
          </w:tcPr>
          <w:p w14:paraId="74210003" w14:textId="00DAAF18" w:rsidR="00E55FAB" w:rsidRDefault="00E55FAB" w:rsidP="00E55FAB">
            <w:pPr>
              <w:jc w:val="center"/>
              <w:rPr>
                <w:sz w:val="20"/>
                <w:szCs w:val="20"/>
              </w:rPr>
            </w:pPr>
            <w:r>
              <w:rPr>
                <w:sz w:val="20"/>
                <w:szCs w:val="20"/>
              </w:rPr>
              <w:t xml:space="preserve">On Asthma </w:t>
            </w:r>
            <w:r w:rsidRPr="004928D4">
              <w:rPr>
                <w:sz w:val="20"/>
                <w:szCs w:val="20"/>
              </w:rPr>
              <w:t>Biologics</w:t>
            </w:r>
          </w:p>
          <w:p w14:paraId="310A7731" w14:textId="77777777" w:rsidR="00E55FAB" w:rsidRPr="004928D4" w:rsidRDefault="00E55FAB" w:rsidP="00E55FAB">
            <w:pPr>
              <w:jc w:val="center"/>
              <w:rPr>
                <w:sz w:val="20"/>
                <w:szCs w:val="20"/>
              </w:rPr>
            </w:pPr>
            <w:r>
              <w:rPr>
                <w:sz w:val="20"/>
                <w:szCs w:val="20"/>
              </w:rPr>
              <w:t>% (N)</w:t>
            </w:r>
          </w:p>
        </w:tc>
        <w:tc>
          <w:tcPr>
            <w:tcW w:w="1889" w:type="dxa"/>
            <w:shd w:val="clear" w:color="auto" w:fill="auto"/>
          </w:tcPr>
          <w:p w14:paraId="798B4F44" w14:textId="77777777" w:rsidR="00E55FAB" w:rsidRDefault="00E55FAB" w:rsidP="00E55FAB">
            <w:pPr>
              <w:jc w:val="center"/>
              <w:rPr>
                <w:sz w:val="20"/>
                <w:szCs w:val="20"/>
              </w:rPr>
            </w:pPr>
            <w:r>
              <w:rPr>
                <w:sz w:val="20"/>
                <w:szCs w:val="20"/>
              </w:rPr>
              <w:t>0</w:t>
            </w:r>
          </w:p>
          <w:p w14:paraId="706CD3F1" w14:textId="77777777" w:rsidR="00E55FAB" w:rsidRPr="004928D4" w:rsidRDefault="00E55FAB" w:rsidP="00E55FAB">
            <w:pPr>
              <w:jc w:val="center"/>
              <w:rPr>
                <w:sz w:val="20"/>
                <w:szCs w:val="20"/>
              </w:rPr>
            </w:pPr>
            <w:r>
              <w:rPr>
                <w:sz w:val="20"/>
                <w:szCs w:val="20"/>
              </w:rPr>
              <w:t>(0)</w:t>
            </w:r>
          </w:p>
        </w:tc>
        <w:tc>
          <w:tcPr>
            <w:tcW w:w="2399" w:type="dxa"/>
            <w:shd w:val="clear" w:color="auto" w:fill="auto"/>
          </w:tcPr>
          <w:p w14:paraId="1A0BC8A7" w14:textId="77777777" w:rsidR="00E55FAB" w:rsidRDefault="00E55FAB" w:rsidP="00E55FAB">
            <w:pPr>
              <w:jc w:val="center"/>
              <w:rPr>
                <w:sz w:val="20"/>
                <w:szCs w:val="20"/>
              </w:rPr>
            </w:pPr>
            <w:r>
              <w:rPr>
                <w:sz w:val="20"/>
                <w:szCs w:val="20"/>
              </w:rPr>
              <w:t>0</w:t>
            </w:r>
          </w:p>
          <w:p w14:paraId="511D6B22" w14:textId="77777777" w:rsidR="00E55FAB" w:rsidRPr="004928D4" w:rsidRDefault="00E55FAB" w:rsidP="00E55FAB">
            <w:pPr>
              <w:jc w:val="center"/>
              <w:rPr>
                <w:sz w:val="20"/>
                <w:szCs w:val="20"/>
              </w:rPr>
            </w:pPr>
            <w:r>
              <w:rPr>
                <w:sz w:val="20"/>
                <w:szCs w:val="20"/>
              </w:rPr>
              <w:t>(0)</w:t>
            </w:r>
          </w:p>
        </w:tc>
        <w:tc>
          <w:tcPr>
            <w:tcW w:w="2409" w:type="dxa"/>
            <w:shd w:val="clear" w:color="auto" w:fill="auto"/>
          </w:tcPr>
          <w:p w14:paraId="70A3E797" w14:textId="77777777" w:rsidR="00E55FAB" w:rsidRDefault="00E55FAB" w:rsidP="00E55FAB">
            <w:pPr>
              <w:jc w:val="center"/>
              <w:rPr>
                <w:sz w:val="20"/>
                <w:szCs w:val="20"/>
              </w:rPr>
            </w:pPr>
            <w:r>
              <w:rPr>
                <w:sz w:val="20"/>
                <w:szCs w:val="20"/>
              </w:rPr>
              <w:t>0</w:t>
            </w:r>
          </w:p>
          <w:p w14:paraId="5AF88FCE" w14:textId="77777777" w:rsidR="00E55FAB" w:rsidRPr="004928D4" w:rsidRDefault="00E55FAB" w:rsidP="00E55FAB">
            <w:pPr>
              <w:jc w:val="center"/>
              <w:rPr>
                <w:sz w:val="20"/>
                <w:szCs w:val="20"/>
              </w:rPr>
            </w:pPr>
            <w:r>
              <w:rPr>
                <w:sz w:val="20"/>
                <w:szCs w:val="20"/>
              </w:rPr>
              <w:t>(0)</w:t>
            </w:r>
          </w:p>
        </w:tc>
      </w:tr>
      <w:tr w:rsidR="00E55FAB" w:rsidRPr="004928D4" w14:paraId="3A346F0E" w14:textId="77777777" w:rsidTr="00E55FAB">
        <w:trPr>
          <w:trHeight w:val="491"/>
          <w:jc w:val="center"/>
        </w:trPr>
        <w:tc>
          <w:tcPr>
            <w:tcW w:w="1838" w:type="dxa"/>
            <w:shd w:val="clear" w:color="auto" w:fill="F2F2F2" w:themeFill="background1" w:themeFillShade="F2"/>
          </w:tcPr>
          <w:p w14:paraId="1656260F" w14:textId="77777777" w:rsidR="00E55FAB" w:rsidRDefault="00E55FAB" w:rsidP="00E55FAB">
            <w:pPr>
              <w:jc w:val="center"/>
              <w:rPr>
                <w:sz w:val="20"/>
                <w:szCs w:val="20"/>
              </w:rPr>
            </w:pPr>
            <w:r w:rsidRPr="004928D4">
              <w:rPr>
                <w:sz w:val="20"/>
                <w:szCs w:val="20"/>
              </w:rPr>
              <w:t>FEV1</w:t>
            </w:r>
            <w:r>
              <w:rPr>
                <w:sz w:val="20"/>
                <w:szCs w:val="20"/>
              </w:rPr>
              <w:t xml:space="preserve"> (</w:t>
            </w:r>
            <w:r w:rsidRPr="004928D4">
              <w:rPr>
                <w:sz w:val="20"/>
                <w:szCs w:val="20"/>
              </w:rPr>
              <w:t>%</w:t>
            </w:r>
            <w:r>
              <w:rPr>
                <w:sz w:val="20"/>
                <w:szCs w:val="20"/>
              </w:rPr>
              <w:t>)*</w:t>
            </w:r>
          </w:p>
          <w:p w14:paraId="01FEC3ED" w14:textId="77777777" w:rsidR="00E55FAB" w:rsidRPr="004928D4" w:rsidRDefault="00E55FAB" w:rsidP="00E55FAB">
            <w:pPr>
              <w:jc w:val="center"/>
              <w:rPr>
                <w:sz w:val="20"/>
                <w:szCs w:val="20"/>
              </w:rPr>
            </w:pPr>
          </w:p>
        </w:tc>
        <w:tc>
          <w:tcPr>
            <w:tcW w:w="1889" w:type="dxa"/>
            <w:shd w:val="clear" w:color="auto" w:fill="auto"/>
          </w:tcPr>
          <w:p w14:paraId="25AF1099" w14:textId="77777777" w:rsidR="00E55FAB" w:rsidRDefault="00E55FAB" w:rsidP="00E55FAB">
            <w:pPr>
              <w:jc w:val="center"/>
              <w:rPr>
                <w:sz w:val="20"/>
                <w:szCs w:val="20"/>
              </w:rPr>
            </w:pPr>
            <w:r w:rsidRPr="004928D4">
              <w:rPr>
                <w:sz w:val="20"/>
                <w:szCs w:val="20"/>
              </w:rPr>
              <w:t>80.84</w:t>
            </w:r>
          </w:p>
          <w:p w14:paraId="481C8B96" w14:textId="77777777" w:rsidR="00E55FAB" w:rsidRPr="004928D4" w:rsidRDefault="00E55FAB" w:rsidP="00E55FAB">
            <w:pPr>
              <w:jc w:val="center"/>
              <w:rPr>
                <w:sz w:val="20"/>
                <w:szCs w:val="20"/>
              </w:rPr>
            </w:pPr>
            <w:r>
              <w:rPr>
                <w:sz w:val="20"/>
                <w:szCs w:val="20"/>
              </w:rPr>
              <w:t>(68.73-96.76)</w:t>
            </w:r>
          </w:p>
        </w:tc>
        <w:tc>
          <w:tcPr>
            <w:tcW w:w="2399" w:type="dxa"/>
            <w:shd w:val="clear" w:color="auto" w:fill="auto"/>
          </w:tcPr>
          <w:p w14:paraId="319606C8" w14:textId="77777777" w:rsidR="00E55FAB" w:rsidRDefault="00E55FAB" w:rsidP="00E55FAB">
            <w:pPr>
              <w:jc w:val="center"/>
              <w:rPr>
                <w:sz w:val="20"/>
                <w:szCs w:val="20"/>
              </w:rPr>
            </w:pPr>
            <w:r>
              <w:rPr>
                <w:sz w:val="20"/>
                <w:szCs w:val="20"/>
              </w:rPr>
              <w:t>82.90</w:t>
            </w:r>
          </w:p>
          <w:p w14:paraId="19A34A3F" w14:textId="638EF268" w:rsidR="00E55FAB" w:rsidRPr="004928D4" w:rsidRDefault="00E55FAB" w:rsidP="00E55FAB">
            <w:pPr>
              <w:jc w:val="center"/>
              <w:rPr>
                <w:sz w:val="20"/>
                <w:szCs w:val="20"/>
              </w:rPr>
            </w:pPr>
            <w:r>
              <w:rPr>
                <w:sz w:val="20"/>
                <w:szCs w:val="20"/>
              </w:rPr>
              <w:t>(77.15-88.92)</w:t>
            </w:r>
          </w:p>
        </w:tc>
        <w:tc>
          <w:tcPr>
            <w:tcW w:w="2409" w:type="dxa"/>
            <w:shd w:val="clear" w:color="auto" w:fill="auto"/>
          </w:tcPr>
          <w:p w14:paraId="7DF6721E" w14:textId="77777777" w:rsidR="00E55FAB" w:rsidRDefault="00E55FAB" w:rsidP="00E55FAB">
            <w:pPr>
              <w:jc w:val="center"/>
              <w:rPr>
                <w:sz w:val="20"/>
                <w:szCs w:val="20"/>
              </w:rPr>
            </w:pPr>
            <w:r>
              <w:rPr>
                <w:sz w:val="20"/>
                <w:szCs w:val="20"/>
              </w:rPr>
              <w:t>88.91</w:t>
            </w:r>
          </w:p>
          <w:p w14:paraId="2157A3D2" w14:textId="7284F024" w:rsidR="00E55FAB" w:rsidRPr="004928D4" w:rsidRDefault="00E55FAB" w:rsidP="00E55FAB">
            <w:pPr>
              <w:jc w:val="center"/>
              <w:rPr>
                <w:sz w:val="20"/>
                <w:szCs w:val="20"/>
              </w:rPr>
            </w:pPr>
            <w:r>
              <w:rPr>
                <w:sz w:val="20"/>
                <w:szCs w:val="20"/>
              </w:rPr>
              <w:t>(90.56-92.43)</w:t>
            </w:r>
          </w:p>
        </w:tc>
      </w:tr>
      <w:tr w:rsidR="00E55FAB" w:rsidRPr="004928D4" w14:paraId="49065EEC" w14:textId="77777777" w:rsidTr="00E55FAB">
        <w:trPr>
          <w:trHeight w:val="476"/>
          <w:jc w:val="center"/>
        </w:trPr>
        <w:tc>
          <w:tcPr>
            <w:tcW w:w="1838" w:type="dxa"/>
            <w:shd w:val="clear" w:color="auto" w:fill="F2F2F2" w:themeFill="background1" w:themeFillShade="F2"/>
          </w:tcPr>
          <w:p w14:paraId="5D421022" w14:textId="77777777" w:rsidR="00E55FAB" w:rsidRDefault="00E55FAB" w:rsidP="00E55FAB">
            <w:pPr>
              <w:jc w:val="center"/>
              <w:rPr>
                <w:sz w:val="20"/>
                <w:szCs w:val="20"/>
              </w:rPr>
            </w:pPr>
            <w:r>
              <w:rPr>
                <w:sz w:val="20"/>
                <w:szCs w:val="20"/>
              </w:rPr>
              <w:t>FEV1/FVC</w:t>
            </w:r>
          </w:p>
          <w:p w14:paraId="1C903AD8" w14:textId="3AF9C0DD" w:rsidR="002C35E1" w:rsidRPr="004928D4" w:rsidRDefault="002C35E1" w:rsidP="00E55FAB">
            <w:pPr>
              <w:jc w:val="center"/>
              <w:rPr>
                <w:sz w:val="20"/>
                <w:szCs w:val="20"/>
              </w:rPr>
            </w:pPr>
            <w:r>
              <w:rPr>
                <w:sz w:val="20"/>
                <w:szCs w:val="20"/>
              </w:rPr>
              <w:t>(%)*</w:t>
            </w:r>
          </w:p>
        </w:tc>
        <w:tc>
          <w:tcPr>
            <w:tcW w:w="1889" w:type="dxa"/>
            <w:shd w:val="clear" w:color="auto" w:fill="auto"/>
          </w:tcPr>
          <w:p w14:paraId="4AE0EFEB" w14:textId="77777777" w:rsidR="00E55FAB" w:rsidRDefault="00E55FAB" w:rsidP="00E55FAB">
            <w:pPr>
              <w:jc w:val="center"/>
              <w:rPr>
                <w:sz w:val="20"/>
                <w:szCs w:val="20"/>
              </w:rPr>
            </w:pPr>
            <w:r>
              <w:rPr>
                <w:sz w:val="20"/>
                <w:szCs w:val="20"/>
              </w:rPr>
              <w:t>71.67</w:t>
            </w:r>
          </w:p>
          <w:p w14:paraId="642E23CB" w14:textId="3260E0B1" w:rsidR="00E55FAB" w:rsidRPr="004928D4" w:rsidRDefault="00E55FAB" w:rsidP="00E55FAB">
            <w:pPr>
              <w:jc w:val="center"/>
              <w:rPr>
                <w:sz w:val="20"/>
                <w:szCs w:val="20"/>
              </w:rPr>
            </w:pPr>
            <w:r>
              <w:rPr>
                <w:sz w:val="20"/>
                <w:szCs w:val="20"/>
              </w:rPr>
              <w:t>(65-76)</w:t>
            </w:r>
          </w:p>
        </w:tc>
        <w:tc>
          <w:tcPr>
            <w:tcW w:w="2399" w:type="dxa"/>
            <w:shd w:val="clear" w:color="auto" w:fill="auto"/>
          </w:tcPr>
          <w:p w14:paraId="4998A35E" w14:textId="77777777" w:rsidR="00E55FAB" w:rsidRDefault="00E55FAB" w:rsidP="00E55FAB">
            <w:pPr>
              <w:jc w:val="center"/>
              <w:rPr>
                <w:sz w:val="20"/>
                <w:szCs w:val="20"/>
              </w:rPr>
            </w:pPr>
            <w:r>
              <w:rPr>
                <w:sz w:val="20"/>
                <w:szCs w:val="20"/>
              </w:rPr>
              <w:t>84.25</w:t>
            </w:r>
          </w:p>
          <w:p w14:paraId="59200CD8" w14:textId="7FC02868" w:rsidR="00E55FAB" w:rsidRPr="004928D4" w:rsidRDefault="00E55FAB" w:rsidP="00E55FAB">
            <w:pPr>
              <w:jc w:val="center"/>
              <w:rPr>
                <w:sz w:val="20"/>
                <w:szCs w:val="20"/>
              </w:rPr>
            </w:pPr>
            <w:r>
              <w:rPr>
                <w:sz w:val="20"/>
                <w:szCs w:val="20"/>
              </w:rPr>
              <w:t>(77-91)</w:t>
            </w:r>
          </w:p>
        </w:tc>
        <w:tc>
          <w:tcPr>
            <w:tcW w:w="2409" w:type="dxa"/>
            <w:shd w:val="clear" w:color="auto" w:fill="auto"/>
          </w:tcPr>
          <w:p w14:paraId="09DB2721" w14:textId="77777777" w:rsidR="00E55FAB" w:rsidRDefault="00E55FAB" w:rsidP="00E55FAB">
            <w:pPr>
              <w:jc w:val="center"/>
              <w:rPr>
                <w:sz w:val="20"/>
                <w:szCs w:val="20"/>
              </w:rPr>
            </w:pPr>
            <w:r>
              <w:rPr>
                <w:sz w:val="20"/>
                <w:szCs w:val="20"/>
              </w:rPr>
              <w:t>89</w:t>
            </w:r>
          </w:p>
          <w:p w14:paraId="3D999C1A" w14:textId="3778CE84" w:rsidR="00E55FAB" w:rsidRPr="004928D4" w:rsidRDefault="00E55FAB" w:rsidP="00E55FAB">
            <w:pPr>
              <w:jc w:val="center"/>
              <w:rPr>
                <w:sz w:val="20"/>
                <w:szCs w:val="20"/>
              </w:rPr>
            </w:pPr>
            <w:r>
              <w:rPr>
                <w:sz w:val="20"/>
                <w:szCs w:val="20"/>
              </w:rPr>
              <w:t>(81-94)</w:t>
            </w:r>
          </w:p>
        </w:tc>
      </w:tr>
      <w:tr w:rsidR="00E55FAB" w:rsidRPr="004928D4" w14:paraId="50A8D653" w14:textId="77777777" w:rsidTr="00E55FAB">
        <w:trPr>
          <w:trHeight w:val="476"/>
          <w:jc w:val="center"/>
        </w:trPr>
        <w:tc>
          <w:tcPr>
            <w:tcW w:w="1838" w:type="dxa"/>
            <w:shd w:val="clear" w:color="auto" w:fill="F2F2F2" w:themeFill="background1" w:themeFillShade="F2"/>
          </w:tcPr>
          <w:p w14:paraId="56712E70" w14:textId="77777777" w:rsidR="00E55FAB" w:rsidRPr="004928D4" w:rsidRDefault="00E55FAB" w:rsidP="00E55FAB">
            <w:pPr>
              <w:jc w:val="center"/>
              <w:rPr>
                <w:sz w:val="20"/>
                <w:szCs w:val="20"/>
              </w:rPr>
            </w:pPr>
            <w:r w:rsidRPr="004928D4">
              <w:rPr>
                <w:sz w:val="20"/>
                <w:szCs w:val="20"/>
              </w:rPr>
              <w:t>Total IgE</w:t>
            </w:r>
            <w:r>
              <w:rPr>
                <w:sz w:val="20"/>
                <w:szCs w:val="20"/>
              </w:rPr>
              <w:t xml:space="preserve"> (KU/L)*</w:t>
            </w:r>
          </w:p>
        </w:tc>
        <w:tc>
          <w:tcPr>
            <w:tcW w:w="1889" w:type="dxa"/>
            <w:shd w:val="clear" w:color="auto" w:fill="auto"/>
          </w:tcPr>
          <w:p w14:paraId="4F0F5514" w14:textId="77777777" w:rsidR="00E55FAB" w:rsidRDefault="00E55FAB" w:rsidP="00E55FAB">
            <w:pPr>
              <w:jc w:val="center"/>
              <w:rPr>
                <w:sz w:val="20"/>
                <w:szCs w:val="20"/>
              </w:rPr>
            </w:pPr>
            <w:r w:rsidRPr="004928D4">
              <w:rPr>
                <w:sz w:val="20"/>
                <w:szCs w:val="20"/>
              </w:rPr>
              <w:t>1463.7</w:t>
            </w:r>
          </w:p>
          <w:p w14:paraId="1A3FCAAB" w14:textId="77777777" w:rsidR="00E55FAB" w:rsidRPr="004928D4" w:rsidRDefault="00E55FAB" w:rsidP="00E55FAB">
            <w:pPr>
              <w:jc w:val="center"/>
              <w:rPr>
                <w:sz w:val="20"/>
                <w:szCs w:val="20"/>
              </w:rPr>
            </w:pPr>
            <w:r>
              <w:rPr>
                <w:sz w:val="20"/>
                <w:szCs w:val="20"/>
              </w:rPr>
              <w:t>(19.6-2907.9)</w:t>
            </w:r>
          </w:p>
        </w:tc>
        <w:tc>
          <w:tcPr>
            <w:tcW w:w="2399" w:type="dxa"/>
            <w:shd w:val="clear" w:color="auto" w:fill="auto"/>
          </w:tcPr>
          <w:p w14:paraId="1C4EB2E7" w14:textId="77777777" w:rsidR="00E55FAB" w:rsidRDefault="00E55FAB" w:rsidP="00E55FAB">
            <w:pPr>
              <w:jc w:val="center"/>
              <w:rPr>
                <w:sz w:val="20"/>
                <w:szCs w:val="20"/>
              </w:rPr>
            </w:pPr>
            <w:r w:rsidRPr="004928D4">
              <w:rPr>
                <w:sz w:val="20"/>
                <w:szCs w:val="20"/>
              </w:rPr>
              <w:t>119.4</w:t>
            </w:r>
          </w:p>
          <w:p w14:paraId="123204EA" w14:textId="77777777" w:rsidR="00E55FAB" w:rsidRPr="004928D4" w:rsidRDefault="00E55FAB" w:rsidP="00E55FAB">
            <w:pPr>
              <w:jc w:val="center"/>
              <w:rPr>
                <w:sz w:val="20"/>
                <w:szCs w:val="20"/>
              </w:rPr>
            </w:pPr>
            <w:r>
              <w:rPr>
                <w:sz w:val="20"/>
                <w:szCs w:val="20"/>
              </w:rPr>
              <w:t>(5.6-346.0)</w:t>
            </w:r>
          </w:p>
        </w:tc>
        <w:tc>
          <w:tcPr>
            <w:tcW w:w="2409" w:type="dxa"/>
            <w:shd w:val="clear" w:color="auto" w:fill="auto"/>
          </w:tcPr>
          <w:p w14:paraId="23F332F1" w14:textId="77777777" w:rsidR="00E55FAB" w:rsidRDefault="00E55FAB" w:rsidP="00E55FAB">
            <w:pPr>
              <w:jc w:val="center"/>
              <w:rPr>
                <w:sz w:val="20"/>
                <w:szCs w:val="20"/>
              </w:rPr>
            </w:pPr>
            <w:r w:rsidRPr="004928D4">
              <w:rPr>
                <w:sz w:val="20"/>
                <w:szCs w:val="20"/>
              </w:rPr>
              <w:t>210</w:t>
            </w:r>
          </w:p>
          <w:p w14:paraId="43F6084A" w14:textId="77777777" w:rsidR="00E55FAB" w:rsidRPr="004928D4" w:rsidRDefault="00E55FAB" w:rsidP="00E55FAB">
            <w:pPr>
              <w:jc w:val="center"/>
              <w:rPr>
                <w:sz w:val="20"/>
                <w:szCs w:val="20"/>
              </w:rPr>
            </w:pPr>
            <w:r>
              <w:rPr>
                <w:sz w:val="20"/>
                <w:szCs w:val="20"/>
              </w:rPr>
              <w:t>(36-384)</w:t>
            </w:r>
          </w:p>
        </w:tc>
      </w:tr>
      <w:tr w:rsidR="00E55FAB" w:rsidRPr="004928D4" w14:paraId="1A2F02BF" w14:textId="77777777" w:rsidTr="00E55FAB">
        <w:trPr>
          <w:trHeight w:val="476"/>
          <w:jc w:val="center"/>
        </w:trPr>
        <w:tc>
          <w:tcPr>
            <w:tcW w:w="1838" w:type="dxa"/>
            <w:shd w:val="clear" w:color="auto" w:fill="F2F2F2" w:themeFill="background1" w:themeFillShade="F2"/>
          </w:tcPr>
          <w:p w14:paraId="1F27C099" w14:textId="77777777" w:rsidR="00E55FAB" w:rsidRDefault="00E55FAB" w:rsidP="00E55FAB">
            <w:pPr>
              <w:jc w:val="center"/>
              <w:rPr>
                <w:sz w:val="20"/>
                <w:szCs w:val="20"/>
              </w:rPr>
            </w:pPr>
            <w:r>
              <w:rPr>
                <w:sz w:val="20"/>
                <w:szCs w:val="20"/>
              </w:rPr>
              <w:t xml:space="preserve">Atopy </w:t>
            </w:r>
          </w:p>
          <w:p w14:paraId="3A2477A9" w14:textId="68DA7C84" w:rsidR="00E55FAB" w:rsidRPr="004928D4" w:rsidRDefault="00E55FAB" w:rsidP="00E55FAB">
            <w:pPr>
              <w:jc w:val="center"/>
              <w:rPr>
                <w:sz w:val="20"/>
                <w:szCs w:val="20"/>
              </w:rPr>
            </w:pPr>
            <w:r>
              <w:rPr>
                <w:sz w:val="20"/>
                <w:szCs w:val="20"/>
              </w:rPr>
              <w:t>% (N)</w:t>
            </w:r>
          </w:p>
        </w:tc>
        <w:tc>
          <w:tcPr>
            <w:tcW w:w="1889" w:type="dxa"/>
            <w:shd w:val="clear" w:color="auto" w:fill="auto"/>
          </w:tcPr>
          <w:p w14:paraId="4DE90190" w14:textId="77777777" w:rsidR="00E55FAB" w:rsidRDefault="00E55FAB" w:rsidP="00E55FAB">
            <w:pPr>
              <w:jc w:val="center"/>
              <w:rPr>
                <w:sz w:val="20"/>
                <w:szCs w:val="20"/>
              </w:rPr>
            </w:pPr>
            <w:r>
              <w:rPr>
                <w:sz w:val="20"/>
                <w:szCs w:val="20"/>
              </w:rPr>
              <w:t>50</w:t>
            </w:r>
          </w:p>
          <w:p w14:paraId="240F4FCF" w14:textId="58FC4824" w:rsidR="00E55FAB" w:rsidRPr="004928D4" w:rsidRDefault="00E55FAB" w:rsidP="00E55FAB">
            <w:pPr>
              <w:jc w:val="center"/>
              <w:rPr>
                <w:sz w:val="20"/>
                <w:szCs w:val="20"/>
              </w:rPr>
            </w:pPr>
            <w:r>
              <w:rPr>
                <w:sz w:val="20"/>
                <w:szCs w:val="20"/>
              </w:rPr>
              <w:t>(2)</w:t>
            </w:r>
          </w:p>
        </w:tc>
        <w:tc>
          <w:tcPr>
            <w:tcW w:w="2399" w:type="dxa"/>
            <w:shd w:val="clear" w:color="auto" w:fill="auto"/>
          </w:tcPr>
          <w:p w14:paraId="21901E83" w14:textId="77777777" w:rsidR="00E55FAB" w:rsidRDefault="00E55FAB" w:rsidP="00E55FAB">
            <w:pPr>
              <w:jc w:val="center"/>
              <w:rPr>
                <w:sz w:val="20"/>
                <w:szCs w:val="20"/>
              </w:rPr>
            </w:pPr>
            <w:r>
              <w:rPr>
                <w:sz w:val="20"/>
                <w:szCs w:val="20"/>
              </w:rPr>
              <w:t>75</w:t>
            </w:r>
          </w:p>
          <w:p w14:paraId="7A7581A0" w14:textId="23814E01" w:rsidR="00E55FAB" w:rsidRPr="004928D4" w:rsidRDefault="00E55FAB" w:rsidP="00E55FAB">
            <w:pPr>
              <w:jc w:val="center"/>
              <w:rPr>
                <w:sz w:val="20"/>
                <w:szCs w:val="20"/>
              </w:rPr>
            </w:pPr>
            <w:r>
              <w:rPr>
                <w:sz w:val="20"/>
                <w:szCs w:val="20"/>
              </w:rPr>
              <w:t>(3)</w:t>
            </w:r>
          </w:p>
        </w:tc>
        <w:tc>
          <w:tcPr>
            <w:tcW w:w="2409" w:type="dxa"/>
            <w:shd w:val="clear" w:color="auto" w:fill="auto"/>
          </w:tcPr>
          <w:p w14:paraId="052C1D38" w14:textId="77777777" w:rsidR="00E55FAB" w:rsidRDefault="00E55FAB" w:rsidP="00E55FAB">
            <w:pPr>
              <w:jc w:val="center"/>
              <w:rPr>
                <w:sz w:val="20"/>
                <w:szCs w:val="20"/>
              </w:rPr>
            </w:pPr>
            <w:r>
              <w:rPr>
                <w:sz w:val="20"/>
                <w:szCs w:val="20"/>
              </w:rPr>
              <w:t>50</w:t>
            </w:r>
          </w:p>
          <w:p w14:paraId="08FAD7A1" w14:textId="0532DCEE" w:rsidR="00E55FAB" w:rsidRPr="004928D4" w:rsidRDefault="00E55FAB" w:rsidP="00E55FAB">
            <w:pPr>
              <w:jc w:val="center"/>
              <w:rPr>
                <w:sz w:val="20"/>
                <w:szCs w:val="20"/>
              </w:rPr>
            </w:pPr>
            <w:r>
              <w:rPr>
                <w:sz w:val="20"/>
                <w:szCs w:val="20"/>
              </w:rPr>
              <w:t>(2)</w:t>
            </w:r>
          </w:p>
        </w:tc>
      </w:tr>
    </w:tbl>
    <w:p w14:paraId="7BF74FD0" w14:textId="42F1B1DC" w:rsidR="0058376E" w:rsidRDefault="00AF1E66" w:rsidP="0058376E">
      <w:pPr>
        <w:pStyle w:val="Default"/>
      </w:pPr>
      <w:r>
        <w:lastRenderedPageBreak/>
        <w:t xml:space="preserve"> </w:t>
      </w:r>
      <w:r w:rsidR="0058376E" w:rsidRPr="0058376E">
        <w:t>Note: Atopy was defined as positive Skin Prick Test (≥3 mm wheal diameter) to any aeroallergen.Abbreviations: BDP, beclometasone dipropionate; BMI, body mass index; BTS, British Thoracic Society; FEV1, forced expiratory volume in 1 s; FVC, forced vital capacity; ICS, inhaled corticosteroids; IOWBC, Isle of Wight Birth Cohort; NA, not applicable; OCS, oral corticosteroids; WATCH, Wessex AsThma CoHort.*Mean (range).</w:t>
      </w:r>
    </w:p>
    <w:p w14:paraId="4D411552" w14:textId="77777777" w:rsidR="0058376E" w:rsidRDefault="0058376E" w:rsidP="0058376E">
      <w:pPr>
        <w:pStyle w:val="Default"/>
      </w:pPr>
    </w:p>
    <w:p w14:paraId="621B0DEA" w14:textId="77777777" w:rsidR="0058376E" w:rsidRDefault="0058376E" w:rsidP="0058376E">
      <w:pPr>
        <w:pStyle w:val="Default"/>
      </w:pPr>
    </w:p>
    <w:p w14:paraId="16693A0A" w14:textId="0FD1BAC8" w:rsidR="00E55FAB" w:rsidRDefault="00D955E5" w:rsidP="0058376E">
      <w:pPr>
        <w:pStyle w:val="Default"/>
      </w:pPr>
      <w:r>
        <w:rPr>
          <w:noProof/>
          <w:lang w:eastAsia="en-GB"/>
        </w:rPr>
        <w:drawing>
          <wp:inline distT="0" distB="0" distL="0" distR="0" wp14:anchorId="2D9A0EDC" wp14:editId="279E1B2A">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7">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58A10EA0" w14:textId="0CB61422" w:rsidR="00E6250F" w:rsidRDefault="00E6250F" w:rsidP="002C35E1">
      <w:pPr>
        <w:pStyle w:val="Default"/>
      </w:pPr>
    </w:p>
    <w:p w14:paraId="6D238BC2" w14:textId="77777777" w:rsidR="002736E1" w:rsidRDefault="002736E1" w:rsidP="002736E1">
      <w:pPr>
        <w:rPr>
          <w:b/>
          <w:bCs/>
          <w:sz w:val="24"/>
          <w:szCs w:val="24"/>
        </w:rPr>
      </w:pPr>
      <w:r w:rsidRPr="00A26C62">
        <w:rPr>
          <w:b/>
          <w:bCs/>
          <w:sz w:val="24"/>
          <w:szCs w:val="24"/>
        </w:rPr>
        <w:t>List of abbreviations</w:t>
      </w:r>
      <w:bookmarkStart w:id="0" w:name="_GoBack"/>
      <w:bookmarkEnd w:id="0"/>
    </w:p>
    <w:p w14:paraId="07B57A3B" w14:textId="77777777" w:rsidR="002736E1" w:rsidRDefault="002736E1" w:rsidP="002736E1">
      <w:r w:rsidRPr="000949B1">
        <w:t>miRNA: MicroRNA</w:t>
      </w:r>
    </w:p>
    <w:p w14:paraId="581EDA83" w14:textId="77777777" w:rsidR="002736E1" w:rsidRDefault="002736E1" w:rsidP="002736E1">
      <w:r>
        <w:t>mRNA: messenger RNA</w:t>
      </w:r>
    </w:p>
    <w:p w14:paraId="32B1AC75" w14:textId="77777777" w:rsidR="002736E1" w:rsidRPr="000949B1" w:rsidRDefault="002736E1" w:rsidP="002736E1">
      <w:r w:rsidRPr="00D11385">
        <w:rPr>
          <w:rFonts w:ascii="Calibri" w:hAnsi="Calibri" w:cs="Calibri"/>
        </w:rPr>
        <w:t>BAL</w:t>
      </w:r>
      <w:r>
        <w:rPr>
          <w:rFonts w:ascii="Calibri" w:hAnsi="Calibri" w:cs="Calibri"/>
        </w:rPr>
        <w:t xml:space="preserve">: </w:t>
      </w:r>
      <w:r w:rsidRPr="0091213C">
        <w:rPr>
          <w:rFonts w:ascii="Calibri" w:hAnsi="Calibri" w:cs="Calibri"/>
        </w:rPr>
        <w:t>Bronchoalveolar lavage</w:t>
      </w:r>
    </w:p>
    <w:p w14:paraId="7E2E95FA" w14:textId="5959476A" w:rsidR="002736E1" w:rsidRPr="000949B1" w:rsidRDefault="002736E1" w:rsidP="002736E1">
      <w:pPr>
        <w:rPr>
          <w:b/>
          <w:bCs/>
          <w:sz w:val="24"/>
          <w:szCs w:val="24"/>
        </w:rPr>
      </w:pPr>
      <w:r w:rsidRPr="002736E1">
        <w:rPr>
          <w:b/>
          <w:bCs/>
          <w:sz w:val="24"/>
          <w:szCs w:val="24"/>
        </w:rPr>
        <w:t>Declarations</w:t>
      </w:r>
    </w:p>
    <w:p w14:paraId="67099C3C" w14:textId="7BA403FA" w:rsidR="002736E1" w:rsidRDefault="002736E1" w:rsidP="002736E1">
      <w:r w:rsidRPr="00B54B2C">
        <w:rPr>
          <w:b/>
          <w:bCs/>
        </w:rPr>
        <w:t>Conflicts of interest</w:t>
      </w:r>
      <w:r w:rsidRPr="002736E1">
        <w:t>: The authors have no conflicts of interest related to this article to disclose.</w:t>
      </w:r>
    </w:p>
    <w:p w14:paraId="41DE8DAA" w14:textId="5C679683" w:rsidR="002736E1" w:rsidRDefault="009B0C1F" w:rsidP="002736E1">
      <w:r>
        <w:rPr>
          <w:b/>
          <w:bCs/>
          <w:sz w:val="24"/>
          <w:szCs w:val="24"/>
        </w:rPr>
        <w:t xml:space="preserve">Funding: </w:t>
      </w:r>
      <w:r w:rsidR="002736E1" w:rsidRPr="00B54B2C">
        <w:rPr>
          <w:sz w:val="24"/>
          <w:szCs w:val="24"/>
        </w:rPr>
        <w:t>This</w:t>
      </w:r>
      <w:r w:rsidR="002736E1">
        <w:t xml:space="preserve"> work was funded by Asthma, Allergy &amp; Inflammation Research (AAIR) Charity and Asthma UK (Grant:  </w:t>
      </w:r>
      <w:r w:rsidR="002736E1" w:rsidRPr="008B0E65">
        <w:t>AUK-PG-2019-419</w:t>
      </w:r>
      <w:r w:rsidR="002736E1">
        <w:t>).</w:t>
      </w:r>
    </w:p>
    <w:p w14:paraId="53F2F27F" w14:textId="36C4B15B" w:rsidR="00B54B2C" w:rsidRDefault="009B0C1F" w:rsidP="00E75836">
      <w:r>
        <w:rPr>
          <w:b/>
          <w:bCs/>
          <w:sz w:val="24"/>
          <w:szCs w:val="24"/>
        </w:rPr>
        <w:t>Authors’ contribution</w:t>
      </w:r>
      <w:r w:rsidR="00E75836">
        <w:rPr>
          <w:b/>
          <w:bCs/>
          <w:sz w:val="24"/>
          <w:szCs w:val="24"/>
        </w:rPr>
        <w:t xml:space="preserve">: </w:t>
      </w:r>
      <w:r w:rsidR="00E75836">
        <w:t>M.A.K. contributed to study design, undertook laboratory experiments, data analysis and wrote the 1</w:t>
      </w:r>
      <w:r w:rsidR="00E75836" w:rsidRPr="00A73933">
        <w:rPr>
          <w:vertAlign w:val="superscript"/>
        </w:rPr>
        <w:t>st</w:t>
      </w:r>
      <w:r w:rsidR="00E75836">
        <w:t xml:space="preserve"> draft of the manuscript. T.S.E. supervised the experiments, guided data interpretation and revised the manuscript. S.H.A. helped supervise the work and revised the manuscript. R.J.K.  supervised the work, helped with patient selection, manuscript writing and acts as Guarantor for the manuscript. P.H and C.L.S. critically reviewed and revised the manuscript</w:t>
      </w:r>
      <w:r w:rsidR="00E75836" w:rsidDel="00E75836">
        <w:t xml:space="preserve"> </w:t>
      </w:r>
      <w:r w:rsidR="00B54B2C">
        <w:br w:type="page"/>
      </w:r>
    </w:p>
    <w:p w14:paraId="35BAF8CD" w14:textId="0C69DA93" w:rsidR="00C85F7A" w:rsidRPr="00B54B2C" w:rsidRDefault="00AF1E66" w:rsidP="00E6250F">
      <w:pPr>
        <w:rPr>
          <w:b/>
          <w:bCs/>
        </w:rPr>
      </w:pPr>
      <w:r w:rsidRPr="00B54B2C">
        <w:rPr>
          <w:b/>
          <w:bCs/>
        </w:rPr>
        <w:lastRenderedPageBreak/>
        <w:t>References:</w:t>
      </w:r>
    </w:p>
    <w:p w14:paraId="677F47F9" w14:textId="77777777" w:rsidR="0091213C" w:rsidRDefault="0091213C" w:rsidP="0091213C">
      <w:pPr>
        <w:pStyle w:val="ListParagraph"/>
        <w:numPr>
          <w:ilvl w:val="0"/>
          <w:numId w:val="1"/>
        </w:numPr>
      </w:pPr>
      <w:r w:rsidRPr="00134587">
        <w:t>Rodrigo-Muñoz JM, Cañas JA, Sastre B, Rego N, Greif G, Rial M, Mínguez P, Mahíllo-Fernández I, Fernández-Nieto M, Mora I, Barranco P, Quirce S, Sastre J, Del Pozo V. Asthma diagnosis using integrated analysis of eosinophil microRNAs. Allergy. 2019 Mar;74(3):507-517. doi: 10.1111/all.13570. Epub 2018 Oct 11. PMID: 30040124.</w:t>
      </w:r>
    </w:p>
    <w:p w14:paraId="24F5131B" w14:textId="074F0DD5" w:rsidR="0091213C" w:rsidRDefault="006C74B0" w:rsidP="006C74B0">
      <w:pPr>
        <w:pStyle w:val="ListParagraph"/>
        <w:numPr>
          <w:ilvl w:val="0"/>
          <w:numId w:val="1"/>
        </w:numPr>
      </w:pPr>
      <w:r w:rsidRPr="006C74B0">
        <w:t>Rupani H, Martinez-Nunez RT, Dennison P, Lau LC, Jayasekera N, Havelock T, Francisco-Garcia AS, Grainge C, Howarth PH, Sanchez-Elsner T. Toll-like Receptor 7 Is Reduced in Severe Asthma and Linked to an Altered MicroRNA Profile. Am J Respir Crit Care Med. 2016 Jul 1;194(1):26-37. doi: 10.1164/rccm.201502-0280OC. PMID: 26815632; PMCID: PMC4960627.</w:t>
      </w:r>
    </w:p>
    <w:p w14:paraId="7ED26BEF" w14:textId="5D0A85D1" w:rsidR="0030186D" w:rsidRDefault="0030186D" w:rsidP="0030186D">
      <w:pPr>
        <w:pStyle w:val="ListParagraph"/>
        <w:numPr>
          <w:ilvl w:val="0"/>
          <w:numId w:val="1"/>
        </w:numPr>
      </w:pPr>
      <w:r w:rsidRPr="009B09C5">
        <w:t>British guideline for the management of asthma. A national clinical guideline. British Thoracic Society/NHS Scotland. 2019.</w:t>
      </w:r>
    </w:p>
    <w:p w14:paraId="68EAC3CE" w14:textId="0A367761" w:rsidR="0091213C" w:rsidRDefault="0091213C" w:rsidP="0091213C">
      <w:pPr>
        <w:pStyle w:val="ListParagraph"/>
        <w:numPr>
          <w:ilvl w:val="0"/>
          <w:numId w:val="1"/>
        </w:numPr>
      </w:pPr>
      <w:r w:rsidRPr="00645F40">
        <w:t>Arshad SH, Holloway JW, Karmaus W, Zhang H, Ewart S, Mansfield L, Matthews S, Hodgekiss C, Roberts G, Kurukulaaratchy R. Cohort Profile: The Isle Of Wight Whole Population Birth Cohort (IOWBC). Int J Epidemiol. 2018 Aug 1;47(4):1043-1044i. doi: 10.1093/ije/dyy023. PMID: 29547889; PMCID: PMC6124620.</w:t>
      </w:r>
    </w:p>
    <w:p w14:paraId="11669D3D" w14:textId="77777777" w:rsidR="0091213C" w:rsidRDefault="0091213C" w:rsidP="0091213C">
      <w:pPr>
        <w:pStyle w:val="ListParagraph"/>
        <w:numPr>
          <w:ilvl w:val="0"/>
          <w:numId w:val="1"/>
        </w:numPr>
      </w:pPr>
      <w:r w:rsidRPr="00645F40">
        <w:t>Azim A, Mistry H, Freeman A, Barber C, Newell C, Gove K, Thirlwall Y, Harvey M, Bentley K, Knight D, Long K, Mitchell F, Cheng Y, Varkonyi-Sepp J, Grabau W, Dennison P, Haitchi HM, Arshad SH, Djukanovic R, Wilkinson T, Howarth P, Kurukulaaratchy RJ. Protocol for the Wessex AsThma CoHort of difficult asthma (WATCH): a pragmatic real-life longitudinal study of difficult asthma in the clinic. BMC Pulm Med. 2019 May 24;19(1):99. doi: 10.1186/s12890-019-0862-2. PMID: 31126281; PMCID: PMC6534885.</w:t>
      </w:r>
    </w:p>
    <w:p w14:paraId="28AAFA1D" w14:textId="77777777" w:rsidR="0091213C" w:rsidRDefault="0091213C" w:rsidP="0091213C">
      <w:pPr>
        <w:pStyle w:val="ListParagraph"/>
        <w:numPr>
          <w:ilvl w:val="0"/>
          <w:numId w:val="1"/>
        </w:numPr>
      </w:pPr>
      <w:r w:rsidRPr="00134587">
        <w:t xml:space="preserve">Francisco-Garcia AS, Garrido-Martín EM, Rupani H, Lau </w:t>
      </w:r>
      <w:r>
        <w:t xml:space="preserve">LCK, Martinez-Nunez RT, Howarth </w:t>
      </w:r>
      <w:r w:rsidRPr="00134587">
        <w:t>PH, Sanchez-Elsner T. Small RNA Species and microRNA</w:t>
      </w:r>
      <w:r>
        <w:t xml:space="preserve"> Profiles are Altered in Severe </w:t>
      </w:r>
      <w:r w:rsidRPr="00134587">
        <w:t>Asthma Nanovesicles from Broncho Alveolar Lavage a</w:t>
      </w:r>
      <w:r>
        <w:t xml:space="preserve">nd Associate with Impaired Lung </w:t>
      </w:r>
      <w:r w:rsidRPr="00134587">
        <w:t>Function and Inflammation. Noncodin</w:t>
      </w:r>
      <w:r>
        <w:t xml:space="preserve">g RNA. 2019 Nov 2;5(4):51. doi: </w:t>
      </w:r>
      <w:r w:rsidRPr="00134587">
        <w:t>10.3390/ncrna5040051. PMID: 31684064; PMCID: PMC6958500.</w:t>
      </w:r>
    </w:p>
    <w:p w14:paraId="7E9AD5A5" w14:textId="77777777" w:rsidR="008D2F95" w:rsidRPr="008D2F95" w:rsidRDefault="008D2F95" w:rsidP="008D2F95">
      <w:pPr>
        <w:pStyle w:val="ListParagraph"/>
        <w:numPr>
          <w:ilvl w:val="0"/>
          <w:numId w:val="1"/>
        </w:numPr>
      </w:pPr>
      <w:r w:rsidRPr="008D2F95">
        <w:t xml:space="preserve">Azim A, Freeman A, Lavenu A, Mistry H, Haitchi HM, Newell C, Cheng Y, Thirlwall Y, Harvey M, Barber C, Pontoppidan K, Dennison P, Arshad SH, Djukanovic R, Howarth P, Kurukulaaratchy RJ. New Perspectives on Difficult Asthma; Sex and Age of Asthma-Onset Based Phenotypes. J Allergy Clin Immunol Pract. 2020 Jun 13:S2213-2198(20)30594-8. doi: 10.1016/j.jaip.2020.05.053. </w:t>
      </w:r>
    </w:p>
    <w:p w14:paraId="2A245841" w14:textId="77777777" w:rsidR="000F6DC7" w:rsidRDefault="000F6DC7" w:rsidP="008D2F95">
      <w:pPr>
        <w:pStyle w:val="ListParagraph"/>
      </w:pPr>
    </w:p>
    <w:p w14:paraId="3E99D646" w14:textId="5B7AF797" w:rsidR="00FF6A37" w:rsidRDefault="00FF6A37" w:rsidP="0091213C">
      <w:pPr>
        <w:widowControl w:val="0"/>
        <w:autoSpaceDE w:val="0"/>
        <w:autoSpaceDN w:val="0"/>
        <w:adjustRightInd w:val="0"/>
        <w:spacing w:after="200" w:line="480" w:lineRule="auto"/>
        <w:ind w:left="720"/>
        <w:jc w:val="both"/>
      </w:pPr>
    </w:p>
    <w:sectPr w:rsidR="00FF6A37" w:rsidSect="007775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1E4C0" w14:textId="77777777" w:rsidR="00523BC6" w:rsidRDefault="00523BC6" w:rsidP="00E6250F">
      <w:pPr>
        <w:spacing w:after="0" w:line="240" w:lineRule="auto"/>
      </w:pPr>
      <w:r>
        <w:separator/>
      </w:r>
    </w:p>
  </w:endnote>
  <w:endnote w:type="continuationSeparator" w:id="0">
    <w:p w14:paraId="6A4E1C63" w14:textId="77777777" w:rsidR="00523BC6" w:rsidRDefault="00523BC6" w:rsidP="00E6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2AED7" w14:textId="77777777" w:rsidR="00523BC6" w:rsidRDefault="00523BC6" w:rsidP="00E6250F">
      <w:pPr>
        <w:spacing w:after="0" w:line="240" w:lineRule="auto"/>
      </w:pPr>
      <w:r>
        <w:separator/>
      </w:r>
    </w:p>
  </w:footnote>
  <w:footnote w:type="continuationSeparator" w:id="0">
    <w:p w14:paraId="37DAFFAE" w14:textId="77777777" w:rsidR="00523BC6" w:rsidRDefault="00523BC6" w:rsidP="00E62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59A4"/>
    <w:multiLevelType w:val="hybridMultilevel"/>
    <w:tmpl w:val="4FAE477E"/>
    <w:lvl w:ilvl="0" w:tplc="F6F81AF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85FBE"/>
    <w:multiLevelType w:val="hybridMultilevel"/>
    <w:tmpl w:val="8D7AEE14"/>
    <w:lvl w:ilvl="0" w:tplc="B32C268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986D8B"/>
    <w:multiLevelType w:val="hybridMultilevel"/>
    <w:tmpl w:val="6DB07DDA"/>
    <w:lvl w:ilvl="0" w:tplc="83280522">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F01D25"/>
    <w:multiLevelType w:val="hybridMultilevel"/>
    <w:tmpl w:val="80F6BC46"/>
    <w:lvl w:ilvl="0" w:tplc="983A6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03"/>
    <w:rsid w:val="0000063E"/>
    <w:rsid w:val="000054DA"/>
    <w:rsid w:val="00011725"/>
    <w:rsid w:val="00057D88"/>
    <w:rsid w:val="000612C3"/>
    <w:rsid w:val="00065384"/>
    <w:rsid w:val="0007753E"/>
    <w:rsid w:val="000811CB"/>
    <w:rsid w:val="00081C27"/>
    <w:rsid w:val="00092178"/>
    <w:rsid w:val="0009315D"/>
    <w:rsid w:val="000978EA"/>
    <w:rsid w:val="000B2F1A"/>
    <w:rsid w:val="000C281B"/>
    <w:rsid w:val="000C7757"/>
    <w:rsid w:val="000E0D73"/>
    <w:rsid w:val="000F6DC7"/>
    <w:rsid w:val="001072C3"/>
    <w:rsid w:val="00111945"/>
    <w:rsid w:val="00121265"/>
    <w:rsid w:val="001278D0"/>
    <w:rsid w:val="00134406"/>
    <w:rsid w:val="00134587"/>
    <w:rsid w:val="00135C75"/>
    <w:rsid w:val="001618DB"/>
    <w:rsid w:val="001711FC"/>
    <w:rsid w:val="00177867"/>
    <w:rsid w:val="00191E9B"/>
    <w:rsid w:val="00193469"/>
    <w:rsid w:val="001A0D2C"/>
    <w:rsid w:val="001A0E5B"/>
    <w:rsid w:val="001A331A"/>
    <w:rsid w:val="001A38D1"/>
    <w:rsid w:val="001A7756"/>
    <w:rsid w:val="001C24AF"/>
    <w:rsid w:val="001D50BB"/>
    <w:rsid w:val="001F4124"/>
    <w:rsid w:val="001F546A"/>
    <w:rsid w:val="00202EDB"/>
    <w:rsid w:val="002165A6"/>
    <w:rsid w:val="0021694A"/>
    <w:rsid w:val="0023109B"/>
    <w:rsid w:val="00244F00"/>
    <w:rsid w:val="00246C97"/>
    <w:rsid w:val="00252FDF"/>
    <w:rsid w:val="0025420F"/>
    <w:rsid w:val="00260A7A"/>
    <w:rsid w:val="00263DD5"/>
    <w:rsid w:val="002736E1"/>
    <w:rsid w:val="00274BF9"/>
    <w:rsid w:val="0029033D"/>
    <w:rsid w:val="00294827"/>
    <w:rsid w:val="002C35E1"/>
    <w:rsid w:val="002D4C3E"/>
    <w:rsid w:val="002E12CE"/>
    <w:rsid w:val="002E55A1"/>
    <w:rsid w:val="002E7096"/>
    <w:rsid w:val="002E7869"/>
    <w:rsid w:val="002F072D"/>
    <w:rsid w:val="002F2F6C"/>
    <w:rsid w:val="002F3E3B"/>
    <w:rsid w:val="0030186D"/>
    <w:rsid w:val="00304622"/>
    <w:rsid w:val="003113D1"/>
    <w:rsid w:val="00317405"/>
    <w:rsid w:val="003308AA"/>
    <w:rsid w:val="003322ED"/>
    <w:rsid w:val="00333E6F"/>
    <w:rsid w:val="003434B1"/>
    <w:rsid w:val="00345756"/>
    <w:rsid w:val="003474FC"/>
    <w:rsid w:val="00350210"/>
    <w:rsid w:val="00350A24"/>
    <w:rsid w:val="00351945"/>
    <w:rsid w:val="00355A3A"/>
    <w:rsid w:val="00361A2D"/>
    <w:rsid w:val="00370B11"/>
    <w:rsid w:val="00372002"/>
    <w:rsid w:val="00372A8C"/>
    <w:rsid w:val="00373723"/>
    <w:rsid w:val="00376088"/>
    <w:rsid w:val="003765C9"/>
    <w:rsid w:val="00386651"/>
    <w:rsid w:val="00386BD5"/>
    <w:rsid w:val="003905DA"/>
    <w:rsid w:val="003954ED"/>
    <w:rsid w:val="003A2CDF"/>
    <w:rsid w:val="003A334A"/>
    <w:rsid w:val="003B248F"/>
    <w:rsid w:val="003C2E12"/>
    <w:rsid w:val="003C3922"/>
    <w:rsid w:val="003D03E2"/>
    <w:rsid w:val="003E3DC6"/>
    <w:rsid w:val="003F1939"/>
    <w:rsid w:val="004113E4"/>
    <w:rsid w:val="00430BEB"/>
    <w:rsid w:val="004312B8"/>
    <w:rsid w:val="00436755"/>
    <w:rsid w:val="00443D17"/>
    <w:rsid w:val="0044758C"/>
    <w:rsid w:val="004532E5"/>
    <w:rsid w:val="004607D3"/>
    <w:rsid w:val="00460BDC"/>
    <w:rsid w:val="004663EB"/>
    <w:rsid w:val="004806D5"/>
    <w:rsid w:val="004868E1"/>
    <w:rsid w:val="00486F15"/>
    <w:rsid w:val="004928D4"/>
    <w:rsid w:val="004944DE"/>
    <w:rsid w:val="004A3B8F"/>
    <w:rsid w:val="004A6E26"/>
    <w:rsid w:val="004B5B2B"/>
    <w:rsid w:val="004D0005"/>
    <w:rsid w:val="004D08E9"/>
    <w:rsid w:val="004D39CB"/>
    <w:rsid w:val="004D3B71"/>
    <w:rsid w:val="004D428E"/>
    <w:rsid w:val="004D4ECA"/>
    <w:rsid w:val="004E1A03"/>
    <w:rsid w:val="004E2265"/>
    <w:rsid w:val="004E458F"/>
    <w:rsid w:val="00503E90"/>
    <w:rsid w:val="005104BF"/>
    <w:rsid w:val="00513503"/>
    <w:rsid w:val="00522507"/>
    <w:rsid w:val="00523BC6"/>
    <w:rsid w:val="00525D8C"/>
    <w:rsid w:val="0053319C"/>
    <w:rsid w:val="0053535E"/>
    <w:rsid w:val="00537346"/>
    <w:rsid w:val="00540428"/>
    <w:rsid w:val="00544051"/>
    <w:rsid w:val="00544D62"/>
    <w:rsid w:val="005467C1"/>
    <w:rsid w:val="00555A76"/>
    <w:rsid w:val="00556CBE"/>
    <w:rsid w:val="005623AA"/>
    <w:rsid w:val="00570F61"/>
    <w:rsid w:val="00575752"/>
    <w:rsid w:val="00576C7E"/>
    <w:rsid w:val="005773E9"/>
    <w:rsid w:val="005814FE"/>
    <w:rsid w:val="0058286D"/>
    <w:rsid w:val="0058376E"/>
    <w:rsid w:val="005905F4"/>
    <w:rsid w:val="00590E0D"/>
    <w:rsid w:val="005A1233"/>
    <w:rsid w:val="005A2211"/>
    <w:rsid w:val="005A3DA4"/>
    <w:rsid w:val="005A662B"/>
    <w:rsid w:val="005B0DA0"/>
    <w:rsid w:val="005B4D3F"/>
    <w:rsid w:val="005C6752"/>
    <w:rsid w:val="005D6079"/>
    <w:rsid w:val="005E3067"/>
    <w:rsid w:val="00612FE2"/>
    <w:rsid w:val="006226EB"/>
    <w:rsid w:val="006325DE"/>
    <w:rsid w:val="00633643"/>
    <w:rsid w:val="00636260"/>
    <w:rsid w:val="00640146"/>
    <w:rsid w:val="006448D9"/>
    <w:rsid w:val="00645F40"/>
    <w:rsid w:val="0064758D"/>
    <w:rsid w:val="006533D0"/>
    <w:rsid w:val="006677C3"/>
    <w:rsid w:val="00670C3C"/>
    <w:rsid w:val="00677529"/>
    <w:rsid w:val="00677548"/>
    <w:rsid w:val="00684930"/>
    <w:rsid w:val="006962AA"/>
    <w:rsid w:val="006A4B33"/>
    <w:rsid w:val="006A76D4"/>
    <w:rsid w:val="006C74B0"/>
    <w:rsid w:val="006C788B"/>
    <w:rsid w:val="006E5D67"/>
    <w:rsid w:val="006F1928"/>
    <w:rsid w:val="006F4D6F"/>
    <w:rsid w:val="006F5801"/>
    <w:rsid w:val="00702A84"/>
    <w:rsid w:val="0070695A"/>
    <w:rsid w:val="00711114"/>
    <w:rsid w:val="00721893"/>
    <w:rsid w:val="007315D7"/>
    <w:rsid w:val="00737935"/>
    <w:rsid w:val="00751C67"/>
    <w:rsid w:val="0075207E"/>
    <w:rsid w:val="00752679"/>
    <w:rsid w:val="007620E9"/>
    <w:rsid w:val="0076414B"/>
    <w:rsid w:val="00765EC7"/>
    <w:rsid w:val="0077225F"/>
    <w:rsid w:val="0077752C"/>
    <w:rsid w:val="00792BAA"/>
    <w:rsid w:val="00796ED7"/>
    <w:rsid w:val="007E3668"/>
    <w:rsid w:val="007E4FDF"/>
    <w:rsid w:val="007E5337"/>
    <w:rsid w:val="007E6305"/>
    <w:rsid w:val="007E6FFF"/>
    <w:rsid w:val="007E7D5E"/>
    <w:rsid w:val="007F7063"/>
    <w:rsid w:val="008037F2"/>
    <w:rsid w:val="008106B8"/>
    <w:rsid w:val="0081693C"/>
    <w:rsid w:val="00833950"/>
    <w:rsid w:val="008353F9"/>
    <w:rsid w:val="00840A25"/>
    <w:rsid w:val="00842BEF"/>
    <w:rsid w:val="00843631"/>
    <w:rsid w:val="00843B80"/>
    <w:rsid w:val="00850432"/>
    <w:rsid w:val="00863BE8"/>
    <w:rsid w:val="00867F6D"/>
    <w:rsid w:val="00874E8A"/>
    <w:rsid w:val="00875ABA"/>
    <w:rsid w:val="00897E0C"/>
    <w:rsid w:val="008A7802"/>
    <w:rsid w:val="008B0E65"/>
    <w:rsid w:val="008B2654"/>
    <w:rsid w:val="008B2D1B"/>
    <w:rsid w:val="008D2F95"/>
    <w:rsid w:val="008E18C5"/>
    <w:rsid w:val="008E6437"/>
    <w:rsid w:val="008F240B"/>
    <w:rsid w:val="00904972"/>
    <w:rsid w:val="00911A69"/>
    <w:rsid w:val="0091213C"/>
    <w:rsid w:val="009126A9"/>
    <w:rsid w:val="009141AD"/>
    <w:rsid w:val="00916DA1"/>
    <w:rsid w:val="00920FB7"/>
    <w:rsid w:val="009303C8"/>
    <w:rsid w:val="0094596F"/>
    <w:rsid w:val="0096768C"/>
    <w:rsid w:val="00976D73"/>
    <w:rsid w:val="009802AA"/>
    <w:rsid w:val="009B09C5"/>
    <w:rsid w:val="009B0C1F"/>
    <w:rsid w:val="009B2900"/>
    <w:rsid w:val="009B2BB4"/>
    <w:rsid w:val="009B5779"/>
    <w:rsid w:val="009C0EC1"/>
    <w:rsid w:val="009D4505"/>
    <w:rsid w:val="009F21E0"/>
    <w:rsid w:val="009F772C"/>
    <w:rsid w:val="00A1077D"/>
    <w:rsid w:val="00A10DED"/>
    <w:rsid w:val="00A11A70"/>
    <w:rsid w:val="00A141DA"/>
    <w:rsid w:val="00A14CFE"/>
    <w:rsid w:val="00A20E81"/>
    <w:rsid w:val="00A26C62"/>
    <w:rsid w:val="00A26D3B"/>
    <w:rsid w:val="00A26E96"/>
    <w:rsid w:val="00A31F01"/>
    <w:rsid w:val="00A41C77"/>
    <w:rsid w:val="00A46A5E"/>
    <w:rsid w:val="00A65E30"/>
    <w:rsid w:val="00A86E0D"/>
    <w:rsid w:val="00A86F13"/>
    <w:rsid w:val="00A93EE0"/>
    <w:rsid w:val="00AA2766"/>
    <w:rsid w:val="00AA2B75"/>
    <w:rsid w:val="00AB3909"/>
    <w:rsid w:val="00AC045A"/>
    <w:rsid w:val="00AC1FD2"/>
    <w:rsid w:val="00AC6CA1"/>
    <w:rsid w:val="00AC6CFA"/>
    <w:rsid w:val="00AD2BD5"/>
    <w:rsid w:val="00AD57BE"/>
    <w:rsid w:val="00AD7044"/>
    <w:rsid w:val="00AE0404"/>
    <w:rsid w:val="00AE246B"/>
    <w:rsid w:val="00AE4DCF"/>
    <w:rsid w:val="00AE5D6F"/>
    <w:rsid w:val="00AF1E66"/>
    <w:rsid w:val="00B15D07"/>
    <w:rsid w:val="00B227CA"/>
    <w:rsid w:val="00B2437E"/>
    <w:rsid w:val="00B37262"/>
    <w:rsid w:val="00B45319"/>
    <w:rsid w:val="00B54B2C"/>
    <w:rsid w:val="00B66FFE"/>
    <w:rsid w:val="00B7144E"/>
    <w:rsid w:val="00B76802"/>
    <w:rsid w:val="00B81306"/>
    <w:rsid w:val="00B915CB"/>
    <w:rsid w:val="00BB743D"/>
    <w:rsid w:val="00BC1438"/>
    <w:rsid w:val="00BE00F0"/>
    <w:rsid w:val="00BE0832"/>
    <w:rsid w:val="00BE5710"/>
    <w:rsid w:val="00BF27B2"/>
    <w:rsid w:val="00BF3CF1"/>
    <w:rsid w:val="00C008E0"/>
    <w:rsid w:val="00C017BE"/>
    <w:rsid w:val="00C179DC"/>
    <w:rsid w:val="00C2539F"/>
    <w:rsid w:val="00C273DF"/>
    <w:rsid w:val="00C27647"/>
    <w:rsid w:val="00C27D73"/>
    <w:rsid w:val="00C33E19"/>
    <w:rsid w:val="00C365DA"/>
    <w:rsid w:val="00C37274"/>
    <w:rsid w:val="00C37370"/>
    <w:rsid w:val="00C4046E"/>
    <w:rsid w:val="00C43F97"/>
    <w:rsid w:val="00C52234"/>
    <w:rsid w:val="00C541AF"/>
    <w:rsid w:val="00C562E2"/>
    <w:rsid w:val="00C62AF2"/>
    <w:rsid w:val="00C62D39"/>
    <w:rsid w:val="00C74DE7"/>
    <w:rsid w:val="00C75EBB"/>
    <w:rsid w:val="00C81C9E"/>
    <w:rsid w:val="00C85F7A"/>
    <w:rsid w:val="00CA0F78"/>
    <w:rsid w:val="00CA2B1D"/>
    <w:rsid w:val="00CA481F"/>
    <w:rsid w:val="00CB71CD"/>
    <w:rsid w:val="00CD5EB6"/>
    <w:rsid w:val="00CE4CF0"/>
    <w:rsid w:val="00CF033E"/>
    <w:rsid w:val="00CF1F05"/>
    <w:rsid w:val="00CF74B2"/>
    <w:rsid w:val="00D07B20"/>
    <w:rsid w:val="00D11385"/>
    <w:rsid w:val="00D16C61"/>
    <w:rsid w:val="00D26BE1"/>
    <w:rsid w:val="00D361B5"/>
    <w:rsid w:val="00D44B4A"/>
    <w:rsid w:val="00D46919"/>
    <w:rsid w:val="00D70CD1"/>
    <w:rsid w:val="00D72847"/>
    <w:rsid w:val="00D74B04"/>
    <w:rsid w:val="00D81DF1"/>
    <w:rsid w:val="00D8331F"/>
    <w:rsid w:val="00D84A12"/>
    <w:rsid w:val="00D955E5"/>
    <w:rsid w:val="00DB55D2"/>
    <w:rsid w:val="00DC1151"/>
    <w:rsid w:val="00DD00A8"/>
    <w:rsid w:val="00DD12CB"/>
    <w:rsid w:val="00DD3A81"/>
    <w:rsid w:val="00DD4522"/>
    <w:rsid w:val="00DF20F6"/>
    <w:rsid w:val="00DF3233"/>
    <w:rsid w:val="00DF3B27"/>
    <w:rsid w:val="00E02BF7"/>
    <w:rsid w:val="00E03F58"/>
    <w:rsid w:val="00E07CBB"/>
    <w:rsid w:val="00E26468"/>
    <w:rsid w:val="00E410DA"/>
    <w:rsid w:val="00E5336A"/>
    <w:rsid w:val="00E55FAB"/>
    <w:rsid w:val="00E56094"/>
    <w:rsid w:val="00E6250F"/>
    <w:rsid w:val="00E626E2"/>
    <w:rsid w:val="00E63801"/>
    <w:rsid w:val="00E75054"/>
    <w:rsid w:val="00E75836"/>
    <w:rsid w:val="00E817FD"/>
    <w:rsid w:val="00E82400"/>
    <w:rsid w:val="00E86E6F"/>
    <w:rsid w:val="00EA475D"/>
    <w:rsid w:val="00EA4F1D"/>
    <w:rsid w:val="00EB39D3"/>
    <w:rsid w:val="00EC1BEE"/>
    <w:rsid w:val="00EC7742"/>
    <w:rsid w:val="00ED215A"/>
    <w:rsid w:val="00ED72B2"/>
    <w:rsid w:val="00EE35DB"/>
    <w:rsid w:val="00EF165B"/>
    <w:rsid w:val="00F11AA4"/>
    <w:rsid w:val="00F16200"/>
    <w:rsid w:val="00F24C50"/>
    <w:rsid w:val="00F32F84"/>
    <w:rsid w:val="00F36DC5"/>
    <w:rsid w:val="00F461A5"/>
    <w:rsid w:val="00F4759A"/>
    <w:rsid w:val="00F5471D"/>
    <w:rsid w:val="00F5607D"/>
    <w:rsid w:val="00F57CD5"/>
    <w:rsid w:val="00F61B35"/>
    <w:rsid w:val="00F61EFD"/>
    <w:rsid w:val="00F67530"/>
    <w:rsid w:val="00F855EE"/>
    <w:rsid w:val="00FB051A"/>
    <w:rsid w:val="00FC369E"/>
    <w:rsid w:val="00FD2202"/>
    <w:rsid w:val="00FE1BFD"/>
    <w:rsid w:val="00FE1E58"/>
    <w:rsid w:val="00FE43F0"/>
    <w:rsid w:val="00FE5DEE"/>
    <w:rsid w:val="00FF6A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D06F"/>
  <w15:chartTrackingRefBased/>
  <w15:docId w15:val="{D5DF6764-AAC8-454C-88FF-101E1102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24C50"/>
    <w:pPr>
      <w:spacing w:after="0" w:line="240" w:lineRule="auto"/>
    </w:pPr>
    <w:rPr>
      <w:rFonts w:ascii="MS PGothic" w:eastAsia="MS PGothic" w:hAnsi="MS PGothic" w:cs="MS PGothic"/>
      <w:sz w:val="24"/>
      <w:szCs w:val="24"/>
      <w:lang w:eastAsia="ja-JP"/>
    </w:rPr>
  </w:style>
  <w:style w:type="paragraph" w:styleId="Header">
    <w:name w:val="header"/>
    <w:basedOn w:val="Normal"/>
    <w:link w:val="HeaderChar"/>
    <w:uiPriority w:val="99"/>
    <w:unhideWhenUsed/>
    <w:rsid w:val="00E62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50F"/>
  </w:style>
  <w:style w:type="paragraph" w:styleId="Footer">
    <w:name w:val="footer"/>
    <w:basedOn w:val="Normal"/>
    <w:link w:val="FooterChar"/>
    <w:uiPriority w:val="99"/>
    <w:unhideWhenUsed/>
    <w:rsid w:val="00E62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50F"/>
  </w:style>
  <w:style w:type="paragraph" w:styleId="ListParagraph">
    <w:name w:val="List Paragraph"/>
    <w:basedOn w:val="Normal"/>
    <w:uiPriority w:val="34"/>
    <w:qFormat/>
    <w:rsid w:val="00AF1E66"/>
    <w:pPr>
      <w:ind w:left="720"/>
      <w:contextualSpacing/>
    </w:pPr>
  </w:style>
  <w:style w:type="character" w:styleId="CommentReference">
    <w:name w:val="annotation reference"/>
    <w:basedOn w:val="DefaultParagraphFont"/>
    <w:uiPriority w:val="99"/>
    <w:semiHidden/>
    <w:unhideWhenUsed/>
    <w:rsid w:val="000978EA"/>
    <w:rPr>
      <w:sz w:val="16"/>
      <w:szCs w:val="16"/>
    </w:rPr>
  </w:style>
  <w:style w:type="paragraph" w:styleId="CommentText">
    <w:name w:val="annotation text"/>
    <w:basedOn w:val="Normal"/>
    <w:link w:val="CommentTextChar"/>
    <w:uiPriority w:val="99"/>
    <w:semiHidden/>
    <w:unhideWhenUsed/>
    <w:rsid w:val="000978EA"/>
    <w:pPr>
      <w:spacing w:line="240" w:lineRule="auto"/>
    </w:pPr>
    <w:rPr>
      <w:sz w:val="20"/>
      <w:szCs w:val="20"/>
    </w:rPr>
  </w:style>
  <w:style w:type="character" w:customStyle="1" w:styleId="CommentTextChar">
    <w:name w:val="Comment Text Char"/>
    <w:basedOn w:val="DefaultParagraphFont"/>
    <w:link w:val="CommentText"/>
    <w:uiPriority w:val="99"/>
    <w:semiHidden/>
    <w:rsid w:val="000978EA"/>
    <w:rPr>
      <w:sz w:val="20"/>
      <w:szCs w:val="20"/>
    </w:rPr>
  </w:style>
  <w:style w:type="paragraph" w:styleId="CommentSubject">
    <w:name w:val="annotation subject"/>
    <w:basedOn w:val="CommentText"/>
    <w:next w:val="CommentText"/>
    <w:link w:val="CommentSubjectChar"/>
    <w:uiPriority w:val="99"/>
    <w:semiHidden/>
    <w:unhideWhenUsed/>
    <w:rsid w:val="000978EA"/>
    <w:rPr>
      <w:b/>
      <w:bCs/>
    </w:rPr>
  </w:style>
  <w:style w:type="character" w:customStyle="1" w:styleId="CommentSubjectChar">
    <w:name w:val="Comment Subject Char"/>
    <w:basedOn w:val="CommentTextChar"/>
    <w:link w:val="CommentSubject"/>
    <w:uiPriority w:val="99"/>
    <w:semiHidden/>
    <w:rsid w:val="000978EA"/>
    <w:rPr>
      <w:b/>
      <w:bCs/>
      <w:sz w:val="20"/>
      <w:szCs w:val="20"/>
    </w:rPr>
  </w:style>
  <w:style w:type="paragraph" w:styleId="BalloonText">
    <w:name w:val="Balloon Text"/>
    <w:basedOn w:val="Normal"/>
    <w:link w:val="BalloonTextChar"/>
    <w:uiPriority w:val="99"/>
    <w:semiHidden/>
    <w:unhideWhenUsed/>
    <w:rsid w:val="00317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05"/>
    <w:rPr>
      <w:rFonts w:ascii="Segoe UI" w:hAnsi="Segoe UI" w:cs="Segoe UI"/>
      <w:sz w:val="18"/>
      <w:szCs w:val="18"/>
    </w:rPr>
  </w:style>
  <w:style w:type="paragraph" w:customStyle="1" w:styleId="Default">
    <w:name w:val="Default"/>
    <w:rsid w:val="00612F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Aref Kyyaly</dc:creator>
  <cp:keywords/>
  <dc:description/>
  <cp:lastModifiedBy>Aref Kyyaly</cp:lastModifiedBy>
  <cp:revision>5</cp:revision>
  <dcterms:created xsi:type="dcterms:W3CDTF">2021-05-29T14:18:00Z</dcterms:created>
  <dcterms:modified xsi:type="dcterms:W3CDTF">2021-06-19T22:05:00Z</dcterms:modified>
</cp:coreProperties>
</file>