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3A536" w14:textId="77777777" w:rsidR="00697CA7" w:rsidRPr="00697CA7" w:rsidRDefault="00697CA7" w:rsidP="00697CA7">
      <w:pPr>
        <w:jc w:val="center"/>
        <w:rPr>
          <w:b/>
          <w:szCs w:val="24"/>
          <w:lang w:val="en-US"/>
        </w:rPr>
      </w:pPr>
      <w:r w:rsidRPr="00697CA7">
        <w:rPr>
          <w:b/>
          <w:szCs w:val="24"/>
          <w:lang w:val="en-US"/>
        </w:rPr>
        <w:t>Prevalence of Masturbation and Associated Factors among Older Adults in Four European Countries</w:t>
      </w:r>
    </w:p>
    <w:p w14:paraId="2146102A" w14:textId="77777777" w:rsidR="00697CA7" w:rsidRPr="00697CA7" w:rsidRDefault="00697CA7" w:rsidP="00697CA7">
      <w:pPr>
        <w:jc w:val="center"/>
        <w:rPr>
          <w:bCs/>
          <w:szCs w:val="24"/>
          <w:vertAlign w:val="superscript"/>
          <w:lang w:val="en-US"/>
        </w:rPr>
      </w:pPr>
      <w:proofErr w:type="spellStart"/>
      <w:r w:rsidRPr="00697CA7">
        <w:rPr>
          <w:bCs/>
          <w:szCs w:val="24"/>
          <w:lang w:val="en-US"/>
        </w:rPr>
        <w:t>Nantje</w:t>
      </w:r>
      <w:proofErr w:type="spellEnd"/>
      <w:r w:rsidRPr="00697CA7">
        <w:rPr>
          <w:bCs/>
          <w:szCs w:val="24"/>
          <w:lang w:val="en-US"/>
        </w:rPr>
        <w:t xml:space="preserve"> Fischer,</w:t>
      </w:r>
      <w:r w:rsidRPr="00697CA7">
        <w:rPr>
          <w:bCs/>
          <w:szCs w:val="24"/>
          <w:vertAlign w:val="superscript"/>
          <w:lang w:val="en-US"/>
        </w:rPr>
        <w:t>1</w:t>
      </w:r>
      <w:r w:rsidRPr="00697CA7">
        <w:rPr>
          <w:bCs/>
          <w:szCs w:val="24"/>
          <w:lang w:val="en-US"/>
        </w:rPr>
        <w:t xml:space="preserve"> Cynthia A. Graham,</w:t>
      </w:r>
      <w:r w:rsidRPr="00697CA7">
        <w:rPr>
          <w:bCs/>
          <w:szCs w:val="24"/>
          <w:vertAlign w:val="superscript"/>
          <w:lang w:val="en-US"/>
        </w:rPr>
        <w:t>2</w:t>
      </w:r>
      <w:r w:rsidRPr="00697CA7">
        <w:rPr>
          <w:bCs/>
          <w:szCs w:val="24"/>
          <w:lang w:val="en-US"/>
        </w:rPr>
        <w:t xml:space="preserve"> </w:t>
      </w:r>
      <w:proofErr w:type="spellStart"/>
      <w:r w:rsidRPr="00697CA7">
        <w:rPr>
          <w:bCs/>
          <w:szCs w:val="24"/>
          <w:lang w:val="en-US"/>
        </w:rPr>
        <w:t>Bente</w:t>
      </w:r>
      <w:proofErr w:type="spellEnd"/>
      <w:r w:rsidRPr="00697CA7">
        <w:rPr>
          <w:bCs/>
          <w:szCs w:val="24"/>
          <w:lang w:val="en-US"/>
        </w:rPr>
        <w:t xml:space="preserve"> Træen,</w:t>
      </w:r>
      <w:r w:rsidRPr="00697CA7">
        <w:rPr>
          <w:bCs/>
          <w:szCs w:val="24"/>
          <w:vertAlign w:val="superscript"/>
          <w:lang w:val="en-US"/>
        </w:rPr>
        <w:t>1</w:t>
      </w:r>
      <w:r w:rsidRPr="00697CA7">
        <w:rPr>
          <w:bCs/>
          <w:szCs w:val="24"/>
          <w:lang w:val="en-US"/>
        </w:rPr>
        <w:t xml:space="preserve"> and</w:t>
      </w:r>
      <w:r w:rsidRPr="00697CA7">
        <w:rPr>
          <w:bCs/>
          <w:szCs w:val="24"/>
          <w:vertAlign w:val="superscript"/>
          <w:lang w:val="en-US"/>
        </w:rPr>
        <w:t xml:space="preserve"> </w:t>
      </w:r>
      <w:r w:rsidRPr="00697CA7">
        <w:rPr>
          <w:bCs/>
          <w:szCs w:val="24"/>
          <w:lang w:val="en-US"/>
        </w:rPr>
        <w:t>Gert Martin Hald</w:t>
      </w:r>
      <w:r w:rsidRPr="00697CA7">
        <w:rPr>
          <w:bCs/>
          <w:szCs w:val="24"/>
          <w:vertAlign w:val="superscript"/>
          <w:lang w:val="en-US"/>
        </w:rPr>
        <w:t>3</w:t>
      </w:r>
    </w:p>
    <w:p w14:paraId="17E6E55D" w14:textId="77777777" w:rsidR="00697CA7" w:rsidRPr="00697CA7" w:rsidRDefault="00697CA7" w:rsidP="00697CA7">
      <w:pPr>
        <w:jc w:val="center"/>
        <w:rPr>
          <w:bCs/>
          <w:szCs w:val="24"/>
          <w:lang w:val="en-US"/>
        </w:rPr>
      </w:pPr>
      <w:r w:rsidRPr="00697CA7">
        <w:rPr>
          <w:bCs/>
          <w:szCs w:val="24"/>
          <w:vertAlign w:val="superscript"/>
          <w:lang w:val="en-US"/>
        </w:rPr>
        <w:t xml:space="preserve">1 </w:t>
      </w:r>
      <w:r w:rsidRPr="00697CA7">
        <w:rPr>
          <w:bCs/>
          <w:szCs w:val="24"/>
          <w:lang w:val="en-US"/>
        </w:rPr>
        <w:t xml:space="preserve">Department of Psychology, University of Oslo, Oslo, </w:t>
      </w:r>
      <w:proofErr w:type="spellStart"/>
      <w:r w:rsidRPr="00697CA7">
        <w:rPr>
          <w:bCs/>
          <w:szCs w:val="24"/>
          <w:lang w:val="en-US"/>
        </w:rPr>
        <w:t>Gaustadalleén</w:t>
      </w:r>
      <w:proofErr w:type="spellEnd"/>
      <w:r w:rsidRPr="00697CA7">
        <w:rPr>
          <w:bCs/>
          <w:szCs w:val="24"/>
          <w:lang w:val="en-US"/>
        </w:rPr>
        <w:t xml:space="preserve"> 30 A 0373 Oslo, Norway; e-mail: nantje.fischer@psykologi.uio.no</w:t>
      </w:r>
    </w:p>
    <w:p w14:paraId="0FF9ECEA" w14:textId="77777777" w:rsidR="00697CA7" w:rsidRPr="00697CA7" w:rsidRDefault="00697CA7" w:rsidP="00697CA7">
      <w:pPr>
        <w:jc w:val="center"/>
        <w:rPr>
          <w:bCs/>
          <w:szCs w:val="24"/>
          <w:lang w:val="en-US"/>
        </w:rPr>
      </w:pPr>
      <w:r w:rsidRPr="00697CA7">
        <w:rPr>
          <w:bCs/>
          <w:szCs w:val="24"/>
          <w:vertAlign w:val="superscript"/>
          <w:lang w:val="en-US"/>
        </w:rPr>
        <w:t>2</w:t>
      </w:r>
      <w:r w:rsidRPr="00697CA7">
        <w:rPr>
          <w:bCs/>
          <w:szCs w:val="24"/>
          <w:lang w:val="en-US"/>
        </w:rPr>
        <w:t>Department of Psychology, Faculty of Environmental and Life Sciences, University of Southampton, Southampton, UK</w:t>
      </w:r>
    </w:p>
    <w:p w14:paraId="02029578" w14:textId="77777777" w:rsidR="00697CA7" w:rsidRPr="00697CA7" w:rsidRDefault="00697CA7" w:rsidP="00697CA7">
      <w:pPr>
        <w:jc w:val="center"/>
        <w:rPr>
          <w:bCs/>
          <w:szCs w:val="24"/>
          <w:lang w:val="en-US"/>
        </w:rPr>
      </w:pPr>
      <w:r w:rsidRPr="00697CA7">
        <w:rPr>
          <w:bCs/>
          <w:szCs w:val="24"/>
          <w:vertAlign w:val="superscript"/>
          <w:lang w:val="en-US"/>
        </w:rPr>
        <w:t xml:space="preserve">3 </w:t>
      </w:r>
      <w:r w:rsidRPr="00697CA7">
        <w:rPr>
          <w:bCs/>
          <w:szCs w:val="24"/>
          <w:lang w:val="en-US"/>
        </w:rPr>
        <w:t>Department of Public Health, University of Copenhagen, Copenhagen, Denmark</w:t>
      </w:r>
    </w:p>
    <w:p w14:paraId="382CC282" w14:textId="77777777" w:rsidR="00697CA7" w:rsidRPr="00697CA7" w:rsidRDefault="00697CA7" w:rsidP="00697CA7">
      <w:pPr>
        <w:jc w:val="center"/>
        <w:rPr>
          <w:bCs/>
          <w:szCs w:val="24"/>
          <w:lang w:val="en-US"/>
        </w:rPr>
      </w:pPr>
    </w:p>
    <w:p w14:paraId="282ECB9F" w14:textId="77777777" w:rsidR="00697CA7" w:rsidRPr="00697CA7" w:rsidRDefault="00697CA7" w:rsidP="00697CA7">
      <w:pPr>
        <w:jc w:val="center"/>
        <w:rPr>
          <w:bCs/>
          <w:szCs w:val="24"/>
          <w:lang w:val="en-US"/>
        </w:rPr>
      </w:pPr>
    </w:p>
    <w:p w14:paraId="26466DCD" w14:textId="77777777" w:rsidR="00697CA7" w:rsidRPr="00697CA7" w:rsidRDefault="00697CA7" w:rsidP="00697CA7">
      <w:pPr>
        <w:jc w:val="center"/>
        <w:rPr>
          <w:bCs/>
          <w:szCs w:val="24"/>
          <w:lang w:val="en-US"/>
        </w:rPr>
      </w:pPr>
      <w:r w:rsidRPr="00697CA7">
        <w:rPr>
          <w:bCs/>
          <w:szCs w:val="24"/>
          <w:lang w:val="en-US"/>
        </w:rPr>
        <w:t xml:space="preserve">Conflicts of interest: The authors declare that they have no conflict of interest. </w:t>
      </w:r>
    </w:p>
    <w:p w14:paraId="76EF1F8B" w14:textId="77777777" w:rsidR="00697CA7" w:rsidRPr="00697CA7" w:rsidRDefault="00697CA7" w:rsidP="00697CA7">
      <w:pPr>
        <w:jc w:val="center"/>
        <w:rPr>
          <w:bCs/>
          <w:szCs w:val="24"/>
          <w:lang w:val="en-US"/>
        </w:rPr>
      </w:pPr>
      <w:r w:rsidRPr="00697CA7">
        <w:rPr>
          <w:bCs/>
          <w:szCs w:val="24"/>
          <w:lang w:val="en-US"/>
        </w:rPr>
        <w:t>Funding: This study was funded by Norwegian Research Council Grant 250637.</w:t>
      </w:r>
    </w:p>
    <w:p w14:paraId="4E9A220A" w14:textId="77777777" w:rsidR="00697CA7" w:rsidRPr="00697CA7" w:rsidRDefault="00697CA7" w:rsidP="00697CA7">
      <w:pPr>
        <w:jc w:val="center"/>
        <w:rPr>
          <w:b/>
          <w:szCs w:val="24"/>
          <w:lang w:val="en-US"/>
        </w:rPr>
      </w:pPr>
      <w:r w:rsidRPr="00697CA7">
        <w:rPr>
          <w:b/>
          <w:szCs w:val="24"/>
          <w:lang w:val="en-US"/>
        </w:rPr>
        <w:br w:type="page"/>
      </w:r>
    </w:p>
    <w:p w14:paraId="52D48681" w14:textId="0DCB82F9" w:rsidR="008153F8" w:rsidRPr="00B717F6" w:rsidRDefault="00FA3EFC" w:rsidP="009C0C78">
      <w:pPr>
        <w:jc w:val="center"/>
        <w:rPr>
          <w:b/>
          <w:szCs w:val="24"/>
          <w:lang w:val="en-US"/>
        </w:rPr>
      </w:pPr>
      <w:r w:rsidRPr="00B717F6">
        <w:rPr>
          <w:b/>
          <w:szCs w:val="24"/>
          <w:lang w:val="en-US"/>
        </w:rPr>
        <w:lastRenderedPageBreak/>
        <w:t>Prevalence of Masturbation and A</w:t>
      </w:r>
      <w:r w:rsidR="004E74BC" w:rsidRPr="00B717F6">
        <w:rPr>
          <w:b/>
          <w:szCs w:val="24"/>
          <w:lang w:val="en-US"/>
        </w:rPr>
        <w:t xml:space="preserve">ssociated </w:t>
      </w:r>
      <w:r w:rsidRPr="00B717F6">
        <w:rPr>
          <w:b/>
          <w:szCs w:val="24"/>
          <w:lang w:val="en-US"/>
        </w:rPr>
        <w:t>F</w:t>
      </w:r>
      <w:r w:rsidR="00B07AB0" w:rsidRPr="00B717F6">
        <w:rPr>
          <w:b/>
          <w:szCs w:val="24"/>
          <w:lang w:val="en-US"/>
        </w:rPr>
        <w:t xml:space="preserve">actors </w:t>
      </w:r>
      <w:r w:rsidRPr="00B717F6">
        <w:rPr>
          <w:b/>
          <w:szCs w:val="24"/>
          <w:lang w:val="en-US"/>
        </w:rPr>
        <w:t>among Older A</w:t>
      </w:r>
      <w:r w:rsidR="004E74BC" w:rsidRPr="00B717F6">
        <w:rPr>
          <w:b/>
          <w:szCs w:val="24"/>
          <w:lang w:val="en-US"/>
        </w:rPr>
        <w:t xml:space="preserve">dults in </w:t>
      </w:r>
      <w:r w:rsidRPr="00B717F6">
        <w:rPr>
          <w:b/>
          <w:szCs w:val="24"/>
          <w:lang w:val="en-US"/>
        </w:rPr>
        <w:t>Four European C</w:t>
      </w:r>
      <w:r w:rsidR="00B07AB0" w:rsidRPr="00B717F6">
        <w:rPr>
          <w:b/>
          <w:szCs w:val="24"/>
          <w:lang w:val="en-US"/>
        </w:rPr>
        <w:t>ountries</w:t>
      </w:r>
    </w:p>
    <w:p w14:paraId="79F71A03" w14:textId="24E105E8" w:rsidR="00722341" w:rsidRPr="00B717F6" w:rsidRDefault="00D26132" w:rsidP="00E3303D">
      <w:pPr>
        <w:pStyle w:val="Heading1"/>
        <w:rPr>
          <w:szCs w:val="24"/>
        </w:rPr>
      </w:pPr>
      <w:r w:rsidRPr="00B717F6">
        <w:rPr>
          <w:szCs w:val="24"/>
        </w:rPr>
        <w:t>ABSTRACT</w:t>
      </w:r>
    </w:p>
    <w:tbl>
      <w:tblPr>
        <w:tblW w:w="9045" w:type="dxa"/>
        <w:tblInd w:w="-75" w:type="dxa"/>
        <w:tblCellMar>
          <w:left w:w="0" w:type="dxa"/>
          <w:right w:w="0" w:type="dxa"/>
        </w:tblCellMar>
        <w:tblLook w:val="04A0" w:firstRow="1" w:lastRow="0" w:firstColumn="1" w:lastColumn="0" w:noHBand="0" w:noVBand="1"/>
      </w:tblPr>
      <w:tblGrid>
        <w:gridCol w:w="9045"/>
      </w:tblGrid>
      <w:tr w:rsidR="0006051F" w:rsidRPr="0096213A" w14:paraId="01F2519D" w14:textId="77777777" w:rsidTr="00E3303D">
        <w:trPr>
          <w:trHeight w:val="6028"/>
        </w:trPr>
        <w:tc>
          <w:tcPr>
            <w:tcW w:w="0" w:type="auto"/>
            <w:tcBorders>
              <w:top w:val="single" w:sz="6" w:space="0" w:color="FFFFFF"/>
              <w:bottom w:val="single" w:sz="6" w:space="0" w:color="FFFFFF"/>
            </w:tcBorders>
            <w:tcMar>
              <w:top w:w="225" w:type="dxa"/>
              <w:left w:w="75" w:type="dxa"/>
              <w:bottom w:w="225" w:type="dxa"/>
              <w:right w:w="150" w:type="dxa"/>
            </w:tcMar>
            <w:hideMark/>
          </w:tcPr>
          <w:p w14:paraId="17ADCF31" w14:textId="47056E5D" w:rsidR="00E614BB" w:rsidRPr="00B717F6" w:rsidRDefault="00CB34FF" w:rsidP="00E3303D">
            <w:pPr>
              <w:pStyle w:val="NoSpacing"/>
              <w:spacing w:line="480" w:lineRule="auto"/>
              <w:contextualSpacing/>
              <w:rPr>
                <w:szCs w:val="24"/>
                <w:lang w:val="en-US"/>
              </w:rPr>
            </w:pPr>
            <w:r w:rsidRPr="00B717F6">
              <w:rPr>
                <w:szCs w:val="24"/>
                <w:lang w:val="en-US"/>
              </w:rPr>
              <w:t>S</w:t>
            </w:r>
            <w:r w:rsidR="00394172" w:rsidRPr="00B717F6">
              <w:rPr>
                <w:szCs w:val="24"/>
                <w:lang w:val="en-US"/>
              </w:rPr>
              <w:t>ol</w:t>
            </w:r>
            <w:r w:rsidR="00E8032C" w:rsidRPr="00B717F6">
              <w:rPr>
                <w:szCs w:val="24"/>
                <w:lang w:val="en-US"/>
              </w:rPr>
              <w:t xml:space="preserve">itary </w:t>
            </w:r>
            <w:r w:rsidR="00394172" w:rsidRPr="00B717F6">
              <w:rPr>
                <w:szCs w:val="24"/>
                <w:lang w:val="en-US"/>
              </w:rPr>
              <w:t>sexual activity</w:t>
            </w:r>
            <w:r w:rsidR="000A63F7" w:rsidRPr="00B717F6">
              <w:rPr>
                <w:szCs w:val="24"/>
                <w:lang w:val="en-US"/>
              </w:rPr>
              <w:t xml:space="preserve"> </w:t>
            </w:r>
            <w:r w:rsidR="00477EC3" w:rsidRPr="00B717F6">
              <w:rPr>
                <w:szCs w:val="24"/>
                <w:lang w:val="en-US"/>
              </w:rPr>
              <w:t>is</w:t>
            </w:r>
            <w:r w:rsidR="00394172" w:rsidRPr="00B717F6">
              <w:rPr>
                <w:szCs w:val="24"/>
                <w:lang w:val="en-US"/>
              </w:rPr>
              <w:t xml:space="preserve"> </w:t>
            </w:r>
            <w:r w:rsidR="00220D66" w:rsidRPr="00B717F6">
              <w:rPr>
                <w:szCs w:val="24"/>
                <w:lang w:val="en-US"/>
              </w:rPr>
              <w:t xml:space="preserve">a </w:t>
            </w:r>
            <w:r w:rsidR="000A63F7" w:rsidRPr="00B717F6">
              <w:rPr>
                <w:szCs w:val="24"/>
                <w:lang w:val="en-US"/>
              </w:rPr>
              <w:t>free</w:t>
            </w:r>
            <w:r w:rsidR="004E74BC" w:rsidRPr="00B717F6">
              <w:rPr>
                <w:szCs w:val="24"/>
                <w:lang w:val="en-US"/>
              </w:rPr>
              <w:t>, safe,</w:t>
            </w:r>
            <w:r w:rsidR="003E706A" w:rsidRPr="00B717F6">
              <w:rPr>
                <w:szCs w:val="24"/>
                <w:lang w:val="en-US"/>
              </w:rPr>
              <w:t xml:space="preserve"> and accessible</w:t>
            </w:r>
            <w:r w:rsidR="000A63F7" w:rsidRPr="00B717F6">
              <w:rPr>
                <w:szCs w:val="24"/>
                <w:lang w:val="en-US"/>
              </w:rPr>
              <w:t xml:space="preserve"> </w:t>
            </w:r>
            <w:r w:rsidR="003E706A" w:rsidRPr="00B717F6">
              <w:rPr>
                <w:szCs w:val="24"/>
                <w:lang w:val="en-US"/>
              </w:rPr>
              <w:t xml:space="preserve">way to experience </w:t>
            </w:r>
            <w:r w:rsidR="00394172" w:rsidRPr="00B717F6">
              <w:rPr>
                <w:szCs w:val="24"/>
                <w:lang w:val="en-US"/>
              </w:rPr>
              <w:t xml:space="preserve">sexual </w:t>
            </w:r>
            <w:r w:rsidRPr="00B717F6">
              <w:rPr>
                <w:szCs w:val="24"/>
                <w:lang w:val="en-US"/>
              </w:rPr>
              <w:t xml:space="preserve">pleasure. Despite </w:t>
            </w:r>
            <w:r w:rsidR="001605C8" w:rsidRPr="00B717F6">
              <w:rPr>
                <w:szCs w:val="24"/>
                <w:lang w:val="en-US"/>
              </w:rPr>
              <w:t xml:space="preserve">these </w:t>
            </w:r>
            <w:r w:rsidRPr="00B717F6">
              <w:rPr>
                <w:szCs w:val="24"/>
                <w:lang w:val="en-US"/>
              </w:rPr>
              <w:t>advantages,</w:t>
            </w:r>
            <w:r w:rsidR="003E706A" w:rsidRPr="00B717F6">
              <w:rPr>
                <w:szCs w:val="24"/>
                <w:lang w:val="en-US"/>
              </w:rPr>
              <w:t xml:space="preserve"> research on </w:t>
            </w:r>
            <w:r w:rsidR="000A63F7" w:rsidRPr="00B717F6">
              <w:rPr>
                <w:szCs w:val="24"/>
                <w:lang w:val="en-US"/>
              </w:rPr>
              <w:t xml:space="preserve">masturbation </w:t>
            </w:r>
            <w:r w:rsidR="00394172" w:rsidRPr="00B717F6">
              <w:rPr>
                <w:szCs w:val="24"/>
                <w:lang w:val="en-US"/>
              </w:rPr>
              <w:t>in later life is highly understudied</w:t>
            </w:r>
            <w:r w:rsidR="003E706A" w:rsidRPr="00B717F6">
              <w:rPr>
                <w:szCs w:val="24"/>
                <w:lang w:val="en-US"/>
              </w:rPr>
              <w:t>.</w:t>
            </w:r>
            <w:r w:rsidR="00665BE2" w:rsidRPr="00B717F6">
              <w:rPr>
                <w:szCs w:val="24"/>
                <w:lang w:val="en-US"/>
              </w:rPr>
              <w:t xml:space="preserve"> Using data from a cross-sectional probability-based survey of 3,816 European adults (mean age 67 years; range 60-75 years), w</w:t>
            </w:r>
            <w:r w:rsidR="0074636B" w:rsidRPr="00B717F6">
              <w:rPr>
                <w:szCs w:val="24"/>
                <w:lang w:val="en-US"/>
              </w:rPr>
              <w:t>e</w:t>
            </w:r>
            <w:r w:rsidR="00E8032C" w:rsidRPr="00B717F6">
              <w:rPr>
                <w:szCs w:val="24"/>
                <w:lang w:val="en-US"/>
              </w:rPr>
              <w:t xml:space="preserve"> </w:t>
            </w:r>
            <w:r w:rsidR="00A51217" w:rsidRPr="00B717F6">
              <w:rPr>
                <w:szCs w:val="24"/>
                <w:lang w:val="en-US"/>
              </w:rPr>
              <w:t>explore</w:t>
            </w:r>
            <w:r w:rsidR="004E74BC" w:rsidRPr="00B717F6">
              <w:rPr>
                <w:szCs w:val="24"/>
                <w:lang w:val="en-US"/>
              </w:rPr>
              <w:t>d</w:t>
            </w:r>
            <w:r w:rsidR="0054243B" w:rsidRPr="00B717F6">
              <w:rPr>
                <w:szCs w:val="24"/>
                <w:lang w:val="en-US"/>
              </w:rPr>
              <w:t xml:space="preserve"> </w:t>
            </w:r>
            <w:r w:rsidR="00665BE2" w:rsidRPr="00B717F6">
              <w:rPr>
                <w:szCs w:val="24"/>
                <w:lang w:val="en-US"/>
              </w:rPr>
              <w:t>several</w:t>
            </w:r>
            <w:r w:rsidR="0054243B" w:rsidRPr="00B717F6">
              <w:rPr>
                <w:szCs w:val="24"/>
                <w:lang w:val="en-US"/>
              </w:rPr>
              <w:t xml:space="preserve"> </w:t>
            </w:r>
            <w:r w:rsidR="004A7F96" w:rsidRPr="00B717F6">
              <w:rPr>
                <w:szCs w:val="24"/>
                <w:lang w:val="en-US"/>
              </w:rPr>
              <w:t xml:space="preserve">sociodemographic, health, </w:t>
            </w:r>
            <w:r w:rsidR="00445E42" w:rsidRPr="00B717F6">
              <w:rPr>
                <w:szCs w:val="24"/>
                <w:lang w:val="en-US"/>
              </w:rPr>
              <w:t>attitudinal</w:t>
            </w:r>
            <w:r w:rsidR="00B717F6" w:rsidRPr="00B717F6">
              <w:rPr>
                <w:szCs w:val="24"/>
                <w:lang w:val="en-US"/>
              </w:rPr>
              <w:t>,</w:t>
            </w:r>
            <w:r w:rsidR="00445E42" w:rsidRPr="00B717F6">
              <w:rPr>
                <w:szCs w:val="24"/>
                <w:lang w:val="en-US"/>
              </w:rPr>
              <w:t xml:space="preserve"> and sexual behavioral </w:t>
            </w:r>
            <w:r w:rsidR="004A7F96" w:rsidRPr="00B717F6">
              <w:rPr>
                <w:szCs w:val="24"/>
                <w:lang w:val="en-US"/>
              </w:rPr>
              <w:t>factors</w:t>
            </w:r>
            <w:r w:rsidR="0054243B" w:rsidRPr="00B717F6">
              <w:rPr>
                <w:szCs w:val="24"/>
                <w:lang w:val="en-US"/>
              </w:rPr>
              <w:t xml:space="preserve"> associated with reported masturbation</w:t>
            </w:r>
            <w:r w:rsidR="0068734A">
              <w:rPr>
                <w:szCs w:val="24"/>
                <w:lang w:val="en-US"/>
              </w:rPr>
              <w:t xml:space="preserve"> </w:t>
            </w:r>
            <w:r w:rsidR="006601E0">
              <w:rPr>
                <w:szCs w:val="24"/>
                <w:lang w:val="en-US"/>
              </w:rPr>
              <w:t>frequency</w:t>
            </w:r>
            <w:r w:rsidR="004A7F96" w:rsidRPr="00B717F6">
              <w:rPr>
                <w:szCs w:val="24"/>
                <w:lang w:val="en-US"/>
              </w:rPr>
              <w:t xml:space="preserve">. </w:t>
            </w:r>
            <w:r w:rsidR="00906EAC" w:rsidRPr="00B717F6">
              <w:rPr>
                <w:szCs w:val="24"/>
                <w:lang w:val="en-US"/>
              </w:rPr>
              <w:t>Across all countries, between 41% and 65% of men and 27</w:t>
            </w:r>
            <w:r w:rsidR="00714314" w:rsidRPr="00B717F6">
              <w:rPr>
                <w:szCs w:val="24"/>
                <w:lang w:val="en-US"/>
              </w:rPr>
              <w:t xml:space="preserve">% and </w:t>
            </w:r>
            <w:r w:rsidR="00906EAC" w:rsidRPr="00B717F6">
              <w:rPr>
                <w:szCs w:val="24"/>
                <w:lang w:val="en-US"/>
              </w:rPr>
              <w:t xml:space="preserve">40% of women reported </w:t>
            </w:r>
            <w:r w:rsidR="00714314" w:rsidRPr="00B717F6">
              <w:rPr>
                <w:szCs w:val="24"/>
                <w:lang w:val="en-US"/>
              </w:rPr>
              <w:t xml:space="preserve">any </w:t>
            </w:r>
            <w:r w:rsidR="00906EAC" w:rsidRPr="00B717F6">
              <w:rPr>
                <w:szCs w:val="24"/>
                <w:lang w:val="en-US"/>
              </w:rPr>
              <w:t xml:space="preserve">masturbation </w:t>
            </w:r>
            <w:r w:rsidR="00714314" w:rsidRPr="00B717F6">
              <w:rPr>
                <w:szCs w:val="24"/>
                <w:lang w:val="en-US"/>
              </w:rPr>
              <w:t>in the preceding month</w:t>
            </w:r>
            <w:r w:rsidR="00906EAC" w:rsidRPr="00B717F6">
              <w:rPr>
                <w:szCs w:val="24"/>
                <w:lang w:val="en-US"/>
              </w:rPr>
              <w:t>.</w:t>
            </w:r>
            <w:r w:rsidR="00714314" w:rsidRPr="00B717F6">
              <w:rPr>
                <w:szCs w:val="24"/>
                <w:lang w:val="en-US"/>
              </w:rPr>
              <w:t xml:space="preserve"> </w:t>
            </w:r>
            <w:r w:rsidR="004611F9" w:rsidRPr="00B717F6">
              <w:rPr>
                <w:szCs w:val="24"/>
                <w:lang w:val="en-US"/>
              </w:rPr>
              <w:t>S</w:t>
            </w:r>
            <w:r w:rsidR="00590C66" w:rsidRPr="00B717F6">
              <w:rPr>
                <w:szCs w:val="24"/>
                <w:lang w:val="en-US"/>
              </w:rPr>
              <w:t>atisfaction with sexual activity</w:t>
            </w:r>
            <w:r w:rsidR="001279C5" w:rsidRPr="00B717F6">
              <w:rPr>
                <w:szCs w:val="24"/>
                <w:lang w:val="en-US"/>
              </w:rPr>
              <w:t xml:space="preserve"> and attitudes </w:t>
            </w:r>
            <w:r w:rsidR="001605C8" w:rsidRPr="00B717F6">
              <w:rPr>
                <w:szCs w:val="24"/>
                <w:lang w:val="en-US"/>
              </w:rPr>
              <w:t xml:space="preserve">related to disapproval of </w:t>
            </w:r>
            <w:r w:rsidR="001279C5" w:rsidRPr="00B717F6">
              <w:rPr>
                <w:szCs w:val="24"/>
                <w:lang w:val="en-US"/>
              </w:rPr>
              <w:t>sex without love</w:t>
            </w:r>
            <w:r w:rsidR="00590C66" w:rsidRPr="00B717F6">
              <w:rPr>
                <w:szCs w:val="24"/>
                <w:lang w:val="en-US"/>
              </w:rPr>
              <w:t xml:space="preserve"> were </w:t>
            </w:r>
            <w:r w:rsidR="006016A9" w:rsidRPr="00B717F6">
              <w:rPr>
                <w:szCs w:val="24"/>
                <w:lang w:val="en-US"/>
              </w:rPr>
              <w:t xml:space="preserve">significant predictors of </w:t>
            </w:r>
            <w:r w:rsidR="00590C66" w:rsidRPr="00B717F6">
              <w:rPr>
                <w:szCs w:val="24"/>
                <w:lang w:val="en-US"/>
              </w:rPr>
              <w:t xml:space="preserve">reported </w:t>
            </w:r>
            <w:r w:rsidR="0002476A" w:rsidRPr="00B717F6">
              <w:rPr>
                <w:szCs w:val="24"/>
                <w:lang w:val="en-US"/>
              </w:rPr>
              <w:t>masturbation</w:t>
            </w:r>
            <w:r w:rsidR="00590C66" w:rsidRPr="00B717F6">
              <w:rPr>
                <w:szCs w:val="24"/>
                <w:lang w:val="en-US"/>
              </w:rPr>
              <w:t xml:space="preserve"> in almost all countries and </w:t>
            </w:r>
            <w:r w:rsidR="00982619" w:rsidRPr="00B717F6">
              <w:rPr>
                <w:szCs w:val="24"/>
                <w:lang w:val="en-US"/>
              </w:rPr>
              <w:t xml:space="preserve">in both </w:t>
            </w:r>
            <w:r w:rsidR="000702A5" w:rsidRPr="00B717F6">
              <w:rPr>
                <w:szCs w:val="24"/>
                <w:lang w:val="en-US"/>
              </w:rPr>
              <w:t>gender</w:t>
            </w:r>
            <w:r w:rsidR="00982619" w:rsidRPr="00B717F6">
              <w:rPr>
                <w:szCs w:val="24"/>
                <w:lang w:val="en-US"/>
              </w:rPr>
              <w:t>s</w:t>
            </w:r>
            <w:r w:rsidR="00590C66" w:rsidRPr="00B717F6">
              <w:rPr>
                <w:szCs w:val="24"/>
                <w:lang w:val="en-US"/>
              </w:rPr>
              <w:t>.</w:t>
            </w:r>
            <w:r w:rsidR="00F20E66" w:rsidRPr="00B717F6">
              <w:rPr>
                <w:szCs w:val="24"/>
                <w:lang w:val="en-US"/>
              </w:rPr>
              <w:t xml:space="preserve"> </w:t>
            </w:r>
            <w:r w:rsidR="00E614BB" w:rsidRPr="00B717F6">
              <w:rPr>
                <w:szCs w:val="24"/>
                <w:lang w:val="en-US"/>
              </w:rPr>
              <w:t>Age, education, self-perceived health</w:t>
            </w:r>
            <w:r w:rsidR="00CF394E" w:rsidRPr="00B717F6">
              <w:rPr>
                <w:szCs w:val="24"/>
                <w:lang w:val="en-US"/>
              </w:rPr>
              <w:t>,</w:t>
            </w:r>
            <w:r w:rsidR="00E614BB" w:rsidRPr="00B717F6">
              <w:rPr>
                <w:szCs w:val="24"/>
                <w:lang w:val="en-US"/>
              </w:rPr>
              <w:t xml:space="preserve"> and depression</w:t>
            </w:r>
            <w:r w:rsidR="00F20E66" w:rsidRPr="00B717F6">
              <w:rPr>
                <w:szCs w:val="24"/>
                <w:lang w:val="en-US"/>
              </w:rPr>
              <w:t xml:space="preserve"> were </w:t>
            </w:r>
            <w:r w:rsidR="00E614BB" w:rsidRPr="00B717F6">
              <w:rPr>
                <w:szCs w:val="24"/>
                <w:lang w:val="en-US"/>
              </w:rPr>
              <w:t>for the most part predictive of men’s</w:t>
            </w:r>
            <w:r w:rsidR="00FA3EFC" w:rsidRPr="00B717F6">
              <w:rPr>
                <w:szCs w:val="24"/>
                <w:lang w:val="en-US"/>
              </w:rPr>
              <w:t xml:space="preserve"> reported masturbation</w:t>
            </w:r>
            <w:r w:rsidR="00E614BB" w:rsidRPr="00B717F6">
              <w:rPr>
                <w:szCs w:val="24"/>
                <w:lang w:val="en-US"/>
              </w:rPr>
              <w:t>, but not women’s.</w:t>
            </w:r>
            <w:r w:rsidR="00590C66" w:rsidRPr="00B717F6">
              <w:rPr>
                <w:szCs w:val="24"/>
                <w:lang w:val="en-US"/>
              </w:rPr>
              <w:t xml:space="preserve"> </w:t>
            </w:r>
            <w:r w:rsidR="00155F7A" w:rsidRPr="00B717F6">
              <w:rPr>
                <w:szCs w:val="24"/>
                <w:lang w:val="en-US"/>
              </w:rPr>
              <w:t>Generally, those believing sex is bene</w:t>
            </w:r>
            <w:r w:rsidR="00155F7A" w:rsidRPr="00B717F6">
              <w:rPr>
                <w:szCs w:val="24"/>
              </w:rPr>
              <w:t>ﬁ</w:t>
            </w:r>
            <w:proofErr w:type="spellStart"/>
            <w:r w:rsidR="00155F7A" w:rsidRPr="00B717F6">
              <w:rPr>
                <w:szCs w:val="24"/>
                <w:lang w:val="en-US"/>
              </w:rPr>
              <w:t>cial</w:t>
            </w:r>
            <w:proofErr w:type="spellEnd"/>
            <w:r w:rsidR="00155F7A" w:rsidRPr="00B717F6">
              <w:rPr>
                <w:szCs w:val="24"/>
                <w:lang w:val="en-US"/>
              </w:rPr>
              <w:t xml:space="preserve"> to older people were more likely to masturbate, while less permissive attitudes decreased the likelihood of reporting masturbation. </w:t>
            </w:r>
            <w:r w:rsidR="003724C0" w:rsidRPr="00B717F6">
              <w:rPr>
                <w:szCs w:val="24"/>
                <w:lang w:val="en-US"/>
              </w:rPr>
              <w:t>To improve healthy sexual aging</w:t>
            </w:r>
            <w:r w:rsidR="00E56E13" w:rsidRPr="00B717F6">
              <w:rPr>
                <w:szCs w:val="24"/>
                <w:lang w:val="en-US"/>
              </w:rPr>
              <w:t xml:space="preserve">, misinformation </w:t>
            </w:r>
            <w:r w:rsidR="003724C0" w:rsidRPr="00B717F6">
              <w:rPr>
                <w:szCs w:val="24"/>
                <w:lang w:val="en-US"/>
              </w:rPr>
              <w:t xml:space="preserve">about masturbation </w:t>
            </w:r>
            <w:r w:rsidR="00E56E13" w:rsidRPr="00B717F6">
              <w:rPr>
                <w:szCs w:val="24"/>
                <w:lang w:val="en-US"/>
              </w:rPr>
              <w:t xml:space="preserve">and sexual attitudes in older people </w:t>
            </w:r>
            <w:r w:rsidR="003724C0" w:rsidRPr="00B717F6">
              <w:rPr>
                <w:szCs w:val="24"/>
                <w:lang w:val="en-US"/>
              </w:rPr>
              <w:t>need</w:t>
            </w:r>
            <w:r w:rsidR="008C6583" w:rsidRPr="00B717F6">
              <w:rPr>
                <w:szCs w:val="24"/>
                <w:lang w:val="en-US"/>
              </w:rPr>
              <w:t xml:space="preserve"> to be addressed. </w:t>
            </w:r>
          </w:p>
        </w:tc>
      </w:tr>
    </w:tbl>
    <w:p w14:paraId="48319A19" w14:textId="07F67148" w:rsidR="008153F8" w:rsidRPr="00B717F6" w:rsidRDefault="00B33537" w:rsidP="00E3303D">
      <w:pPr>
        <w:ind w:firstLine="0"/>
        <w:rPr>
          <w:b/>
          <w:szCs w:val="24"/>
          <w:lang w:val="en-US"/>
        </w:rPr>
      </w:pPr>
      <w:r w:rsidRPr="00B717F6">
        <w:rPr>
          <w:b/>
          <w:szCs w:val="24"/>
          <w:lang w:val="en-US"/>
        </w:rPr>
        <w:t xml:space="preserve">Keywords: </w:t>
      </w:r>
      <w:r w:rsidR="008C6583" w:rsidRPr="00B717F6">
        <w:rPr>
          <w:szCs w:val="24"/>
          <w:lang w:val="en-US"/>
        </w:rPr>
        <w:t>Masturbation;</w:t>
      </w:r>
      <w:r w:rsidRPr="00B717F6">
        <w:rPr>
          <w:b/>
          <w:szCs w:val="24"/>
          <w:lang w:val="en-US"/>
        </w:rPr>
        <w:t xml:space="preserve"> </w:t>
      </w:r>
      <w:r w:rsidR="008C6583" w:rsidRPr="00B717F6">
        <w:rPr>
          <w:szCs w:val="24"/>
          <w:lang w:val="en-US"/>
        </w:rPr>
        <w:t>S</w:t>
      </w:r>
      <w:r w:rsidRPr="00B717F6">
        <w:rPr>
          <w:szCs w:val="24"/>
          <w:lang w:val="en-US"/>
        </w:rPr>
        <w:t>olitary sexual activity</w:t>
      </w:r>
      <w:r w:rsidR="008C6583" w:rsidRPr="00B717F6">
        <w:rPr>
          <w:szCs w:val="24"/>
          <w:lang w:val="en-US"/>
        </w:rPr>
        <w:t>; O</w:t>
      </w:r>
      <w:r w:rsidRPr="00B717F6">
        <w:rPr>
          <w:szCs w:val="24"/>
          <w:lang w:val="en-US"/>
        </w:rPr>
        <w:t>lder adults</w:t>
      </w:r>
      <w:r w:rsidR="008C6583" w:rsidRPr="00B717F6">
        <w:rPr>
          <w:szCs w:val="24"/>
          <w:lang w:val="en-US"/>
        </w:rPr>
        <w:t>; S</w:t>
      </w:r>
      <w:r w:rsidRPr="00B717F6">
        <w:rPr>
          <w:szCs w:val="24"/>
          <w:lang w:val="en-US"/>
        </w:rPr>
        <w:t>exual attitudes</w:t>
      </w:r>
      <w:r w:rsidR="008C6583" w:rsidRPr="00B717F6">
        <w:rPr>
          <w:szCs w:val="24"/>
          <w:lang w:val="en-US"/>
        </w:rPr>
        <w:t>;</w:t>
      </w:r>
      <w:r w:rsidRPr="00B717F6">
        <w:rPr>
          <w:szCs w:val="24"/>
          <w:lang w:val="en-US"/>
        </w:rPr>
        <w:t xml:space="preserve"> </w:t>
      </w:r>
      <w:r w:rsidR="008C6583" w:rsidRPr="00B717F6">
        <w:rPr>
          <w:szCs w:val="24"/>
          <w:lang w:val="en-US"/>
        </w:rPr>
        <w:t>Sexual satisfaction; C</w:t>
      </w:r>
      <w:r w:rsidRPr="00B717F6">
        <w:rPr>
          <w:szCs w:val="24"/>
          <w:lang w:val="en-US"/>
        </w:rPr>
        <w:t>ross-cultural</w:t>
      </w:r>
      <w:r w:rsidR="008C6583" w:rsidRPr="00B717F6">
        <w:rPr>
          <w:szCs w:val="24"/>
          <w:lang w:val="en-US"/>
        </w:rPr>
        <w:t>.</w:t>
      </w:r>
    </w:p>
    <w:p w14:paraId="31F1956A" w14:textId="08206703" w:rsidR="00384D16" w:rsidRPr="00B717F6" w:rsidRDefault="008153F8" w:rsidP="009C0C78">
      <w:pPr>
        <w:pStyle w:val="NoSpacing"/>
        <w:spacing w:line="480" w:lineRule="auto"/>
        <w:contextualSpacing/>
        <w:rPr>
          <w:szCs w:val="24"/>
          <w:lang w:val="en-US"/>
        </w:rPr>
      </w:pPr>
      <w:r w:rsidRPr="00B717F6">
        <w:rPr>
          <w:szCs w:val="24"/>
          <w:lang w:val="en-US"/>
        </w:rPr>
        <w:br w:type="page"/>
      </w:r>
    </w:p>
    <w:p w14:paraId="1BFDD64E" w14:textId="2D029CE1" w:rsidR="00384D16" w:rsidRPr="00B717F6" w:rsidRDefault="007010C0" w:rsidP="009C0C78">
      <w:pPr>
        <w:pStyle w:val="Heading1"/>
        <w:rPr>
          <w:szCs w:val="24"/>
        </w:rPr>
      </w:pPr>
      <w:r w:rsidRPr="00B717F6">
        <w:rPr>
          <w:szCs w:val="24"/>
        </w:rPr>
        <w:lastRenderedPageBreak/>
        <w:t>INTRODUCTION</w:t>
      </w:r>
    </w:p>
    <w:p w14:paraId="3DBEC7C9" w14:textId="21C43D68" w:rsidR="00282ED7" w:rsidRPr="00B717F6" w:rsidRDefault="004902D2" w:rsidP="009C0C78">
      <w:pPr>
        <w:rPr>
          <w:szCs w:val="24"/>
          <w:lang w:val="en-US"/>
        </w:rPr>
      </w:pPr>
      <w:r w:rsidRPr="00B717F6">
        <w:rPr>
          <w:szCs w:val="24"/>
          <w:lang w:val="en-US"/>
        </w:rPr>
        <w:t>Alth</w:t>
      </w:r>
      <w:r w:rsidR="003C7F8C" w:rsidRPr="00B717F6">
        <w:rPr>
          <w:szCs w:val="24"/>
          <w:lang w:val="en-US"/>
        </w:rPr>
        <w:t>o</w:t>
      </w:r>
      <w:r w:rsidRPr="00B717F6">
        <w:rPr>
          <w:szCs w:val="24"/>
          <w:lang w:val="en-US"/>
        </w:rPr>
        <w:t>ugh</w:t>
      </w:r>
      <w:r w:rsidR="00EC3E37" w:rsidRPr="00B717F6">
        <w:rPr>
          <w:szCs w:val="24"/>
          <w:lang w:val="en-US"/>
        </w:rPr>
        <w:t xml:space="preserve"> there has been an increasing interest in older </w:t>
      </w:r>
      <w:r w:rsidR="00636B90" w:rsidRPr="00B717F6">
        <w:rPr>
          <w:szCs w:val="24"/>
          <w:lang w:val="en-US"/>
        </w:rPr>
        <w:t>adults</w:t>
      </w:r>
      <w:r w:rsidR="002C081E" w:rsidRPr="00B717F6">
        <w:rPr>
          <w:szCs w:val="24"/>
          <w:lang w:val="en-US"/>
        </w:rPr>
        <w:t>’</w:t>
      </w:r>
      <w:r w:rsidR="00EC3E37" w:rsidRPr="00B717F6">
        <w:rPr>
          <w:szCs w:val="24"/>
          <w:lang w:val="en-US"/>
        </w:rPr>
        <w:t xml:space="preserve"> sexual </w:t>
      </w:r>
      <w:r w:rsidR="00CF630E" w:rsidRPr="00B717F6">
        <w:rPr>
          <w:szCs w:val="24"/>
          <w:lang w:val="en-US"/>
        </w:rPr>
        <w:t>behavior</w:t>
      </w:r>
      <w:r w:rsidR="00EC3E37" w:rsidRPr="00B717F6">
        <w:rPr>
          <w:szCs w:val="24"/>
          <w:lang w:val="en-US"/>
        </w:rPr>
        <w:t xml:space="preserve">, most research </w:t>
      </w:r>
      <w:r w:rsidR="0077448A" w:rsidRPr="00B717F6">
        <w:rPr>
          <w:szCs w:val="24"/>
          <w:lang w:val="en-US"/>
        </w:rPr>
        <w:t xml:space="preserve">to date </w:t>
      </w:r>
      <w:r w:rsidRPr="00B717F6">
        <w:rPr>
          <w:szCs w:val="24"/>
          <w:lang w:val="en-US"/>
        </w:rPr>
        <w:t xml:space="preserve">has </w:t>
      </w:r>
      <w:r w:rsidR="00EC3E37" w:rsidRPr="00B717F6">
        <w:rPr>
          <w:szCs w:val="24"/>
          <w:lang w:val="en-US"/>
        </w:rPr>
        <w:t>focused on partnered sexual activity</w:t>
      </w:r>
      <w:r w:rsidR="00EF2567" w:rsidRPr="00B717F6">
        <w:rPr>
          <w:szCs w:val="24"/>
          <w:lang w:val="en-US"/>
        </w:rPr>
        <w:t>,</w:t>
      </w:r>
      <w:r w:rsidR="0077448A" w:rsidRPr="00B717F6">
        <w:rPr>
          <w:szCs w:val="24"/>
          <w:lang w:val="en-US"/>
        </w:rPr>
        <w:t xml:space="preserve"> and not on </w:t>
      </w:r>
      <w:r w:rsidR="004E74BC" w:rsidRPr="00B717F6">
        <w:rPr>
          <w:szCs w:val="24"/>
          <w:lang w:val="en-US"/>
        </w:rPr>
        <w:t xml:space="preserve">solitary sexual behavior </w:t>
      </w:r>
      <w:r w:rsidR="002C081E" w:rsidRPr="00B717F6">
        <w:rPr>
          <w:szCs w:val="24"/>
          <w:lang w:val="en-US"/>
        </w:rPr>
        <w:t>(</w:t>
      </w:r>
      <w:r w:rsidR="00201269" w:rsidRPr="00B717F6">
        <w:rPr>
          <w:szCs w:val="24"/>
          <w:lang w:val="en-US"/>
        </w:rPr>
        <w:t>Bell et al., 2017</w:t>
      </w:r>
      <w:r w:rsidR="006C765D" w:rsidRPr="00B717F6">
        <w:rPr>
          <w:szCs w:val="24"/>
          <w:lang w:val="en-US"/>
        </w:rPr>
        <w:t xml:space="preserve">; </w:t>
      </w:r>
      <w:proofErr w:type="spellStart"/>
      <w:r w:rsidR="006C765D" w:rsidRPr="00B717F6">
        <w:rPr>
          <w:szCs w:val="24"/>
          <w:lang w:val="en-US"/>
        </w:rPr>
        <w:t>DeLamater</w:t>
      </w:r>
      <w:proofErr w:type="spellEnd"/>
      <w:r w:rsidR="006C765D" w:rsidRPr="00B717F6">
        <w:rPr>
          <w:szCs w:val="24"/>
          <w:lang w:val="en-US"/>
        </w:rPr>
        <w:t>, 2012</w:t>
      </w:r>
      <w:r w:rsidR="002C081E" w:rsidRPr="00B717F6">
        <w:rPr>
          <w:szCs w:val="24"/>
          <w:lang w:val="en-US"/>
        </w:rPr>
        <w:t>)</w:t>
      </w:r>
      <w:r w:rsidR="00EC3E37" w:rsidRPr="00B717F6">
        <w:rPr>
          <w:szCs w:val="24"/>
          <w:lang w:val="en-US"/>
        </w:rPr>
        <w:t>.</w:t>
      </w:r>
      <w:r w:rsidR="002C081E" w:rsidRPr="00B717F6">
        <w:rPr>
          <w:szCs w:val="24"/>
          <w:lang w:val="en-US"/>
        </w:rPr>
        <w:t xml:space="preserve"> </w:t>
      </w:r>
      <w:r w:rsidR="00D52765" w:rsidRPr="00B717F6">
        <w:rPr>
          <w:szCs w:val="24"/>
          <w:lang w:val="en-US"/>
        </w:rPr>
        <w:t>A</w:t>
      </w:r>
      <w:r w:rsidR="00E512EA" w:rsidRPr="00B717F6">
        <w:rPr>
          <w:szCs w:val="24"/>
          <w:lang w:val="en-US"/>
        </w:rPr>
        <w:t xml:space="preserve"> recent review on sexual activity after </w:t>
      </w:r>
      <w:r w:rsidRPr="00B717F6">
        <w:rPr>
          <w:szCs w:val="24"/>
          <w:lang w:val="en-US"/>
        </w:rPr>
        <w:t xml:space="preserve">aged </w:t>
      </w:r>
      <w:r w:rsidR="00E512EA" w:rsidRPr="00B717F6">
        <w:rPr>
          <w:szCs w:val="24"/>
          <w:lang w:val="en-US"/>
        </w:rPr>
        <w:t xml:space="preserve">60 found that of all included studies, 74% investigated sexual intercourse activity, while </w:t>
      </w:r>
      <w:r w:rsidR="00644D42" w:rsidRPr="00B717F6">
        <w:rPr>
          <w:szCs w:val="24"/>
          <w:lang w:val="en-US"/>
        </w:rPr>
        <w:t xml:space="preserve">only 30% assessed masturbation </w:t>
      </w:r>
      <w:r w:rsidR="00E512EA" w:rsidRPr="00B717F6">
        <w:rPr>
          <w:szCs w:val="24"/>
          <w:lang w:val="en-US"/>
        </w:rPr>
        <w:t>(Bell et al., 2017).</w:t>
      </w:r>
      <w:r w:rsidR="00EC3E37" w:rsidRPr="00B717F6">
        <w:rPr>
          <w:szCs w:val="24"/>
          <w:lang w:val="en-US"/>
        </w:rPr>
        <w:t xml:space="preserve"> </w:t>
      </w:r>
      <w:r w:rsidR="009D1794" w:rsidRPr="00B717F6">
        <w:rPr>
          <w:szCs w:val="24"/>
          <w:lang w:val="en-US"/>
        </w:rPr>
        <w:t xml:space="preserve">In later life it </w:t>
      </w:r>
      <w:r w:rsidR="00EE24F1" w:rsidRPr="00B717F6">
        <w:rPr>
          <w:szCs w:val="24"/>
          <w:lang w:val="en-US"/>
        </w:rPr>
        <w:t>becomes increasingly</w:t>
      </w:r>
      <w:r w:rsidR="00DA78AE" w:rsidRPr="00B717F6">
        <w:rPr>
          <w:szCs w:val="24"/>
          <w:lang w:val="en-US"/>
        </w:rPr>
        <w:t xml:space="preserve"> </w:t>
      </w:r>
      <w:r w:rsidR="009D1794" w:rsidRPr="00B717F6">
        <w:rPr>
          <w:szCs w:val="24"/>
          <w:lang w:val="en-US"/>
        </w:rPr>
        <w:t xml:space="preserve">common </w:t>
      </w:r>
      <w:r w:rsidR="003D3585" w:rsidRPr="00B717F6">
        <w:rPr>
          <w:szCs w:val="24"/>
          <w:lang w:val="en-US"/>
        </w:rPr>
        <w:t>that one partner dies</w:t>
      </w:r>
      <w:r w:rsidR="009D1794" w:rsidRPr="00B717F6">
        <w:rPr>
          <w:szCs w:val="24"/>
          <w:lang w:val="en-US"/>
        </w:rPr>
        <w:t xml:space="preserve"> or that </w:t>
      </w:r>
      <w:r w:rsidR="00C93E2E" w:rsidRPr="00B717F6">
        <w:rPr>
          <w:szCs w:val="24"/>
          <w:lang w:val="en-US"/>
        </w:rPr>
        <w:t xml:space="preserve">a </w:t>
      </w:r>
      <w:r w:rsidR="009D1794" w:rsidRPr="00B717F6">
        <w:rPr>
          <w:szCs w:val="24"/>
          <w:lang w:val="en-US"/>
        </w:rPr>
        <w:t>partner</w:t>
      </w:r>
      <w:r w:rsidR="00EE24F1" w:rsidRPr="00B717F6">
        <w:rPr>
          <w:szCs w:val="24"/>
          <w:lang w:val="en-US"/>
        </w:rPr>
        <w:t>’</w:t>
      </w:r>
      <w:r w:rsidR="009D1794" w:rsidRPr="00B717F6">
        <w:rPr>
          <w:szCs w:val="24"/>
          <w:lang w:val="en-US"/>
        </w:rPr>
        <w:t xml:space="preserve">s decreased health and </w:t>
      </w:r>
      <w:r w:rsidR="00477EC3" w:rsidRPr="00B717F6">
        <w:rPr>
          <w:szCs w:val="24"/>
          <w:lang w:val="en-US"/>
        </w:rPr>
        <w:t>sexual</w:t>
      </w:r>
      <w:r w:rsidR="009D1794" w:rsidRPr="00B717F6">
        <w:rPr>
          <w:szCs w:val="24"/>
          <w:lang w:val="en-US"/>
        </w:rPr>
        <w:t xml:space="preserve"> function </w:t>
      </w:r>
      <w:r w:rsidR="00C2345A" w:rsidRPr="00B717F6">
        <w:rPr>
          <w:szCs w:val="24"/>
          <w:lang w:val="en-US"/>
        </w:rPr>
        <w:t>constrain</w:t>
      </w:r>
      <w:r w:rsidR="009D1794" w:rsidRPr="00B717F6">
        <w:rPr>
          <w:szCs w:val="24"/>
          <w:lang w:val="en-US"/>
        </w:rPr>
        <w:t xml:space="preserve"> </w:t>
      </w:r>
      <w:r w:rsidR="00EE24F1" w:rsidRPr="00B717F6">
        <w:rPr>
          <w:szCs w:val="24"/>
          <w:lang w:val="en-US"/>
        </w:rPr>
        <w:t>an individual’s</w:t>
      </w:r>
      <w:r w:rsidR="003D3585" w:rsidRPr="00B717F6">
        <w:rPr>
          <w:szCs w:val="24"/>
          <w:lang w:val="en-US"/>
        </w:rPr>
        <w:t xml:space="preserve"> </w:t>
      </w:r>
      <w:r w:rsidR="00420535" w:rsidRPr="00B717F6">
        <w:rPr>
          <w:szCs w:val="24"/>
          <w:lang w:val="en-US"/>
        </w:rPr>
        <w:t xml:space="preserve">sexual </w:t>
      </w:r>
      <w:r w:rsidR="003847D4" w:rsidRPr="00B717F6">
        <w:rPr>
          <w:szCs w:val="24"/>
          <w:lang w:val="en-US"/>
        </w:rPr>
        <w:t>activity, satisfaction</w:t>
      </w:r>
      <w:r w:rsidR="0056519C">
        <w:rPr>
          <w:szCs w:val="24"/>
          <w:lang w:val="en-US"/>
        </w:rPr>
        <w:t>,</w:t>
      </w:r>
      <w:r w:rsidR="003847D4" w:rsidRPr="00B717F6">
        <w:rPr>
          <w:szCs w:val="24"/>
          <w:lang w:val="en-US"/>
        </w:rPr>
        <w:t xml:space="preserve"> and desire</w:t>
      </w:r>
      <w:r w:rsidR="00420535" w:rsidRPr="00B717F6">
        <w:rPr>
          <w:szCs w:val="24"/>
          <w:lang w:val="en-US"/>
        </w:rPr>
        <w:t xml:space="preserve"> </w:t>
      </w:r>
      <w:r w:rsidR="00EB72B0" w:rsidRPr="00B717F6">
        <w:rPr>
          <w:szCs w:val="24"/>
          <w:lang w:val="en-US"/>
        </w:rPr>
        <w:t>(</w:t>
      </w:r>
      <w:r w:rsidR="00420535" w:rsidRPr="00B717F6">
        <w:rPr>
          <w:szCs w:val="24"/>
          <w:lang w:val="en-US"/>
        </w:rPr>
        <w:t>F</w:t>
      </w:r>
      <w:r w:rsidR="00C2345A" w:rsidRPr="00B717F6">
        <w:rPr>
          <w:szCs w:val="24"/>
          <w:lang w:val="en-US"/>
        </w:rPr>
        <w:t xml:space="preserve">ischer et al., </w:t>
      </w:r>
      <w:r w:rsidR="00420535" w:rsidRPr="00B717F6">
        <w:rPr>
          <w:szCs w:val="24"/>
          <w:lang w:val="en-US"/>
        </w:rPr>
        <w:t xml:space="preserve">2018; </w:t>
      </w:r>
      <w:proofErr w:type="spellStart"/>
      <w:r w:rsidR="00420535" w:rsidRPr="00B717F6">
        <w:rPr>
          <w:szCs w:val="24"/>
          <w:lang w:val="en-US"/>
        </w:rPr>
        <w:t>Iveniuk</w:t>
      </w:r>
      <w:proofErr w:type="spellEnd"/>
      <w:r w:rsidR="00420535" w:rsidRPr="00B717F6">
        <w:rPr>
          <w:szCs w:val="24"/>
          <w:lang w:val="en-US"/>
        </w:rPr>
        <w:t xml:space="preserve"> &amp; Waite, 2018; </w:t>
      </w:r>
      <w:proofErr w:type="spellStart"/>
      <w:r w:rsidR="00420535" w:rsidRPr="00B717F6">
        <w:rPr>
          <w:szCs w:val="24"/>
          <w:lang w:val="en-US"/>
        </w:rPr>
        <w:t>Kontula</w:t>
      </w:r>
      <w:proofErr w:type="spellEnd"/>
      <w:r w:rsidR="00420535" w:rsidRPr="00B717F6">
        <w:rPr>
          <w:szCs w:val="24"/>
          <w:lang w:val="en-US"/>
        </w:rPr>
        <w:t xml:space="preserve"> &amp; </w:t>
      </w:r>
      <w:proofErr w:type="spellStart"/>
      <w:r w:rsidR="00420535" w:rsidRPr="00B717F6">
        <w:rPr>
          <w:szCs w:val="24"/>
          <w:lang w:val="en-US"/>
        </w:rPr>
        <w:t>Haavio-Mannila</w:t>
      </w:r>
      <w:proofErr w:type="spellEnd"/>
      <w:r w:rsidR="00420535" w:rsidRPr="00B717F6">
        <w:rPr>
          <w:szCs w:val="24"/>
          <w:lang w:val="en-US"/>
        </w:rPr>
        <w:t>, 2009</w:t>
      </w:r>
      <w:r w:rsidR="00420535" w:rsidRPr="00B717F6">
        <w:rPr>
          <w:szCs w:val="24"/>
          <w:lang w:val="en-GB"/>
        </w:rPr>
        <w:t>;</w:t>
      </w:r>
      <w:r w:rsidR="00942B87" w:rsidRPr="00B717F6">
        <w:rPr>
          <w:szCs w:val="24"/>
          <w:lang w:val="en-US"/>
        </w:rPr>
        <w:t xml:space="preserve"> Rosen</w:t>
      </w:r>
      <w:r w:rsidR="00420535" w:rsidRPr="00B717F6">
        <w:rPr>
          <w:szCs w:val="24"/>
          <w:lang w:val="en-US"/>
        </w:rPr>
        <w:t xml:space="preserve"> </w:t>
      </w:r>
      <w:r w:rsidR="00C2345A" w:rsidRPr="00B717F6">
        <w:rPr>
          <w:szCs w:val="24"/>
          <w:lang w:val="en-US"/>
        </w:rPr>
        <w:t>et al.,</w:t>
      </w:r>
      <w:r w:rsidR="00420535" w:rsidRPr="00B717F6">
        <w:rPr>
          <w:szCs w:val="24"/>
          <w:lang w:val="en-US"/>
        </w:rPr>
        <w:t xml:space="preserve"> 2016; </w:t>
      </w:r>
      <w:proofErr w:type="spellStart"/>
      <w:r w:rsidR="00420535" w:rsidRPr="00B717F6">
        <w:rPr>
          <w:szCs w:val="24"/>
          <w:lang w:val="en-US"/>
        </w:rPr>
        <w:t>Stroope</w:t>
      </w:r>
      <w:proofErr w:type="spellEnd"/>
      <w:r w:rsidR="00420535" w:rsidRPr="00B717F6">
        <w:rPr>
          <w:szCs w:val="24"/>
          <w:lang w:val="en-US"/>
        </w:rPr>
        <w:t xml:space="preserve"> et al., 2015</w:t>
      </w:r>
      <w:r w:rsidR="00EB72B0" w:rsidRPr="00B717F6">
        <w:rPr>
          <w:szCs w:val="24"/>
          <w:lang w:val="en-US"/>
        </w:rPr>
        <w:t>)</w:t>
      </w:r>
      <w:r w:rsidR="009D1794" w:rsidRPr="00B717F6">
        <w:rPr>
          <w:szCs w:val="24"/>
          <w:lang w:val="en-US"/>
        </w:rPr>
        <w:t xml:space="preserve">. </w:t>
      </w:r>
      <w:r w:rsidR="002E5794" w:rsidRPr="00B717F6">
        <w:rPr>
          <w:szCs w:val="24"/>
          <w:lang w:val="en-US"/>
        </w:rPr>
        <w:t xml:space="preserve">Solitary sexual activity has </w:t>
      </w:r>
      <w:r w:rsidR="00641924" w:rsidRPr="00B717F6">
        <w:rPr>
          <w:szCs w:val="24"/>
          <w:lang w:val="en-US"/>
        </w:rPr>
        <w:t xml:space="preserve">the </w:t>
      </w:r>
      <w:r w:rsidR="002E5794" w:rsidRPr="00B717F6">
        <w:rPr>
          <w:szCs w:val="24"/>
          <w:lang w:val="en-US"/>
        </w:rPr>
        <w:t>advantage</w:t>
      </w:r>
      <w:r w:rsidR="00641924" w:rsidRPr="00B717F6">
        <w:rPr>
          <w:szCs w:val="24"/>
          <w:lang w:val="en-US"/>
        </w:rPr>
        <w:t xml:space="preserve"> </w:t>
      </w:r>
      <w:r w:rsidR="00EE24F1" w:rsidRPr="00B717F6">
        <w:rPr>
          <w:szCs w:val="24"/>
          <w:lang w:val="en-US"/>
        </w:rPr>
        <w:t>of providing</w:t>
      </w:r>
      <w:r w:rsidR="00641924" w:rsidRPr="00B717F6">
        <w:rPr>
          <w:szCs w:val="24"/>
          <w:lang w:val="en-US"/>
        </w:rPr>
        <w:t xml:space="preserve"> sexual pleasure independent of a partner’s availability, health</w:t>
      </w:r>
      <w:r w:rsidR="0056519C">
        <w:rPr>
          <w:szCs w:val="24"/>
          <w:lang w:val="en-US"/>
        </w:rPr>
        <w:t>,</w:t>
      </w:r>
      <w:r w:rsidR="00641924" w:rsidRPr="00B717F6">
        <w:rPr>
          <w:szCs w:val="24"/>
          <w:lang w:val="en-US"/>
        </w:rPr>
        <w:t xml:space="preserve"> and sexual function (</w:t>
      </w:r>
      <w:r w:rsidR="0008573C" w:rsidRPr="00B717F6">
        <w:rPr>
          <w:szCs w:val="24"/>
          <w:lang w:val="en-US"/>
        </w:rPr>
        <w:t xml:space="preserve">Dekker &amp; Schmidt, 2003; </w:t>
      </w:r>
      <w:proofErr w:type="spellStart"/>
      <w:r w:rsidR="00641924" w:rsidRPr="00B717F6">
        <w:rPr>
          <w:szCs w:val="24"/>
          <w:lang w:val="en-US"/>
        </w:rPr>
        <w:t>Hinchliff</w:t>
      </w:r>
      <w:proofErr w:type="spellEnd"/>
      <w:r w:rsidR="00641924" w:rsidRPr="00B717F6">
        <w:rPr>
          <w:szCs w:val="24"/>
          <w:lang w:val="en-US"/>
        </w:rPr>
        <w:t xml:space="preserve"> et al., 2018; </w:t>
      </w:r>
      <w:proofErr w:type="spellStart"/>
      <w:r w:rsidR="003B7EE4" w:rsidRPr="00B717F6">
        <w:rPr>
          <w:szCs w:val="24"/>
          <w:lang w:val="en-US"/>
        </w:rPr>
        <w:t>Kontula</w:t>
      </w:r>
      <w:proofErr w:type="spellEnd"/>
      <w:r w:rsidR="003B7EE4" w:rsidRPr="00B717F6">
        <w:rPr>
          <w:szCs w:val="24"/>
          <w:lang w:val="en-US"/>
        </w:rPr>
        <w:t xml:space="preserve"> &amp; </w:t>
      </w:r>
      <w:proofErr w:type="spellStart"/>
      <w:r w:rsidR="003B7EE4" w:rsidRPr="00B717F6">
        <w:rPr>
          <w:szCs w:val="24"/>
          <w:lang w:val="en-US"/>
        </w:rPr>
        <w:t>Haavio-Mannila</w:t>
      </w:r>
      <w:proofErr w:type="spellEnd"/>
      <w:r w:rsidR="003B7EE4" w:rsidRPr="00B717F6">
        <w:rPr>
          <w:szCs w:val="24"/>
          <w:lang w:val="en-US"/>
        </w:rPr>
        <w:t>, 2003</w:t>
      </w:r>
      <w:r w:rsidR="00641924" w:rsidRPr="00B717F6">
        <w:rPr>
          <w:szCs w:val="24"/>
          <w:lang w:val="en-US"/>
        </w:rPr>
        <w:t xml:space="preserve">). </w:t>
      </w:r>
      <w:r w:rsidR="00D667E6" w:rsidRPr="00B717F6">
        <w:rPr>
          <w:szCs w:val="24"/>
          <w:lang w:val="en-US"/>
        </w:rPr>
        <w:t xml:space="preserve">Further, among both younger and older women masturbation seems to be related to more consistent orgasms </w:t>
      </w:r>
      <w:r w:rsidR="00027FBF" w:rsidRPr="00B717F6">
        <w:rPr>
          <w:szCs w:val="24"/>
          <w:lang w:val="en-US"/>
        </w:rPr>
        <w:t>compared with</w:t>
      </w:r>
      <w:r w:rsidR="00D667E6" w:rsidRPr="00B717F6">
        <w:rPr>
          <w:szCs w:val="24"/>
          <w:lang w:val="en-US"/>
        </w:rPr>
        <w:t xml:space="preserve"> partnered sex </w:t>
      </w:r>
      <w:r w:rsidR="00752829" w:rsidRPr="00B717F6">
        <w:rPr>
          <w:szCs w:val="24"/>
          <w:lang w:val="en-US"/>
        </w:rPr>
        <w:t>(</w:t>
      </w:r>
      <w:r w:rsidR="00521FED" w:rsidRPr="00B717F6">
        <w:rPr>
          <w:szCs w:val="24"/>
          <w:lang w:val="en-US"/>
        </w:rPr>
        <w:t>Dekker &amp; Schmidt, 2003</w:t>
      </w:r>
      <w:r w:rsidR="007A6EE1" w:rsidRPr="00B717F6">
        <w:rPr>
          <w:szCs w:val="24"/>
          <w:lang w:val="en-US"/>
        </w:rPr>
        <w:t xml:space="preserve">; </w:t>
      </w:r>
      <w:r w:rsidR="00752829" w:rsidRPr="00B717F6">
        <w:rPr>
          <w:szCs w:val="24"/>
          <w:lang w:val="en-US"/>
        </w:rPr>
        <w:t>Howard et al., 2006)</w:t>
      </w:r>
      <w:r w:rsidR="00496A83" w:rsidRPr="00B717F6">
        <w:rPr>
          <w:szCs w:val="24"/>
          <w:lang w:val="en-US"/>
        </w:rPr>
        <w:t>.</w:t>
      </w:r>
      <w:r w:rsidR="00752829" w:rsidRPr="00B717F6">
        <w:rPr>
          <w:szCs w:val="24"/>
          <w:lang w:val="en-US"/>
        </w:rPr>
        <w:t xml:space="preserve"> </w:t>
      </w:r>
      <w:r w:rsidR="002946F7" w:rsidRPr="00B717F6">
        <w:rPr>
          <w:szCs w:val="24"/>
          <w:lang w:val="en-US"/>
        </w:rPr>
        <w:t>Despite these advantages</w:t>
      </w:r>
      <w:r w:rsidR="00E74DA9" w:rsidRPr="00B717F6">
        <w:rPr>
          <w:szCs w:val="24"/>
          <w:lang w:val="en-US"/>
        </w:rPr>
        <w:t>, there is surprisingly little</w:t>
      </w:r>
      <w:r w:rsidR="002946F7" w:rsidRPr="00B717F6">
        <w:rPr>
          <w:szCs w:val="24"/>
          <w:lang w:val="en-US"/>
        </w:rPr>
        <w:t xml:space="preserve"> research assessing masturbation activity among older populations</w:t>
      </w:r>
      <w:r w:rsidR="00E74DA9" w:rsidRPr="00B717F6">
        <w:rPr>
          <w:szCs w:val="24"/>
          <w:lang w:val="en-US"/>
        </w:rPr>
        <w:t xml:space="preserve">. The few studies addressing </w:t>
      </w:r>
      <w:r w:rsidR="002946F7" w:rsidRPr="00B717F6">
        <w:rPr>
          <w:szCs w:val="24"/>
          <w:lang w:val="en-US"/>
        </w:rPr>
        <w:t xml:space="preserve">solitary sexual activity </w:t>
      </w:r>
      <w:r w:rsidR="002F7BDE" w:rsidRPr="00B717F6">
        <w:rPr>
          <w:szCs w:val="24"/>
          <w:lang w:val="en-US"/>
        </w:rPr>
        <w:t>in later life</w:t>
      </w:r>
      <w:r w:rsidR="00EE24F1" w:rsidRPr="00B717F6">
        <w:rPr>
          <w:szCs w:val="24"/>
          <w:lang w:val="en-US"/>
        </w:rPr>
        <w:t xml:space="preserve"> have</w:t>
      </w:r>
      <w:r w:rsidR="002F7BDE" w:rsidRPr="00B717F6">
        <w:rPr>
          <w:szCs w:val="24"/>
          <w:lang w:val="en-US"/>
        </w:rPr>
        <w:t xml:space="preserve"> focus</w:t>
      </w:r>
      <w:r w:rsidR="00EE24F1" w:rsidRPr="00B717F6">
        <w:rPr>
          <w:szCs w:val="24"/>
          <w:lang w:val="en-US"/>
        </w:rPr>
        <w:t>ed</w:t>
      </w:r>
      <w:r w:rsidR="002946F7" w:rsidRPr="00B717F6">
        <w:rPr>
          <w:szCs w:val="24"/>
          <w:lang w:val="en-US"/>
        </w:rPr>
        <w:t xml:space="preserve"> solely</w:t>
      </w:r>
      <w:r w:rsidR="00E74DA9" w:rsidRPr="00B717F6">
        <w:rPr>
          <w:szCs w:val="24"/>
          <w:lang w:val="en-US"/>
        </w:rPr>
        <w:t xml:space="preserve"> on a small number of sociodemographic variables (e.g., age, sex</w:t>
      </w:r>
      <w:r w:rsidR="004A09AC" w:rsidRPr="00B717F6">
        <w:rPr>
          <w:szCs w:val="24"/>
          <w:lang w:val="en-US"/>
        </w:rPr>
        <w:t>, relationship status</w:t>
      </w:r>
      <w:r w:rsidR="00E74DA9" w:rsidRPr="00B717F6">
        <w:rPr>
          <w:szCs w:val="24"/>
          <w:lang w:val="en-US"/>
        </w:rPr>
        <w:t>)</w:t>
      </w:r>
      <w:r w:rsidR="004A09AC" w:rsidRPr="00B717F6">
        <w:rPr>
          <w:szCs w:val="24"/>
          <w:lang w:val="en-US"/>
        </w:rPr>
        <w:t xml:space="preserve"> and </w:t>
      </w:r>
      <w:r w:rsidR="00EE24F1" w:rsidRPr="00B717F6">
        <w:rPr>
          <w:szCs w:val="24"/>
          <w:lang w:val="en-US"/>
        </w:rPr>
        <w:t>some</w:t>
      </w:r>
      <w:r w:rsidR="004A09AC" w:rsidRPr="00B717F6">
        <w:rPr>
          <w:szCs w:val="24"/>
          <w:lang w:val="en-US"/>
        </w:rPr>
        <w:t xml:space="preserve"> specific health factors</w:t>
      </w:r>
      <w:r w:rsidR="00E74DA9" w:rsidRPr="00B717F6">
        <w:rPr>
          <w:szCs w:val="24"/>
          <w:lang w:val="en-US"/>
        </w:rPr>
        <w:t xml:space="preserve"> </w:t>
      </w:r>
      <w:r w:rsidR="006572AF" w:rsidRPr="00B717F6">
        <w:rPr>
          <w:szCs w:val="24"/>
          <w:lang w:val="en-US"/>
        </w:rPr>
        <w:t xml:space="preserve">(e.g., hypertension, arthritis, diabetes) </w:t>
      </w:r>
      <w:r w:rsidR="00E74DA9" w:rsidRPr="00B717F6">
        <w:rPr>
          <w:szCs w:val="24"/>
          <w:lang w:val="en-US"/>
        </w:rPr>
        <w:t>(</w:t>
      </w:r>
      <w:r w:rsidR="00244F66" w:rsidRPr="00B717F6">
        <w:rPr>
          <w:szCs w:val="24"/>
          <w:lang w:val="en-US"/>
        </w:rPr>
        <w:t>Corona et al., 2010;</w:t>
      </w:r>
      <w:r w:rsidR="00054F9E" w:rsidRPr="00B717F6">
        <w:rPr>
          <w:szCs w:val="24"/>
          <w:lang w:val="en-US"/>
        </w:rPr>
        <w:t xml:space="preserve"> Lee et al., 2016;</w:t>
      </w:r>
      <w:r w:rsidR="00244F66" w:rsidRPr="00B717F6">
        <w:rPr>
          <w:szCs w:val="24"/>
          <w:lang w:val="en-US"/>
        </w:rPr>
        <w:t xml:space="preserve"> Lindau et al., 2007; </w:t>
      </w:r>
      <w:r w:rsidR="00F81479" w:rsidRPr="00B717F6">
        <w:rPr>
          <w:szCs w:val="24"/>
          <w:lang w:val="es-ES"/>
        </w:rPr>
        <w:t>Palacios-</w:t>
      </w:r>
      <w:proofErr w:type="spellStart"/>
      <w:r w:rsidR="00F81479" w:rsidRPr="00B717F6">
        <w:rPr>
          <w:szCs w:val="24"/>
          <w:lang w:val="es-ES"/>
        </w:rPr>
        <w:t>Ceña</w:t>
      </w:r>
      <w:proofErr w:type="spellEnd"/>
      <w:r w:rsidR="00F81479" w:rsidRPr="00B717F6">
        <w:rPr>
          <w:szCs w:val="24"/>
          <w:lang w:val="en-US"/>
        </w:rPr>
        <w:t xml:space="preserve"> </w:t>
      </w:r>
      <w:r w:rsidR="00244F66" w:rsidRPr="00B717F6">
        <w:rPr>
          <w:szCs w:val="24"/>
          <w:lang w:val="en-US"/>
        </w:rPr>
        <w:t xml:space="preserve">et al., 2012; </w:t>
      </w:r>
      <w:proofErr w:type="spellStart"/>
      <w:r w:rsidR="00054F9E" w:rsidRPr="00B717F6">
        <w:rPr>
          <w:szCs w:val="24"/>
          <w:lang w:val="en-US"/>
        </w:rPr>
        <w:t>Papaharitou</w:t>
      </w:r>
      <w:proofErr w:type="spellEnd"/>
      <w:r w:rsidR="00054F9E" w:rsidRPr="00B717F6">
        <w:rPr>
          <w:szCs w:val="24"/>
          <w:lang w:val="en-US"/>
        </w:rPr>
        <w:t xml:space="preserve"> et al, 2008; </w:t>
      </w:r>
      <w:r w:rsidR="00244F66" w:rsidRPr="00B717F6">
        <w:rPr>
          <w:szCs w:val="24"/>
          <w:lang w:val="en-US"/>
        </w:rPr>
        <w:t>Schick et al., 2010</w:t>
      </w:r>
      <w:r w:rsidR="00E74DA9" w:rsidRPr="00B717F6">
        <w:rPr>
          <w:szCs w:val="24"/>
          <w:lang w:val="en-US"/>
        </w:rPr>
        <w:t>)</w:t>
      </w:r>
      <w:r w:rsidR="002946F7" w:rsidRPr="00B717F6">
        <w:rPr>
          <w:szCs w:val="24"/>
          <w:lang w:val="en-US"/>
        </w:rPr>
        <w:t xml:space="preserve">. </w:t>
      </w:r>
      <w:r w:rsidR="00D97024" w:rsidRPr="00B717F6">
        <w:rPr>
          <w:szCs w:val="24"/>
          <w:lang w:val="en-US"/>
        </w:rPr>
        <w:t>Consequently, r</w:t>
      </w:r>
      <w:r w:rsidR="008043BF" w:rsidRPr="00B717F6">
        <w:rPr>
          <w:szCs w:val="24"/>
          <w:lang w:val="en-US"/>
        </w:rPr>
        <w:t xml:space="preserve">esearch on </w:t>
      </w:r>
      <w:r w:rsidRPr="00B717F6">
        <w:rPr>
          <w:szCs w:val="24"/>
          <w:lang w:val="en-US"/>
        </w:rPr>
        <w:t xml:space="preserve">the relationships </w:t>
      </w:r>
      <w:r w:rsidR="002B1E5A" w:rsidRPr="00B717F6">
        <w:rPr>
          <w:szCs w:val="24"/>
          <w:lang w:val="en-US"/>
        </w:rPr>
        <w:t>between sexual attitudes,</w:t>
      </w:r>
      <w:r w:rsidR="008043BF" w:rsidRPr="00B717F6">
        <w:rPr>
          <w:szCs w:val="24"/>
          <w:lang w:val="en-US"/>
        </w:rPr>
        <w:t xml:space="preserve"> sexual behavioral factors</w:t>
      </w:r>
      <w:r w:rsidR="002B1E5A" w:rsidRPr="00B717F6">
        <w:rPr>
          <w:szCs w:val="24"/>
          <w:lang w:val="en-US"/>
        </w:rPr>
        <w:t>,</w:t>
      </w:r>
      <w:r w:rsidR="008043BF" w:rsidRPr="00B717F6">
        <w:rPr>
          <w:szCs w:val="24"/>
          <w:lang w:val="en-US"/>
        </w:rPr>
        <w:t xml:space="preserve"> and masturbation </w:t>
      </w:r>
      <w:r w:rsidR="002B1E5A" w:rsidRPr="00B717F6">
        <w:rPr>
          <w:szCs w:val="24"/>
          <w:lang w:val="en-US"/>
        </w:rPr>
        <w:t xml:space="preserve">among </w:t>
      </w:r>
      <w:r w:rsidR="00AB06F6" w:rsidRPr="00B717F6">
        <w:rPr>
          <w:szCs w:val="24"/>
          <w:lang w:val="en-US"/>
        </w:rPr>
        <w:t xml:space="preserve">aging </w:t>
      </w:r>
      <w:r w:rsidR="007479C5" w:rsidRPr="00B717F6">
        <w:rPr>
          <w:szCs w:val="24"/>
          <w:lang w:val="en-US"/>
        </w:rPr>
        <w:t>adults</w:t>
      </w:r>
      <w:r w:rsidR="008043BF" w:rsidRPr="00B717F6">
        <w:rPr>
          <w:szCs w:val="24"/>
          <w:lang w:val="en-US"/>
        </w:rPr>
        <w:t xml:space="preserve"> are </w:t>
      </w:r>
      <w:r w:rsidRPr="00B717F6">
        <w:rPr>
          <w:szCs w:val="24"/>
          <w:lang w:val="en-US"/>
        </w:rPr>
        <w:t xml:space="preserve">particularly </w:t>
      </w:r>
      <w:r w:rsidR="008043BF" w:rsidRPr="00B717F6">
        <w:rPr>
          <w:szCs w:val="24"/>
          <w:lang w:val="en-US"/>
        </w:rPr>
        <w:t>lacking</w:t>
      </w:r>
      <w:r w:rsidR="002B1E5A" w:rsidRPr="00B717F6">
        <w:rPr>
          <w:szCs w:val="24"/>
          <w:lang w:val="en-US"/>
        </w:rPr>
        <w:t>.</w:t>
      </w:r>
    </w:p>
    <w:p w14:paraId="2FABBD08" w14:textId="4521482D" w:rsidR="008149C0" w:rsidRPr="00B717F6" w:rsidRDefault="001F6B1B" w:rsidP="009C0C78">
      <w:pPr>
        <w:keepNext/>
        <w:keepLines/>
        <w:ind w:firstLine="0"/>
        <w:outlineLvl w:val="1"/>
        <w:rPr>
          <w:rFonts w:eastAsia="SimSun"/>
          <w:b/>
          <w:szCs w:val="24"/>
          <w:lang w:val="en-US"/>
        </w:rPr>
      </w:pPr>
      <w:r w:rsidRPr="00B717F6">
        <w:rPr>
          <w:rFonts w:eastAsia="SimSun"/>
          <w:b/>
          <w:szCs w:val="24"/>
          <w:lang w:val="en-US"/>
        </w:rPr>
        <w:t>Sociodemographic and Health Factors Associated with M</w:t>
      </w:r>
      <w:r w:rsidR="008149C0" w:rsidRPr="00B717F6">
        <w:rPr>
          <w:rFonts w:eastAsia="SimSun"/>
          <w:b/>
          <w:szCs w:val="24"/>
          <w:lang w:val="en-US"/>
        </w:rPr>
        <w:t xml:space="preserve">asturbation </w:t>
      </w:r>
    </w:p>
    <w:p w14:paraId="3EA9DC9F" w14:textId="21D4044F" w:rsidR="00930BDE" w:rsidRPr="00B717F6" w:rsidRDefault="00FB1615" w:rsidP="009C0C78">
      <w:pPr>
        <w:rPr>
          <w:szCs w:val="24"/>
          <w:lang w:val="en-US"/>
        </w:rPr>
      </w:pPr>
      <w:r w:rsidRPr="00B717F6">
        <w:rPr>
          <w:szCs w:val="24"/>
          <w:lang w:val="en-US"/>
        </w:rPr>
        <w:t xml:space="preserve">A common </w:t>
      </w:r>
      <w:r w:rsidR="00E31A56" w:rsidRPr="00B717F6">
        <w:rPr>
          <w:szCs w:val="24"/>
          <w:lang w:val="en-US"/>
        </w:rPr>
        <w:t>finding</w:t>
      </w:r>
      <w:r w:rsidR="00D97024" w:rsidRPr="00B717F6">
        <w:rPr>
          <w:szCs w:val="24"/>
          <w:lang w:val="en-US"/>
        </w:rPr>
        <w:t xml:space="preserve"> in sexuality and aging research</w:t>
      </w:r>
      <w:r w:rsidR="00E31A56" w:rsidRPr="00B717F6">
        <w:rPr>
          <w:szCs w:val="24"/>
          <w:lang w:val="en-US"/>
        </w:rPr>
        <w:t xml:space="preserve"> is</w:t>
      </w:r>
      <w:r w:rsidR="00B910AC" w:rsidRPr="00B717F6">
        <w:rPr>
          <w:szCs w:val="24"/>
          <w:lang w:val="en-US"/>
        </w:rPr>
        <w:t xml:space="preserve"> that the prevalence </w:t>
      </w:r>
      <w:r w:rsidR="00D97024" w:rsidRPr="00B717F6">
        <w:rPr>
          <w:szCs w:val="24"/>
          <w:lang w:val="en-US"/>
        </w:rPr>
        <w:t>of</w:t>
      </w:r>
      <w:r w:rsidR="00B910AC" w:rsidRPr="00B717F6">
        <w:rPr>
          <w:szCs w:val="24"/>
          <w:lang w:val="en-US"/>
        </w:rPr>
        <w:t xml:space="preserve"> reported masturbation decreases </w:t>
      </w:r>
      <w:r w:rsidR="004E3F09" w:rsidRPr="00B717F6">
        <w:rPr>
          <w:szCs w:val="24"/>
          <w:lang w:val="en-US"/>
        </w:rPr>
        <w:t>as people</w:t>
      </w:r>
      <w:r w:rsidR="00B910AC" w:rsidRPr="00B717F6">
        <w:rPr>
          <w:szCs w:val="24"/>
          <w:lang w:val="en-US"/>
        </w:rPr>
        <w:t xml:space="preserve"> age</w:t>
      </w:r>
      <w:r w:rsidR="00E31A56" w:rsidRPr="00B717F6">
        <w:rPr>
          <w:szCs w:val="24"/>
          <w:lang w:val="en-US"/>
        </w:rPr>
        <w:t xml:space="preserve"> </w:t>
      </w:r>
      <w:r w:rsidR="00BC6AC4" w:rsidRPr="00B717F6">
        <w:rPr>
          <w:szCs w:val="24"/>
          <w:lang w:val="en-US"/>
        </w:rPr>
        <w:t>(</w:t>
      </w:r>
      <w:r w:rsidR="00015C24" w:rsidRPr="00B717F6">
        <w:rPr>
          <w:szCs w:val="24"/>
          <w:lang w:val="en-US"/>
        </w:rPr>
        <w:t xml:space="preserve">Lee et al., 2016; </w:t>
      </w:r>
      <w:r w:rsidR="00F81479" w:rsidRPr="00B717F6">
        <w:rPr>
          <w:szCs w:val="24"/>
          <w:lang w:val="en-US"/>
        </w:rPr>
        <w:t>Lindau et al., 20</w:t>
      </w:r>
      <w:r w:rsidR="003C24B4" w:rsidRPr="00B717F6">
        <w:rPr>
          <w:szCs w:val="24"/>
          <w:lang w:val="en-US"/>
        </w:rPr>
        <w:t>0</w:t>
      </w:r>
      <w:r w:rsidR="00F81479" w:rsidRPr="00B717F6">
        <w:rPr>
          <w:szCs w:val="24"/>
          <w:lang w:val="en-US"/>
        </w:rPr>
        <w:t>7</w:t>
      </w:r>
      <w:r w:rsidR="003C24B4" w:rsidRPr="00B717F6">
        <w:rPr>
          <w:szCs w:val="24"/>
          <w:lang w:val="en-US"/>
        </w:rPr>
        <w:t xml:space="preserve">; </w:t>
      </w:r>
      <w:r w:rsidR="002E2F30" w:rsidRPr="00B717F6">
        <w:rPr>
          <w:szCs w:val="24"/>
          <w:lang w:val="en-US"/>
        </w:rPr>
        <w:t>Mercer et al., 2013</w:t>
      </w:r>
      <w:r w:rsidR="00140D73" w:rsidRPr="00B717F6">
        <w:rPr>
          <w:szCs w:val="24"/>
          <w:lang w:val="en-US"/>
        </w:rPr>
        <w:t xml:space="preserve">; </w:t>
      </w:r>
      <w:r w:rsidR="00E9277A" w:rsidRPr="00B717F6">
        <w:rPr>
          <w:szCs w:val="24"/>
          <w:lang w:val="es-ES"/>
        </w:rPr>
        <w:t>Palacios-</w:t>
      </w:r>
      <w:proofErr w:type="spellStart"/>
      <w:r w:rsidR="00E9277A" w:rsidRPr="00B717F6">
        <w:rPr>
          <w:szCs w:val="24"/>
          <w:lang w:val="es-ES"/>
        </w:rPr>
        <w:t>Ceña</w:t>
      </w:r>
      <w:proofErr w:type="spellEnd"/>
      <w:r w:rsidR="00E9277A" w:rsidRPr="00B717F6">
        <w:rPr>
          <w:szCs w:val="24"/>
          <w:lang w:val="en-US"/>
        </w:rPr>
        <w:t xml:space="preserve"> </w:t>
      </w:r>
      <w:r w:rsidR="003C24B4" w:rsidRPr="00B717F6">
        <w:rPr>
          <w:szCs w:val="24"/>
          <w:lang w:val="en-US"/>
        </w:rPr>
        <w:t>et al., 2012; Schick et al., 2010)</w:t>
      </w:r>
      <w:r w:rsidRPr="00B717F6">
        <w:rPr>
          <w:szCs w:val="24"/>
          <w:lang w:val="en-US"/>
        </w:rPr>
        <w:t>.</w:t>
      </w:r>
      <w:r w:rsidR="00CF4181" w:rsidRPr="00B717F6">
        <w:rPr>
          <w:szCs w:val="24"/>
          <w:lang w:val="en-US"/>
        </w:rPr>
        <w:t xml:space="preserve"> </w:t>
      </w:r>
      <w:r w:rsidR="00C708AB" w:rsidRPr="00B717F6">
        <w:rPr>
          <w:szCs w:val="24"/>
          <w:lang w:val="en-US"/>
        </w:rPr>
        <w:t xml:space="preserve">In the European Male Ageing Study, </w:t>
      </w:r>
      <w:r w:rsidR="002C689A" w:rsidRPr="00B717F6">
        <w:rPr>
          <w:szCs w:val="24"/>
          <w:lang w:val="en-US"/>
        </w:rPr>
        <w:t xml:space="preserve">a </w:t>
      </w:r>
      <w:r w:rsidR="002C689A" w:rsidRPr="00B717F6">
        <w:rPr>
          <w:szCs w:val="24"/>
          <w:lang w:val="en-US"/>
        </w:rPr>
        <w:lastRenderedPageBreak/>
        <w:t>population-based survey of 3,369 men</w:t>
      </w:r>
      <w:r w:rsidR="00A53EB8" w:rsidRPr="00B717F6">
        <w:rPr>
          <w:szCs w:val="24"/>
          <w:lang w:val="en-US"/>
        </w:rPr>
        <w:t xml:space="preserve"> (40–79 years)</w:t>
      </w:r>
      <w:r w:rsidR="002C689A" w:rsidRPr="00B717F6">
        <w:rPr>
          <w:szCs w:val="24"/>
          <w:lang w:val="en-US"/>
        </w:rPr>
        <w:t xml:space="preserve"> from eight European </w:t>
      </w:r>
      <w:r w:rsidR="00A53EB8" w:rsidRPr="00B717F6">
        <w:rPr>
          <w:szCs w:val="24"/>
          <w:lang w:val="en-US"/>
        </w:rPr>
        <w:t>countries</w:t>
      </w:r>
      <w:r w:rsidR="00C708AB" w:rsidRPr="00B717F6">
        <w:rPr>
          <w:szCs w:val="24"/>
          <w:lang w:val="en-US"/>
        </w:rPr>
        <w:t xml:space="preserve">, masturbation </w:t>
      </w:r>
      <w:r w:rsidR="00EE24F1" w:rsidRPr="00B717F6">
        <w:rPr>
          <w:szCs w:val="24"/>
          <w:lang w:val="en-US"/>
        </w:rPr>
        <w:t xml:space="preserve">reported </w:t>
      </w:r>
      <w:r w:rsidR="00C708AB" w:rsidRPr="00B717F6">
        <w:rPr>
          <w:szCs w:val="24"/>
          <w:lang w:val="en-US"/>
        </w:rPr>
        <w:t xml:space="preserve">at least once in the past month decreased from 36% </w:t>
      </w:r>
      <w:r w:rsidR="002C689A" w:rsidRPr="00B717F6">
        <w:rPr>
          <w:szCs w:val="24"/>
          <w:lang w:val="en-US"/>
        </w:rPr>
        <w:t xml:space="preserve">in the age cohort </w:t>
      </w:r>
      <w:r w:rsidR="00C708AB" w:rsidRPr="00B717F6">
        <w:rPr>
          <w:szCs w:val="24"/>
          <w:lang w:val="en-US"/>
        </w:rPr>
        <w:t>60–69 years</w:t>
      </w:r>
      <w:r w:rsidR="002C689A" w:rsidRPr="00B717F6">
        <w:rPr>
          <w:szCs w:val="24"/>
          <w:lang w:val="en-US"/>
        </w:rPr>
        <w:t xml:space="preserve"> to 25% among men aged 70 and above</w:t>
      </w:r>
      <w:r w:rsidR="007A325E" w:rsidRPr="00B717F6">
        <w:rPr>
          <w:szCs w:val="24"/>
          <w:lang w:val="en-US"/>
        </w:rPr>
        <w:t xml:space="preserve"> (Corona et al., 2010)</w:t>
      </w:r>
      <w:r w:rsidR="002C689A" w:rsidRPr="00B717F6">
        <w:rPr>
          <w:szCs w:val="24"/>
          <w:lang w:val="en-US"/>
        </w:rPr>
        <w:t>.</w:t>
      </w:r>
      <w:r w:rsidR="00754071" w:rsidRPr="00B717F6">
        <w:rPr>
          <w:szCs w:val="24"/>
          <w:lang w:val="en-US"/>
        </w:rPr>
        <w:t xml:space="preserve"> </w:t>
      </w:r>
      <w:r w:rsidR="004902D2" w:rsidRPr="00B717F6">
        <w:rPr>
          <w:szCs w:val="24"/>
          <w:lang w:val="en-US"/>
        </w:rPr>
        <w:t xml:space="preserve">Apart </w:t>
      </w:r>
      <w:r w:rsidR="004E3F09" w:rsidRPr="00B717F6">
        <w:rPr>
          <w:szCs w:val="24"/>
          <w:lang w:val="en-US"/>
        </w:rPr>
        <w:t xml:space="preserve">from </w:t>
      </w:r>
      <w:r w:rsidR="006063C5" w:rsidRPr="00B717F6">
        <w:rPr>
          <w:szCs w:val="24"/>
          <w:lang w:val="en-US"/>
        </w:rPr>
        <w:t>age, research</w:t>
      </w:r>
      <w:r w:rsidR="00D97024" w:rsidRPr="00B717F6">
        <w:rPr>
          <w:szCs w:val="24"/>
          <w:lang w:val="en-US"/>
        </w:rPr>
        <w:t xml:space="preserve"> </w:t>
      </w:r>
      <w:r w:rsidR="006063C5" w:rsidRPr="00B717F6">
        <w:rPr>
          <w:szCs w:val="24"/>
          <w:lang w:val="en-US"/>
        </w:rPr>
        <w:t xml:space="preserve">has </w:t>
      </w:r>
      <w:r w:rsidR="004902D2" w:rsidRPr="00B717F6">
        <w:rPr>
          <w:szCs w:val="24"/>
          <w:lang w:val="en-US"/>
        </w:rPr>
        <w:t>revealed</w:t>
      </w:r>
      <w:r w:rsidR="006063C5" w:rsidRPr="00B717F6">
        <w:rPr>
          <w:szCs w:val="24"/>
          <w:lang w:val="en-US"/>
        </w:rPr>
        <w:t xml:space="preserve"> </w:t>
      </w:r>
      <w:r w:rsidR="00754071" w:rsidRPr="00B717F6">
        <w:rPr>
          <w:szCs w:val="24"/>
          <w:lang w:val="en-US"/>
        </w:rPr>
        <w:t xml:space="preserve">important </w:t>
      </w:r>
      <w:r w:rsidR="006063C5" w:rsidRPr="00B717F6">
        <w:rPr>
          <w:szCs w:val="24"/>
          <w:lang w:val="en-US"/>
        </w:rPr>
        <w:t>gender differences</w:t>
      </w:r>
      <w:r w:rsidR="00754071" w:rsidRPr="00B717F6">
        <w:rPr>
          <w:szCs w:val="24"/>
          <w:lang w:val="en-US"/>
        </w:rPr>
        <w:t>, with</w:t>
      </w:r>
      <w:r w:rsidR="00E15C7E" w:rsidRPr="00B717F6">
        <w:rPr>
          <w:szCs w:val="24"/>
          <w:lang w:val="en-US"/>
        </w:rPr>
        <w:t xml:space="preserve"> women generally </w:t>
      </w:r>
      <w:r w:rsidR="001D0B63" w:rsidRPr="00B717F6">
        <w:rPr>
          <w:szCs w:val="24"/>
          <w:lang w:val="en-US"/>
        </w:rPr>
        <w:t>report</w:t>
      </w:r>
      <w:r w:rsidR="00754071" w:rsidRPr="00B717F6">
        <w:rPr>
          <w:szCs w:val="24"/>
          <w:lang w:val="en-US"/>
        </w:rPr>
        <w:t>ing</w:t>
      </w:r>
      <w:r w:rsidR="001D0B63" w:rsidRPr="00B717F6">
        <w:rPr>
          <w:szCs w:val="24"/>
          <w:lang w:val="en-US"/>
        </w:rPr>
        <w:t xml:space="preserve"> less</w:t>
      </w:r>
      <w:r w:rsidR="00E15C7E" w:rsidRPr="00B717F6">
        <w:rPr>
          <w:szCs w:val="24"/>
          <w:lang w:val="en-US"/>
        </w:rPr>
        <w:t xml:space="preserve"> masturbation </w:t>
      </w:r>
      <w:r w:rsidR="00754071" w:rsidRPr="00B717F6">
        <w:rPr>
          <w:szCs w:val="24"/>
          <w:lang w:val="en-US"/>
        </w:rPr>
        <w:t>than me</w:t>
      </w:r>
      <w:r w:rsidR="00E15C7E" w:rsidRPr="00B717F6">
        <w:rPr>
          <w:szCs w:val="24"/>
          <w:lang w:val="en-US"/>
        </w:rPr>
        <w:t>n</w:t>
      </w:r>
      <w:r w:rsidR="003C24B4" w:rsidRPr="00B717F6">
        <w:rPr>
          <w:szCs w:val="24"/>
          <w:lang w:val="en-US"/>
        </w:rPr>
        <w:t xml:space="preserve"> (</w:t>
      </w:r>
      <w:proofErr w:type="spellStart"/>
      <w:r w:rsidR="000D2602" w:rsidRPr="00B717F6">
        <w:rPr>
          <w:szCs w:val="24"/>
          <w:lang w:val="en-US"/>
        </w:rPr>
        <w:t>Kontula</w:t>
      </w:r>
      <w:proofErr w:type="spellEnd"/>
      <w:r w:rsidR="000D2602" w:rsidRPr="00B717F6">
        <w:rPr>
          <w:szCs w:val="24"/>
          <w:lang w:val="en-US"/>
        </w:rPr>
        <w:t xml:space="preserve"> &amp; </w:t>
      </w:r>
      <w:proofErr w:type="spellStart"/>
      <w:r w:rsidR="000D2602" w:rsidRPr="00B717F6">
        <w:rPr>
          <w:szCs w:val="24"/>
          <w:lang w:val="en-US"/>
        </w:rPr>
        <w:t>Haavio-Mannila</w:t>
      </w:r>
      <w:proofErr w:type="spellEnd"/>
      <w:r w:rsidR="000D2602" w:rsidRPr="00B717F6">
        <w:rPr>
          <w:szCs w:val="24"/>
          <w:lang w:val="en-US"/>
        </w:rPr>
        <w:t>, 2003;</w:t>
      </w:r>
      <w:r w:rsidR="003C24B4" w:rsidRPr="00B717F6">
        <w:rPr>
          <w:szCs w:val="24"/>
          <w:lang w:val="en-US"/>
        </w:rPr>
        <w:t xml:space="preserve"> </w:t>
      </w:r>
      <w:r w:rsidR="00015C24" w:rsidRPr="00B717F6">
        <w:rPr>
          <w:szCs w:val="24"/>
          <w:lang w:val="en-US"/>
        </w:rPr>
        <w:t xml:space="preserve">Lee et al., 2016; </w:t>
      </w:r>
      <w:r w:rsidR="003C24B4" w:rsidRPr="00B717F6">
        <w:rPr>
          <w:szCs w:val="24"/>
          <w:lang w:val="en-US"/>
        </w:rPr>
        <w:t>Lindau et al., 2007;</w:t>
      </w:r>
      <w:r w:rsidR="00436707" w:rsidRPr="00B717F6">
        <w:rPr>
          <w:szCs w:val="24"/>
          <w:lang w:val="en-US"/>
        </w:rPr>
        <w:t xml:space="preserve"> Oliver &amp; Hyde, 1993;</w:t>
      </w:r>
      <w:r w:rsidR="003C24B4" w:rsidRPr="00B717F6">
        <w:rPr>
          <w:szCs w:val="24"/>
          <w:lang w:val="en-US"/>
        </w:rPr>
        <w:t xml:space="preserve"> </w:t>
      </w:r>
      <w:r w:rsidR="00E9277A" w:rsidRPr="00B717F6">
        <w:rPr>
          <w:szCs w:val="24"/>
          <w:lang w:val="es-ES"/>
        </w:rPr>
        <w:t>Palacios-</w:t>
      </w:r>
      <w:proofErr w:type="spellStart"/>
      <w:r w:rsidR="00E9277A" w:rsidRPr="00B717F6">
        <w:rPr>
          <w:szCs w:val="24"/>
          <w:lang w:val="es-ES"/>
        </w:rPr>
        <w:t>Ceña</w:t>
      </w:r>
      <w:proofErr w:type="spellEnd"/>
      <w:r w:rsidR="00E9277A" w:rsidRPr="00B717F6">
        <w:rPr>
          <w:szCs w:val="24"/>
          <w:lang w:val="en-US"/>
        </w:rPr>
        <w:t xml:space="preserve"> </w:t>
      </w:r>
      <w:r w:rsidR="003C24B4" w:rsidRPr="00B717F6">
        <w:rPr>
          <w:szCs w:val="24"/>
          <w:lang w:val="en-US"/>
        </w:rPr>
        <w:t>et al., 2012</w:t>
      </w:r>
      <w:r w:rsidR="003D26E2" w:rsidRPr="00B717F6">
        <w:rPr>
          <w:szCs w:val="24"/>
          <w:lang w:val="en-US"/>
        </w:rPr>
        <w:t>;</w:t>
      </w:r>
      <w:r w:rsidR="00566C0F" w:rsidRPr="00B717F6">
        <w:rPr>
          <w:szCs w:val="24"/>
          <w:lang w:val="en-US"/>
        </w:rPr>
        <w:t xml:space="preserve"> </w:t>
      </w:r>
      <w:proofErr w:type="spellStart"/>
      <w:r w:rsidR="003D26E2" w:rsidRPr="00B717F6">
        <w:rPr>
          <w:szCs w:val="24"/>
          <w:lang w:val="en-US"/>
        </w:rPr>
        <w:t>Papaharitou</w:t>
      </w:r>
      <w:proofErr w:type="spellEnd"/>
      <w:r w:rsidR="003D26E2" w:rsidRPr="00B717F6">
        <w:rPr>
          <w:szCs w:val="24"/>
          <w:lang w:val="en-US"/>
        </w:rPr>
        <w:t xml:space="preserve"> et al., 2008</w:t>
      </w:r>
      <w:r w:rsidR="00563C1F" w:rsidRPr="00B717F6">
        <w:rPr>
          <w:szCs w:val="24"/>
          <w:lang w:val="en-US"/>
        </w:rPr>
        <w:t xml:space="preserve">; </w:t>
      </w:r>
      <w:proofErr w:type="spellStart"/>
      <w:r w:rsidR="00563C1F" w:rsidRPr="00B717F6">
        <w:rPr>
          <w:szCs w:val="24"/>
          <w:lang w:val="en-US"/>
        </w:rPr>
        <w:t>Richters</w:t>
      </w:r>
      <w:proofErr w:type="spellEnd"/>
      <w:r w:rsidR="00563C1F" w:rsidRPr="00B717F6">
        <w:rPr>
          <w:szCs w:val="24"/>
          <w:lang w:val="en-US"/>
        </w:rPr>
        <w:t xml:space="preserve"> et al., 2014</w:t>
      </w:r>
      <w:r w:rsidR="003D26E2" w:rsidRPr="00B717F6">
        <w:rPr>
          <w:szCs w:val="24"/>
          <w:lang w:val="en-US"/>
        </w:rPr>
        <w:t xml:space="preserve">). </w:t>
      </w:r>
      <w:r w:rsidR="00D97024" w:rsidRPr="00B717F6">
        <w:rPr>
          <w:szCs w:val="24"/>
          <w:lang w:val="en-US"/>
        </w:rPr>
        <w:t>For example, i</w:t>
      </w:r>
      <w:r w:rsidR="001A3707" w:rsidRPr="00B717F6">
        <w:rPr>
          <w:szCs w:val="24"/>
          <w:lang w:val="en-US"/>
        </w:rPr>
        <w:t xml:space="preserve">n </w:t>
      </w:r>
      <w:r w:rsidR="00B0426A" w:rsidRPr="00B717F6">
        <w:rPr>
          <w:szCs w:val="24"/>
          <w:lang w:val="en-US"/>
        </w:rPr>
        <w:t xml:space="preserve">the most recent wave of </w:t>
      </w:r>
      <w:r w:rsidR="00EE24F1" w:rsidRPr="00B717F6">
        <w:rPr>
          <w:szCs w:val="24"/>
          <w:lang w:val="en-US"/>
        </w:rPr>
        <w:t xml:space="preserve">the </w:t>
      </w:r>
      <w:r w:rsidR="00B0426A" w:rsidRPr="00B717F6">
        <w:rPr>
          <w:szCs w:val="24"/>
          <w:lang w:val="en-US"/>
        </w:rPr>
        <w:t xml:space="preserve">population-based British National Survey of </w:t>
      </w:r>
      <w:r w:rsidR="00A74554" w:rsidRPr="00B717F6">
        <w:rPr>
          <w:szCs w:val="24"/>
          <w:lang w:val="en-US"/>
        </w:rPr>
        <w:t>Sexual Attitudes and Lifestyles</w:t>
      </w:r>
      <w:r w:rsidR="001A3707" w:rsidRPr="00B717F6">
        <w:rPr>
          <w:szCs w:val="24"/>
          <w:lang w:val="en-US"/>
        </w:rPr>
        <w:t xml:space="preserve">, more than twice as many men (53%) </w:t>
      </w:r>
      <w:r w:rsidR="00B0426A" w:rsidRPr="00B717F6">
        <w:rPr>
          <w:szCs w:val="24"/>
          <w:lang w:val="en-US"/>
        </w:rPr>
        <w:t xml:space="preserve">in the age group 55–64 years </w:t>
      </w:r>
      <w:r w:rsidR="001A3707" w:rsidRPr="00B717F6">
        <w:rPr>
          <w:szCs w:val="24"/>
          <w:lang w:val="en-US"/>
        </w:rPr>
        <w:t>reported masturbating in the past month than women (19%) (Mercer et al., 2013).</w:t>
      </w:r>
      <w:r w:rsidR="00B0426A" w:rsidRPr="00B717F6">
        <w:rPr>
          <w:szCs w:val="24"/>
          <w:lang w:val="en-US"/>
        </w:rPr>
        <w:t xml:space="preserve"> </w:t>
      </w:r>
      <w:r w:rsidR="00140D73" w:rsidRPr="00B717F6">
        <w:rPr>
          <w:szCs w:val="24"/>
          <w:lang w:val="en-US"/>
        </w:rPr>
        <w:t xml:space="preserve">The respective </w:t>
      </w:r>
      <w:r w:rsidR="001A3707" w:rsidRPr="00B717F6">
        <w:rPr>
          <w:szCs w:val="24"/>
          <w:lang w:val="en-US"/>
        </w:rPr>
        <w:t>proportions</w:t>
      </w:r>
      <w:r w:rsidR="00140D73" w:rsidRPr="00B717F6">
        <w:rPr>
          <w:szCs w:val="24"/>
          <w:lang w:val="en-US"/>
        </w:rPr>
        <w:t xml:space="preserve"> </w:t>
      </w:r>
      <w:r w:rsidR="00B257D4" w:rsidRPr="00B717F6">
        <w:rPr>
          <w:szCs w:val="24"/>
          <w:lang w:val="en-US"/>
        </w:rPr>
        <w:t xml:space="preserve">among </w:t>
      </w:r>
      <w:r w:rsidR="00EE24F1" w:rsidRPr="00B717F6">
        <w:rPr>
          <w:szCs w:val="24"/>
          <w:lang w:val="en-US"/>
        </w:rPr>
        <w:t xml:space="preserve">men and women </w:t>
      </w:r>
      <w:r w:rsidR="00B257D4" w:rsidRPr="00B717F6">
        <w:rPr>
          <w:szCs w:val="24"/>
          <w:lang w:val="en-US"/>
        </w:rPr>
        <w:t xml:space="preserve">aged 65–75 years were </w:t>
      </w:r>
      <w:r w:rsidR="00577F2E" w:rsidRPr="00B717F6">
        <w:rPr>
          <w:szCs w:val="24"/>
          <w:lang w:val="en-US"/>
        </w:rPr>
        <w:t>33% and 10%</w:t>
      </w:r>
      <w:r w:rsidR="00EE24F1" w:rsidRPr="00B717F6">
        <w:rPr>
          <w:szCs w:val="24"/>
          <w:lang w:val="en-US"/>
        </w:rPr>
        <w:t>, respectively</w:t>
      </w:r>
      <w:r w:rsidR="00B257D4" w:rsidRPr="00B717F6">
        <w:rPr>
          <w:szCs w:val="24"/>
          <w:lang w:val="en-US"/>
        </w:rPr>
        <w:t>.</w:t>
      </w:r>
    </w:p>
    <w:p w14:paraId="75FBA52A" w14:textId="4841F220" w:rsidR="00BD35DD" w:rsidRPr="00B717F6" w:rsidRDefault="00930BDE" w:rsidP="009C0C78">
      <w:pPr>
        <w:rPr>
          <w:szCs w:val="24"/>
          <w:lang w:val="en-US"/>
        </w:rPr>
      </w:pPr>
      <w:r w:rsidRPr="00B717F6">
        <w:rPr>
          <w:szCs w:val="24"/>
          <w:lang w:val="en-US"/>
        </w:rPr>
        <w:t xml:space="preserve">Higher levels of education may </w:t>
      </w:r>
      <w:r w:rsidR="0097129D" w:rsidRPr="00B717F6">
        <w:rPr>
          <w:szCs w:val="24"/>
          <w:lang w:val="en-US"/>
        </w:rPr>
        <w:t xml:space="preserve">be associated with </w:t>
      </w:r>
      <w:r w:rsidRPr="00B717F6">
        <w:rPr>
          <w:szCs w:val="24"/>
          <w:lang w:val="en-US"/>
        </w:rPr>
        <w:t xml:space="preserve">masturbation through </w:t>
      </w:r>
      <w:r w:rsidR="00DE5DEA" w:rsidRPr="00B717F6">
        <w:rPr>
          <w:szCs w:val="24"/>
          <w:lang w:val="en-US"/>
        </w:rPr>
        <w:t>better</w:t>
      </w:r>
      <w:r w:rsidRPr="00B717F6">
        <w:rPr>
          <w:szCs w:val="24"/>
          <w:lang w:val="en-US"/>
        </w:rPr>
        <w:t xml:space="preserve"> access </w:t>
      </w:r>
      <w:r w:rsidR="0062667B" w:rsidRPr="00B717F6">
        <w:rPr>
          <w:szCs w:val="24"/>
          <w:lang w:val="en-US"/>
        </w:rPr>
        <w:t>t</w:t>
      </w:r>
      <w:r w:rsidRPr="00B717F6">
        <w:rPr>
          <w:szCs w:val="24"/>
          <w:lang w:val="en-US"/>
        </w:rPr>
        <w:t xml:space="preserve">o </w:t>
      </w:r>
      <w:r w:rsidR="0062667B" w:rsidRPr="00B717F6">
        <w:rPr>
          <w:szCs w:val="24"/>
          <w:lang w:val="en-US"/>
        </w:rPr>
        <w:t>information</w:t>
      </w:r>
      <w:r w:rsidRPr="00B717F6">
        <w:rPr>
          <w:szCs w:val="24"/>
          <w:lang w:val="en-US"/>
        </w:rPr>
        <w:t xml:space="preserve">, </w:t>
      </w:r>
      <w:r w:rsidR="0062667B" w:rsidRPr="00B717F6">
        <w:rPr>
          <w:szCs w:val="24"/>
          <w:lang w:val="en-US"/>
        </w:rPr>
        <w:t>health literacy</w:t>
      </w:r>
      <w:r w:rsidR="0024356B">
        <w:rPr>
          <w:szCs w:val="24"/>
          <w:lang w:val="en-US"/>
        </w:rPr>
        <w:t>,</w:t>
      </w:r>
      <w:r w:rsidR="0062667B" w:rsidRPr="00B717F6">
        <w:rPr>
          <w:szCs w:val="24"/>
          <w:lang w:val="en-US"/>
        </w:rPr>
        <w:t xml:space="preserve"> and </w:t>
      </w:r>
      <w:r w:rsidR="00EC7E21" w:rsidRPr="00B717F6">
        <w:rPr>
          <w:szCs w:val="24"/>
          <w:lang w:val="en-US"/>
        </w:rPr>
        <w:t xml:space="preserve">sex </w:t>
      </w:r>
      <w:r w:rsidRPr="00B717F6">
        <w:rPr>
          <w:szCs w:val="24"/>
          <w:lang w:val="en-US"/>
        </w:rPr>
        <w:t xml:space="preserve">education, which </w:t>
      </w:r>
      <w:r w:rsidR="00DE5DEA" w:rsidRPr="00B717F6">
        <w:rPr>
          <w:szCs w:val="24"/>
          <w:lang w:val="en-US"/>
        </w:rPr>
        <w:t>possibly</w:t>
      </w:r>
      <w:r w:rsidRPr="00B717F6">
        <w:rPr>
          <w:szCs w:val="24"/>
          <w:lang w:val="en-US"/>
        </w:rPr>
        <w:t xml:space="preserve"> </w:t>
      </w:r>
      <w:r w:rsidR="00DE5DEA" w:rsidRPr="00B717F6">
        <w:rPr>
          <w:szCs w:val="24"/>
          <w:lang w:val="en-US"/>
        </w:rPr>
        <w:t>diminish</w:t>
      </w:r>
      <w:r w:rsidRPr="00B717F6">
        <w:rPr>
          <w:szCs w:val="24"/>
          <w:lang w:val="en-US"/>
        </w:rPr>
        <w:t xml:space="preserve"> </w:t>
      </w:r>
      <w:r w:rsidR="0097129D" w:rsidRPr="00B717F6">
        <w:rPr>
          <w:szCs w:val="24"/>
          <w:lang w:val="en-US"/>
        </w:rPr>
        <w:t xml:space="preserve">negative </w:t>
      </w:r>
      <w:r w:rsidR="007D3742" w:rsidRPr="00B717F6">
        <w:rPr>
          <w:szCs w:val="24"/>
          <w:lang w:val="en-US"/>
        </w:rPr>
        <w:t>assumptions</w:t>
      </w:r>
      <w:r w:rsidR="0014485B" w:rsidRPr="00B717F6">
        <w:rPr>
          <w:szCs w:val="24"/>
          <w:lang w:val="en-US"/>
        </w:rPr>
        <w:t xml:space="preserve"> and fears</w:t>
      </w:r>
      <w:r w:rsidR="00EC7E21" w:rsidRPr="00B717F6">
        <w:rPr>
          <w:szCs w:val="24"/>
          <w:lang w:val="en-US"/>
        </w:rPr>
        <w:t xml:space="preserve"> related to </w:t>
      </w:r>
      <w:r w:rsidR="0097129D" w:rsidRPr="00B717F6">
        <w:rPr>
          <w:szCs w:val="24"/>
          <w:lang w:val="en-US"/>
        </w:rPr>
        <w:t>masturbation</w:t>
      </w:r>
      <w:r w:rsidR="00C81F16" w:rsidRPr="00B717F6">
        <w:rPr>
          <w:szCs w:val="24"/>
          <w:lang w:val="en-US"/>
        </w:rPr>
        <w:t xml:space="preserve"> (</w:t>
      </w:r>
      <w:proofErr w:type="spellStart"/>
      <w:r w:rsidR="00332937" w:rsidRPr="00B717F6">
        <w:rPr>
          <w:szCs w:val="24"/>
          <w:lang w:val="en-US"/>
        </w:rPr>
        <w:t>Gerressu</w:t>
      </w:r>
      <w:proofErr w:type="spellEnd"/>
      <w:r w:rsidR="00332937" w:rsidRPr="00B717F6">
        <w:rPr>
          <w:szCs w:val="24"/>
          <w:lang w:val="en-US"/>
        </w:rPr>
        <w:t xml:space="preserve"> et al., 2008; </w:t>
      </w:r>
      <w:proofErr w:type="spellStart"/>
      <w:r w:rsidR="00013548" w:rsidRPr="00B717F6">
        <w:rPr>
          <w:szCs w:val="24"/>
          <w:lang w:val="en-US"/>
        </w:rPr>
        <w:t>Kontula</w:t>
      </w:r>
      <w:proofErr w:type="spellEnd"/>
      <w:r w:rsidR="00013548" w:rsidRPr="00B717F6">
        <w:rPr>
          <w:szCs w:val="24"/>
          <w:lang w:val="en-US"/>
        </w:rPr>
        <w:t xml:space="preserve"> &amp; </w:t>
      </w:r>
      <w:proofErr w:type="spellStart"/>
      <w:r w:rsidR="00013548" w:rsidRPr="00B717F6">
        <w:rPr>
          <w:szCs w:val="24"/>
          <w:lang w:val="en-US"/>
        </w:rPr>
        <w:t>Haavio-Mannila</w:t>
      </w:r>
      <w:proofErr w:type="spellEnd"/>
      <w:r w:rsidR="00013548" w:rsidRPr="00B717F6">
        <w:rPr>
          <w:szCs w:val="24"/>
          <w:lang w:val="en-US"/>
        </w:rPr>
        <w:t>, 2003</w:t>
      </w:r>
      <w:r w:rsidR="00865318" w:rsidRPr="00B717F6">
        <w:rPr>
          <w:szCs w:val="24"/>
          <w:lang w:val="en-US"/>
        </w:rPr>
        <w:t xml:space="preserve">; </w:t>
      </w:r>
      <w:proofErr w:type="spellStart"/>
      <w:r w:rsidR="00865318" w:rsidRPr="00B717F6">
        <w:rPr>
          <w:szCs w:val="24"/>
          <w:lang w:val="en-US"/>
        </w:rPr>
        <w:t>Richters</w:t>
      </w:r>
      <w:proofErr w:type="spellEnd"/>
      <w:r w:rsidR="00865318" w:rsidRPr="00B717F6">
        <w:rPr>
          <w:szCs w:val="24"/>
          <w:lang w:val="en-US"/>
        </w:rPr>
        <w:t xml:space="preserve"> et al., 2014</w:t>
      </w:r>
      <w:r w:rsidR="00C81F16" w:rsidRPr="00B717F6">
        <w:rPr>
          <w:szCs w:val="24"/>
          <w:lang w:val="en-US"/>
        </w:rPr>
        <w:t>)</w:t>
      </w:r>
      <w:r w:rsidRPr="00B717F6">
        <w:rPr>
          <w:szCs w:val="24"/>
          <w:lang w:val="en-US"/>
        </w:rPr>
        <w:t>.</w:t>
      </w:r>
      <w:r w:rsidR="00612E66" w:rsidRPr="00B717F6">
        <w:rPr>
          <w:szCs w:val="24"/>
          <w:lang w:val="en-US"/>
        </w:rPr>
        <w:t xml:space="preserve"> </w:t>
      </w:r>
      <w:r w:rsidR="005B5EA2" w:rsidRPr="00B717F6">
        <w:rPr>
          <w:szCs w:val="24"/>
          <w:lang w:val="en-US"/>
        </w:rPr>
        <w:t xml:space="preserve">For instance, </w:t>
      </w:r>
      <w:proofErr w:type="spellStart"/>
      <w:r w:rsidR="009C7F41" w:rsidRPr="00B717F6">
        <w:rPr>
          <w:szCs w:val="24"/>
          <w:lang w:val="en-US"/>
        </w:rPr>
        <w:t>Kontula</w:t>
      </w:r>
      <w:proofErr w:type="spellEnd"/>
      <w:r w:rsidR="009C7F41" w:rsidRPr="00B717F6">
        <w:rPr>
          <w:szCs w:val="24"/>
          <w:lang w:val="en-US"/>
        </w:rPr>
        <w:t xml:space="preserve"> and </w:t>
      </w:r>
      <w:proofErr w:type="spellStart"/>
      <w:r w:rsidR="009C7F41" w:rsidRPr="00B717F6">
        <w:rPr>
          <w:szCs w:val="24"/>
          <w:lang w:val="en-US"/>
        </w:rPr>
        <w:t>Haavio-Mannila</w:t>
      </w:r>
      <w:proofErr w:type="spellEnd"/>
      <w:r w:rsidR="009C7F41" w:rsidRPr="00B717F6">
        <w:rPr>
          <w:szCs w:val="24"/>
          <w:lang w:val="en-US"/>
        </w:rPr>
        <w:t xml:space="preserve"> (2003) </w:t>
      </w:r>
      <w:r w:rsidR="005B5EA2" w:rsidRPr="00B717F6">
        <w:rPr>
          <w:szCs w:val="24"/>
          <w:lang w:val="en-US"/>
        </w:rPr>
        <w:t xml:space="preserve">found that Finns with </w:t>
      </w:r>
      <w:r w:rsidR="009C7F41" w:rsidRPr="00B717F6">
        <w:rPr>
          <w:szCs w:val="24"/>
          <w:lang w:val="en-US"/>
        </w:rPr>
        <w:t>higher</w:t>
      </w:r>
      <w:r w:rsidR="004902D2" w:rsidRPr="00B717F6">
        <w:rPr>
          <w:szCs w:val="24"/>
          <w:lang w:val="en-US"/>
        </w:rPr>
        <w:t xml:space="preserve"> levels of</w:t>
      </w:r>
      <w:r w:rsidR="005B5EA2" w:rsidRPr="00B717F6">
        <w:rPr>
          <w:szCs w:val="24"/>
          <w:lang w:val="en-US"/>
        </w:rPr>
        <w:t xml:space="preserve"> education felt less guilt about masturbation, perceived masturbation less often as unhealthy, and masturbated more often than those with </w:t>
      </w:r>
      <w:r w:rsidR="004902D2" w:rsidRPr="00B717F6">
        <w:rPr>
          <w:szCs w:val="24"/>
          <w:lang w:val="en-US"/>
        </w:rPr>
        <w:t xml:space="preserve">lower levels of </w:t>
      </w:r>
      <w:r w:rsidR="005B5EA2" w:rsidRPr="00B717F6">
        <w:rPr>
          <w:szCs w:val="24"/>
          <w:lang w:val="en-US"/>
        </w:rPr>
        <w:t xml:space="preserve">education. </w:t>
      </w:r>
      <w:r w:rsidR="00EA39EB" w:rsidRPr="00B717F6">
        <w:rPr>
          <w:szCs w:val="24"/>
          <w:lang w:val="en-US"/>
        </w:rPr>
        <w:t>I</w:t>
      </w:r>
      <w:r w:rsidR="002B19B4" w:rsidRPr="00B717F6">
        <w:rPr>
          <w:szCs w:val="24"/>
          <w:lang w:val="en-US"/>
        </w:rPr>
        <w:t xml:space="preserve">n addition to the level of education, </w:t>
      </w:r>
      <w:r w:rsidR="00691FB5" w:rsidRPr="00B717F6">
        <w:rPr>
          <w:szCs w:val="24"/>
          <w:lang w:val="en-US"/>
        </w:rPr>
        <w:t xml:space="preserve">it </w:t>
      </w:r>
      <w:r w:rsidR="00797997" w:rsidRPr="00B717F6">
        <w:rPr>
          <w:szCs w:val="24"/>
          <w:lang w:val="en-US"/>
        </w:rPr>
        <w:t>may be</w:t>
      </w:r>
      <w:r w:rsidR="00691FB5" w:rsidRPr="00B717F6">
        <w:rPr>
          <w:szCs w:val="24"/>
          <w:lang w:val="en-US"/>
        </w:rPr>
        <w:t xml:space="preserve"> important </w:t>
      </w:r>
      <w:r w:rsidR="006E2A56" w:rsidRPr="00B717F6">
        <w:rPr>
          <w:szCs w:val="24"/>
          <w:lang w:val="en-US"/>
        </w:rPr>
        <w:t xml:space="preserve">in which </w:t>
      </w:r>
      <w:r w:rsidR="00E1412B" w:rsidRPr="00B717F6">
        <w:rPr>
          <w:szCs w:val="24"/>
          <w:lang w:val="en-US"/>
        </w:rPr>
        <w:t>decade and cultur</w:t>
      </w:r>
      <w:r w:rsidR="00453F64" w:rsidRPr="00B717F6">
        <w:rPr>
          <w:szCs w:val="24"/>
          <w:lang w:val="en-US"/>
        </w:rPr>
        <w:t>al</w:t>
      </w:r>
      <w:r w:rsidR="00E1412B" w:rsidRPr="00B717F6">
        <w:rPr>
          <w:szCs w:val="24"/>
          <w:lang w:val="en-US"/>
        </w:rPr>
        <w:t xml:space="preserve"> context </w:t>
      </w:r>
      <w:r w:rsidR="00691FB5" w:rsidRPr="00B717F6">
        <w:rPr>
          <w:szCs w:val="24"/>
          <w:lang w:val="en-US"/>
        </w:rPr>
        <w:t xml:space="preserve">older adults received their </w:t>
      </w:r>
      <w:r w:rsidR="00DE5DEA" w:rsidRPr="00B717F6">
        <w:rPr>
          <w:szCs w:val="24"/>
          <w:lang w:val="en-US"/>
        </w:rPr>
        <w:t>schooling</w:t>
      </w:r>
      <w:r w:rsidR="00F5078E" w:rsidRPr="00B717F6">
        <w:rPr>
          <w:szCs w:val="24"/>
          <w:lang w:val="en-US"/>
        </w:rPr>
        <w:t>.</w:t>
      </w:r>
      <w:r w:rsidR="00612E66" w:rsidRPr="00B717F6">
        <w:rPr>
          <w:szCs w:val="24"/>
          <w:lang w:val="en-US"/>
        </w:rPr>
        <w:t xml:space="preserve"> </w:t>
      </w:r>
      <w:r w:rsidR="00691FB5" w:rsidRPr="00B717F6">
        <w:rPr>
          <w:szCs w:val="24"/>
          <w:lang w:val="en-US"/>
        </w:rPr>
        <w:t>Cross-European</w:t>
      </w:r>
      <w:r w:rsidR="00F5078E" w:rsidRPr="00B717F6">
        <w:rPr>
          <w:szCs w:val="24"/>
          <w:lang w:val="en-US"/>
        </w:rPr>
        <w:t xml:space="preserve"> differences in </w:t>
      </w:r>
      <w:r w:rsidR="00691FB5" w:rsidRPr="00B717F6">
        <w:rPr>
          <w:szCs w:val="24"/>
          <w:lang w:val="en-US"/>
        </w:rPr>
        <w:t xml:space="preserve">sex education and </w:t>
      </w:r>
      <w:r w:rsidR="00CA1D6F" w:rsidRPr="00B717F6">
        <w:rPr>
          <w:szCs w:val="24"/>
          <w:lang w:val="en-US"/>
        </w:rPr>
        <w:t>country-</w:t>
      </w:r>
      <w:r w:rsidR="005131BA" w:rsidRPr="00B717F6">
        <w:rPr>
          <w:szCs w:val="24"/>
          <w:lang w:val="en-US"/>
        </w:rPr>
        <w:t>specific political and religious forces</w:t>
      </w:r>
      <w:r w:rsidR="00691FB5" w:rsidRPr="00B717F6">
        <w:rPr>
          <w:szCs w:val="24"/>
          <w:lang w:val="en-US"/>
        </w:rPr>
        <w:t xml:space="preserve"> </w:t>
      </w:r>
      <w:r w:rsidR="00453F64" w:rsidRPr="00B717F6">
        <w:rPr>
          <w:szCs w:val="24"/>
          <w:lang w:val="en-US"/>
        </w:rPr>
        <w:t xml:space="preserve">are </w:t>
      </w:r>
      <w:r w:rsidR="006A27EF" w:rsidRPr="00B717F6">
        <w:rPr>
          <w:szCs w:val="24"/>
          <w:lang w:val="en-US"/>
        </w:rPr>
        <w:t xml:space="preserve">likely </w:t>
      </w:r>
      <w:r w:rsidR="00453F64" w:rsidRPr="00B717F6">
        <w:rPr>
          <w:szCs w:val="24"/>
          <w:lang w:val="en-US"/>
        </w:rPr>
        <w:t xml:space="preserve">to </w:t>
      </w:r>
      <w:r w:rsidR="0097129D" w:rsidRPr="00B717F6">
        <w:rPr>
          <w:szCs w:val="24"/>
          <w:lang w:val="en-US"/>
        </w:rPr>
        <w:t xml:space="preserve">also influence </w:t>
      </w:r>
      <w:r w:rsidR="00ED0AA3" w:rsidRPr="00B717F6">
        <w:rPr>
          <w:szCs w:val="24"/>
          <w:lang w:val="en-US"/>
        </w:rPr>
        <w:t>masturbation</w:t>
      </w:r>
      <w:r w:rsidR="00691FB5" w:rsidRPr="00B717F6">
        <w:rPr>
          <w:szCs w:val="24"/>
          <w:lang w:val="en-US"/>
        </w:rPr>
        <w:t xml:space="preserve"> </w:t>
      </w:r>
      <w:r w:rsidR="00282ED7" w:rsidRPr="00B717F6">
        <w:rPr>
          <w:szCs w:val="24"/>
          <w:lang w:val="en-US"/>
        </w:rPr>
        <w:t>habits</w:t>
      </w:r>
      <w:r w:rsidR="006A27EF" w:rsidRPr="00B717F6">
        <w:rPr>
          <w:szCs w:val="24"/>
          <w:lang w:val="en-US"/>
        </w:rPr>
        <w:t xml:space="preserve"> (Francoeur &amp; </w:t>
      </w:r>
      <w:proofErr w:type="spellStart"/>
      <w:r w:rsidR="006A27EF" w:rsidRPr="00B717F6">
        <w:rPr>
          <w:szCs w:val="24"/>
          <w:lang w:val="en-US"/>
        </w:rPr>
        <w:t>Noona</w:t>
      </w:r>
      <w:proofErr w:type="spellEnd"/>
      <w:r w:rsidR="006A27EF" w:rsidRPr="00B717F6">
        <w:rPr>
          <w:szCs w:val="24"/>
          <w:lang w:val="en-US"/>
        </w:rPr>
        <w:t>, 2004</w:t>
      </w:r>
      <w:r w:rsidR="00044EFD" w:rsidRPr="00B717F6">
        <w:rPr>
          <w:szCs w:val="24"/>
          <w:lang w:val="en-US"/>
        </w:rPr>
        <w:t xml:space="preserve">; </w:t>
      </w:r>
      <w:proofErr w:type="spellStart"/>
      <w:r w:rsidR="00044EFD" w:rsidRPr="00B717F6">
        <w:rPr>
          <w:szCs w:val="24"/>
          <w:lang w:val="en-US"/>
        </w:rPr>
        <w:t>Kontula</w:t>
      </w:r>
      <w:proofErr w:type="spellEnd"/>
      <w:r w:rsidR="00044EFD" w:rsidRPr="00B717F6">
        <w:rPr>
          <w:szCs w:val="24"/>
          <w:lang w:val="en-US"/>
        </w:rPr>
        <w:t xml:space="preserve"> &amp; </w:t>
      </w:r>
      <w:proofErr w:type="spellStart"/>
      <w:r w:rsidR="00044EFD" w:rsidRPr="00B717F6">
        <w:rPr>
          <w:szCs w:val="24"/>
          <w:lang w:val="en-US"/>
        </w:rPr>
        <w:t>Haavio-Mannila</w:t>
      </w:r>
      <w:proofErr w:type="spellEnd"/>
      <w:r w:rsidR="00044EFD" w:rsidRPr="00B717F6">
        <w:rPr>
          <w:szCs w:val="24"/>
          <w:lang w:val="en-US"/>
        </w:rPr>
        <w:t>, 2003</w:t>
      </w:r>
      <w:r w:rsidR="006A27EF" w:rsidRPr="00B717F6">
        <w:rPr>
          <w:szCs w:val="24"/>
          <w:lang w:val="en-US"/>
        </w:rPr>
        <w:t>)</w:t>
      </w:r>
      <w:r w:rsidR="00935ECF" w:rsidRPr="00B717F6">
        <w:rPr>
          <w:szCs w:val="24"/>
          <w:lang w:val="en-US"/>
        </w:rPr>
        <w:t>.</w:t>
      </w:r>
      <w:r w:rsidR="00ED0AA3" w:rsidRPr="00B717F6">
        <w:rPr>
          <w:szCs w:val="24"/>
          <w:lang w:val="en-US"/>
        </w:rPr>
        <w:t xml:space="preserve"> </w:t>
      </w:r>
    </w:p>
    <w:p w14:paraId="2D5B7C41" w14:textId="7BA16FCE" w:rsidR="00412F91" w:rsidRPr="00B717F6" w:rsidRDefault="00FB5EAA" w:rsidP="009C0C78">
      <w:pPr>
        <w:rPr>
          <w:szCs w:val="24"/>
          <w:lang w:val="en-US"/>
        </w:rPr>
      </w:pPr>
      <w:r w:rsidRPr="00B717F6">
        <w:rPr>
          <w:szCs w:val="24"/>
          <w:lang w:val="en-US"/>
        </w:rPr>
        <w:t>The few</w:t>
      </w:r>
      <w:r w:rsidR="00555617" w:rsidRPr="00B717F6">
        <w:rPr>
          <w:szCs w:val="24"/>
          <w:lang w:val="en-US"/>
        </w:rPr>
        <w:t xml:space="preserve"> studies </w:t>
      </w:r>
      <w:r w:rsidRPr="00B717F6">
        <w:rPr>
          <w:szCs w:val="24"/>
          <w:lang w:val="en-US"/>
        </w:rPr>
        <w:t>assessing</w:t>
      </w:r>
      <w:r w:rsidR="00555617" w:rsidRPr="00B717F6">
        <w:rPr>
          <w:szCs w:val="24"/>
          <w:lang w:val="en-US"/>
        </w:rPr>
        <w:t xml:space="preserve"> </w:t>
      </w:r>
      <w:r w:rsidR="00412F91" w:rsidRPr="00B717F6">
        <w:rPr>
          <w:szCs w:val="24"/>
          <w:lang w:val="en-US"/>
        </w:rPr>
        <w:t xml:space="preserve">the relationship </w:t>
      </w:r>
      <w:r w:rsidR="00F5078E" w:rsidRPr="00B717F6">
        <w:rPr>
          <w:szCs w:val="24"/>
          <w:lang w:val="en-US"/>
        </w:rPr>
        <w:t xml:space="preserve">between </w:t>
      </w:r>
      <w:r w:rsidR="00FB13F0" w:rsidRPr="00B717F6">
        <w:rPr>
          <w:szCs w:val="24"/>
          <w:lang w:val="en-US"/>
        </w:rPr>
        <w:t>health</w:t>
      </w:r>
      <w:r w:rsidR="006C178B" w:rsidRPr="00B717F6">
        <w:rPr>
          <w:szCs w:val="24"/>
          <w:lang w:val="en-US"/>
        </w:rPr>
        <w:t xml:space="preserve"> factors</w:t>
      </w:r>
      <w:r w:rsidR="00FB13F0" w:rsidRPr="00B717F6">
        <w:rPr>
          <w:szCs w:val="24"/>
          <w:lang w:val="en-US"/>
        </w:rPr>
        <w:t xml:space="preserve"> </w:t>
      </w:r>
      <w:r w:rsidR="00F5078E" w:rsidRPr="00B717F6">
        <w:rPr>
          <w:szCs w:val="24"/>
          <w:lang w:val="en-US"/>
        </w:rPr>
        <w:t>and ma</w:t>
      </w:r>
      <w:r w:rsidR="007D1E0D" w:rsidRPr="00B717F6">
        <w:rPr>
          <w:szCs w:val="24"/>
          <w:lang w:val="en-US"/>
        </w:rPr>
        <w:t>sturbation have</w:t>
      </w:r>
      <w:r w:rsidR="00412F91" w:rsidRPr="00B717F6">
        <w:rPr>
          <w:szCs w:val="24"/>
          <w:lang w:val="en-US"/>
        </w:rPr>
        <w:t xml:space="preserve"> </w:t>
      </w:r>
      <w:r w:rsidR="00656915" w:rsidRPr="00B717F6">
        <w:rPr>
          <w:szCs w:val="24"/>
          <w:lang w:val="en-US"/>
        </w:rPr>
        <w:t xml:space="preserve">yielded </w:t>
      </w:r>
      <w:r w:rsidR="00EC672B" w:rsidRPr="00B717F6">
        <w:rPr>
          <w:szCs w:val="24"/>
          <w:lang w:val="en-US"/>
        </w:rPr>
        <w:t xml:space="preserve">inconclusive and </w:t>
      </w:r>
      <w:r w:rsidR="00656915" w:rsidRPr="00B717F6">
        <w:rPr>
          <w:szCs w:val="24"/>
          <w:lang w:val="en-US"/>
        </w:rPr>
        <w:t>sometimes contradictory findings</w:t>
      </w:r>
      <w:r w:rsidR="00EC672B" w:rsidRPr="00B717F6">
        <w:rPr>
          <w:szCs w:val="24"/>
          <w:lang w:val="en-US"/>
        </w:rPr>
        <w:t xml:space="preserve"> </w:t>
      </w:r>
      <w:r w:rsidR="00F5078E" w:rsidRPr="00B717F6">
        <w:rPr>
          <w:szCs w:val="24"/>
          <w:lang w:val="en-US"/>
        </w:rPr>
        <w:t>(</w:t>
      </w:r>
      <w:r w:rsidR="00BD4814" w:rsidRPr="00B717F6">
        <w:rPr>
          <w:szCs w:val="24"/>
          <w:lang w:val="en-US"/>
        </w:rPr>
        <w:t xml:space="preserve">Das, 2007; </w:t>
      </w:r>
      <w:proofErr w:type="spellStart"/>
      <w:r w:rsidR="00CA5994" w:rsidRPr="00B717F6">
        <w:rPr>
          <w:szCs w:val="24"/>
          <w:lang w:val="en-US"/>
        </w:rPr>
        <w:t>Gerressu</w:t>
      </w:r>
      <w:proofErr w:type="spellEnd"/>
      <w:r w:rsidR="00CA5994" w:rsidRPr="00B717F6">
        <w:rPr>
          <w:szCs w:val="24"/>
          <w:lang w:val="en-US"/>
        </w:rPr>
        <w:t xml:space="preserve"> et al., 2008;</w:t>
      </w:r>
      <w:r w:rsidR="00A81385" w:rsidRPr="00B717F6">
        <w:rPr>
          <w:szCs w:val="24"/>
          <w:lang w:val="en-US"/>
        </w:rPr>
        <w:t xml:space="preserve"> Lee et al., 2016;</w:t>
      </w:r>
      <w:r w:rsidR="00CA5994" w:rsidRPr="00B717F6">
        <w:rPr>
          <w:szCs w:val="24"/>
          <w:lang w:val="en-US"/>
        </w:rPr>
        <w:t xml:space="preserve"> </w:t>
      </w:r>
      <w:r w:rsidR="00F5078E" w:rsidRPr="00B717F6">
        <w:rPr>
          <w:szCs w:val="24"/>
          <w:lang w:val="en-US"/>
        </w:rPr>
        <w:t>Lindau et al., 2007;</w:t>
      </w:r>
      <w:r w:rsidR="00CA5994" w:rsidRPr="00B717F6">
        <w:rPr>
          <w:szCs w:val="24"/>
          <w:lang w:val="en-US"/>
        </w:rPr>
        <w:t xml:space="preserve"> </w:t>
      </w:r>
      <w:r w:rsidR="00F5078E" w:rsidRPr="00B717F6">
        <w:rPr>
          <w:szCs w:val="24"/>
          <w:lang w:val="en-US"/>
        </w:rPr>
        <w:t>Schick et al., 2010)</w:t>
      </w:r>
      <w:r w:rsidR="00EC672B" w:rsidRPr="00B717F6">
        <w:rPr>
          <w:szCs w:val="24"/>
          <w:lang w:val="en-US"/>
        </w:rPr>
        <w:t>.</w:t>
      </w:r>
      <w:r w:rsidRPr="00B717F6">
        <w:rPr>
          <w:szCs w:val="24"/>
          <w:lang w:val="en-US"/>
        </w:rPr>
        <w:t xml:space="preserve"> In</w:t>
      </w:r>
      <w:r w:rsidR="00EC672B" w:rsidRPr="00B717F6">
        <w:rPr>
          <w:szCs w:val="24"/>
          <w:lang w:val="en-US"/>
        </w:rPr>
        <w:t xml:space="preserve"> </w:t>
      </w:r>
      <w:r w:rsidR="00385A32" w:rsidRPr="00B717F6">
        <w:rPr>
          <w:szCs w:val="24"/>
          <w:lang w:val="en-US"/>
        </w:rPr>
        <w:t xml:space="preserve">a </w:t>
      </w:r>
      <w:r w:rsidR="00665BE2" w:rsidRPr="00B717F6">
        <w:rPr>
          <w:szCs w:val="24"/>
          <w:lang w:val="en-US"/>
        </w:rPr>
        <w:t xml:space="preserve">U.S. </w:t>
      </w:r>
      <w:r w:rsidR="00600B9F" w:rsidRPr="00B717F6">
        <w:rPr>
          <w:szCs w:val="24"/>
          <w:lang w:val="en-US"/>
        </w:rPr>
        <w:t>nationally representative sample of</w:t>
      </w:r>
      <w:r w:rsidR="00385A32" w:rsidRPr="00B717F6">
        <w:rPr>
          <w:szCs w:val="24"/>
          <w:lang w:val="en-US"/>
        </w:rPr>
        <w:t xml:space="preserve"> </w:t>
      </w:r>
      <w:r w:rsidR="00665BE2" w:rsidRPr="00B717F6">
        <w:rPr>
          <w:szCs w:val="24"/>
          <w:lang w:val="en-US"/>
        </w:rPr>
        <w:t>men</w:t>
      </w:r>
      <w:r w:rsidR="00453F64" w:rsidRPr="00B717F6">
        <w:rPr>
          <w:szCs w:val="24"/>
          <w:lang w:val="en-US"/>
        </w:rPr>
        <w:t xml:space="preserve"> </w:t>
      </w:r>
      <w:r w:rsidR="00600B9F" w:rsidRPr="00B717F6">
        <w:rPr>
          <w:szCs w:val="24"/>
          <w:lang w:val="en-US"/>
        </w:rPr>
        <w:t>aged 50 to</w:t>
      </w:r>
      <w:r w:rsidR="00656915" w:rsidRPr="00B717F6">
        <w:rPr>
          <w:szCs w:val="24"/>
          <w:lang w:val="en-US"/>
        </w:rPr>
        <w:t xml:space="preserve"> </w:t>
      </w:r>
      <w:r w:rsidR="00600B9F" w:rsidRPr="00B717F6">
        <w:rPr>
          <w:szCs w:val="24"/>
          <w:lang w:val="en-US"/>
        </w:rPr>
        <w:t>107 years</w:t>
      </w:r>
      <w:r w:rsidR="0078297B" w:rsidRPr="00B717F6">
        <w:rPr>
          <w:szCs w:val="24"/>
          <w:lang w:val="en-US"/>
        </w:rPr>
        <w:t>,</w:t>
      </w:r>
      <w:r w:rsidR="00385A32" w:rsidRPr="00B717F6">
        <w:rPr>
          <w:szCs w:val="24"/>
          <w:lang w:val="en-US"/>
        </w:rPr>
        <w:t xml:space="preserve"> men with poorer health </w:t>
      </w:r>
      <w:r w:rsidR="00600B9F" w:rsidRPr="00B717F6">
        <w:rPr>
          <w:szCs w:val="24"/>
          <w:lang w:val="en-US"/>
        </w:rPr>
        <w:t xml:space="preserve">were more likely </w:t>
      </w:r>
      <w:r w:rsidR="00600B9F" w:rsidRPr="00B717F6">
        <w:rPr>
          <w:szCs w:val="24"/>
          <w:lang w:val="en-US"/>
        </w:rPr>
        <w:lastRenderedPageBreak/>
        <w:t xml:space="preserve">to report </w:t>
      </w:r>
      <w:r w:rsidR="006A61B4" w:rsidRPr="00B717F6">
        <w:rPr>
          <w:szCs w:val="24"/>
          <w:lang w:val="en-US"/>
        </w:rPr>
        <w:t xml:space="preserve">masturbation </w:t>
      </w:r>
      <w:r w:rsidR="00D560B5" w:rsidRPr="00B717F6">
        <w:rPr>
          <w:szCs w:val="24"/>
          <w:lang w:val="en-US"/>
        </w:rPr>
        <w:t>compared to</w:t>
      </w:r>
      <w:r w:rsidR="00D471DF" w:rsidRPr="00B717F6">
        <w:rPr>
          <w:szCs w:val="24"/>
          <w:lang w:val="en-US"/>
        </w:rPr>
        <w:t xml:space="preserve"> men with good self-</w:t>
      </w:r>
      <w:r w:rsidR="00D97024" w:rsidRPr="00B717F6">
        <w:rPr>
          <w:szCs w:val="24"/>
          <w:lang w:val="en-US"/>
        </w:rPr>
        <w:t>perceived</w:t>
      </w:r>
      <w:r w:rsidR="00D471DF" w:rsidRPr="00B717F6">
        <w:rPr>
          <w:szCs w:val="24"/>
          <w:lang w:val="en-US"/>
        </w:rPr>
        <w:t xml:space="preserve"> health</w:t>
      </w:r>
      <w:r w:rsidR="00D560B5" w:rsidRPr="00B717F6">
        <w:rPr>
          <w:szCs w:val="24"/>
          <w:lang w:val="en-US"/>
        </w:rPr>
        <w:t xml:space="preserve"> (Schick et al., 2010)</w:t>
      </w:r>
      <w:r w:rsidRPr="00B717F6">
        <w:rPr>
          <w:i/>
          <w:szCs w:val="24"/>
          <w:lang w:val="en-US"/>
        </w:rPr>
        <w:t xml:space="preserve">. </w:t>
      </w:r>
      <w:r w:rsidRPr="00B717F6">
        <w:rPr>
          <w:szCs w:val="24"/>
          <w:lang w:val="en-US"/>
        </w:rPr>
        <w:t>Other studies, however,</w:t>
      </w:r>
      <w:r w:rsidR="00656915" w:rsidRPr="00B717F6">
        <w:rPr>
          <w:szCs w:val="24"/>
          <w:lang w:val="en-US"/>
        </w:rPr>
        <w:t xml:space="preserve"> have</w:t>
      </w:r>
      <w:r w:rsidR="0011528B" w:rsidRPr="00B717F6">
        <w:rPr>
          <w:szCs w:val="24"/>
          <w:lang w:val="en-US"/>
        </w:rPr>
        <w:t xml:space="preserve"> </w:t>
      </w:r>
      <w:r w:rsidR="00656915" w:rsidRPr="00B717F6">
        <w:rPr>
          <w:szCs w:val="24"/>
          <w:lang w:val="en-GB"/>
        </w:rPr>
        <w:t>reported</w:t>
      </w:r>
      <w:r w:rsidR="00A76295" w:rsidRPr="00B717F6">
        <w:rPr>
          <w:szCs w:val="24"/>
          <w:lang w:val="en-GB"/>
        </w:rPr>
        <w:t xml:space="preserve"> no</w:t>
      </w:r>
      <w:r w:rsidR="0011528B" w:rsidRPr="00B717F6">
        <w:rPr>
          <w:szCs w:val="24"/>
          <w:lang w:val="en-GB"/>
        </w:rPr>
        <w:t xml:space="preserve"> </w:t>
      </w:r>
      <w:r w:rsidR="00EC672B" w:rsidRPr="00B717F6">
        <w:rPr>
          <w:szCs w:val="24"/>
          <w:lang w:val="en-GB"/>
        </w:rPr>
        <w:t xml:space="preserve">significant association between </w:t>
      </w:r>
      <w:r w:rsidR="0011528B" w:rsidRPr="00B717F6">
        <w:rPr>
          <w:szCs w:val="24"/>
          <w:lang w:val="en-GB"/>
        </w:rPr>
        <w:t>self-</w:t>
      </w:r>
      <w:r w:rsidR="004902D2" w:rsidRPr="00B717F6">
        <w:rPr>
          <w:szCs w:val="24"/>
          <w:lang w:val="en-GB"/>
        </w:rPr>
        <w:t xml:space="preserve">reported </w:t>
      </w:r>
      <w:r w:rsidR="0011528B" w:rsidRPr="00B717F6">
        <w:rPr>
          <w:szCs w:val="24"/>
          <w:lang w:val="en-GB"/>
        </w:rPr>
        <w:t>health</w:t>
      </w:r>
      <w:r w:rsidR="00EC672B" w:rsidRPr="00B717F6">
        <w:rPr>
          <w:szCs w:val="24"/>
          <w:lang w:val="en-GB"/>
        </w:rPr>
        <w:t xml:space="preserve"> and </w:t>
      </w:r>
      <w:r w:rsidR="0011528B" w:rsidRPr="00B717F6">
        <w:rPr>
          <w:szCs w:val="24"/>
          <w:lang w:val="en-GB"/>
        </w:rPr>
        <w:t xml:space="preserve">masturbation </w:t>
      </w:r>
      <w:r w:rsidR="00656915" w:rsidRPr="00B717F6">
        <w:rPr>
          <w:szCs w:val="24"/>
          <w:lang w:val="en-GB"/>
        </w:rPr>
        <w:t xml:space="preserve">and </w:t>
      </w:r>
      <w:r w:rsidR="0011528B" w:rsidRPr="00B717F6">
        <w:rPr>
          <w:szCs w:val="24"/>
          <w:lang w:val="en-GB"/>
        </w:rPr>
        <w:t>only</w:t>
      </w:r>
      <w:r w:rsidR="00EE4E07" w:rsidRPr="00B717F6">
        <w:rPr>
          <w:szCs w:val="24"/>
          <w:lang w:val="en-GB"/>
        </w:rPr>
        <w:t xml:space="preserve"> </w:t>
      </w:r>
      <w:r w:rsidR="00656915" w:rsidRPr="00B717F6">
        <w:rPr>
          <w:szCs w:val="24"/>
          <w:lang w:val="en-GB"/>
        </w:rPr>
        <w:t>inconsistent findings</w:t>
      </w:r>
      <w:r w:rsidR="00D471DF" w:rsidRPr="00B717F6">
        <w:rPr>
          <w:szCs w:val="24"/>
          <w:lang w:val="en-GB"/>
        </w:rPr>
        <w:t xml:space="preserve"> between</w:t>
      </w:r>
      <w:r w:rsidR="0011528B" w:rsidRPr="00B717F6">
        <w:rPr>
          <w:szCs w:val="24"/>
          <w:lang w:val="en-GB"/>
        </w:rPr>
        <w:t xml:space="preserve"> masturbation and specific health </w:t>
      </w:r>
      <w:r w:rsidR="004902D2" w:rsidRPr="00B717F6">
        <w:rPr>
          <w:szCs w:val="24"/>
          <w:lang w:val="en-GB"/>
        </w:rPr>
        <w:t>conditions</w:t>
      </w:r>
      <w:r w:rsidR="0011528B" w:rsidRPr="00B717F6">
        <w:rPr>
          <w:szCs w:val="24"/>
          <w:lang w:val="en-GB"/>
        </w:rPr>
        <w:t xml:space="preserve"> (</w:t>
      </w:r>
      <w:r w:rsidR="00EE4E07" w:rsidRPr="00B717F6">
        <w:rPr>
          <w:szCs w:val="24"/>
          <w:lang w:val="en-GB"/>
        </w:rPr>
        <w:t xml:space="preserve">e.g., </w:t>
      </w:r>
      <w:r w:rsidR="0011528B" w:rsidRPr="00B717F6">
        <w:rPr>
          <w:szCs w:val="24"/>
          <w:lang w:val="en-GB"/>
        </w:rPr>
        <w:t>diabetes, high blo</w:t>
      </w:r>
      <w:r w:rsidR="00E861E9" w:rsidRPr="00B717F6">
        <w:rPr>
          <w:szCs w:val="24"/>
          <w:lang w:val="en-GB"/>
        </w:rPr>
        <w:t>o</w:t>
      </w:r>
      <w:r w:rsidR="0011528B" w:rsidRPr="00B717F6">
        <w:rPr>
          <w:szCs w:val="24"/>
          <w:lang w:val="en-GB"/>
        </w:rPr>
        <w:t>d</w:t>
      </w:r>
      <w:r w:rsidR="00EE4E07" w:rsidRPr="00B717F6">
        <w:rPr>
          <w:szCs w:val="24"/>
          <w:lang w:val="en-GB"/>
        </w:rPr>
        <w:t xml:space="preserve"> </w:t>
      </w:r>
      <w:r w:rsidR="00815D12" w:rsidRPr="00B717F6">
        <w:rPr>
          <w:szCs w:val="24"/>
          <w:lang w:val="en-GB"/>
        </w:rPr>
        <w:t>pressure; see</w:t>
      </w:r>
      <w:r w:rsidR="00EE4E07" w:rsidRPr="00B717F6">
        <w:rPr>
          <w:szCs w:val="24"/>
          <w:lang w:val="en-GB"/>
        </w:rPr>
        <w:t xml:space="preserve"> Lee et al., 2016; Lindau et al., 2007</w:t>
      </w:r>
      <w:r w:rsidR="00EC672B" w:rsidRPr="00B717F6">
        <w:rPr>
          <w:szCs w:val="24"/>
          <w:lang w:val="en-GB"/>
        </w:rPr>
        <w:t xml:space="preserve">). </w:t>
      </w:r>
      <w:r w:rsidR="00656915" w:rsidRPr="00B717F6">
        <w:rPr>
          <w:szCs w:val="24"/>
          <w:lang w:val="en-GB"/>
        </w:rPr>
        <w:t xml:space="preserve">Studies </w:t>
      </w:r>
      <w:r w:rsidR="00157EA7" w:rsidRPr="00B717F6">
        <w:rPr>
          <w:szCs w:val="24"/>
          <w:lang w:val="en-GB"/>
        </w:rPr>
        <w:t>among older women</w:t>
      </w:r>
      <w:r w:rsidR="00935ECF" w:rsidRPr="00B717F6">
        <w:rPr>
          <w:szCs w:val="24"/>
          <w:lang w:val="en-GB"/>
        </w:rPr>
        <w:t xml:space="preserve"> </w:t>
      </w:r>
      <w:r w:rsidR="00656915" w:rsidRPr="00B717F6">
        <w:rPr>
          <w:szCs w:val="24"/>
          <w:lang w:val="en-GB"/>
        </w:rPr>
        <w:t xml:space="preserve">have </w:t>
      </w:r>
      <w:r w:rsidR="00A76295" w:rsidRPr="00B717F6">
        <w:rPr>
          <w:szCs w:val="24"/>
          <w:lang w:val="en-GB"/>
        </w:rPr>
        <w:t>suggested</w:t>
      </w:r>
      <w:r w:rsidR="00656915" w:rsidRPr="00B717F6">
        <w:rPr>
          <w:szCs w:val="24"/>
          <w:lang w:val="en-GB"/>
        </w:rPr>
        <w:t xml:space="preserve"> either</w:t>
      </w:r>
      <w:r w:rsidR="00652DBE" w:rsidRPr="00B717F6">
        <w:rPr>
          <w:szCs w:val="24"/>
          <w:lang w:val="en-GB"/>
        </w:rPr>
        <w:t xml:space="preserve"> a lower likelihood of masturbation among those with </w:t>
      </w:r>
      <w:r w:rsidR="00D57E71" w:rsidRPr="00B717F6">
        <w:rPr>
          <w:szCs w:val="24"/>
          <w:lang w:val="en-GB"/>
        </w:rPr>
        <w:t>poorer</w:t>
      </w:r>
      <w:r w:rsidR="00652DBE" w:rsidRPr="00B717F6">
        <w:rPr>
          <w:szCs w:val="24"/>
          <w:lang w:val="en-GB"/>
        </w:rPr>
        <w:t xml:space="preserve"> health </w:t>
      </w:r>
      <w:r w:rsidR="00D57E71" w:rsidRPr="00B717F6">
        <w:rPr>
          <w:szCs w:val="24"/>
          <w:lang w:val="en-GB"/>
        </w:rPr>
        <w:t>(</w:t>
      </w:r>
      <w:r w:rsidR="00AC3C0E" w:rsidRPr="00B717F6">
        <w:rPr>
          <w:szCs w:val="24"/>
          <w:lang w:val="en-GB"/>
        </w:rPr>
        <w:t>Lindau et al., 2007</w:t>
      </w:r>
      <w:r w:rsidR="00D471DF" w:rsidRPr="00B717F6">
        <w:rPr>
          <w:szCs w:val="24"/>
          <w:lang w:val="en-US"/>
        </w:rPr>
        <w:t>)</w:t>
      </w:r>
      <w:r w:rsidR="00E3055D" w:rsidRPr="00B717F6">
        <w:rPr>
          <w:szCs w:val="24"/>
          <w:lang w:val="en-US"/>
        </w:rPr>
        <w:t>,</w:t>
      </w:r>
      <w:r w:rsidR="00404CB7" w:rsidRPr="00B717F6">
        <w:rPr>
          <w:szCs w:val="24"/>
          <w:lang w:val="en-US"/>
        </w:rPr>
        <w:t xml:space="preserve"> or </w:t>
      </w:r>
      <w:r w:rsidR="00935ECF" w:rsidRPr="00B717F6">
        <w:rPr>
          <w:szCs w:val="24"/>
          <w:lang w:val="en-US"/>
        </w:rPr>
        <w:t xml:space="preserve">non-significant </w:t>
      </w:r>
      <w:r w:rsidR="00656915" w:rsidRPr="00B717F6">
        <w:rPr>
          <w:szCs w:val="24"/>
          <w:lang w:val="en-US"/>
        </w:rPr>
        <w:t xml:space="preserve">associations between self-reported health and masturbation </w:t>
      </w:r>
      <w:r w:rsidR="00935ECF" w:rsidRPr="00B717F6">
        <w:rPr>
          <w:szCs w:val="24"/>
          <w:lang w:val="en-GB"/>
        </w:rPr>
        <w:t>(Lee et al., 2016</w:t>
      </w:r>
      <w:r w:rsidR="00935ECF" w:rsidRPr="00B717F6">
        <w:rPr>
          <w:szCs w:val="24"/>
          <w:lang w:val="en-US"/>
        </w:rPr>
        <w:t>; Schick et al., 2010)</w:t>
      </w:r>
      <w:r w:rsidR="00D471DF" w:rsidRPr="00B717F6">
        <w:rPr>
          <w:szCs w:val="24"/>
          <w:lang w:val="en-US"/>
        </w:rPr>
        <w:t>.</w:t>
      </w:r>
      <w:r w:rsidR="006C178B" w:rsidRPr="00B717F6">
        <w:rPr>
          <w:szCs w:val="24"/>
          <w:lang w:val="en-GB"/>
        </w:rPr>
        <w:t xml:space="preserve"> </w:t>
      </w:r>
    </w:p>
    <w:p w14:paraId="354F5C06" w14:textId="7EBB9A61" w:rsidR="008149C0" w:rsidRPr="00B717F6" w:rsidRDefault="008149C0" w:rsidP="009C0C78">
      <w:pPr>
        <w:keepNext/>
        <w:keepLines/>
        <w:ind w:firstLine="0"/>
        <w:outlineLvl w:val="1"/>
        <w:rPr>
          <w:rFonts w:eastAsia="SimSun"/>
          <w:b/>
          <w:szCs w:val="24"/>
          <w:lang w:val="en-US"/>
        </w:rPr>
      </w:pPr>
      <w:r w:rsidRPr="00B717F6">
        <w:rPr>
          <w:rFonts w:eastAsia="SimSun"/>
          <w:b/>
          <w:szCs w:val="24"/>
          <w:lang w:val="en-US"/>
        </w:rPr>
        <w:t xml:space="preserve">Sexual </w:t>
      </w:r>
      <w:r w:rsidR="001F6B1B" w:rsidRPr="00B717F6">
        <w:rPr>
          <w:rFonts w:eastAsia="SimSun"/>
          <w:b/>
          <w:szCs w:val="24"/>
          <w:lang w:val="en-US"/>
        </w:rPr>
        <w:t>B</w:t>
      </w:r>
      <w:r w:rsidR="001E2D9E" w:rsidRPr="00B717F6">
        <w:rPr>
          <w:rFonts w:eastAsia="SimSun"/>
          <w:b/>
          <w:szCs w:val="24"/>
          <w:lang w:val="en-US"/>
        </w:rPr>
        <w:t>ehavior</w:t>
      </w:r>
      <w:r w:rsidR="001F6B1B" w:rsidRPr="00B717F6">
        <w:rPr>
          <w:rFonts w:eastAsia="SimSun"/>
          <w:b/>
          <w:szCs w:val="24"/>
          <w:lang w:val="en-US"/>
        </w:rPr>
        <w:t xml:space="preserve"> and Satisfaction Associated with M</w:t>
      </w:r>
      <w:r w:rsidRPr="00B717F6">
        <w:rPr>
          <w:rFonts w:eastAsia="SimSun"/>
          <w:b/>
          <w:szCs w:val="24"/>
          <w:lang w:val="en-US"/>
        </w:rPr>
        <w:t xml:space="preserve">asturbation </w:t>
      </w:r>
    </w:p>
    <w:p w14:paraId="13360390" w14:textId="3171C92F" w:rsidR="00A00728" w:rsidRPr="00B717F6" w:rsidRDefault="002C5282" w:rsidP="009C0C78">
      <w:pPr>
        <w:rPr>
          <w:szCs w:val="24"/>
          <w:lang w:val="en-US"/>
        </w:rPr>
      </w:pPr>
      <w:r w:rsidRPr="00B717F6">
        <w:rPr>
          <w:szCs w:val="24"/>
          <w:lang w:val="en-US"/>
        </w:rPr>
        <w:t xml:space="preserve">A commonly discussed </w:t>
      </w:r>
      <w:r w:rsidR="00AD4912" w:rsidRPr="00B717F6">
        <w:rPr>
          <w:szCs w:val="24"/>
          <w:lang w:val="en-US"/>
        </w:rPr>
        <w:t xml:space="preserve">question </w:t>
      </w:r>
      <w:r w:rsidRPr="00B717F6">
        <w:rPr>
          <w:szCs w:val="24"/>
          <w:lang w:val="en-US"/>
        </w:rPr>
        <w:t xml:space="preserve">in the </w:t>
      </w:r>
      <w:r w:rsidR="00AD4912" w:rsidRPr="00B717F6">
        <w:rPr>
          <w:szCs w:val="24"/>
          <w:lang w:val="en-US"/>
        </w:rPr>
        <w:t>literature</w:t>
      </w:r>
      <w:r w:rsidRPr="00B717F6">
        <w:rPr>
          <w:szCs w:val="24"/>
          <w:lang w:val="en-US"/>
        </w:rPr>
        <w:t xml:space="preserve"> is whether </w:t>
      </w:r>
      <w:r w:rsidR="00AD4912" w:rsidRPr="00B717F6">
        <w:rPr>
          <w:szCs w:val="24"/>
          <w:lang w:val="en-US"/>
        </w:rPr>
        <w:t>masturbation</w:t>
      </w:r>
      <w:r w:rsidRPr="00B717F6">
        <w:rPr>
          <w:szCs w:val="24"/>
          <w:lang w:val="en-US"/>
        </w:rPr>
        <w:t xml:space="preserve"> </w:t>
      </w:r>
      <w:r w:rsidR="00A25D48" w:rsidRPr="00B717F6">
        <w:rPr>
          <w:szCs w:val="24"/>
          <w:lang w:val="en-US"/>
        </w:rPr>
        <w:t xml:space="preserve">is </w:t>
      </w:r>
      <w:r w:rsidR="00A3025E" w:rsidRPr="00B717F6">
        <w:rPr>
          <w:szCs w:val="24"/>
          <w:lang w:val="en-US"/>
        </w:rPr>
        <w:t xml:space="preserve">a </w:t>
      </w:r>
      <w:r w:rsidR="005546B7" w:rsidRPr="00B717F6">
        <w:rPr>
          <w:szCs w:val="24"/>
          <w:lang w:val="en-US"/>
        </w:rPr>
        <w:t xml:space="preserve">substitute </w:t>
      </w:r>
      <w:r w:rsidR="00D7046D" w:rsidRPr="00B717F6">
        <w:rPr>
          <w:szCs w:val="24"/>
          <w:lang w:val="en-US"/>
        </w:rPr>
        <w:t>for</w:t>
      </w:r>
      <w:r w:rsidR="00982619" w:rsidRPr="00B717F6">
        <w:rPr>
          <w:szCs w:val="24"/>
          <w:lang w:val="en-US"/>
        </w:rPr>
        <w:t>,</w:t>
      </w:r>
      <w:r w:rsidR="00D7046D" w:rsidRPr="00B717F6">
        <w:rPr>
          <w:szCs w:val="24"/>
          <w:lang w:val="en-US"/>
        </w:rPr>
        <w:t xml:space="preserve"> </w:t>
      </w:r>
      <w:r w:rsidR="00663FBF" w:rsidRPr="00B717F6">
        <w:rPr>
          <w:szCs w:val="24"/>
          <w:lang w:val="en-US"/>
        </w:rPr>
        <w:t>or</w:t>
      </w:r>
      <w:r w:rsidR="00A25D48" w:rsidRPr="00B717F6">
        <w:rPr>
          <w:szCs w:val="24"/>
          <w:lang w:val="en-US"/>
        </w:rPr>
        <w:t xml:space="preserve"> a</w:t>
      </w:r>
      <w:r w:rsidR="00663FBF" w:rsidRPr="00B717F6">
        <w:rPr>
          <w:szCs w:val="24"/>
          <w:lang w:val="en-US"/>
        </w:rPr>
        <w:t xml:space="preserve"> </w:t>
      </w:r>
      <w:r w:rsidR="00D7046D" w:rsidRPr="00B717F6">
        <w:rPr>
          <w:szCs w:val="24"/>
          <w:lang w:val="en-US"/>
        </w:rPr>
        <w:t>supp</w:t>
      </w:r>
      <w:r w:rsidR="00A25D48" w:rsidRPr="00B717F6">
        <w:rPr>
          <w:szCs w:val="24"/>
          <w:lang w:val="en-US"/>
        </w:rPr>
        <w:t>lement</w:t>
      </w:r>
      <w:r w:rsidR="00070B18" w:rsidRPr="00B717F6">
        <w:rPr>
          <w:szCs w:val="24"/>
          <w:lang w:val="en-US"/>
        </w:rPr>
        <w:t xml:space="preserve"> </w:t>
      </w:r>
      <w:r w:rsidR="00AD4912" w:rsidRPr="00B717F6">
        <w:rPr>
          <w:szCs w:val="24"/>
          <w:lang w:val="en-US"/>
        </w:rPr>
        <w:t>to</w:t>
      </w:r>
      <w:r w:rsidR="00982619" w:rsidRPr="00B717F6">
        <w:rPr>
          <w:szCs w:val="24"/>
          <w:lang w:val="en-US"/>
        </w:rPr>
        <w:t>,</w:t>
      </w:r>
      <w:r w:rsidR="00AD4912" w:rsidRPr="00B717F6">
        <w:rPr>
          <w:szCs w:val="24"/>
          <w:lang w:val="en-US"/>
        </w:rPr>
        <w:t xml:space="preserve"> partnered sex</w:t>
      </w:r>
      <w:r w:rsidR="00982619" w:rsidRPr="00B717F6">
        <w:rPr>
          <w:szCs w:val="24"/>
          <w:lang w:val="en-US"/>
        </w:rPr>
        <w:t>ual activity</w:t>
      </w:r>
      <w:r w:rsidR="00AD4912" w:rsidRPr="00B717F6">
        <w:rPr>
          <w:szCs w:val="24"/>
          <w:lang w:val="en-US"/>
        </w:rPr>
        <w:t xml:space="preserve"> </w:t>
      </w:r>
      <w:r w:rsidR="00070B18" w:rsidRPr="00B717F6">
        <w:rPr>
          <w:szCs w:val="24"/>
          <w:lang w:val="en-US"/>
        </w:rPr>
        <w:t>(</w:t>
      </w:r>
      <w:proofErr w:type="spellStart"/>
      <w:r w:rsidR="00032581" w:rsidRPr="00B717F6">
        <w:rPr>
          <w:szCs w:val="24"/>
          <w:lang w:val="en-US"/>
        </w:rPr>
        <w:t>Gerressu</w:t>
      </w:r>
      <w:proofErr w:type="spellEnd"/>
      <w:r w:rsidR="00032581" w:rsidRPr="00B717F6">
        <w:rPr>
          <w:szCs w:val="24"/>
          <w:lang w:val="en-US"/>
        </w:rPr>
        <w:t xml:space="preserve"> et al., 2008; </w:t>
      </w:r>
      <w:r w:rsidR="00EC7F68" w:rsidRPr="00B717F6">
        <w:rPr>
          <w:szCs w:val="24"/>
          <w:lang w:val="en-US"/>
        </w:rPr>
        <w:t>Regnerus et al., 2017</w:t>
      </w:r>
      <w:r w:rsidR="00070B18" w:rsidRPr="00B717F6">
        <w:rPr>
          <w:szCs w:val="24"/>
          <w:lang w:val="en-US"/>
        </w:rPr>
        <w:t>)</w:t>
      </w:r>
      <w:r w:rsidR="005546B7" w:rsidRPr="00B717F6">
        <w:rPr>
          <w:szCs w:val="24"/>
          <w:lang w:val="en-US"/>
        </w:rPr>
        <w:t xml:space="preserve">. </w:t>
      </w:r>
      <w:r w:rsidR="00D7046D" w:rsidRPr="00B717F6">
        <w:rPr>
          <w:szCs w:val="24"/>
          <w:lang w:val="en-US"/>
        </w:rPr>
        <w:t>The former</w:t>
      </w:r>
      <w:r w:rsidR="005546B7" w:rsidRPr="00B717F6">
        <w:rPr>
          <w:szCs w:val="24"/>
          <w:lang w:val="en-US"/>
        </w:rPr>
        <w:t xml:space="preserve"> perspective </w:t>
      </w:r>
      <w:r w:rsidR="00AD4912" w:rsidRPr="00B717F6">
        <w:rPr>
          <w:szCs w:val="24"/>
          <w:lang w:val="en-US"/>
        </w:rPr>
        <w:t>(termed</w:t>
      </w:r>
      <w:r w:rsidR="00A3025E" w:rsidRPr="00B717F6">
        <w:rPr>
          <w:szCs w:val="24"/>
          <w:lang w:val="en-US"/>
        </w:rPr>
        <w:t xml:space="preserve"> </w:t>
      </w:r>
      <w:r w:rsidR="005546B7" w:rsidRPr="00B717F6">
        <w:rPr>
          <w:szCs w:val="24"/>
          <w:lang w:val="en-US"/>
        </w:rPr>
        <w:t xml:space="preserve">the </w:t>
      </w:r>
      <w:r w:rsidR="00AD4912" w:rsidRPr="00B717F6">
        <w:rPr>
          <w:szCs w:val="24"/>
          <w:lang w:val="en-US"/>
        </w:rPr>
        <w:t>“</w:t>
      </w:r>
      <w:r w:rsidR="005546B7" w:rsidRPr="00B717F6">
        <w:rPr>
          <w:szCs w:val="24"/>
          <w:lang w:val="en-US"/>
        </w:rPr>
        <w:t>co</w:t>
      </w:r>
      <w:r w:rsidR="00A3025E" w:rsidRPr="00B717F6">
        <w:rPr>
          <w:szCs w:val="24"/>
          <w:lang w:val="en-US"/>
        </w:rPr>
        <w:t>mpensatory model</w:t>
      </w:r>
      <w:r w:rsidR="00D97024" w:rsidRPr="00B717F6">
        <w:rPr>
          <w:szCs w:val="24"/>
          <w:lang w:val="en-US"/>
        </w:rPr>
        <w:t>”</w:t>
      </w:r>
      <w:r w:rsidR="00AD4912" w:rsidRPr="00B717F6">
        <w:rPr>
          <w:szCs w:val="24"/>
          <w:lang w:val="en-US"/>
        </w:rPr>
        <w:t>)</w:t>
      </w:r>
      <w:r w:rsidR="00A3025E" w:rsidRPr="00B717F6">
        <w:rPr>
          <w:szCs w:val="24"/>
          <w:lang w:val="en-US"/>
        </w:rPr>
        <w:t xml:space="preserve"> describes</w:t>
      </w:r>
      <w:r w:rsidR="00332789" w:rsidRPr="00B717F6">
        <w:rPr>
          <w:szCs w:val="24"/>
          <w:lang w:val="en-US"/>
        </w:rPr>
        <w:t xml:space="preserve"> </w:t>
      </w:r>
      <w:r w:rsidR="00A25D48" w:rsidRPr="00B717F6">
        <w:rPr>
          <w:szCs w:val="24"/>
          <w:lang w:val="en-US"/>
        </w:rPr>
        <w:t>masturbation</w:t>
      </w:r>
      <w:r w:rsidR="00AD4912" w:rsidRPr="00B717F6">
        <w:rPr>
          <w:szCs w:val="24"/>
          <w:lang w:val="en-US"/>
        </w:rPr>
        <w:t xml:space="preserve"> </w:t>
      </w:r>
      <w:r w:rsidR="00A3025E" w:rsidRPr="00B717F6">
        <w:rPr>
          <w:szCs w:val="24"/>
          <w:lang w:val="en-US"/>
        </w:rPr>
        <w:t>as a</w:t>
      </w:r>
      <w:r w:rsidR="00D7046D" w:rsidRPr="00B717F6">
        <w:rPr>
          <w:szCs w:val="24"/>
          <w:lang w:val="en-US"/>
        </w:rPr>
        <w:t xml:space="preserve"> means to release sexual tension </w:t>
      </w:r>
      <w:r w:rsidR="00A3025E" w:rsidRPr="00B717F6">
        <w:rPr>
          <w:szCs w:val="24"/>
          <w:lang w:val="en-US"/>
        </w:rPr>
        <w:t>if</w:t>
      </w:r>
      <w:r w:rsidR="00F05F68" w:rsidRPr="00B717F6">
        <w:rPr>
          <w:szCs w:val="24"/>
          <w:lang w:val="en-US"/>
        </w:rPr>
        <w:t xml:space="preserve"> </w:t>
      </w:r>
      <w:r w:rsidR="00240240" w:rsidRPr="00B717F6">
        <w:rPr>
          <w:szCs w:val="24"/>
          <w:lang w:val="en-US"/>
        </w:rPr>
        <w:t xml:space="preserve">partnered sex is not satisfying, </w:t>
      </w:r>
      <w:r w:rsidR="00AD4912" w:rsidRPr="00B717F6">
        <w:rPr>
          <w:szCs w:val="24"/>
          <w:lang w:val="en-US"/>
        </w:rPr>
        <w:t>if one partner</w:t>
      </w:r>
      <w:r w:rsidR="00240240" w:rsidRPr="00B717F6">
        <w:rPr>
          <w:szCs w:val="24"/>
          <w:lang w:val="en-US"/>
        </w:rPr>
        <w:t xml:space="preserve"> </w:t>
      </w:r>
      <w:r w:rsidR="00AB0A61" w:rsidRPr="00B717F6">
        <w:rPr>
          <w:szCs w:val="24"/>
          <w:lang w:val="en-US"/>
        </w:rPr>
        <w:t>desires</w:t>
      </w:r>
      <w:r w:rsidR="00F05F68" w:rsidRPr="00B717F6">
        <w:rPr>
          <w:szCs w:val="24"/>
          <w:lang w:val="en-US"/>
        </w:rPr>
        <w:t xml:space="preserve"> more </w:t>
      </w:r>
      <w:r w:rsidR="00FC3099" w:rsidRPr="00B717F6">
        <w:rPr>
          <w:szCs w:val="24"/>
          <w:lang w:val="en-US"/>
        </w:rPr>
        <w:t xml:space="preserve">frequent </w:t>
      </w:r>
      <w:r w:rsidR="00F05F68" w:rsidRPr="00B717F6">
        <w:rPr>
          <w:szCs w:val="24"/>
          <w:lang w:val="en-US"/>
        </w:rPr>
        <w:t xml:space="preserve">sex, or </w:t>
      </w:r>
      <w:r w:rsidR="00AD4912" w:rsidRPr="00B717F6">
        <w:rPr>
          <w:szCs w:val="24"/>
          <w:lang w:val="en-US"/>
        </w:rPr>
        <w:t xml:space="preserve">if an individual </w:t>
      </w:r>
      <w:r w:rsidR="00F05F68" w:rsidRPr="00B717F6">
        <w:rPr>
          <w:szCs w:val="24"/>
          <w:lang w:val="en-US"/>
        </w:rPr>
        <w:t xml:space="preserve">lacks access to a partner </w:t>
      </w:r>
      <w:r w:rsidR="00070B18" w:rsidRPr="00B717F6">
        <w:rPr>
          <w:szCs w:val="24"/>
          <w:lang w:val="en-US"/>
        </w:rPr>
        <w:t>(</w:t>
      </w:r>
      <w:r w:rsidR="00E854EE" w:rsidRPr="00B717F6">
        <w:rPr>
          <w:szCs w:val="24"/>
          <w:lang w:val="en-US"/>
        </w:rPr>
        <w:t xml:space="preserve">Das et al., 2009; </w:t>
      </w:r>
      <w:r w:rsidR="00F83E6C" w:rsidRPr="00B717F6">
        <w:rPr>
          <w:szCs w:val="24"/>
          <w:lang w:val="en-US"/>
        </w:rPr>
        <w:t>Regnerus et al., 2017). I</w:t>
      </w:r>
      <w:r w:rsidR="00DF7196" w:rsidRPr="00B717F6">
        <w:rPr>
          <w:szCs w:val="24"/>
          <w:lang w:val="en-US"/>
        </w:rPr>
        <w:t xml:space="preserve">ndeed, among </w:t>
      </w:r>
      <w:r w:rsidR="003107D7" w:rsidRPr="00B717F6">
        <w:rPr>
          <w:szCs w:val="24"/>
          <w:lang w:val="en-US"/>
        </w:rPr>
        <w:t xml:space="preserve">both younger and older </w:t>
      </w:r>
      <w:r w:rsidR="00DF7196" w:rsidRPr="00B717F6">
        <w:rPr>
          <w:szCs w:val="24"/>
          <w:lang w:val="en-US"/>
        </w:rPr>
        <w:t xml:space="preserve">adults, not </w:t>
      </w:r>
      <w:r w:rsidR="00AD4912" w:rsidRPr="00B717F6">
        <w:rPr>
          <w:szCs w:val="24"/>
          <w:lang w:val="en-US"/>
        </w:rPr>
        <w:t xml:space="preserve">being </w:t>
      </w:r>
      <w:r w:rsidR="00DF7196" w:rsidRPr="00B717F6">
        <w:rPr>
          <w:szCs w:val="24"/>
          <w:lang w:val="en-US"/>
        </w:rPr>
        <w:t xml:space="preserve">in a current relationship has been linked to </w:t>
      </w:r>
      <w:r w:rsidR="00AD4912" w:rsidRPr="00B717F6">
        <w:rPr>
          <w:szCs w:val="24"/>
          <w:lang w:val="en-US"/>
        </w:rPr>
        <w:t xml:space="preserve">higher </w:t>
      </w:r>
      <w:r w:rsidR="00DF7196" w:rsidRPr="00B717F6">
        <w:rPr>
          <w:szCs w:val="24"/>
          <w:lang w:val="en-US"/>
        </w:rPr>
        <w:t>masturbation</w:t>
      </w:r>
      <w:r w:rsidR="00AD4912" w:rsidRPr="00B717F6">
        <w:rPr>
          <w:szCs w:val="24"/>
          <w:lang w:val="en-US"/>
        </w:rPr>
        <w:t xml:space="preserve"> frequency</w:t>
      </w:r>
      <w:r w:rsidR="00DF7196" w:rsidRPr="00B717F6">
        <w:rPr>
          <w:szCs w:val="24"/>
          <w:lang w:val="en-US"/>
        </w:rPr>
        <w:t xml:space="preserve"> </w:t>
      </w:r>
      <w:r w:rsidR="00332789" w:rsidRPr="00B717F6">
        <w:rPr>
          <w:szCs w:val="24"/>
          <w:lang w:val="en-US"/>
        </w:rPr>
        <w:t>(</w:t>
      </w:r>
      <w:proofErr w:type="spellStart"/>
      <w:r w:rsidR="00332789" w:rsidRPr="00B717F6">
        <w:rPr>
          <w:szCs w:val="24"/>
          <w:lang w:val="en-US"/>
        </w:rPr>
        <w:t>DeLamater</w:t>
      </w:r>
      <w:proofErr w:type="spellEnd"/>
      <w:r w:rsidR="00332789" w:rsidRPr="00B717F6">
        <w:rPr>
          <w:szCs w:val="24"/>
          <w:lang w:val="en-US"/>
        </w:rPr>
        <w:t xml:space="preserve"> &amp; Moorman, 2007; </w:t>
      </w:r>
      <w:r w:rsidR="00A81385" w:rsidRPr="00B717F6">
        <w:rPr>
          <w:szCs w:val="24"/>
          <w:lang w:val="en-US"/>
        </w:rPr>
        <w:t xml:space="preserve">Regnerus et al., 2017; </w:t>
      </w:r>
      <w:r w:rsidR="00332789" w:rsidRPr="00B717F6">
        <w:rPr>
          <w:szCs w:val="24"/>
          <w:lang w:val="en-US"/>
        </w:rPr>
        <w:t>Rowland et al., 2020;</w:t>
      </w:r>
      <w:r w:rsidR="00E169F6" w:rsidRPr="00B717F6">
        <w:rPr>
          <w:szCs w:val="24"/>
          <w:lang w:val="en-US"/>
        </w:rPr>
        <w:t xml:space="preserve"> </w:t>
      </w:r>
      <w:r w:rsidR="00332789" w:rsidRPr="00B717F6">
        <w:rPr>
          <w:szCs w:val="24"/>
          <w:lang w:val="en-US"/>
        </w:rPr>
        <w:t>Schick et al., 2010</w:t>
      </w:r>
      <w:r w:rsidR="00AD42ED" w:rsidRPr="00B717F6">
        <w:rPr>
          <w:szCs w:val="24"/>
          <w:lang w:val="en-US"/>
        </w:rPr>
        <w:t xml:space="preserve">). </w:t>
      </w:r>
      <w:r w:rsidR="0078297B" w:rsidRPr="00B717F6">
        <w:rPr>
          <w:szCs w:val="24"/>
          <w:lang w:val="en-US"/>
        </w:rPr>
        <w:t>In contrast, t</w:t>
      </w:r>
      <w:r w:rsidR="00070B18" w:rsidRPr="00B717F6">
        <w:rPr>
          <w:szCs w:val="24"/>
          <w:lang w:val="en-US"/>
        </w:rPr>
        <w:t>he</w:t>
      </w:r>
      <w:r w:rsidR="0015147F" w:rsidRPr="00B717F6">
        <w:rPr>
          <w:szCs w:val="24"/>
          <w:lang w:val="en-US"/>
        </w:rPr>
        <w:t xml:space="preserve"> </w:t>
      </w:r>
      <w:r w:rsidR="00AD4912" w:rsidRPr="00B717F6">
        <w:rPr>
          <w:szCs w:val="24"/>
          <w:lang w:val="en-US"/>
        </w:rPr>
        <w:t xml:space="preserve">second </w:t>
      </w:r>
      <w:r w:rsidR="0015147F" w:rsidRPr="00B717F6">
        <w:rPr>
          <w:szCs w:val="24"/>
          <w:lang w:val="en-US"/>
        </w:rPr>
        <w:t>perspective</w:t>
      </w:r>
      <w:r w:rsidR="00070B18" w:rsidRPr="00B717F6">
        <w:rPr>
          <w:szCs w:val="24"/>
          <w:lang w:val="en-US"/>
        </w:rPr>
        <w:t xml:space="preserve"> </w:t>
      </w:r>
      <w:r w:rsidR="0015147F" w:rsidRPr="00B717F6">
        <w:rPr>
          <w:szCs w:val="24"/>
          <w:lang w:val="en-US"/>
        </w:rPr>
        <w:t>(</w:t>
      </w:r>
      <w:r w:rsidR="00AD4912" w:rsidRPr="00B717F6">
        <w:rPr>
          <w:szCs w:val="24"/>
          <w:lang w:val="en-US"/>
        </w:rPr>
        <w:t>termed the “</w:t>
      </w:r>
      <w:r w:rsidR="00070B18" w:rsidRPr="00B717F6">
        <w:rPr>
          <w:szCs w:val="24"/>
          <w:lang w:val="en-US"/>
        </w:rPr>
        <w:t>complementary model</w:t>
      </w:r>
      <w:r w:rsidR="00AD4912" w:rsidRPr="00B717F6">
        <w:rPr>
          <w:szCs w:val="24"/>
          <w:lang w:val="en-US"/>
        </w:rPr>
        <w:t>”</w:t>
      </w:r>
      <w:r w:rsidR="0015147F" w:rsidRPr="00B717F6">
        <w:rPr>
          <w:szCs w:val="24"/>
          <w:lang w:val="en-US"/>
        </w:rPr>
        <w:t>)</w:t>
      </w:r>
      <w:r w:rsidR="00070B18" w:rsidRPr="00B717F6">
        <w:rPr>
          <w:szCs w:val="24"/>
          <w:lang w:val="en-US"/>
        </w:rPr>
        <w:t xml:space="preserve"> </w:t>
      </w:r>
      <w:r w:rsidR="007F591E" w:rsidRPr="00B717F6">
        <w:rPr>
          <w:szCs w:val="24"/>
          <w:lang w:val="en-US"/>
        </w:rPr>
        <w:t>suggest</w:t>
      </w:r>
      <w:r w:rsidR="00AD4912" w:rsidRPr="00B717F6">
        <w:rPr>
          <w:szCs w:val="24"/>
          <w:lang w:val="en-US"/>
        </w:rPr>
        <w:t>s</w:t>
      </w:r>
      <w:r w:rsidR="007F591E" w:rsidRPr="00B717F6">
        <w:rPr>
          <w:szCs w:val="24"/>
          <w:lang w:val="en-US"/>
        </w:rPr>
        <w:t xml:space="preserve"> that</w:t>
      </w:r>
      <w:r w:rsidR="00303B2E" w:rsidRPr="00B717F6">
        <w:rPr>
          <w:szCs w:val="24"/>
          <w:lang w:val="en-US"/>
        </w:rPr>
        <w:t xml:space="preserve"> masturbat</w:t>
      </w:r>
      <w:r w:rsidR="00D97024" w:rsidRPr="00B717F6">
        <w:rPr>
          <w:szCs w:val="24"/>
          <w:lang w:val="en-US"/>
        </w:rPr>
        <w:t>ory</w:t>
      </w:r>
      <w:r w:rsidR="00303B2E" w:rsidRPr="00B717F6">
        <w:rPr>
          <w:szCs w:val="24"/>
          <w:lang w:val="en-US"/>
        </w:rPr>
        <w:t xml:space="preserve"> </w:t>
      </w:r>
      <w:r w:rsidR="00EC7F68" w:rsidRPr="00B717F6">
        <w:rPr>
          <w:szCs w:val="24"/>
          <w:lang w:val="en-US"/>
        </w:rPr>
        <w:t xml:space="preserve">activity </w:t>
      </w:r>
      <w:r w:rsidR="00AD4912" w:rsidRPr="00B717F6">
        <w:rPr>
          <w:szCs w:val="24"/>
          <w:lang w:val="en-US"/>
        </w:rPr>
        <w:t xml:space="preserve">accompanies </w:t>
      </w:r>
      <w:r w:rsidR="00F2757C" w:rsidRPr="00B717F6">
        <w:rPr>
          <w:szCs w:val="24"/>
          <w:lang w:val="en-US"/>
        </w:rPr>
        <w:t>or reinforce</w:t>
      </w:r>
      <w:r w:rsidR="00AD4912" w:rsidRPr="00B717F6">
        <w:rPr>
          <w:szCs w:val="24"/>
          <w:lang w:val="en-US"/>
        </w:rPr>
        <w:t xml:space="preserve">s </w:t>
      </w:r>
      <w:r w:rsidR="00F2757C" w:rsidRPr="00B717F6">
        <w:rPr>
          <w:szCs w:val="24"/>
          <w:lang w:val="en-US"/>
        </w:rPr>
        <w:t>partnered sexual activity</w:t>
      </w:r>
      <w:r w:rsidR="00FC3099" w:rsidRPr="00B717F6">
        <w:rPr>
          <w:szCs w:val="24"/>
          <w:lang w:val="en-US"/>
        </w:rPr>
        <w:t xml:space="preserve"> and assumes </w:t>
      </w:r>
      <w:r w:rsidR="007569A7" w:rsidRPr="00B717F6">
        <w:rPr>
          <w:szCs w:val="24"/>
          <w:lang w:val="en-US"/>
        </w:rPr>
        <w:t xml:space="preserve">that </w:t>
      </w:r>
      <w:r w:rsidR="00AD4912" w:rsidRPr="00B717F6">
        <w:rPr>
          <w:szCs w:val="24"/>
          <w:lang w:val="en-US"/>
        </w:rPr>
        <w:t xml:space="preserve">partnered </w:t>
      </w:r>
      <w:r w:rsidR="007569A7" w:rsidRPr="00B717F6">
        <w:rPr>
          <w:szCs w:val="24"/>
          <w:lang w:val="en-US"/>
        </w:rPr>
        <w:t xml:space="preserve">sexual </w:t>
      </w:r>
      <w:r w:rsidR="00AD4912" w:rsidRPr="00B717F6">
        <w:rPr>
          <w:szCs w:val="24"/>
          <w:lang w:val="en-US"/>
        </w:rPr>
        <w:t xml:space="preserve">activity </w:t>
      </w:r>
      <w:r w:rsidR="00C84B1C" w:rsidRPr="00B717F6">
        <w:rPr>
          <w:szCs w:val="24"/>
          <w:lang w:val="en-US"/>
        </w:rPr>
        <w:t xml:space="preserve">will lead </w:t>
      </w:r>
      <w:r w:rsidR="00D97024" w:rsidRPr="00B717F6">
        <w:rPr>
          <w:szCs w:val="24"/>
          <w:lang w:val="en-US"/>
        </w:rPr>
        <w:t xml:space="preserve">to </w:t>
      </w:r>
      <w:r w:rsidR="00AD4912" w:rsidRPr="00B717F6">
        <w:rPr>
          <w:szCs w:val="24"/>
          <w:lang w:val="en-US"/>
        </w:rPr>
        <w:t>enhance</w:t>
      </w:r>
      <w:r w:rsidR="00D97024" w:rsidRPr="00B717F6">
        <w:rPr>
          <w:szCs w:val="24"/>
          <w:lang w:val="en-US"/>
        </w:rPr>
        <w:t>d</w:t>
      </w:r>
      <w:r w:rsidR="00AD4912" w:rsidRPr="00B717F6">
        <w:rPr>
          <w:szCs w:val="24"/>
          <w:lang w:val="en-US"/>
        </w:rPr>
        <w:t xml:space="preserve"> solitary</w:t>
      </w:r>
      <w:r w:rsidR="007569A7" w:rsidRPr="00B717F6">
        <w:rPr>
          <w:szCs w:val="24"/>
          <w:lang w:val="en-US"/>
        </w:rPr>
        <w:t xml:space="preserve"> sexual behavior</w:t>
      </w:r>
      <w:r w:rsidR="00C84B1C" w:rsidRPr="00B717F6">
        <w:rPr>
          <w:szCs w:val="24"/>
          <w:lang w:val="en-US"/>
        </w:rPr>
        <w:t xml:space="preserve"> (Regnerus et al., 2017)</w:t>
      </w:r>
      <w:r w:rsidR="007569A7" w:rsidRPr="00B717F6">
        <w:rPr>
          <w:szCs w:val="24"/>
          <w:lang w:val="en-US"/>
        </w:rPr>
        <w:t xml:space="preserve">. </w:t>
      </w:r>
      <w:r w:rsidR="00070B18" w:rsidRPr="00B717F6">
        <w:rPr>
          <w:szCs w:val="24"/>
          <w:lang w:val="en-US"/>
        </w:rPr>
        <w:t>Although both perspective</w:t>
      </w:r>
      <w:r w:rsidR="00AD4912" w:rsidRPr="00B717F6">
        <w:rPr>
          <w:szCs w:val="24"/>
          <w:lang w:val="en-US"/>
        </w:rPr>
        <w:t>s</w:t>
      </w:r>
      <w:r w:rsidR="00070B18" w:rsidRPr="00B717F6">
        <w:rPr>
          <w:szCs w:val="24"/>
          <w:lang w:val="en-US"/>
        </w:rPr>
        <w:t xml:space="preserve"> have received </w:t>
      </w:r>
      <w:r w:rsidR="00AD4912" w:rsidRPr="00B717F6">
        <w:rPr>
          <w:szCs w:val="24"/>
          <w:lang w:val="en-US"/>
        </w:rPr>
        <w:t xml:space="preserve">some </w:t>
      </w:r>
      <w:r w:rsidR="00070B18" w:rsidRPr="00B717F6">
        <w:rPr>
          <w:szCs w:val="24"/>
          <w:lang w:val="en-US"/>
        </w:rPr>
        <w:t>support</w:t>
      </w:r>
      <w:r w:rsidR="00705D10" w:rsidRPr="00B717F6">
        <w:rPr>
          <w:szCs w:val="24"/>
          <w:lang w:val="en-US"/>
        </w:rPr>
        <w:t xml:space="preserve"> (</w:t>
      </w:r>
      <w:proofErr w:type="spellStart"/>
      <w:r w:rsidR="00BB3DB5" w:rsidRPr="00B717F6">
        <w:rPr>
          <w:szCs w:val="24"/>
          <w:lang w:val="en-US"/>
        </w:rPr>
        <w:t>Carvalheira</w:t>
      </w:r>
      <w:proofErr w:type="spellEnd"/>
      <w:r w:rsidR="00BB3DB5" w:rsidRPr="00B717F6">
        <w:rPr>
          <w:szCs w:val="24"/>
          <w:lang w:val="en-US"/>
        </w:rPr>
        <w:t xml:space="preserve"> &amp; Leal, 2013; </w:t>
      </w:r>
      <w:r w:rsidR="00FB4593" w:rsidRPr="00B717F6">
        <w:rPr>
          <w:szCs w:val="24"/>
          <w:lang w:val="en-US"/>
        </w:rPr>
        <w:t xml:space="preserve">Das, 2007; </w:t>
      </w:r>
      <w:r w:rsidR="000F7C3E" w:rsidRPr="00B717F6">
        <w:rPr>
          <w:szCs w:val="24"/>
          <w:lang w:val="en-US"/>
        </w:rPr>
        <w:t>Das et al., 2009;</w:t>
      </w:r>
      <w:r w:rsidR="004F3C71" w:rsidRPr="00B717F6">
        <w:rPr>
          <w:szCs w:val="24"/>
          <w:lang w:val="en-US"/>
        </w:rPr>
        <w:t xml:space="preserve"> Dekker &amp; Schmidt, 2003;</w:t>
      </w:r>
      <w:r w:rsidR="00BB3DB5" w:rsidRPr="00B717F6">
        <w:rPr>
          <w:szCs w:val="24"/>
          <w:lang w:val="en-US"/>
        </w:rPr>
        <w:t xml:space="preserve"> </w:t>
      </w:r>
      <w:proofErr w:type="spellStart"/>
      <w:r w:rsidR="00BB3DB5" w:rsidRPr="00B717F6">
        <w:rPr>
          <w:szCs w:val="24"/>
          <w:lang w:val="en-US"/>
        </w:rPr>
        <w:t>Gerressu</w:t>
      </w:r>
      <w:proofErr w:type="spellEnd"/>
      <w:r w:rsidR="00BB3DB5" w:rsidRPr="00B717F6">
        <w:rPr>
          <w:szCs w:val="24"/>
          <w:lang w:val="en-US"/>
        </w:rPr>
        <w:t xml:space="preserve"> et al., 2008;</w:t>
      </w:r>
      <w:r w:rsidR="000F7C3E" w:rsidRPr="00B717F6">
        <w:rPr>
          <w:szCs w:val="24"/>
          <w:lang w:val="en-US"/>
        </w:rPr>
        <w:t xml:space="preserve"> </w:t>
      </w:r>
      <w:proofErr w:type="spellStart"/>
      <w:r w:rsidR="00705D10" w:rsidRPr="00B717F6">
        <w:rPr>
          <w:szCs w:val="24"/>
          <w:lang w:val="en-US"/>
        </w:rPr>
        <w:t>Kontula</w:t>
      </w:r>
      <w:proofErr w:type="spellEnd"/>
      <w:r w:rsidR="00705D10" w:rsidRPr="00B717F6">
        <w:rPr>
          <w:szCs w:val="24"/>
          <w:lang w:val="en-US"/>
        </w:rPr>
        <w:t xml:space="preserve"> &amp; </w:t>
      </w:r>
      <w:proofErr w:type="spellStart"/>
      <w:r w:rsidR="00705D10" w:rsidRPr="00B717F6">
        <w:rPr>
          <w:szCs w:val="24"/>
          <w:lang w:val="en-US"/>
        </w:rPr>
        <w:t>Haavio-Mannila</w:t>
      </w:r>
      <w:proofErr w:type="spellEnd"/>
      <w:r w:rsidR="00705D10" w:rsidRPr="00B717F6">
        <w:rPr>
          <w:szCs w:val="24"/>
          <w:lang w:val="en-US"/>
        </w:rPr>
        <w:t>, 2003</w:t>
      </w:r>
      <w:r w:rsidR="00BB3DB5" w:rsidRPr="00B717F6">
        <w:rPr>
          <w:szCs w:val="24"/>
          <w:lang w:val="en-US"/>
        </w:rPr>
        <w:t>)</w:t>
      </w:r>
      <w:r w:rsidR="0015147F" w:rsidRPr="00B717F6">
        <w:rPr>
          <w:szCs w:val="24"/>
          <w:lang w:val="en-US"/>
        </w:rPr>
        <w:t>,</w:t>
      </w:r>
      <w:r w:rsidR="00B965BD" w:rsidRPr="00B717F6">
        <w:rPr>
          <w:szCs w:val="24"/>
          <w:lang w:val="en-US"/>
        </w:rPr>
        <w:t xml:space="preserve"> </w:t>
      </w:r>
      <w:r w:rsidR="00B413E6" w:rsidRPr="00B717F6">
        <w:rPr>
          <w:szCs w:val="24"/>
          <w:lang w:val="en-US"/>
        </w:rPr>
        <w:t>evidence</w:t>
      </w:r>
      <w:r w:rsidR="00B64112" w:rsidRPr="00B717F6">
        <w:rPr>
          <w:szCs w:val="24"/>
          <w:lang w:val="en-US"/>
        </w:rPr>
        <w:t xml:space="preserve"> </w:t>
      </w:r>
      <w:r w:rsidR="00FB4593" w:rsidRPr="00B717F6">
        <w:rPr>
          <w:szCs w:val="24"/>
          <w:lang w:val="en-US"/>
        </w:rPr>
        <w:t>o</w:t>
      </w:r>
      <w:r w:rsidR="00D97024" w:rsidRPr="00B717F6">
        <w:rPr>
          <w:szCs w:val="24"/>
          <w:lang w:val="en-US"/>
        </w:rPr>
        <w:t>f</w:t>
      </w:r>
      <w:r w:rsidR="00FB4593" w:rsidRPr="00B717F6">
        <w:rPr>
          <w:szCs w:val="24"/>
          <w:lang w:val="en-US"/>
        </w:rPr>
        <w:t xml:space="preserve"> </w:t>
      </w:r>
      <w:r w:rsidR="0015147F" w:rsidRPr="00B717F6">
        <w:rPr>
          <w:szCs w:val="24"/>
          <w:lang w:val="en-US"/>
        </w:rPr>
        <w:t xml:space="preserve">the </w:t>
      </w:r>
      <w:r w:rsidR="007F591E" w:rsidRPr="00B717F6">
        <w:rPr>
          <w:szCs w:val="24"/>
          <w:lang w:val="en-US"/>
        </w:rPr>
        <w:t xml:space="preserve">association between partnered sexual activity and </w:t>
      </w:r>
      <w:r w:rsidR="00D916AB" w:rsidRPr="00B717F6">
        <w:rPr>
          <w:szCs w:val="24"/>
          <w:lang w:val="en-US"/>
        </w:rPr>
        <w:t>masturbation</w:t>
      </w:r>
      <w:r w:rsidR="00C6175E" w:rsidRPr="00B717F6">
        <w:rPr>
          <w:szCs w:val="24"/>
          <w:lang w:val="en-US"/>
        </w:rPr>
        <w:t xml:space="preserve"> </w:t>
      </w:r>
      <w:r w:rsidR="00B965BD" w:rsidRPr="00B717F6">
        <w:rPr>
          <w:szCs w:val="24"/>
          <w:lang w:val="en-US"/>
        </w:rPr>
        <w:t>frequency</w:t>
      </w:r>
      <w:r w:rsidR="00FB4593" w:rsidRPr="00B717F6">
        <w:rPr>
          <w:szCs w:val="24"/>
          <w:lang w:val="en-US"/>
        </w:rPr>
        <w:t xml:space="preserve"> is not unequivocal</w:t>
      </w:r>
      <w:r w:rsidR="00B965BD" w:rsidRPr="00B717F6">
        <w:rPr>
          <w:szCs w:val="24"/>
          <w:lang w:val="en-US"/>
        </w:rPr>
        <w:t xml:space="preserve"> </w:t>
      </w:r>
      <w:r w:rsidR="00C6175E" w:rsidRPr="00B717F6">
        <w:rPr>
          <w:szCs w:val="24"/>
          <w:lang w:val="en-US"/>
        </w:rPr>
        <w:t>(</w:t>
      </w:r>
      <w:r w:rsidR="001C7264" w:rsidRPr="00B717F6">
        <w:rPr>
          <w:szCs w:val="24"/>
          <w:lang w:val="en-US"/>
        </w:rPr>
        <w:t>Regnerus et al., 2017</w:t>
      </w:r>
      <w:r w:rsidR="005708DA" w:rsidRPr="00B717F6">
        <w:rPr>
          <w:szCs w:val="24"/>
          <w:lang w:val="en-US"/>
        </w:rPr>
        <w:t>; Rowland et al., 2020</w:t>
      </w:r>
      <w:r w:rsidR="00C6175E" w:rsidRPr="00B717F6">
        <w:rPr>
          <w:szCs w:val="24"/>
          <w:lang w:val="en-US"/>
        </w:rPr>
        <w:t>)</w:t>
      </w:r>
      <w:r w:rsidR="00D916AB" w:rsidRPr="00B717F6">
        <w:rPr>
          <w:szCs w:val="24"/>
          <w:lang w:val="en-US"/>
        </w:rPr>
        <w:t xml:space="preserve">. </w:t>
      </w:r>
      <w:r w:rsidR="00D97024" w:rsidRPr="00B717F6">
        <w:rPr>
          <w:szCs w:val="24"/>
          <w:lang w:val="en-US"/>
        </w:rPr>
        <w:t xml:space="preserve">For example, </w:t>
      </w:r>
      <w:r w:rsidR="004902D2" w:rsidRPr="00B717F6">
        <w:rPr>
          <w:szCs w:val="24"/>
          <w:lang w:val="en-US"/>
        </w:rPr>
        <w:t>using data from</w:t>
      </w:r>
      <w:r w:rsidR="00D97024" w:rsidRPr="00B717F6">
        <w:rPr>
          <w:szCs w:val="24"/>
          <w:lang w:val="en-US"/>
        </w:rPr>
        <w:t xml:space="preserve"> </w:t>
      </w:r>
      <w:r w:rsidR="00AD4912" w:rsidRPr="00B717F6">
        <w:rPr>
          <w:szCs w:val="24"/>
          <w:lang w:val="en-US"/>
        </w:rPr>
        <w:t xml:space="preserve">the second wave of the UK </w:t>
      </w:r>
      <w:proofErr w:type="spellStart"/>
      <w:r w:rsidR="00AD4912" w:rsidRPr="00B717F6">
        <w:rPr>
          <w:szCs w:val="24"/>
          <w:lang w:val="en-US"/>
        </w:rPr>
        <w:t>Natsal</w:t>
      </w:r>
      <w:proofErr w:type="spellEnd"/>
      <w:r w:rsidR="00AD4912" w:rsidRPr="00B717F6">
        <w:rPr>
          <w:szCs w:val="24"/>
          <w:lang w:val="en-US"/>
        </w:rPr>
        <w:t xml:space="preserve"> survey</w:t>
      </w:r>
      <w:r w:rsidR="00CD3C1A" w:rsidRPr="00B717F6">
        <w:rPr>
          <w:szCs w:val="24"/>
          <w:lang w:val="en-US"/>
        </w:rPr>
        <w:t xml:space="preserve"> of adults </w:t>
      </w:r>
      <w:r w:rsidR="004902D2" w:rsidRPr="00B717F6">
        <w:rPr>
          <w:szCs w:val="24"/>
          <w:lang w:val="en-US"/>
        </w:rPr>
        <w:t>(</w:t>
      </w:r>
      <w:r w:rsidR="00CD3C1A" w:rsidRPr="00B717F6">
        <w:rPr>
          <w:szCs w:val="24"/>
          <w:lang w:val="en-US"/>
        </w:rPr>
        <w:t>aged 16 to 44</w:t>
      </w:r>
      <w:r w:rsidR="004902D2" w:rsidRPr="00B717F6">
        <w:rPr>
          <w:szCs w:val="24"/>
          <w:lang w:val="en-US"/>
        </w:rPr>
        <w:t>)</w:t>
      </w:r>
      <w:r w:rsidR="00CD3C1A" w:rsidRPr="00B717F6">
        <w:rPr>
          <w:szCs w:val="24"/>
          <w:lang w:val="en-US"/>
        </w:rPr>
        <w:t>,</w:t>
      </w:r>
      <w:r w:rsidR="0071752A" w:rsidRPr="00B717F6">
        <w:rPr>
          <w:szCs w:val="24"/>
          <w:lang w:val="en-US"/>
        </w:rPr>
        <w:t xml:space="preserve"> </w:t>
      </w:r>
      <w:proofErr w:type="spellStart"/>
      <w:r w:rsidR="0071752A" w:rsidRPr="00B717F6">
        <w:rPr>
          <w:szCs w:val="24"/>
          <w:lang w:val="en-US"/>
        </w:rPr>
        <w:t>Gerressu</w:t>
      </w:r>
      <w:proofErr w:type="spellEnd"/>
      <w:r w:rsidR="0071752A" w:rsidRPr="00B717F6">
        <w:rPr>
          <w:szCs w:val="24"/>
          <w:lang w:val="en-US"/>
        </w:rPr>
        <w:t xml:space="preserve"> et al. (2008</w:t>
      </w:r>
      <w:r w:rsidR="00BA5070" w:rsidRPr="00B717F6">
        <w:rPr>
          <w:szCs w:val="24"/>
          <w:lang w:val="en-US"/>
        </w:rPr>
        <w:t xml:space="preserve">) </w:t>
      </w:r>
      <w:r w:rsidR="00992825" w:rsidRPr="00B717F6">
        <w:rPr>
          <w:szCs w:val="24"/>
          <w:lang w:val="en-US"/>
        </w:rPr>
        <w:t>found</w:t>
      </w:r>
      <w:r w:rsidR="0071752A" w:rsidRPr="00B717F6">
        <w:rPr>
          <w:szCs w:val="24"/>
          <w:lang w:val="en-US"/>
        </w:rPr>
        <w:t xml:space="preserve"> a gender-specific </w:t>
      </w:r>
      <w:r w:rsidR="00BA5070" w:rsidRPr="00B717F6">
        <w:rPr>
          <w:szCs w:val="24"/>
          <w:lang w:val="en-US"/>
        </w:rPr>
        <w:t>pattern</w:t>
      </w:r>
      <w:r w:rsidR="00D97024" w:rsidRPr="00B717F6">
        <w:rPr>
          <w:szCs w:val="24"/>
          <w:lang w:val="en-US"/>
        </w:rPr>
        <w:t xml:space="preserve"> where,</w:t>
      </w:r>
      <w:r w:rsidR="00F07592" w:rsidRPr="00B717F6">
        <w:rPr>
          <w:szCs w:val="24"/>
          <w:lang w:val="en-US"/>
        </w:rPr>
        <w:t xml:space="preserve"> among men</w:t>
      </w:r>
      <w:r w:rsidR="00D97024" w:rsidRPr="00B717F6">
        <w:rPr>
          <w:szCs w:val="24"/>
          <w:lang w:val="en-US"/>
        </w:rPr>
        <w:t>,</w:t>
      </w:r>
      <w:r w:rsidR="00D916AB" w:rsidRPr="00B717F6">
        <w:rPr>
          <w:szCs w:val="24"/>
          <w:lang w:val="en-US"/>
        </w:rPr>
        <w:t xml:space="preserve"> </w:t>
      </w:r>
      <w:r w:rsidR="00465329" w:rsidRPr="00B717F6">
        <w:rPr>
          <w:szCs w:val="24"/>
          <w:lang w:val="en-US"/>
        </w:rPr>
        <w:t xml:space="preserve">more frequent </w:t>
      </w:r>
      <w:r w:rsidR="00465329" w:rsidRPr="00B717F6">
        <w:rPr>
          <w:szCs w:val="24"/>
          <w:lang w:val="en-US"/>
        </w:rPr>
        <w:lastRenderedPageBreak/>
        <w:t xml:space="preserve">intercourse decreased the likelihood of </w:t>
      </w:r>
      <w:r w:rsidR="00BA5070" w:rsidRPr="00B717F6">
        <w:rPr>
          <w:szCs w:val="24"/>
          <w:lang w:val="en-US"/>
        </w:rPr>
        <w:t xml:space="preserve">reporting </w:t>
      </w:r>
      <w:r w:rsidR="00D916AB" w:rsidRPr="00B717F6">
        <w:rPr>
          <w:szCs w:val="24"/>
          <w:lang w:val="en-US"/>
        </w:rPr>
        <w:t>masturbation</w:t>
      </w:r>
      <w:r w:rsidR="00C6175E" w:rsidRPr="00B717F6">
        <w:rPr>
          <w:szCs w:val="24"/>
          <w:lang w:val="en-US"/>
        </w:rPr>
        <w:t xml:space="preserve"> (</w:t>
      </w:r>
      <w:r w:rsidR="00E42A13" w:rsidRPr="00B717F6">
        <w:rPr>
          <w:szCs w:val="24"/>
          <w:lang w:val="en-US"/>
        </w:rPr>
        <w:t xml:space="preserve">in keeping with the </w:t>
      </w:r>
      <w:r w:rsidR="00C6175E" w:rsidRPr="00B717F6">
        <w:rPr>
          <w:szCs w:val="24"/>
          <w:lang w:val="en-US"/>
        </w:rPr>
        <w:t>compensatory</w:t>
      </w:r>
      <w:r w:rsidR="00E42A13" w:rsidRPr="00B717F6">
        <w:rPr>
          <w:szCs w:val="24"/>
          <w:lang w:val="en-US"/>
        </w:rPr>
        <w:t xml:space="preserve"> model</w:t>
      </w:r>
      <w:r w:rsidR="00C6175E" w:rsidRPr="00B717F6">
        <w:rPr>
          <w:szCs w:val="24"/>
          <w:lang w:val="en-US"/>
        </w:rPr>
        <w:t>)</w:t>
      </w:r>
      <w:r w:rsidR="00D97024" w:rsidRPr="00B717F6">
        <w:rPr>
          <w:szCs w:val="24"/>
          <w:lang w:val="en-US"/>
        </w:rPr>
        <w:t xml:space="preserve"> while</w:t>
      </w:r>
      <w:r w:rsidR="0071752A" w:rsidRPr="00B717F6">
        <w:rPr>
          <w:szCs w:val="24"/>
          <w:lang w:val="en-US"/>
        </w:rPr>
        <w:t xml:space="preserve"> </w:t>
      </w:r>
      <w:r w:rsidR="00C64166" w:rsidRPr="00B717F6">
        <w:rPr>
          <w:szCs w:val="24"/>
          <w:lang w:val="en-US"/>
        </w:rPr>
        <w:t>the opposite relationship was found among</w:t>
      </w:r>
      <w:r w:rsidR="00BA5070" w:rsidRPr="00B717F6">
        <w:rPr>
          <w:szCs w:val="24"/>
          <w:lang w:val="en-US"/>
        </w:rPr>
        <w:t xml:space="preserve"> </w:t>
      </w:r>
      <w:r w:rsidR="00D916AB" w:rsidRPr="00B717F6">
        <w:rPr>
          <w:szCs w:val="24"/>
          <w:lang w:val="en-US"/>
        </w:rPr>
        <w:t>women (</w:t>
      </w:r>
      <w:r w:rsidR="00AD4912" w:rsidRPr="00B717F6">
        <w:rPr>
          <w:szCs w:val="24"/>
          <w:lang w:val="en-US"/>
        </w:rPr>
        <w:t>consistent</w:t>
      </w:r>
      <w:r w:rsidR="00E42A13" w:rsidRPr="00B717F6">
        <w:rPr>
          <w:szCs w:val="24"/>
          <w:lang w:val="en-US"/>
        </w:rPr>
        <w:t xml:space="preserve"> with the </w:t>
      </w:r>
      <w:r w:rsidR="000F6A0E" w:rsidRPr="00B717F6">
        <w:rPr>
          <w:szCs w:val="24"/>
          <w:lang w:val="en-US"/>
        </w:rPr>
        <w:t>complementary</w:t>
      </w:r>
      <w:r w:rsidR="00E42A13" w:rsidRPr="00B717F6">
        <w:rPr>
          <w:szCs w:val="24"/>
          <w:lang w:val="en-US"/>
        </w:rPr>
        <w:t xml:space="preserve"> model</w:t>
      </w:r>
      <w:r w:rsidR="00D916AB" w:rsidRPr="00B717F6">
        <w:rPr>
          <w:szCs w:val="24"/>
          <w:lang w:val="en-US"/>
        </w:rPr>
        <w:t xml:space="preserve">). </w:t>
      </w:r>
      <w:r w:rsidR="007B373B" w:rsidRPr="00B717F6">
        <w:rPr>
          <w:szCs w:val="24"/>
          <w:lang w:val="en-US"/>
        </w:rPr>
        <w:t xml:space="preserve">Other studies </w:t>
      </w:r>
      <w:r w:rsidR="00F07592" w:rsidRPr="00B717F6">
        <w:rPr>
          <w:szCs w:val="24"/>
          <w:lang w:val="en-US"/>
        </w:rPr>
        <w:t xml:space="preserve">have </w:t>
      </w:r>
      <w:r w:rsidR="007B373B" w:rsidRPr="00B717F6">
        <w:rPr>
          <w:szCs w:val="24"/>
          <w:lang w:val="en-US"/>
        </w:rPr>
        <w:t xml:space="preserve">found only </w:t>
      </w:r>
      <w:r w:rsidR="00F07592" w:rsidRPr="00B717F6">
        <w:rPr>
          <w:szCs w:val="24"/>
          <w:lang w:val="en-US"/>
        </w:rPr>
        <w:t xml:space="preserve">weak </w:t>
      </w:r>
      <w:r w:rsidR="007B373B" w:rsidRPr="00B717F6">
        <w:rPr>
          <w:szCs w:val="24"/>
          <w:lang w:val="en-US"/>
        </w:rPr>
        <w:t xml:space="preserve">associations between </w:t>
      </w:r>
      <w:r w:rsidR="00BA5070" w:rsidRPr="00B717F6">
        <w:rPr>
          <w:szCs w:val="24"/>
          <w:lang w:val="en-US"/>
        </w:rPr>
        <w:t>partnered and sol</w:t>
      </w:r>
      <w:r w:rsidR="00D97024" w:rsidRPr="00B717F6">
        <w:rPr>
          <w:szCs w:val="24"/>
          <w:lang w:val="en-US"/>
        </w:rPr>
        <w:t>itary</w:t>
      </w:r>
      <w:r w:rsidR="00BA5070" w:rsidRPr="00B717F6">
        <w:rPr>
          <w:szCs w:val="24"/>
          <w:lang w:val="en-US"/>
        </w:rPr>
        <w:t xml:space="preserve"> sexual activity</w:t>
      </w:r>
      <w:r w:rsidR="001C7264" w:rsidRPr="00B717F6">
        <w:rPr>
          <w:szCs w:val="24"/>
          <w:lang w:val="en-US"/>
        </w:rPr>
        <w:t xml:space="preserve"> (</w:t>
      </w:r>
      <w:proofErr w:type="spellStart"/>
      <w:r w:rsidR="00C226C4" w:rsidRPr="00B717F6">
        <w:rPr>
          <w:szCs w:val="24"/>
          <w:lang w:val="en-US"/>
        </w:rPr>
        <w:t>Långströ</w:t>
      </w:r>
      <w:r w:rsidR="00BB3DB5" w:rsidRPr="00B717F6">
        <w:rPr>
          <w:szCs w:val="24"/>
          <w:lang w:val="en-US"/>
        </w:rPr>
        <w:t>m</w:t>
      </w:r>
      <w:proofErr w:type="spellEnd"/>
      <w:r w:rsidR="00BB3DB5" w:rsidRPr="00B717F6">
        <w:rPr>
          <w:szCs w:val="24"/>
          <w:lang w:val="en-US"/>
        </w:rPr>
        <w:t xml:space="preserve"> &amp; Hanson, 2006; </w:t>
      </w:r>
      <w:r w:rsidR="001C7264" w:rsidRPr="00B717F6">
        <w:rPr>
          <w:szCs w:val="24"/>
          <w:lang w:val="en-US"/>
        </w:rPr>
        <w:t>Pinkerton et al., 2003; Rowland et al., 2020</w:t>
      </w:r>
      <w:r w:rsidR="00B70EF1" w:rsidRPr="00B717F6">
        <w:rPr>
          <w:szCs w:val="24"/>
          <w:lang w:val="en-US"/>
        </w:rPr>
        <w:t>)</w:t>
      </w:r>
      <w:r w:rsidR="007B373B" w:rsidRPr="00B717F6">
        <w:rPr>
          <w:szCs w:val="24"/>
          <w:lang w:val="en-US"/>
        </w:rPr>
        <w:t>.</w:t>
      </w:r>
      <w:r w:rsidR="00B70EF1" w:rsidRPr="00B717F6">
        <w:rPr>
          <w:szCs w:val="24"/>
          <w:lang w:val="en-US"/>
        </w:rPr>
        <w:t xml:space="preserve"> </w:t>
      </w:r>
      <w:r w:rsidR="0015147F" w:rsidRPr="00B717F6">
        <w:rPr>
          <w:szCs w:val="24"/>
          <w:lang w:val="en-US"/>
        </w:rPr>
        <w:t xml:space="preserve">Overall, </w:t>
      </w:r>
      <w:r w:rsidR="000701F6" w:rsidRPr="00B717F6">
        <w:rPr>
          <w:szCs w:val="24"/>
          <w:lang w:val="en-US"/>
        </w:rPr>
        <w:t xml:space="preserve">findings suggest </w:t>
      </w:r>
      <w:r w:rsidR="000F1B5C" w:rsidRPr="00B717F6">
        <w:rPr>
          <w:szCs w:val="24"/>
          <w:lang w:val="en-US"/>
        </w:rPr>
        <w:t xml:space="preserve">the </w:t>
      </w:r>
      <w:r w:rsidR="00F07592" w:rsidRPr="00B717F6">
        <w:rPr>
          <w:szCs w:val="24"/>
          <w:lang w:val="en-US"/>
        </w:rPr>
        <w:t>relationship between sol</w:t>
      </w:r>
      <w:r w:rsidR="00D97024" w:rsidRPr="00B717F6">
        <w:rPr>
          <w:szCs w:val="24"/>
          <w:lang w:val="en-US"/>
        </w:rPr>
        <w:t>itary</w:t>
      </w:r>
      <w:r w:rsidR="00F07592" w:rsidRPr="00B717F6">
        <w:rPr>
          <w:szCs w:val="24"/>
          <w:lang w:val="en-US"/>
        </w:rPr>
        <w:t xml:space="preserve"> and partnered sexual activity </w:t>
      </w:r>
      <w:r w:rsidR="004902D2" w:rsidRPr="00B717F6">
        <w:rPr>
          <w:szCs w:val="24"/>
          <w:lang w:val="en-US"/>
        </w:rPr>
        <w:t>is</w:t>
      </w:r>
      <w:r w:rsidR="00EF57D2" w:rsidRPr="00B717F6">
        <w:rPr>
          <w:szCs w:val="24"/>
          <w:lang w:val="en-US"/>
        </w:rPr>
        <w:t xml:space="preserve"> complex, </w:t>
      </w:r>
      <w:r w:rsidR="004902D2" w:rsidRPr="00B717F6">
        <w:rPr>
          <w:szCs w:val="24"/>
          <w:lang w:val="en-US"/>
        </w:rPr>
        <w:t>and likely</w:t>
      </w:r>
      <w:r w:rsidR="00EF57D2" w:rsidRPr="00B717F6">
        <w:rPr>
          <w:szCs w:val="24"/>
          <w:lang w:val="en-US"/>
        </w:rPr>
        <w:t xml:space="preserve"> </w:t>
      </w:r>
      <w:r w:rsidR="00445BBD" w:rsidRPr="00B717F6">
        <w:rPr>
          <w:szCs w:val="24"/>
          <w:lang w:val="en-US"/>
        </w:rPr>
        <w:t>strongly influenced by</w:t>
      </w:r>
      <w:r w:rsidR="00765819" w:rsidRPr="00B717F6">
        <w:rPr>
          <w:szCs w:val="24"/>
          <w:lang w:val="en-US"/>
        </w:rPr>
        <w:t xml:space="preserve"> </w:t>
      </w:r>
      <w:r w:rsidR="00445BBD" w:rsidRPr="00B717F6">
        <w:rPr>
          <w:szCs w:val="24"/>
          <w:lang w:val="en-US"/>
        </w:rPr>
        <w:t>other factors, such as individuals</w:t>
      </w:r>
      <w:r w:rsidR="00AD4912" w:rsidRPr="00B717F6">
        <w:rPr>
          <w:szCs w:val="24"/>
          <w:lang w:val="en-US"/>
        </w:rPr>
        <w:t>’</w:t>
      </w:r>
      <w:r w:rsidR="00765819" w:rsidRPr="00B717F6">
        <w:rPr>
          <w:szCs w:val="24"/>
          <w:lang w:val="en-US"/>
        </w:rPr>
        <w:t xml:space="preserve"> sexual </w:t>
      </w:r>
      <w:r w:rsidR="00445BBD" w:rsidRPr="00B717F6">
        <w:rPr>
          <w:szCs w:val="24"/>
          <w:lang w:val="en-US"/>
        </w:rPr>
        <w:t>socialization</w:t>
      </w:r>
      <w:r w:rsidR="000F1B5C" w:rsidRPr="00B717F6">
        <w:rPr>
          <w:szCs w:val="24"/>
          <w:lang w:val="en-US"/>
        </w:rPr>
        <w:t xml:space="preserve"> (Das et al., 2009)</w:t>
      </w:r>
      <w:r w:rsidR="00445BBD" w:rsidRPr="00B717F6">
        <w:rPr>
          <w:szCs w:val="24"/>
          <w:lang w:val="en-US"/>
        </w:rPr>
        <w:t xml:space="preserve"> and satisfaction with </w:t>
      </w:r>
      <w:r w:rsidR="000F1B5C" w:rsidRPr="00B717F6">
        <w:rPr>
          <w:szCs w:val="24"/>
          <w:lang w:val="en-US"/>
        </w:rPr>
        <w:t xml:space="preserve">the </w:t>
      </w:r>
      <w:r w:rsidR="00121F71" w:rsidRPr="00B717F6">
        <w:rPr>
          <w:szCs w:val="24"/>
          <w:lang w:val="en-US"/>
        </w:rPr>
        <w:t>frequency</w:t>
      </w:r>
      <w:r w:rsidR="00F07592" w:rsidRPr="00B717F6">
        <w:rPr>
          <w:szCs w:val="24"/>
          <w:lang w:val="en-US"/>
        </w:rPr>
        <w:t xml:space="preserve"> of partnered sex</w:t>
      </w:r>
      <w:r w:rsidR="00121F71" w:rsidRPr="00B717F6">
        <w:rPr>
          <w:szCs w:val="24"/>
          <w:lang w:val="en-US"/>
        </w:rPr>
        <w:t xml:space="preserve"> (Regnerus et al., 2017).</w:t>
      </w:r>
      <w:r w:rsidR="00445BBD" w:rsidRPr="00B717F6">
        <w:rPr>
          <w:szCs w:val="24"/>
          <w:lang w:val="en-US"/>
        </w:rPr>
        <w:t xml:space="preserve"> </w:t>
      </w:r>
    </w:p>
    <w:p w14:paraId="035F96BC" w14:textId="068F42F7" w:rsidR="003B37D6" w:rsidRPr="00B717F6" w:rsidRDefault="004B18EE" w:rsidP="009C0C78">
      <w:pPr>
        <w:rPr>
          <w:szCs w:val="24"/>
          <w:lang w:val="en-US"/>
        </w:rPr>
      </w:pPr>
      <w:r w:rsidRPr="00B717F6">
        <w:rPr>
          <w:szCs w:val="24"/>
          <w:lang w:val="en-US"/>
        </w:rPr>
        <w:t>As masturbation is a</w:t>
      </w:r>
      <w:r w:rsidR="00CD3C1A" w:rsidRPr="00B717F6">
        <w:rPr>
          <w:szCs w:val="24"/>
          <w:lang w:val="en-US"/>
        </w:rPr>
        <w:t xml:space="preserve"> self-determined and</w:t>
      </w:r>
      <w:r w:rsidRPr="00B717F6">
        <w:rPr>
          <w:szCs w:val="24"/>
          <w:lang w:val="en-US"/>
        </w:rPr>
        <w:t xml:space="preserve"> available way of obtaining physical pleasure </w:t>
      </w:r>
      <w:r w:rsidR="003B0B4D" w:rsidRPr="00B717F6">
        <w:rPr>
          <w:szCs w:val="24"/>
          <w:lang w:val="en-US"/>
        </w:rPr>
        <w:t>(</w:t>
      </w:r>
      <w:r w:rsidRPr="00B717F6">
        <w:rPr>
          <w:szCs w:val="24"/>
          <w:lang w:val="en-US"/>
        </w:rPr>
        <w:t>Dekker &amp; Schmidt, 2003</w:t>
      </w:r>
      <w:r w:rsidR="003B0B4D" w:rsidRPr="00B717F6">
        <w:rPr>
          <w:szCs w:val="24"/>
          <w:lang w:val="en-US"/>
        </w:rPr>
        <w:t>)</w:t>
      </w:r>
      <w:r w:rsidR="005E3983" w:rsidRPr="00B717F6">
        <w:rPr>
          <w:szCs w:val="24"/>
          <w:lang w:val="en-US"/>
        </w:rPr>
        <w:t>,</w:t>
      </w:r>
      <w:r w:rsidR="003B0B4D" w:rsidRPr="00B717F6">
        <w:rPr>
          <w:szCs w:val="24"/>
          <w:lang w:val="en-US"/>
        </w:rPr>
        <w:t xml:space="preserve"> </w:t>
      </w:r>
      <w:r w:rsidR="008032A1" w:rsidRPr="00B717F6">
        <w:rPr>
          <w:szCs w:val="24"/>
          <w:lang w:val="en-US"/>
        </w:rPr>
        <w:t>one would expect</w:t>
      </w:r>
      <w:r w:rsidR="00AD42ED" w:rsidRPr="00B717F6">
        <w:rPr>
          <w:szCs w:val="24"/>
          <w:lang w:val="en-US"/>
        </w:rPr>
        <w:t xml:space="preserve"> that </w:t>
      </w:r>
      <w:r w:rsidR="005E3983" w:rsidRPr="00B717F6">
        <w:rPr>
          <w:szCs w:val="24"/>
          <w:lang w:val="en-US"/>
        </w:rPr>
        <w:t>frequent</w:t>
      </w:r>
      <w:r w:rsidR="00AD42ED" w:rsidRPr="00B717F6">
        <w:rPr>
          <w:szCs w:val="24"/>
          <w:lang w:val="en-US"/>
        </w:rPr>
        <w:t xml:space="preserve"> </w:t>
      </w:r>
      <w:r w:rsidRPr="00B717F6">
        <w:rPr>
          <w:szCs w:val="24"/>
          <w:lang w:val="en-US"/>
        </w:rPr>
        <w:t xml:space="preserve">sexual self-gratification </w:t>
      </w:r>
      <w:r w:rsidR="003004B2" w:rsidRPr="00B717F6">
        <w:rPr>
          <w:szCs w:val="24"/>
          <w:lang w:val="en-US"/>
        </w:rPr>
        <w:t xml:space="preserve">would </w:t>
      </w:r>
      <w:r w:rsidR="00AD42ED" w:rsidRPr="00B717F6">
        <w:rPr>
          <w:szCs w:val="24"/>
          <w:lang w:val="en-US"/>
        </w:rPr>
        <w:t>result in</w:t>
      </w:r>
      <w:r w:rsidR="008032A1" w:rsidRPr="00B717F6">
        <w:rPr>
          <w:szCs w:val="24"/>
          <w:lang w:val="en-US"/>
        </w:rPr>
        <w:t xml:space="preserve"> greater sexual satisfaction</w:t>
      </w:r>
      <w:r w:rsidR="00AD42ED" w:rsidRPr="00B717F6">
        <w:rPr>
          <w:szCs w:val="24"/>
          <w:lang w:val="en-US"/>
        </w:rPr>
        <w:t>.</w:t>
      </w:r>
      <w:r w:rsidR="008032A1" w:rsidRPr="00B717F6">
        <w:rPr>
          <w:szCs w:val="24"/>
          <w:lang w:val="en-US"/>
        </w:rPr>
        <w:t xml:space="preserve"> </w:t>
      </w:r>
      <w:r w:rsidR="00AD42ED" w:rsidRPr="00B717F6">
        <w:rPr>
          <w:szCs w:val="24"/>
          <w:lang w:val="en-US"/>
        </w:rPr>
        <w:t xml:space="preserve">Many studies </w:t>
      </w:r>
      <w:r w:rsidR="003004B2" w:rsidRPr="00B717F6">
        <w:rPr>
          <w:szCs w:val="24"/>
          <w:lang w:val="en-US"/>
        </w:rPr>
        <w:t>have found</w:t>
      </w:r>
      <w:r w:rsidR="00AD42ED" w:rsidRPr="00B717F6">
        <w:rPr>
          <w:szCs w:val="24"/>
          <w:lang w:val="en-US"/>
        </w:rPr>
        <w:t xml:space="preserve">, however, </w:t>
      </w:r>
      <w:r w:rsidR="003004B2" w:rsidRPr="00B717F6">
        <w:rPr>
          <w:szCs w:val="24"/>
          <w:lang w:val="en-US"/>
        </w:rPr>
        <w:t xml:space="preserve">the </w:t>
      </w:r>
      <w:r w:rsidR="008032A1" w:rsidRPr="00B717F6">
        <w:rPr>
          <w:szCs w:val="24"/>
          <w:lang w:val="en-US"/>
        </w:rPr>
        <w:t xml:space="preserve">reverse </w:t>
      </w:r>
      <w:r w:rsidR="00184D07" w:rsidRPr="00B717F6">
        <w:rPr>
          <w:szCs w:val="24"/>
          <w:lang w:val="en-US"/>
        </w:rPr>
        <w:t xml:space="preserve">to be true </w:t>
      </w:r>
      <w:r w:rsidR="008032A1" w:rsidRPr="00B717F6">
        <w:rPr>
          <w:szCs w:val="24"/>
          <w:lang w:val="en-US"/>
        </w:rPr>
        <w:t>(</w:t>
      </w:r>
      <w:r w:rsidR="005F2C8D" w:rsidRPr="00B717F6">
        <w:rPr>
          <w:szCs w:val="24"/>
          <w:lang w:val="en-US"/>
        </w:rPr>
        <w:t xml:space="preserve">Ayalon et al., 2019; </w:t>
      </w:r>
      <w:r w:rsidR="007155E0" w:rsidRPr="00B717F6">
        <w:rPr>
          <w:szCs w:val="24"/>
          <w:lang w:val="en-US"/>
        </w:rPr>
        <w:t xml:space="preserve">Brody &amp; Costa, 2009; </w:t>
      </w:r>
      <w:proofErr w:type="spellStart"/>
      <w:r w:rsidR="008032A1" w:rsidRPr="00B717F6">
        <w:rPr>
          <w:szCs w:val="24"/>
          <w:lang w:val="en-US"/>
        </w:rPr>
        <w:t>DeLamater</w:t>
      </w:r>
      <w:proofErr w:type="spellEnd"/>
      <w:r w:rsidR="008032A1" w:rsidRPr="00B717F6">
        <w:rPr>
          <w:szCs w:val="24"/>
          <w:lang w:val="en-US"/>
        </w:rPr>
        <w:t xml:space="preserve"> &amp; Moorman, 2007; Lee</w:t>
      </w:r>
      <w:r w:rsidR="009E74E5" w:rsidRPr="00B717F6">
        <w:rPr>
          <w:szCs w:val="24"/>
          <w:lang w:val="en-US"/>
        </w:rPr>
        <w:t xml:space="preserve"> et al., 2016</w:t>
      </w:r>
      <w:r w:rsidR="008032A1" w:rsidRPr="00B717F6">
        <w:rPr>
          <w:szCs w:val="24"/>
          <w:lang w:val="en-US"/>
        </w:rPr>
        <w:t>; Rowland et al., 2020</w:t>
      </w:r>
      <w:r w:rsidR="007155E0" w:rsidRPr="00B717F6">
        <w:rPr>
          <w:szCs w:val="24"/>
          <w:lang w:val="en-US"/>
        </w:rPr>
        <w:t xml:space="preserve">; </w:t>
      </w:r>
      <w:proofErr w:type="spellStart"/>
      <w:r w:rsidR="007155E0" w:rsidRPr="00B717F6">
        <w:rPr>
          <w:szCs w:val="24"/>
          <w:lang w:val="en-US"/>
        </w:rPr>
        <w:t>Velten</w:t>
      </w:r>
      <w:proofErr w:type="spellEnd"/>
      <w:r w:rsidR="007155E0" w:rsidRPr="00B717F6">
        <w:rPr>
          <w:szCs w:val="24"/>
          <w:lang w:val="en-US"/>
        </w:rPr>
        <w:t xml:space="preserve"> </w:t>
      </w:r>
      <w:r w:rsidR="00F2293E" w:rsidRPr="00B717F6">
        <w:rPr>
          <w:szCs w:val="24"/>
          <w:lang w:val="en-US"/>
        </w:rPr>
        <w:t>&amp;</w:t>
      </w:r>
      <w:r w:rsidR="007155E0" w:rsidRPr="00B717F6">
        <w:rPr>
          <w:szCs w:val="24"/>
          <w:lang w:val="en-US"/>
        </w:rPr>
        <w:t xml:space="preserve"> </w:t>
      </w:r>
      <w:proofErr w:type="spellStart"/>
      <w:r w:rsidR="007155E0" w:rsidRPr="00B717F6">
        <w:rPr>
          <w:szCs w:val="24"/>
          <w:lang w:val="en-US"/>
        </w:rPr>
        <w:t>Margraf</w:t>
      </w:r>
      <w:proofErr w:type="spellEnd"/>
      <w:r w:rsidR="00F2293E" w:rsidRPr="00B717F6">
        <w:rPr>
          <w:szCs w:val="24"/>
          <w:lang w:val="en-US"/>
        </w:rPr>
        <w:t>,</w:t>
      </w:r>
      <w:r w:rsidR="007155E0" w:rsidRPr="00B717F6">
        <w:rPr>
          <w:szCs w:val="24"/>
          <w:lang w:val="en-US"/>
        </w:rPr>
        <w:t xml:space="preserve"> 2017</w:t>
      </w:r>
      <w:r w:rsidR="00B71220" w:rsidRPr="00B717F6">
        <w:rPr>
          <w:szCs w:val="24"/>
          <w:lang w:val="en-US"/>
        </w:rPr>
        <w:t>). I</w:t>
      </w:r>
      <w:r w:rsidR="00AD42ED" w:rsidRPr="00B717F6">
        <w:rPr>
          <w:szCs w:val="24"/>
          <w:lang w:val="en-US"/>
        </w:rPr>
        <w:t xml:space="preserve">n a </w:t>
      </w:r>
      <w:r w:rsidR="000F6159" w:rsidRPr="00B717F6">
        <w:rPr>
          <w:szCs w:val="24"/>
          <w:lang w:val="en-US"/>
        </w:rPr>
        <w:t xml:space="preserve">representative </w:t>
      </w:r>
      <w:r w:rsidR="00AD42ED" w:rsidRPr="00B717F6">
        <w:rPr>
          <w:szCs w:val="24"/>
          <w:lang w:val="en-US"/>
        </w:rPr>
        <w:t xml:space="preserve">Swedish study </w:t>
      </w:r>
      <w:r w:rsidR="000F6159" w:rsidRPr="00B717F6">
        <w:rPr>
          <w:szCs w:val="24"/>
          <w:lang w:val="en-US"/>
        </w:rPr>
        <w:t xml:space="preserve">of 2,810 </w:t>
      </w:r>
      <w:r w:rsidR="00B71220" w:rsidRPr="00B717F6">
        <w:rPr>
          <w:szCs w:val="24"/>
          <w:lang w:val="en-US"/>
        </w:rPr>
        <w:t>adults</w:t>
      </w:r>
      <w:r w:rsidR="000F6159" w:rsidRPr="00B717F6">
        <w:rPr>
          <w:szCs w:val="24"/>
          <w:lang w:val="en-US"/>
        </w:rPr>
        <w:t xml:space="preserve"> aged</w:t>
      </w:r>
      <w:r w:rsidR="00AD42ED" w:rsidRPr="00B717F6">
        <w:rPr>
          <w:szCs w:val="24"/>
          <w:lang w:val="en-US"/>
        </w:rPr>
        <w:t xml:space="preserve"> 18</w:t>
      </w:r>
      <w:r w:rsidR="000F6159" w:rsidRPr="00B717F6">
        <w:rPr>
          <w:szCs w:val="24"/>
          <w:lang w:val="en-US"/>
        </w:rPr>
        <w:t>–</w:t>
      </w:r>
      <w:r w:rsidR="00AD42ED" w:rsidRPr="00B717F6">
        <w:rPr>
          <w:szCs w:val="24"/>
          <w:lang w:val="en-US"/>
        </w:rPr>
        <w:t>74 year</w:t>
      </w:r>
      <w:r w:rsidR="000F6159" w:rsidRPr="00B717F6">
        <w:rPr>
          <w:szCs w:val="24"/>
          <w:lang w:val="en-US"/>
        </w:rPr>
        <w:t>s</w:t>
      </w:r>
      <w:r w:rsidR="00AD42ED" w:rsidRPr="00B717F6">
        <w:rPr>
          <w:szCs w:val="24"/>
          <w:lang w:val="en-US"/>
        </w:rPr>
        <w:t xml:space="preserve"> </w:t>
      </w:r>
      <w:r w:rsidR="003D3C6E" w:rsidRPr="00B717F6">
        <w:rPr>
          <w:szCs w:val="24"/>
          <w:lang w:val="en-US"/>
        </w:rPr>
        <w:t xml:space="preserve">(Brody &amp; Costa, 2009), </w:t>
      </w:r>
      <w:r w:rsidR="00CC2853" w:rsidRPr="00B717F6">
        <w:rPr>
          <w:szCs w:val="24"/>
          <w:lang w:val="en-US"/>
        </w:rPr>
        <w:t xml:space="preserve">masturbation frequency was </w:t>
      </w:r>
      <w:r w:rsidR="00B71220" w:rsidRPr="00B717F6">
        <w:rPr>
          <w:szCs w:val="24"/>
          <w:lang w:val="en-US"/>
        </w:rPr>
        <w:t xml:space="preserve">negatively related to sexual </w:t>
      </w:r>
      <w:r w:rsidR="00DF2EEE" w:rsidRPr="00B717F6">
        <w:rPr>
          <w:szCs w:val="24"/>
          <w:lang w:val="en-US"/>
        </w:rPr>
        <w:t xml:space="preserve">and relationship </w:t>
      </w:r>
      <w:r w:rsidR="00B71220" w:rsidRPr="00B717F6">
        <w:rPr>
          <w:szCs w:val="24"/>
          <w:lang w:val="en-US"/>
        </w:rPr>
        <w:t>satisfaction</w:t>
      </w:r>
      <w:r w:rsidR="009C33BB" w:rsidRPr="00B717F6">
        <w:rPr>
          <w:szCs w:val="24"/>
          <w:lang w:val="en-US"/>
        </w:rPr>
        <w:t xml:space="preserve"> among both men and women</w:t>
      </w:r>
      <w:r w:rsidR="006D2300" w:rsidRPr="00B717F6">
        <w:rPr>
          <w:szCs w:val="24"/>
          <w:lang w:val="en-US"/>
        </w:rPr>
        <w:t>, independent of</w:t>
      </w:r>
      <w:r w:rsidR="00CC2853" w:rsidRPr="00B717F6">
        <w:rPr>
          <w:szCs w:val="24"/>
          <w:lang w:val="en-US"/>
        </w:rPr>
        <w:t xml:space="preserve"> </w:t>
      </w:r>
      <w:r w:rsidR="00B71220" w:rsidRPr="00B717F6">
        <w:rPr>
          <w:szCs w:val="24"/>
          <w:lang w:val="en-US"/>
        </w:rPr>
        <w:t>penile–vaginal intercourse activity</w:t>
      </w:r>
      <w:r w:rsidR="00677D2D" w:rsidRPr="00B717F6">
        <w:rPr>
          <w:szCs w:val="24"/>
          <w:lang w:val="en-US"/>
        </w:rPr>
        <w:t xml:space="preserve"> and age</w:t>
      </w:r>
      <w:r w:rsidR="003B37D6" w:rsidRPr="00B717F6">
        <w:rPr>
          <w:szCs w:val="24"/>
          <w:lang w:val="en-US"/>
        </w:rPr>
        <w:t xml:space="preserve">. </w:t>
      </w:r>
      <w:r w:rsidR="006D12B1" w:rsidRPr="00B717F6">
        <w:rPr>
          <w:szCs w:val="24"/>
          <w:lang w:val="en-US"/>
        </w:rPr>
        <w:t>Moreover, masturbation was</w:t>
      </w:r>
      <w:r w:rsidR="00570B37" w:rsidRPr="00B717F6">
        <w:rPr>
          <w:szCs w:val="24"/>
          <w:lang w:val="en-US"/>
        </w:rPr>
        <w:t xml:space="preserve"> also</w:t>
      </w:r>
      <w:r w:rsidR="006D12B1" w:rsidRPr="00B717F6">
        <w:rPr>
          <w:szCs w:val="24"/>
          <w:lang w:val="en-US"/>
        </w:rPr>
        <w:t xml:space="preserve"> linked to lower </w:t>
      </w:r>
      <w:r w:rsidR="00DF2EEE" w:rsidRPr="00B717F6">
        <w:rPr>
          <w:szCs w:val="24"/>
          <w:lang w:val="en-US"/>
        </w:rPr>
        <w:t>life satisfaction</w:t>
      </w:r>
      <w:r w:rsidR="006D12B1" w:rsidRPr="00B717F6">
        <w:rPr>
          <w:szCs w:val="24"/>
          <w:lang w:val="en-US"/>
        </w:rPr>
        <w:t xml:space="preserve"> in men</w:t>
      </w:r>
      <w:r w:rsidR="00DF2EEE" w:rsidRPr="00B717F6">
        <w:rPr>
          <w:szCs w:val="24"/>
          <w:lang w:val="en-US"/>
        </w:rPr>
        <w:t>.</w:t>
      </w:r>
      <w:r w:rsidR="006D12B1" w:rsidRPr="00B717F6">
        <w:rPr>
          <w:szCs w:val="24"/>
          <w:lang w:val="en-US"/>
        </w:rPr>
        <w:t xml:space="preserve"> </w:t>
      </w:r>
      <w:r w:rsidR="003004B2" w:rsidRPr="00B717F6">
        <w:rPr>
          <w:szCs w:val="24"/>
          <w:lang w:val="en-US"/>
        </w:rPr>
        <w:t xml:space="preserve">These </w:t>
      </w:r>
      <w:r w:rsidR="000168A5" w:rsidRPr="00B717F6">
        <w:rPr>
          <w:szCs w:val="24"/>
          <w:lang w:val="en-US"/>
        </w:rPr>
        <w:t xml:space="preserve">seemingly paradoxical </w:t>
      </w:r>
      <w:r w:rsidR="00535920" w:rsidRPr="00B717F6">
        <w:rPr>
          <w:szCs w:val="24"/>
          <w:lang w:val="en-US"/>
        </w:rPr>
        <w:t>association</w:t>
      </w:r>
      <w:r w:rsidR="00DF2EEE" w:rsidRPr="00B717F6">
        <w:rPr>
          <w:szCs w:val="24"/>
          <w:lang w:val="en-US"/>
        </w:rPr>
        <w:t>s</w:t>
      </w:r>
      <w:r w:rsidR="000168A5" w:rsidRPr="00B717F6">
        <w:rPr>
          <w:szCs w:val="24"/>
          <w:lang w:val="en-US"/>
        </w:rPr>
        <w:t xml:space="preserve"> might </w:t>
      </w:r>
      <w:r w:rsidR="00DF2EEE" w:rsidRPr="00B717F6">
        <w:rPr>
          <w:szCs w:val="24"/>
          <w:lang w:val="en-US"/>
        </w:rPr>
        <w:t xml:space="preserve">be related to </w:t>
      </w:r>
      <w:r w:rsidR="00836F24" w:rsidRPr="00B717F6">
        <w:rPr>
          <w:szCs w:val="24"/>
          <w:lang w:val="en-US"/>
        </w:rPr>
        <w:t>the</w:t>
      </w:r>
      <w:r w:rsidR="000168A5" w:rsidRPr="00B717F6">
        <w:rPr>
          <w:szCs w:val="24"/>
          <w:lang w:val="en-US"/>
        </w:rPr>
        <w:t xml:space="preserve"> </w:t>
      </w:r>
      <w:r w:rsidR="00535920" w:rsidRPr="00B717F6">
        <w:rPr>
          <w:szCs w:val="24"/>
          <w:lang w:val="en-US"/>
        </w:rPr>
        <w:t xml:space="preserve">longstanding </w:t>
      </w:r>
      <w:r w:rsidR="00836F24" w:rsidRPr="00B717F6">
        <w:rPr>
          <w:szCs w:val="24"/>
          <w:lang w:val="en-US"/>
        </w:rPr>
        <w:t>condemnation</w:t>
      </w:r>
      <w:r w:rsidR="003004B2" w:rsidRPr="00B717F6">
        <w:rPr>
          <w:szCs w:val="24"/>
          <w:lang w:val="en-US"/>
        </w:rPr>
        <w:t xml:space="preserve"> and</w:t>
      </w:r>
      <w:r w:rsidR="00836F24" w:rsidRPr="00B717F6">
        <w:rPr>
          <w:szCs w:val="24"/>
          <w:lang w:val="en-US"/>
        </w:rPr>
        <w:t xml:space="preserve"> </w:t>
      </w:r>
      <w:r w:rsidR="00535920" w:rsidRPr="00B717F6">
        <w:rPr>
          <w:szCs w:val="24"/>
          <w:lang w:val="en-US"/>
        </w:rPr>
        <w:t xml:space="preserve">stigmatization of </w:t>
      </w:r>
      <w:r w:rsidR="003004B2" w:rsidRPr="00B717F6">
        <w:rPr>
          <w:szCs w:val="24"/>
          <w:lang w:val="en-US"/>
        </w:rPr>
        <w:t>masturbation</w:t>
      </w:r>
      <w:r w:rsidR="00535920" w:rsidRPr="00B717F6">
        <w:rPr>
          <w:szCs w:val="24"/>
          <w:lang w:val="en-US"/>
        </w:rPr>
        <w:t xml:space="preserve"> </w:t>
      </w:r>
      <w:r w:rsidR="003004B2" w:rsidRPr="00B717F6">
        <w:rPr>
          <w:szCs w:val="24"/>
          <w:lang w:val="en-US"/>
        </w:rPr>
        <w:t xml:space="preserve">that </w:t>
      </w:r>
      <w:r w:rsidR="00F31AE2" w:rsidRPr="00B717F6">
        <w:rPr>
          <w:szCs w:val="24"/>
          <w:lang w:val="en-US"/>
        </w:rPr>
        <w:t xml:space="preserve">still </w:t>
      </w:r>
      <w:r w:rsidR="003004B2" w:rsidRPr="00B717F6">
        <w:rPr>
          <w:szCs w:val="24"/>
          <w:lang w:val="en-US"/>
        </w:rPr>
        <w:t xml:space="preserve">elicits </w:t>
      </w:r>
      <w:r w:rsidR="00535920" w:rsidRPr="00B717F6">
        <w:rPr>
          <w:szCs w:val="24"/>
          <w:lang w:val="en-US"/>
        </w:rPr>
        <w:t>guil</w:t>
      </w:r>
      <w:r w:rsidR="003B37D6" w:rsidRPr="00B717F6">
        <w:rPr>
          <w:szCs w:val="24"/>
          <w:lang w:val="en-US"/>
        </w:rPr>
        <w:t>t</w:t>
      </w:r>
      <w:r w:rsidR="00535920" w:rsidRPr="00B717F6">
        <w:rPr>
          <w:szCs w:val="24"/>
          <w:lang w:val="en-US"/>
        </w:rPr>
        <w:t xml:space="preserve">, </w:t>
      </w:r>
      <w:r w:rsidR="003B37D6" w:rsidRPr="00B717F6">
        <w:rPr>
          <w:szCs w:val="24"/>
          <w:lang w:val="en-US"/>
        </w:rPr>
        <w:t xml:space="preserve">shame, </w:t>
      </w:r>
      <w:r w:rsidR="00535920" w:rsidRPr="00B717F6">
        <w:rPr>
          <w:szCs w:val="24"/>
          <w:lang w:val="en-US"/>
        </w:rPr>
        <w:t xml:space="preserve">and </w:t>
      </w:r>
      <w:r w:rsidR="006D2300" w:rsidRPr="00B717F6">
        <w:rPr>
          <w:szCs w:val="24"/>
          <w:lang w:val="en-US"/>
        </w:rPr>
        <w:t xml:space="preserve">feelings of </w:t>
      </w:r>
      <w:r w:rsidR="00535920" w:rsidRPr="00B717F6">
        <w:rPr>
          <w:szCs w:val="24"/>
          <w:lang w:val="en-US"/>
        </w:rPr>
        <w:t xml:space="preserve">sexual </w:t>
      </w:r>
      <w:r w:rsidR="003B37D6" w:rsidRPr="00B717F6">
        <w:rPr>
          <w:szCs w:val="24"/>
          <w:lang w:val="en-US"/>
        </w:rPr>
        <w:t>inadequacy</w:t>
      </w:r>
      <w:r w:rsidR="00CC2853" w:rsidRPr="00B717F6">
        <w:rPr>
          <w:szCs w:val="24"/>
          <w:lang w:val="en-US"/>
        </w:rPr>
        <w:t xml:space="preserve"> (</w:t>
      </w:r>
      <w:proofErr w:type="spellStart"/>
      <w:r w:rsidR="0095510B" w:rsidRPr="00B717F6">
        <w:rPr>
          <w:szCs w:val="24"/>
          <w:lang w:val="en-US"/>
        </w:rPr>
        <w:t>Baćak</w:t>
      </w:r>
      <w:proofErr w:type="spellEnd"/>
      <w:r w:rsidR="0095510B" w:rsidRPr="00B717F6">
        <w:rPr>
          <w:szCs w:val="24"/>
          <w:lang w:val="en-US"/>
        </w:rPr>
        <w:t xml:space="preserve"> &amp; </w:t>
      </w:r>
      <w:proofErr w:type="spellStart"/>
      <w:r w:rsidR="0095510B" w:rsidRPr="00B717F6">
        <w:rPr>
          <w:szCs w:val="24"/>
          <w:lang w:val="en-US"/>
        </w:rPr>
        <w:t>Štulhofer</w:t>
      </w:r>
      <w:proofErr w:type="spellEnd"/>
      <w:r w:rsidR="0095510B" w:rsidRPr="00B717F6">
        <w:rPr>
          <w:szCs w:val="24"/>
          <w:lang w:val="en-US"/>
        </w:rPr>
        <w:t xml:space="preserve">, 2011; </w:t>
      </w:r>
      <w:r w:rsidR="00595043" w:rsidRPr="00B717F6">
        <w:rPr>
          <w:szCs w:val="24"/>
          <w:lang w:val="en-US"/>
        </w:rPr>
        <w:t xml:space="preserve">Coleman, 2003; </w:t>
      </w:r>
      <w:proofErr w:type="spellStart"/>
      <w:r w:rsidR="001B696C" w:rsidRPr="00B717F6">
        <w:rPr>
          <w:szCs w:val="24"/>
          <w:lang w:val="en-US"/>
        </w:rPr>
        <w:t>Hinchliff</w:t>
      </w:r>
      <w:proofErr w:type="spellEnd"/>
      <w:r w:rsidR="001B696C" w:rsidRPr="00B717F6">
        <w:rPr>
          <w:szCs w:val="24"/>
          <w:lang w:val="en-US"/>
        </w:rPr>
        <w:t xml:space="preserve"> et al., 2018). </w:t>
      </w:r>
      <w:r w:rsidR="00EE51A8" w:rsidRPr="00B717F6">
        <w:rPr>
          <w:szCs w:val="24"/>
          <w:lang w:val="en-US"/>
        </w:rPr>
        <w:t xml:space="preserve">Qualitative studies among younger adults indicate a substantial diversity of views on masturbation and provide some insights into the contradictious and conflicting experience of masturbation being both pleasurable and shameful (Hogarth &amp; Ingham, 2009; </w:t>
      </w:r>
      <w:proofErr w:type="spellStart"/>
      <w:r w:rsidR="00EE51A8" w:rsidRPr="00B717F6">
        <w:rPr>
          <w:szCs w:val="24"/>
          <w:lang w:val="en-US"/>
        </w:rPr>
        <w:t>Kaestle</w:t>
      </w:r>
      <w:proofErr w:type="spellEnd"/>
      <w:r w:rsidR="00EE51A8" w:rsidRPr="00B717F6">
        <w:rPr>
          <w:szCs w:val="24"/>
          <w:lang w:val="en-US"/>
        </w:rPr>
        <w:t xml:space="preserve"> &amp; Allen, 2011). For example, </w:t>
      </w:r>
      <w:proofErr w:type="spellStart"/>
      <w:r w:rsidR="00EE51A8" w:rsidRPr="00B717F6">
        <w:rPr>
          <w:szCs w:val="24"/>
          <w:lang w:val="en-US"/>
        </w:rPr>
        <w:t>Kaestle</w:t>
      </w:r>
      <w:proofErr w:type="spellEnd"/>
      <w:r w:rsidR="00EE51A8" w:rsidRPr="00B717F6">
        <w:rPr>
          <w:szCs w:val="24"/>
          <w:lang w:val="en-US"/>
        </w:rPr>
        <w:t xml:space="preserve"> &amp; Allen (2011) found that while young adults were discovering the physical pleasure of solo sex the exploration was often accompanied by </w:t>
      </w:r>
      <w:r w:rsidR="00EE51A8" w:rsidRPr="00B717F6">
        <w:rPr>
          <w:szCs w:val="24"/>
          <w:lang w:val="en-US"/>
        </w:rPr>
        <w:lastRenderedPageBreak/>
        <w:t xml:space="preserve">feelings of shame and awkwardness, and a </w:t>
      </w:r>
      <w:r w:rsidR="00D26132" w:rsidRPr="00B717F6">
        <w:rPr>
          <w:szCs w:val="24"/>
          <w:lang w:val="en-US"/>
        </w:rPr>
        <w:t>subsequent effort to balance those</w:t>
      </w:r>
      <w:r w:rsidR="00EE51A8" w:rsidRPr="00B717F6">
        <w:rPr>
          <w:szCs w:val="24"/>
          <w:lang w:val="en-US"/>
        </w:rPr>
        <w:t xml:space="preserve"> conflicting feelings.</w:t>
      </w:r>
    </w:p>
    <w:p w14:paraId="0A89F93C" w14:textId="13FE3EB4" w:rsidR="00EA699C" w:rsidRPr="00B717F6" w:rsidRDefault="00EA699C" w:rsidP="009C0C78">
      <w:pPr>
        <w:pStyle w:val="Heading2"/>
        <w:spacing w:line="480" w:lineRule="auto"/>
        <w:rPr>
          <w:szCs w:val="24"/>
        </w:rPr>
      </w:pPr>
      <w:r w:rsidRPr="00B717F6">
        <w:rPr>
          <w:szCs w:val="24"/>
        </w:rPr>
        <w:t xml:space="preserve">A </w:t>
      </w:r>
      <w:r w:rsidR="00E3055D" w:rsidRPr="00B717F6">
        <w:rPr>
          <w:szCs w:val="24"/>
        </w:rPr>
        <w:t>C</w:t>
      </w:r>
      <w:r w:rsidR="001E2D9E" w:rsidRPr="00B717F6">
        <w:rPr>
          <w:szCs w:val="24"/>
        </w:rPr>
        <w:t>ross-European</w:t>
      </w:r>
      <w:r w:rsidRPr="00B717F6">
        <w:rPr>
          <w:szCs w:val="24"/>
        </w:rPr>
        <w:t xml:space="preserve"> </w:t>
      </w:r>
      <w:r w:rsidR="00E3055D" w:rsidRPr="00B717F6">
        <w:rPr>
          <w:szCs w:val="24"/>
        </w:rPr>
        <w:t>P</w:t>
      </w:r>
      <w:r w:rsidRPr="00B717F6">
        <w:rPr>
          <w:szCs w:val="24"/>
        </w:rPr>
        <w:t xml:space="preserve">erspective </w:t>
      </w:r>
    </w:p>
    <w:p w14:paraId="1F09178A" w14:textId="39303495" w:rsidR="00642276" w:rsidRPr="00B717F6" w:rsidRDefault="00EA699C" w:rsidP="009C0C78">
      <w:pPr>
        <w:rPr>
          <w:szCs w:val="24"/>
          <w:lang w:val="en-US"/>
        </w:rPr>
      </w:pPr>
      <w:r w:rsidRPr="00B717F6">
        <w:rPr>
          <w:szCs w:val="24"/>
          <w:lang w:val="en-US"/>
        </w:rPr>
        <w:t xml:space="preserve">Although in </w:t>
      </w:r>
      <w:r w:rsidR="00655570" w:rsidRPr="00B717F6">
        <w:rPr>
          <w:szCs w:val="24"/>
          <w:lang w:val="en-US"/>
        </w:rPr>
        <w:t>recent</w:t>
      </w:r>
      <w:r w:rsidRPr="00B717F6">
        <w:rPr>
          <w:szCs w:val="24"/>
          <w:lang w:val="en-US"/>
        </w:rPr>
        <w:t xml:space="preserve"> years</w:t>
      </w:r>
      <w:r w:rsidR="00655570" w:rsidRPr="00B717F6">
        <w:rPr>
          <w:szCs w:val="24"/>
          <w:lang w:val="en-US"/>
        </w:rPr>
        <w:t xml:space="preserve"> attitudes towards masturbation have become more liberalized, masturbation </w:t>
      </w:r>
      <w:r w:rsidRPr="00B717F6">
        <w:rPr>
          <w:szCs w:val="24"/>
          <w:lang w:val="en-US"/>
        </w:rPr>
        <w:t>still seems stigmatized and tabooed (</w:t>
      </w:r>
      <w:proofErr w:type="spellStart"/>
      <w:r w:rsidR="00C33E46" w:rsidRPr="00B717F6">
        <w:rPr>
          <w:szCs w:val="24"/>
          <w:lang w:val="en-US"/>
        </w:rPr>
        <w:t>Baćak</w:t>
      </w:r>
      <w:proofErr w:type="spellEnd"/>
      <w:r w:rsidR="00C33E46" w:rsidRPr="00B717F6">
        <w:rPr>
          <w:szCs w:val="24"/>
          <w:lang w:val="en-US"/>
        </w:rPr>
        <w:t xml:space="preserve"> &amp; </w:t>
      </w:r>
      <w:proofErr w:type="spellStart"/>
      <w:r w:rsidR="00C33E46" w:rsidRPr="00B717F6">
        <w:rPr>
          <w:szCs w:val="24"/>
          <w:lang w:val="en-US"/>
        </w:rPr>
        <w:t>Štulhofer</w:t>
      </w:r>
      <w:proofErr w:type="spellEnd"/>
      <w:r w:rsidR="00C33E46" w:rsidRPr="00B717F6">
        <w:rPr>
          <w:szCs w:val="24"/>
          <w:lang w:val="en-US"/>
        </w:rPr>
        <w:t xml:space="preserve">, 2011; </w:t>
      </w:r>
      <w:proofErr w:type="spellStart"/>
      <w:r w:rsidRPr="00B717F6">
        <w:rPr>
          <w:szCs w:val="24"/>
          <w:lang w:val="en-US"/>
        </w:rPr>
        <w:t>Carvalheira</w:t>
      </w:r>
      <w:proofErr w:type="spellEnd"/>
      <w:r w:rsidRPr="00B717F6">
        <w:rPr>
          <w:szCs w:val="24"/>
          <w:lang w:val="en-US"/>
        </w:rPr>
        <w:t xml:space="preserve"> &amp; Leal, 2013; Coleman, 2003; Dekker &amp; Schmidt</w:t>
      </w:r>
      <w:r w:rsidR="0078528C" w:rsidRPr="00B717F6">
        <w:rPr>
          <w:szCs w:val="24"/>
          <w:lang w:val="en-US"/>
        </w:rPr>
        <w:t xml:space="preserve">, 2003; Francoeur &amp; </w:t>
      </w:r>
      <w:proofErr w:type="spellStart"/>
      <w:r w:rsidR="0078528C" w:rsidRPr="00B717F6">
        <w:rPr>
          <w:szCs w:val="24"/>
          <w:lang w:val="en-US"/>
        </w:rPr>
        <w:t>Noona</w:t>
      </w:r>
      <w:proofErr w:type="spellEnd"/>
      <w:r w:rsidR="0078528C" w:rsidRPr="00B717F6">
        <w:rPr>
          <w:szCs w:val="24"/>
          <w:lang w:val="en-US"/>
        </w:rPr>
        <w:t>, 2004</w:t>
      </w:r>
      <w:r w:rsidRPr="00B717F6">
        <w:rPr>
          <w:szCs w:val="24"/>
          <w:lang w:val="en-US"/>
        </w:rPr>
        <w:t xml:space="preserve">). </w:t>
      </w:r>
      <w:r w:rsidR="00430116" w:rsidRPr="00B717F6">
        <w:rPr>
          <w:szCs w:val="24"/>
          <w:lang w:val="en-US"/>
        </w:rPr>
        <w:t>This may be especially true among older population</w:t>
      </w:r>
      <w:r w:rsidR="00642276" w:rsidRPr="00B717F6">
        <w:rPr>
          <w:szCs w:val="24"/>
          <w:lang w:val="en-US"/>
        </w:rPr>
        <w:t>s</w:t>
      </w:r>
      <w:r w:rsidR="00430116" w:rsidRPr="00B717F6">
        <w:rPr>
          <w:szCs w:val="24"/>
          <w:lang w:val="en-US"/>
        </w:rPr>
        <w:t xml:space="preserve"> that </w:t>
      </w:r>
      <w:r w:rsidR="00FC3099" w:rsidRPr="00B717F6">
        <w:rPr>
          <w:szCs w:val="24"/>
          <w:lang w:val="en-US"/>
        </w:rPr>
        <w:t xml:space="preserve">were </w:t>
      </w:r>
      <w:r w:rsidR="00F66988" w:rsidRPr="00B717F6">
        <w:rPr>
          <w:szCs w:val="24"/>
          <w:lang w:val="en-US"/>
        </w:rPr>
        <w:t xml:space="preserve">socialized in </w:t>
      </w:r>
      <w:r w:rsidR="00430116" w:rsidRPr="00B717F6">
        <w:rPr>
          <w:szCs w:val="24"/>
          <w:lang w:val="en-US"/>
        </w:rPr>
        <w:t xml:space="preserve">different </w:t>
      </w:r>
      <w:r w:rsidR="00F66988" w:rsidRPr="00B717F6">
        <w:rPr>
          <w:szCs w:val="24"/>
          <w:lang w:val="en-US"/>
        </w:rPr>
        <w:t>generations</w:t>
      </w:r>
      <w:r w:rsidR="00642276" w:rsidRPr="00B717F6">
        <w:rPr>
          <w:szCs w:val="24"/>
          <w:lang w:val="en-US"/>
        </w:rPr>
        <w:t xml:space="preserve"> </w:t>
      </w:r>
      <w:r w:rsidR="00430116" w:rsidRPr="00B717F6">
        <w:rPr>
          <w:szCs w:val="24"/>
          <w:lang w:val="en-US"/>
        </w:rPr>
        <w:t xml:space="preserve">and sociocultural </w:t>
      </w:r>
      <w:r w:rsidR="00F66988" w:rsidRPr="00B717F6">
        <w:rPr>
          <w:szCs w:val="24"/>
          <w:lang w:val="en-US"/>
        </w:rPr>
        <w:t>environments</w:t>
      </w:r>
      <w:r w:rsidR="00430116" w:rsidRPr="00B717F6">
        <w:rPr>
          <w:szCs w:val="24"/>
          <w:lang w:val="en-US"/>
        </w:rPr>
        <w:t xml:space="preserve">. It </w:t>
      </w:r>
      <w:r w:rsidR="00642276" w:rsidRPr="00B717F6">
        <w:rPr>
          <w:szCs w:val="24"/>
          <w:lang w:val="en-US"/>
        </w:rPr>
        <w:t>would</w:t>
      </w:r>
      <w:r w:rsidR="00430116" w:rsidRPr="00B717F6">
        <w:rPr>
          <w:szCs w:val="24"/>
          <w:lang w:val="en-US"/>
        </w:rPr>
        <w:t xml:space="preserve"> be expected that differences in gender roles and deep</w:t>
      </w:r>
      <w:r w:rsidR="00423F14" w:rsidRPr="00B717F6">
        <w:rPr>
          <w:szCs w:val="24"/>
          <w:lang w:val="en-US"/>
        </w:rPr>
        <w:t>-</w:t>
      </w:r>
      <w:r w:rsidR="00642276" w:rsidRPr="00B717F6">
        <w:rPr>
          <w:szCs w:val="24"/>
          <w:lang w:val="en-US"/>
        </w:rPr>
        <w:t xml:space="preserve">rooted </w:t>
      </w:r>
      <w:r w:rsidR="00430116" w:rsidRPr="00B717F6">
        <w:rPr>
          <w:szCs w:val="24"/>
          <w:lang w:val="en-US"/>
        </w:rPr>
        <w:t xml:space="preserve">traditional sociocultural pressures in regulating sexuality may have </w:t>
      </w:r>
      <w:r w:rsidR="00642276" w:rsidRPr="00B717F6">
        <w:rPr>
          <w:szCs w:val="24"/>
          <w:lang w:val="en-US"/>
        </w:rPr>
        <w:t xml:space="preserve">created different patterns of autoerotic behavior </w:t>
      </w:r>
      <w:r w:rsidR="00355EB1" w:rsidRPr="00B717F6">
        <w:rPr>
          <w:szCs w:val="24"/>
          <w:lang w:val="en-US"/>
        </w:rPr>
        <w:t>across Europe</w:t>
      </w:r>
      <w:r w:rsidR="00430116" w:rsidRPr="00B717F6">
        <w:rPr>
          <w:szCs w:val="24"/>
          <w:lang w:val="en-US"/>
        </w:rPr>
        <w:t xml:space="preserve"> (</w:t>
      </w:r>
      <w:proofErr w:type="spellStart"/>
      <w:r w:rsidR="00430116" w:rsidRPr="00B717F6">
        <w:rPr>
          <w:szCs w:val="24"/>
          <w:lang w:val="en-US"/>
        </w:rPr>
        <w:t>Baćak</w:t>
      </w:r>
      <w:proofErr w:type="spellEnd"/>
      <w:r w:rsidR="00430116" w:rsidRPr="00B717F6">
        <w:rPr>
          <w:szCs w:val="24"/>
          <w:lang w:val="en-US"/>
        </w:rPr>
        <w:t xml:space="preserve"> &amp; </w:t>
      </w:r>
      <w:proofErr w:type="spellStart"/>
      <w:r w:rsidR="00430116" w:rsidRPr="00B717F6">
        <w:rPr>
          <w:szCs w:val="24"/>
          <w:lang w:val="en-US"/>
        </w:rPr>
        <w:t>Štulhofer</w:t>
      </w:r>
      <w:proofErr w:type="spellEnd"/>
      <w:r w:rsidR="00430116" w:rsidRPr="00B717F6">
        <w:rPr>
          <w:szCs w:val="24"/>
          <w:lang w:val="en-US"/>
        </w:rPr>
        <w:t xml:space="preserve">, 2011; Francoeur &amp; </w:t>
      </w:r>
      <w:proofErr w:type="spellStart"/>
      <w:r w:rsidR="00430116" w:rsidRPr="00B717F6">
        <w:rPr>
          <w:szCs w:val="24"/>
          <w:lang w:val="en-US"/>
        </w:rPr>
        <w:t>Noona</w:t>
      </w:r>
      <w:proofErr w:type="spellEnd"/>
      <w:r w:rsidR="00430116" w:rsidRPr="00B717F6">
        <w:rPr>
          <w:szCs w:val="24"/>
          <w:lang w:val="en-US"/>
        </w:rPr>
        <w:t xml:space="preserve">, 2004; Katz-Wise &amp; Hyde, 2014). </w:t>
      </w:r>
      <w:r w:rsidRPr="00B717F6">
        <w:rPr>
          <w:szCs w:val="24"/>
          <w:lang w:val="en-US"/>
        </w:rPr>
        <w:t xml:space="preserve">Portugal, </w:t>
      </w:r>
      <w:r w:rsidR="003004B2" w:rsidRPr="00B717F6">
        <w:rPr>
          <w:szCs w:val="24"/>
          <w:lang w:val="en-US"/>
        </w:rPr>
        <w:t xml:space="preserve">along with </w:t>
      </w:r>
      <w:r w:rsidRPr="00B717F6">
        <w:rPr>
          <w:szCs w:val="24"/>
          <w:lang w:val="en-US"/>
        </w:rPr>
        <w:t xml:space="preserve">other South European countries (e.g., Italy and Spain) are essentially Latin </w:t>
      </w:r>
      <w:r w:rsidR="003004B2" w:rsidRPr="00B717F6">
        <w:rPr>
          <w:szCs w:val="24"/>
          <w:lang w:val="en-US"/>
        </w:rPr>
        <w:t>communities</w:t>
      </w:r>
      <w:r w:rsidRPr="00B717F6">
        <w:rPr>
          <w:szCs w:val="24"/>
          <w:lang w:val="en-US"/>
        </w:rPr>
        <w:t xml:space="preserve">, with similar views on sexuality and gender norms (Francoeur &amp; </w:t>
      </w:r>
      <w:proofErr w:type="spellStart"/>
      <w:r w:rsidRPr="00B717F6">
        <w:rPr>
          <w:szCs w:val="24"/>
          <w:lang w:val="en-US"/>
        </w:rPr>
        <w:t>Noona</w:t>
      </w:r>
      <w:proofErr w:type="spellEnd"/>
      <w:r w:rsidRPr="00B717F6">
        <w:rPr>
          <w:szCs w:val="24"/>
          <w:lang w:val="en-US"/>
        </w:rPr>
        <w:t xml:space="preserve">, 2004). </w:t>
      </w:r>
      <w:r w:rsidR="003004B2" w:rsidRPr="00B717F6">
        <w:rPr>
          <w:szCs w:val="24"/>
          <w:lang w:val="en-US"/>
        </w:rPr>
        <w:t>The</w:t>
      </w:r>
      <w:r w:rsidRPr="00B717F6">
        <w:rPr>
          <w:szCs w:val="24"/>
          <w:lang w:val="en-US"/>
        </w:rPr>
        <w:t xml:space="preserve"> southern European countries </w:t>
      </w:r>
      <w:r w:rsidR="003004B2" w:rsidRPr="00B717F6">
        <w:rPr>
          <w:szCs w:val="24"/>
          <w:lang w:val="en-US"/>
        </w:rPr>
        <w:t>share</w:t>
      </w:r>
      <w:r w:rsidRPr="00B717F6">
        <w:rPr>
          <w:szCs w:val="24"/>
          <w:lang w:val="en-US"/>
        </w:rPr>
        <w:t xml:space="preserve"> the social influence of the Catholic Church</w:t>
      </w:r>
      <w:r w:rsidR="00B84261" w:rsidRPr="00B717F6">
        <w:rPr>
          <w:szCs w:val="24"/>
          <w:lang w:val="en-US"/>
        </w:rPr>
        <w:t xml:space="preserve"> that</w:t>
      </w:r>
      <w:r w:rsidRPr="00B717F6">
        <w:rPr>
          <w:szCs w:val="24"/>
          <w:lang w:val="en-US"/>
        </w:rPr>
        <w:t xml:space="preserve"> </w:t>
      </w:r>
      <w:r w:rsidR="00B84261" w:rsidRPr="00B717F6">
        <w:rPr>
          <w:szCs w:val="24"/>
          <w:lang w:val="en-US"/>
        </w:rPr>
        <w:t xml:space="preserve">condemns </w:t>
      </w:r>
      <w:r w:rsidRPr="00B717F6">
        <w:rPr>
          <w:szCs w:val="24"/>
          <w:lang w:val="en-US"/>
        </w:rPr>
        <w:t>autoerotic behavior and</w:t>
      </w:r>
      <w:r w:rsidR="00B84261" w:rsidRPr="00B717F6">
        <w:rPr>
          <w:szCs w:val="24"/>
          <w:lang w:val="en-US"/>
        </w:rPr>
        <w:t xml:space="preserve"> maintains</w:t>
      </w:r>
      <w:r w:rsidRPr="00B717F6">
        <w:rPr>
          <w:szCs w:val="24"/>
          <w:lang w:val="en-US"/>
        </w:rPr>
        <w:t xml:space="preserve"> prevailing sexual double standards (</w:t>
      </w:r>
      <w:proofErr w:type="spellStart"/>
      <w:r w:rsidRPr="00B717F6">
        <w:rPr>
          <w:szCs w:val="24"/>
          <w:lang w:val="en-US"/>
        </w:rPr>
        <w:t>Bajos</w:t>
      </w:r>
      <w:proofErr w:type="spellEnd"/>
      <w:r w:rsidRPr="00B717F6">
        <w:rPr>
          <w:szCs w:val="24"/>
          <w:lang w:val="en-US"/>
        </w:rPr>
        <w:t xml:space="preserve"> &amp; </w:t>
      </w:r>
      <w:proofErr w:type="spellStart"/>
      <w:r w:rsidRPr="00B717F6">
        <w:rPr>
          <w:szCs w:val="24"/>
          <w:lang w:val="en-US"/>
        </w:rPr>
        <w:t>Marquet</w:t>
      </w:r>
      <w:proofErr w:type="spellEnd"/>
      <w:r w:rsidRPr="00B717F6">
        <w:rPr>
          <w:szCs w:val="24"/>
          <w:lang w:val="en-US"/>
        </w:rPr>
        <w:t xml:space="preserve">, 2000; </w:t>
      </w:r>
      <w:proofErr w:type="spellStart"/>
      <w:r w:rsidRPr="00B717F6">
        <w:rPr>
          <w:szCs w:val="24"/>
          <w:lang w:val="en-US"/>
        </w:rPr>
        <w:t>Bozon</w:t>
      </w:r>
      <w:proofErr w:type="spellEnd"/>
      <w:r w:rsidRPr="00B717F6">
        <w:rPr>
          <w:szCs w:val="24"/>
          <w:lang w:val="en-US"/>
        </w:rPr>
        <w:t xml:space="preserve"> &amp; </w:t>
      </w:r>
      <w:proofErr w:type="spellStart"/>
      <w:r w:rsidRPr="00B717F6">
        <w:rPr>
          <w:szCs w:val="24"/>
          <w:lang w:val="en-US"/>
        </w:rPr>
        <w:t>Kontula</w:t>
      </w:r>
      <w:proofErr w:type="spellEnd"/>
      <w:r w:rsidRPr="00B717F6">
        <w:rPr>
          <w:szCs w:val="24"/>
          <w:lang w:val="en-US"/>
        </w:rPr>
        <w:t xml:space="preserve">, 1998; Francoeur &amp; </w:t>
      </w:r>
      <w:proofErr w:type="spellStart"/>
      <w:r w:rsidRPr="00B717F6">
        <w:rPr>
          <w:szCs w:val="24"/>
          <w:lang w:val="en-US"/>
        </w:rPr>
        <w:t>Noona</w:t>
      </w:r>
      <w:proofErr w:type="spellEnd"/>
      <w:r w:rsidRPr="00B717F6">
        <w:rPr>
          <w:szCs w:val="24"/>
          <w:lang w:val="en-US"/>
        </w:rPr>
        <w:t xml:space="preserve">, 2004). Even though a recent modernization of Portuguese society </w:t>
      </w:r>
      <w:r w:rsidR="00FC3099" w:rsidRPr="00B717F6">
        <w:rPr>
          <w:szCs w:val="24"/>
          <w:lang w:val="en-US"/>
        </w:rPr>
        <w:t xml:space="preserve">has </w:t>
      </w:r>
      <w:r w:rsidRPr="00B717F6">
        <w:rPr>
          <w:szCs w:val="24"/>
          <w:lang w:val="en-US"/>
        </w:rPr>
        <w:t>led to change</w:t>
      </w:r>
      <w:r w:rsidR="00642276" w:rsidRPr="00B717F6">
        <w:rPr>
          <w:szCs w:val="24"/>
          <w:lang w:val="en-US"/>
        </w:rPr>
        <w:t>s</w:t>
      </w:r>
      <w:r w:rsidRPr="00B717F6">
        <w:rPr>
          <w:szCs w:val="24"/>
          <w:lang w:val="en-US"/>
        </w:rPr>
        <w:t xml:space="preserve"> in views on gender roles and sexuality, the traditional and religious beliefs may still remain a</w:t>
      </w:r>
      <w:r w:rsidR="00B84261" w:rsidRPr="00B717F6">
        <w:rPr>
          <w:szCs w:val="24"/>
          <w:lang w:val="en-US"/>
        </w:rPr>
        <w:t>n</w:t>
      </w:r>
      <w:r w:rsidRPr="00B717F6">
        <w:rPr>
          <w:szCs w:val="24"/>
          <w:lang w:val="en-US"/>
        </w:rPr>
        <w:t xml:space="preserve"> </w:t>
      </w:r>
      <w:r w:rsidR="00B84261" w:rsidRPr="00B717F6">
        <w:rPr>
          <w:szCs w:val="24"/>
          <w:lang w:val="en-US"/>
        </w:rPr>
        <w:t>influence on</w:t>
      </w:r>
      <w:r w:rsidRPr="00B717F6">
        <w:rPr>
          <w:szCs w:val="24"/>
          <w:lang w:val="en-US"/>
        </w:rPr>
        <w:t xml:space="preserve"> the older population (Francoeur &amp; </w:t>
      </w:r>
      <w:proofErr w:type="spellStart"/>
      <w:r w:rsidRPr="00B717F6">
        <w:rPr>
          <w:szCs w:val="24"/>
          <w:lang w:val="en-US"/>
        </w:rPr>
        <w:t>Noona</w:t>
      </w:r>
      <w:proofErr w:type="spellEnd"/>
      <w:r w:rsidRPr="00B717F6">
        <w:rPr>
          <w:szCs w:val="24"/>
          <w:lang w:val="en-US"/>
        </w:rPr>
        <w:t>, 2004). The northern European count</w:t>
      </w:r>
      <w:r w:rsidR="00642276" w:rsidRPr="00B717F6">
        <w:rPr>
          <w:szCs w:val="24"/>
          <w:lang w:val="en-US"/>
        </w:rPr>
        <w:t>r</w:t>
      </w:r>
      <w:r w:rsidRPr="00B717F6">
        <w:rPr>
          <w:szCs w:val="24"/>
          <w:lang w:val="en-US"/>
        </w:rPr>
        <w:t xml:space="preserve">ies, </w:t>
      </w:r>
      <w:r w:rsidR="00B84261" w:rsidRPr="00B717F6">
        <w:rPr>
          <w:szCs w:val="24"/>
          <w:lang w:val="en-US"/>
        </w:rPr>
        <w:t>in contrast</w:t>
      </w:r>
      <w:r w:rsidR="00642276" w:rsidRPr="00B717F6">
        <w:rPr>
          <w:szCs w:val="24"/>
          <w:lang w:val="en-US"/>
        </w:rPr>
        <w:t>,</w:t>
      </w:r>
      <w:r w:rsidRPr="00B717F6">
        <w:rPr>
          <w:szCs w:val="24"/>
          <w:lang w:val="en-US"/>
        </w:rPr>
        <w:t xml:space="preserve"> are viewed as being more sexually open-minded and permissive (Francoeur &amp; Noo</w:t>
      </w:r>
      <w:r w:rsidR="00A81385" w:rsidRPr="00B717F6">
        <w:rPr>
          <w:szCs w:val="24"/>
          <w:lang w:val="en-US"/>
        </w:rPr>
        <w:t xml:space="preserve">nan, 2004; </w:t>
      </w:r>
      <w:proofErr w:type="spellStart"/>
      <w:r w:rsidR="00A81385" w:rsidRPr="00B717F6">
        <w:rPr>
          <w:szCs w:val="24"/>
          <w:lang w:val="en-US"/>
        </w:rPr>
        <w:t>Træen</w:t>
      </w:r>
      <w:proofErr w:type="spellEnd"/>
      <w:r w:rsidR="00A81385" w:rsidRPr="00B717F6">
        <w:rPr>
          <w:szCs w:val="24"/>
          <w:lang w:val="en-US"/>
        </w:rPr>
        <w:t xml:space="preserve"> &amp; </w:t>
      </w:r>
      <w:proofErr w:type="spellStart"/>
      <w:r w:rsidR="00A81385" w:rsidRPr="00B717F6">
        <w:rPr>
          <w:szCs w:val="24"/>
          <w:lang w:val="en-US"/>
        </w:rPr>
        <w:t>Kvalem</w:t>
      </w:r>
      <w:proofErr w:type="spellEnd"/>
      <w:r w:rsidR="00A81385" w:rsidRPr="00B717F6">
        <w:rPr>
          <w:szCs w:val="24"/>
          <w:lang w:val="en-US"/>
        </w:rPr>
        <w:t>, 1996</w:t>
      </w:r>
      <w:r w:rsidR="00463D0E" w:rsidRPr="00B717F6">
        <w:rPr>
          <w:szCs w:val="24"/>
          <w:lang w:val="en-US"/>
        </w:rPr>
        <w:t xml:space="preserve">; </w:t>
      </w:r>
      <w:proofErr w:type="spellStart"/>
      <w:r w:rsidR="00463D0E" w:rsidRPr="00B717F6">
        <w:rPr>
          <w:szCs w:val="24"/>
          <w:lang w:val="en-US"/>
        </w:rPr>
        <w:t>Træen</w:t>
      </w:r>
      <w:proofErr w:type="spellEnd"/>
      <w:r w:rsidR="00463D0E" w:rsidRPr="00B717F6">
        <w:rPr>
          <w:szCs w:val="24"/>
          <w:lang w:val="en-US"/>
        </w:rPr>
        <w:t xml:space="preserve"> &amp; Lewin, 2008</w:t>
      </w:r>
      <w:r w:rsidRPr="00B717F6">
        <w:rPr>
          <w:szCs w:val="24"/>
          <w:lang w:val="en-US"/>
        </w:rPr>
        <w:t xml:space="preserve">). </w:t>
      </w:r>
      <w:r w:rsidR="009950B7" w:rsidRPr="00B717F6">
        <w:rPr>
          <w:szCs w:val="24"/>
          <w:lang w:val="en-US"/>
        </w:rPr>
        <w:t xml:space="preserve">For example, </w:t>
      </w:r>
      <w:r w:rsidRPr="00B717F6">
        <w:rPr>
          <w:szCs w:val="24"/>
          <w:lang w:val="en-US"/>
        </w:rPr>
        <w:t>Denmark was the first country in</w:t>
      </w:r>
      <w:r w:rsidR="00B84261" w:rsidRPr="00B717F6">
        <w:rPr>
          <w:szCs w:val="24"/>
          <w:lang w:val="en-US"/>
        </w:rPr>
        <w:t xml:space="preserve"> the world to</w:t>
      </w:r>
      <w:r w:rsidRPr="00B717F6">
        <w:rPr>
          <w:szCs w:val="24"/>
          <w:lang w:val="en-US"/>
        </w:rPr>
        <w:t xml:space="preserve"> legaliz</w:t>
      </w:r>
      <w:r w:rsidR="00B84261" w:rsidRPr="00B717F6">
        <w:rPr>
          <w:szCs w:val="24"/>
          <w:lang w:val="en-US"/>
        </w:rPr>
        <w:t>e</w:t>
      </w:r>
      <w:r w:rsidR="003D5F91" w:rsidRPr="00B717F6">
        <w:rPr>
          <w:szCs w:val="24"/>
          <w:lang w:val="en-US"/>
        </w:rPr>
        <w:t xml:space="preserve"> </w:t>
      </w:r>
      <w:r w:rsidR="009C50FB" w:rsidRPr="00B717F6">
        <w:rPr>
          <w:szCs w:val="24"/>
          <w:lang w:val="en-US"/>
        </w:rPr>
        <w:t xml:space="preserve">written </w:t>
      </w:r>
      <w:r w:rsidRPr="00B717F6">
        <w:rPr>
          <w:szCs w:val="24"/>
          <w:lang w:val="en-US"/>
        </w:rPr>
        <w:t xml:space="preserve">pornography in 1967 </w:t>
      </w:r>
      <w:r w:rsidR="009C50FB" w:rsidRPr="00B717F6">
        <w:rPr>
          <w:szCs w:val="24"/>
          <w:lang w:val="en-US"/>
        </w:rPr>
        <w:t xml:space="preserve">and pornographic pictures in </w:t>
      </w:r>
      <w:r w:rsidR="003D5F91" w:rsidRPr="00B717F6">
        <w:rPr>
          <w:szCs w:val="24"/>
          <w:lang w:val="en-US"/>
        </w:rPr>
        <w:t xml:space="preserve">1969 </w:t>
      </w:r>
      <w:r w:rsidRPr="00B717F6">
        <w:rPr>
          <w:szCs w:val="24"/>
          <w:lang w:val="en-US"/>
        </w:rPr>
        <w:t>(</w:t>
      </w:r>
      <w:proofErr w:type="spellStart"/>
      <w:r w:rsidR="009C4284" w:rsidRPr="00B717F6">
        <w:rPr>
          <w:szCs w:val="24"/>
          <w:lang w:val="en-US"/>
        </w:rPr>
        <w:t>Hald</w:t>
      </w:r>
      <w:proofErr w:type="spellEnd"/>
      <w:r w:rsidR="009C4284" w:rsidRPr="00B717F6">
        <w:rPr>
          <w:szCs w:val="24"/>
          <w:lang w:val="en-US"/>
        </w:rPr>
        <w:t>, 2007</w:t>
      </w:r>
      <w:r w:rsidRPr="00B717F6">
        <w:rPr>
          <w:szCs w:val="24"/>
          <w:lang w:val="en-US"/>
        </w:rPr>
        <w:t xml:space="preserve">). </w:t>
      </w:r>
    </w:p>
    <w:p w14:paraId="188FA227" w14:textId="2663D32F" w:rsidR="003B37D6" w:rsidRPr="00B717F6" w:rsidRDefault="00B84261" w:rsidP="009C0C78">
      <w:pPr>
        <w:rPr>
          <w:szCs w:val="24"/>
          <w:lang w:val="en-US"/>
        </w:rPr>
      </w:pPr>
      <w:r w:rsidRPr="00B717F6">
        <w:rPr>
          <w:szCs w:val="24"/>
          <w:lang w:val="en-US"/>
        </w:rPr>
        <w:t>Regarding</w:t>
      </w:r>
      <w:r w:rsidR="00EA699C" w:rsidRPr="00B717F6">
        <w:rPr>
          <w:szCs w:val="24"/>
          <w:lang w:val="en-US"/>
        </w:rPr>
        <w:t xml:space="preserve"> gender</w:t>
      </w:r>
      <w:r w:rsidR="00FC3099" w:rsidRPr="00B717F6">
        <w:rPr>
          <w:szCs w:val="24"/>
          <w:lang w:val="en-US"/>
        </w:rPr>
        <w:t xml:space="preserve"> </w:t>
      </w:r>
      <w:r w:rsidR="00EA699C" w:rsidRPr="00B717F6">
        <w:rPr>
          <w:szCs w:val="24"/>
          <w:lang w:val="en-US"/>
        </w:rPr>
        <w:t xml:space="preserve">equality, the Nordic countries </w:t>
      </w:r>
      <w:r w:rsidRPr="00B717F6">
        <w:rPr>
          <w:szCs w:val="24"/>
          <w:lang w:val="en-US"/>
        </w:rPr>
        <w:t xml:space="preserve">also </w:t>
      </w:r>
      <w:r w:rsidR="00EA699C" w:rsidRPr="00B717F6">
        <w:rPr>
          <w:szCs w:val="24"/>
          <w:lang w:val="en-US"/>
        </w:rPr>
        <w:t>seem to stand out (</w:t>
      </w:r>
      <w:r w:rsidR="00EA699C" w:rsidRPr="00B717F6">
        <w:rPr>
          <w:rFonts w:eastAsiaTheme="minorHAnsi"/>
          <w:szCs w:val="24"/>
          <w:lang w:val="en-US"/>
        </w:rPr>
        <w:t>European Institute for Gender Equality,</w:t>
      </w:r>
      <w:r w:rsidR="00EA699C" w:rsidRPr="00B717F6">
        <w:rPr>
          <w:szCs w:val="24"/>
          <w:lang w:val="en-US"/>
        </w:rPr>
        <w:t xml:space="preserve"> 2017; Francoeur &amp; Noonan, 2004</w:t>
      </w:r>
      <w:r w:rsidR="002E2F86" w:rsidRPr="00B717F6">
        <w:rPr>
          <w:szCs w:val="24"/>
          <w:lang w:val="en-US"/>
        </w:rPr>
        <w:t>; World Economic Forum, 2017</w:t>
      </w:r>
      <w:r w:rsidR="00EA699C" w:rsidRPr="00B717F6">
        <w:rPr>
          <w:szCs w:val="24"/>
          <w:lang w:val="en-US"/>
        </w:rPr>
        <w:t>). In 2015, Sweden, De</w:t>
      </w:r>
      <w:r w:rsidRPr="00B717F6">
        <w:rPr>
          <w:szCs w:val="24"/>
          <w:lang w:val="en-US"/>
        </w:rPr>
        <w:t>n</w:t>
      </w:r>
      <w:r w:rsidR="00EA699C" w:rsidRPr="00B717F6">
        <w:rPr>
          <w:szCs w:val="24"/>
          <w:lang w:val="en-US"/>
        </w:rPr>
        <w:t xml:space="preserve">mark and Finland were ranked </w:t>
      </w:r>
      <w:r w:rsidRPr="00B717F6">
        <w:rPr>
          <w:szCs w:val="24"/>
          <w:lang w:val="en-US"/>
        </w:rPr>
        <w:t xml:space="preserve">as </w:t>
      </w:r>
      <w:r w:rsidR="00EA699C" w:rsidRPr="00B717F6">
        <w:rPr>
          <w:szCs w:val="24"/>
          <w:lang w:val="en-US"/>
        </w:rPr>
        <w:t xml:space="preserve">the top </w:t>
      </w:r>
      <w:r w:rsidR="00642276" w:rsidRPr="00B717F6">
        <w:rPr>
          <w:szCs w:val="24"/>
          <w:lang w:val="en-US"/>
        </w:rPr>
        <w:t xml:space="preserve">three </w:t>
      </w:r>
      <w:r w:rsidR="00EA699C" w:rsidRPr="00B717F6">
        <w:rPr>
          <w:szCs w:val="24"/>
          <w:lang w:val="en-US"/>
        </w:rPr>
        <w:t xml:space="preserve">of 28 EU </w:t>
      </w:r>
      <w:r w:rsidR="00EA699C" w:rsidRPr="00B717F6">
        <w:rPr>
          <w:szCs w:val="24"/>
          <w:lang w:val="en-US"/>
        </w:rPr>
        <w:lastRenderedPageBreak/>
        <w:t>Member States in achiev</w:t>
      </w:r>
      <w:r w:rsidRPr="00B717F6">
        <w:rPr>
          <w:szCs w:val="24"/>
          <w:lang w:val="en-US"/>
        </w:rPr>
        <w:t>ing</w:t>
      </w:r>
      <w:r w:rsidR="00EA699C" w:rsidRPr="00B717F6">
        <w:rPr>
          <w:szCs w:val="24"/>
          <w:lang w:val="en-US"/>
        </w:rPr>
        <w:t xml:space="preserve"> gender equality (European Institute for Gender Equality, 2017). These socio-cultural variations along a North-South </w:t>
      </w:r>
      <w:r w:rsidR="009950B7" w:rsidRPr="00B717F6">
        <w:rPr>
          <w:szCs w:val="24"/>
          <w:lang w:val="en-US"/>
        </w:rPr>
        <w:t xml:space="preserve">European </w:t>
      </w:r>
      <w:r w:rsidR="00EA699C" w:rsidRPr="00B717F6">
        <w:rPr>
          <w:szCs w:val="24"/>
          <w:lang w:val="en-US"/>
        </w:rPr>
        <w:t xml:space="preserve">gradient may thus </w:t>
      </w:r>
      <w:r w:rsidRPr="00B717F6">
        <w:rPr>
          <w:szCs w:val="24"/>
          <w:lang w:val="en-US"/>
        </w:rPr>
        <w:t xml:space="preserve">be </w:t>
      </w:r>
      <w:r w:rsidR="00EA699C" w:rsidRPr="00B717F6">
        <w:rPr>
          <w:szCs w:val="24"/>
          <w:lang w:val="en-US"/>
        </w:rPr>
        <w:t>reflect</w:t>
      </w:r>
      <w:r w:rsidRPr="00B717F6">
        <w:rPr>
          <w:szCs w:val="24"/>
          <w:lang w:val="en-US"/>
        </w:rPr>
        <w:t>ed</w:t>
      </w:r>
      <w:r w:rsidR="00EA699C" w:rsidRPr="00B717F6">
        <w:rPr>
          <w:szCs w:val="24"/>
          <w:lang w:val="en-US"/>
        </w:rPr>
        <w:t xml:space="preserve"> in different</w:t>
      </w:r>
      <w:r w:rsidRPr="00B717F6">
        <w:rPr>
          <w:szCs w:val="24"/>
          <w:lang w:val="en-US"/>
        </w:rPr>
        <w:t xml:space="preserve"> patterns of</w:t>
      </w:r>
      <w:r w:rsidR="00EA699C" w:rsidRPr="00B717F6">
        <w:rPr>
          <w:szCs w:val="24"/>
          <w:lang w:val="en-US"/>
        </w:rPr>
        <w:t xml:space="preserve"> masturbation across Europe. Previous research that compared masturbation </w:t>
      </w:r>
      <w:r w:rsidR="00F9406D" w:rsidRPr="00B717F6">
        <w:rPr>
          <w:szCs w:val="24"/>
          <w:lang w:val="en-US"/>
        </w:rPr>
        <w:t>habits</w:t>
      </w:r>
      <w:r w:rsidR="00EA699C" w:rsidRPr="00B717F6">
        <w:rPr>
          <w:szCs w:val="24"/>
          <w:lang w:val="en-US"/>
        </w:rPr>
        <w:t xml:space="preserve"> between North and East Europe </w:t>
      </w:r>
      <w:r w:rsidR="0046581C" w:rsidRPr="00B717F6">
        <w:rPr>
          <w:szCs w:val="24"/>
          <w:lang w:val="en-US"/>
        </w:rPr>
        <w:t xml:space="preserve">found </w:t>
      </w:r>
      <w:r w:rsidR="006A23DE" w:rsidRPr="00B717F6">
        <w:rPr>
          <w:szCs w:val="24"/>
          <w:lang w:val="en-US"/>
        </w:rPr>
        <w:t xml:space="preserve">more </w:t>
      </w:r>
      <w:r w:rsidR="00642276" w:rsidRPr="00B717F6">
        <w:rPr>
          <w:szCs w:val="24"/>
          <w:lang w:val="en-US"/>
        </w:rPr>
        <w:t xml:space="preserve">frequent levels of </w:t>
      </w:r>
      <w:r w:rsidR="006A23DE" w:rsidRPr="00B717F6">
        <w:rPr>
          <w:szCs w:val="24"/>
          <w:lang w:val="en-US"/>
        </w:rPr>
        <w:t xml:space="preserve">masturbation in the liberal Nordic countries (Finland and Sweden) compared to the more sexually restrictive and repressive former Soviet </w:t>
      </w:r>
      <w:r w:rsidR="00EA699C" w:rsidRPr="00B717F6">
        <w:rPr>
          <w:szCs w:val="24"/>
          <w:lang w:val="en-US"/>
        </w:rPr>
        <w:t>Union (</w:t>
      </w:r>
      <w:proofErr w:type="spellStart"/>
      <w:r w:rsidR="00EA699C" w:rsidRPr="00B717F6">
        <w:rPr>
          <w:szCs w:val="24"/>
          <w:lang w:val="en-US"/>
        </w:rPr>
        <w:t>Kontula</w:t>
      </w:r>
      <w:proofErr w:type="spellEnd"/>
      <w:r w:rsidR="00EA699C" w:rsidRPr="00B717F6">
        <w:rPr>
          <w:szCs w:val="24"/>
          <w:lang w:val="en-US"/>
        </w:rPr>
        <w:t xml:space="preserve"> &amp; </w:t>
      </w:r>
      <w:proofErr w:type="spellStart"/>
      <w:r w:rsidR="00EA699C" w:rsidRPr="00B717F6">
        <w:rPr>
          <w:szCs w:val="24"/>
          <w:lang w:val="en-US"/>
        </w:rPr>
        <w:t>Haavio-Mannila</w:t>
      </w:r>
      <w:proofErr w:type="spellEnd"/>
      <w:r w:rsidR="00EA699C" w:rsidRPr="00B717F6">
        <w:rPr>
          <w:szCs w:val="24"/>
          <w:lang w:val="en-US"/>
        </w:rPr>
        <w:t xml:space="preserve">, 2003). </w:t>
      </w:r>
      <w:r w:rsidR="00642276" w:rsidRPr="00B717F6">
        <w:rPr>
          <w:szCs w:val="24"/>
          <w:lang w:val="en-US"/>
        </w:rPr>
        <w:t xml:space="preserve">A </w:t>
      </w:r>
      <w:r w:rsidR="00EA699C" w:rsidRPr="00B717F6">
        <w:rPr>
          <w:szCs w:val="24"/>
          <w:lang w:val="en-US"/>
        </w:rPr>
        <w:t xml:space="preserve">study </w:t>
      </w:r>
      <w:r w:rsidR="00642276" w:rsidRPr="00B717F6">
        <w:rPr>
          <w:szCs w:val="24"/>
          <w:lang w:val="en-US"/>
        </w:rPr>
        <w:t xml:space="preserve">of </w:t>
      </w:r>
      <w:r w:rsidR="00EA699C" w:rsidRPr="00B717F6">
        <w:rPr>
          <w:szCs w:val="24"/>
          <w:lang w:val="en-US"/>
        </w:rPr>
        <w:t>40–79</w:t>
      </w:r>
      <w:r w:rsidR="00642276" w:rsidRPr="00B717F6">
        <w:rPr>
          <w:szCs w:val="24"/>
          <w:lang w:val="en-US"/>
        </w:rPr>
        <w:t xml:space="preserve"> </w:t>
      </w:r>
      <w:r w:rsidR="00EA699C" w:rsidRPr="00B717F6">
        <w:rPr>
          <w:szCs w:val="24"/>
          <w:lang w:val="en-US"/>
        </w:rPr>
        <w:t>year</w:t>
      </w:r>
      <w:r w:rsidR="00642276" w:rsidRPr="00B717F6">
        <w:rPr>
          <w:szCs w:val="24"/>
          <w:lang w:val="en-US"/>
        </w:rPr>
        <w:t xml:space="preserve"> </w:t>
      </w:r>
      <w:r w:rsidR="00EA699C" w:rsidRPr="00B717F6">
        <w:rPr>
          <w:szCs w:val="24"/>
          <w:lang w:val="en-US"/>
        </w:rPr>
        <w:t>old men from eight European countries (Corona et al., 2010)</w:t>
      </w:r>
      <w:r w:rsidR="00642276" w:rsidRPr="00B717F6">
        <w:rPr>
          <w:szCs w:val="24"/>
          <w:lang w:val="en-US"/>
        </w:rPr>
        <w:t xml:space="preserve"> </w:t>
      </w:r>
      <w:r w:rsidR="00EA699C" w:rsidRPr="00B717F6">
        <w:rPr>
          <w:szCs w:val="24"/>
          <w:lang w:val="en-US"/>
        </w:rPr>
        <w:t>indicate</w:t>
      </w:r>
      <w:r w:rsidRPr="00B717F6">
        <w:rPr>
          <w:szCs w:val="24"/>
          <w:lang w:val="en-US"/>
        </w:rPr>
        <w:t>d</w:t>
      </w:r>
      <w:r w:rsidR="00EA699C" w:rsidRPr="00B717F6">
        <w:rPr>
          <w:szCs w:val="24"/>
          <w:lang w:val="en-US"/>
        </w:rPr>
        <w:t xml:space="preserve"> that men from </w:t>
      </w:r>
      <w:r w:rsidRPr="00B717F6">
        <w:rPr>
          <w:szCs w:val="24"/>
          <w:lang w:val="en-US"/>
        </w:rPr>
        <w:t xml:space="preserve">Northern </w:t>
      </w:r>
      <w:r w:rsidR="00EA699C" w:rsidRPr="00B717F6">
        <w:rPr>
          <w:szCs w:val="24"/>
          <w:lang w:val="en-US"/>
        </w:rPr>
        <w:t xml:space="preserve">and </w:t>
      </w:r>
      <w:r w:rsidRPr="00B717F6">
        <w:rPr>
          <w:szCs w:val="24"/>
          <w:lang w:val="en-US"/>
        </w:rPr>
        <w:t xml:space="preserve">Central </w:t>
      </w:r>
      <w:r w:rsidR="00EA699C" w:rsidRPr="00B717F6">
        <w:rPr>
          <w:szCs w:val="24"/>
          <w:lang w:val="en-US"/>
        </w:rPr>
        <w:t xml:space="preserve">Europe (Belgium, Sweden, UK) </w:t>
      </w:r>
      <w:r w:rsidRPr="00B717F6">
        <w:rPr>
          <w:szCs w:val="24"/>
          <w:lang w:val="en-US"/>
        </w:rPr>
        <w:t xml:space="preserve">were </w:t>
      </w:r>
      <w:r w:rsidR="00EA699C" w:rsidRPr="00B717F6">
        <w:rPr>
          <w:szCs w:val="24"/>
          <w:lang w:val="en-US"/>
        </w:rPr>
        <w:t>about twice as likely to report having masturbated at least once in the past month than men from South</w:t>
      </w:r>
      <w:r w:rsidRPr="00B717F6">
        <w:rPr>
          <w:szCs w:val="24"/>
          <w:lang w:val="en-US"/>
        </w:rPr>
        <w:t>ern</w:t>
      </w:r>
      <w:r w:rsidR="00EA699C" w:rsidRPr="00B717F6">
        <w:rPr>
          <w:szCs w:val="24"/>
          <w:lang w:val="en-US"/>
        </w:rPr>
        <w:t xml:space="preserve"> Europe (Italy, Spain) (58%–66% vs. 28%–30%). </w:t>
      </w:r>
      <w:r w:rsidR="00226734" w:rsidRPr="00B717F6">
        <w:rPr>
          <w:szCs w:val="24"/>
          <w:lang w:val="en-US"/>
        </w:rPr>
        <w:t>More gender egalitarian countries may also be characterized by lower gender gaps in reported masturbation.</w:t>
      </w:r>
    </w:p>
    <w:p w14:paraId="5EE10C6C" w14:textId="052F6495" w:rsidR="00DE4236" w:rsidRPr="00B717F6" w:rsidRDefault="00B84261" w:rsidP="009C0C78">
      <w:pPr>
        <w:rPr>
          <w:szCs w:val="24"/>
          <w:lang w:val="en-US"/>
        </w:rPr>
      </w:pPr>
      <w:r w:rsidRPr="00B717F6">
        <w:rPr>
          <w:szCs w:val="24"/>
          <w:lang w:val="en-US"/>
        </w:rPr>
        <w:t>To date</w:t>
      </w:r>
      <w:r w:rsidR="00694CF8" w:rsidRPr="00B717F6">
        <w:rPr>
          <w:szCs w:val="24"/>
          <w:lang w:val="en-US"/>
        </w:rPr>
        <w:t xml:space="preserve">, </w:t>
      </w:r>
      <w:r w:rsidR="00A6077C" w:rsidRPr="00B717F6">
        <w:rPr>
          <w:szCs w:val="24"/>
          <w:lang w:val="en-US"/>
        </w:rPr>
        <w:t xml:space="preserve">large-scale </w:t>
      </w:r>
      <w:r w:rsidR="00DE4236" w:rsidRPr="00B717F6">
        <w:rPr>
          <w:szCs w:val="24"/>
          <w:lang w:val="en-US"/>
        </w:rPr>
        <w:t>probability</w:t>
      </w:r>
      <w:r w:rsidR="00694CF8" w:rsidRPr="00B717F6">
        <w:rPr>
          <w:szCs w:val="24"/>
          <w:lang w:val="en-US"/>
        </w:rPr>
        <w:t>-based surveys on men</w:t>
      </w:r>
      <w:r w:rsidR="00FC3099" w:rsidRPr="00B717F6">
        <w:rPr>
          <w:szCs w:val="24"/>
          <w:lang w:val="en-US"/>
        </w:rPr>
        <w:t>’s</w:t>
      </w:r>
      <w:r w:rsidR="00694CF8" w:rsidRPr="00B717F6">
        <w:rPr>
          <w:szCs w:val="24"/>
          <w:lang w:val="en-US"/>
        </w:rPr>
        <w:t xml:space="preserve"> and </w:t>
      </w:r>
      <w:r w:rsidR="00DE4236" w:rsidRPr="00B717F6">
        <w:rPr>
          <w:szCs w:val="24"/>
          <w:lang w:val="en-US"/>
        </w:rPr>
        <w:t>women’s</w:t>
      </w:r>
      <w:r w:rsidR="00694CF8" w:rsidRPr="00B717F6">
        <w:rPr>
          <w:szCs w:val="24"/>
          <w:lang w:val="en-US"/>
        </w:rPr>
        <w:t xml:space="preserve"> masturbation </w:t>
      </w:r>
      <w:r w:rsidRPr="00B717F6">
        <w:rPr>
          <w:szCs w:val="24"/>
          <w:lang w:val="en-US"/>
        </w:rPr>
        <w:t>have been</w:t>
      </w:r>
      <w:r w:rsidR="00330F9F" w:rsidRPr="00B717F6">
        <w:rPr>
          <w:szCs w:val="24"/>
          <w:lang w:val="en-US"/>
        </w:rPr>
        <w:t xml:space="preserve"> limited</w:t>
      </w:r>
      <w:r w:rsidR="00A6077C" w:rsidRPr="00B717F6">
        <w:rPr>
          <w:szCs w:val="24"/>
          <w:lang w:val="en-US"/>
        </w:rPr>
        <w:t xml:space="preserve"> (Das et al., 2009</w:t>
      </w:r>
      <w:r w:rsidR="00CE1D25" w:rsidRPr="00B717F6">
        <w:rPr>
          <w:szCs w:val="24"/>
          <w:lang w:val="en-US"/>
        </w:rPr>
        <w:t xml:space="preserve">; </w:t>
      </w:r>
      <w:proofErr w:type="spellStart"/>
      <w:r w:rsidR="00CE1D25" w:rsidRPr="00B717F6">
        <w:rPr>
          <w:szCs w:val="24"/>
          <w:lang w:val="en-US"/>
        </w:rPr>
        <w:t>Gerressu</w:t>
      </w:r>
      <w:proofErr w:type="spellEnd"/>
      <w:r w:rsidR="00CE1D25" w:rsidRPr="00B717F6">
        <w:rPr>
          <w:szCs w:val="24"/>
          <w:lang w:val="en-US"/>
        </w:rPr>
        <w:t xml:space="preserve"> et al., 2008</w:t>
      </w:r>
      <w:r w:rsidR="00136FAF" w:rsidRPr="00B717F6">
        <w:rPr>
          <w:szCs w:val="24"/>
          <w:lang w:val="en-US"/>
        </w:rPr>
        <w:t>; Regnerus et al., 2017</w:t>
      </w:r>
      <w:r w:rsidR="00A6077C" w:rsidRPr="00B717F6">
        <w:rPr>
          <w:szCs w:val="24"/>
          <w:lang w:val="en-US"/>
        </w:rPr>
        <w:t>)</w:t>
      </w:r>
      <w:r w:rsidR="00694CF8" w:rsidRPr="00B717F6">
        <w:rPr>
          <w:szCs w:val="24"/>
          <w:lang w:val="en-US"/>
        </w:rPr>
        <w:t xml:space="preserve"> </w:t>
      </w:r>
      <w:r w:rsidR="00330F9F" w:rsidRPr="00B717F6">
        <w:rPr>
          <w:szCs w:val="24"/>
          <w:lang w:val="en-US"/>
        </w:rPr>
        <w:t xml:space="preserve">and </w:t>
      </w:r>
      <w:r w:rsidR="00C5517C" w:rsidRPr="00B717F6">
        <w:rPr>
          <w:szCs w:val="24"/>
          <w:lang w:val="en-US"/>
        </w:rPr>
        <w:t>particularly</w:t>
      </w:r>
      <w:r w:rsidR="00330F9F" w:rsidRPr="00B717F6">
        <w:rPr>
          <w:szCs w:val="24"/>
          <w:lang w:val="en-US"/>
        </w:rPr>
        <w:t xml:space="preserve"> scarce</w:t>
      </w:r>
      <w:r w:rsidR="00694CF8" w:rsidRPr="00B717F6">
        <w:rPr>
          <w:szCs w:val="24"/>
          <w:lang w:val="en-US"/>
        </w:rPr>
        <w:t xml:space="preserve"> </w:t>
      </w:r>
      <w:r w:rsidR="00C5517C" w:rsidRPr="00B717F6">
        <w:rPr>
          <w:szCs w:val="24"/>
          <w:lang w:val="en-US"/>
        </w:rPr>
        <w:t>among older adults</w:t>
      </w:r>
      <w:r w:rsidR="008A4859" w:rsidRPr="00B717F6">
        <w:rPr>
          <w:szCs w:val="24"/>
          <w:lang w:val="en-US"/>
        </w:rPr>
        <w:t xml:space="preserve"> (</w:t>
      </w:r>
      <w:proofErr w:type="spellStart"/>
      <w:r w:rsidR="008A4859" w:rsidRPr="00B717F6">
        <w:rPr>
          <w:szCs w:val="24"/>
          <w:lang w:val="en-US"/>
        </w:rPr>
        <w:t>Træen</w:t>
      </w:r>
      <w:proofErr w:type="spellEnd"/>
      <w:r w:rsidR="008A4859" w:rsidRPr="00B717F6">
        <w:rPr>
          <w:szCs w:val="24"/>
          <w:lang w:val="en-US"/>
        </w:rPr>
        <w:t xml:space="preserve"> et al., 2019)</w:t>
      </w:r>
      <w:r w:rsidR="00A6077C" w:rsidRPr="00B717F6">
        <w:rPr>
          <w:szCs w:val="24"/>
          <w:lang w:val="en-US"/>
        </w:rPr>
        <w:t>.</w:t>
      </w:r>
      <w:r w:rsidR="00694CF8" w:rsidRPr="00B717F6">
        <w:rPr>
          <w:szCs w:val="24"/>
          <w:lang w:val="en-US"/>
        </w:rPr>
        <w:t xml:space="preserve"> </w:t>
      </w:r>
      <w:r w:rsidR="00207466" w:rsidRPr="00B717F6">
        <w:rPr>
          <w:szCs w:val="24"/>
          <w:lang w:val="en-US"/>
        </w:rPr>
        <w:t>The purpose of the</w:t>
      </w:r>
      <w:r w:rsidR="00642276" w:rsidRPr="00B717F6">
        <w:rPr>
          <w:szCs w:val="24"/>
          <w:lang w:val="en-US"/>
        </w:rPr>
        <w:t xml:space="preserve"> current</w:t>
      </w:r>
      <w:r w:rsidR="00207466" w:rsidRPr="00B717F6">
        <w:rPr>
          <w:szCs w:val="24"/>
          <w:lang w:val="en-US"/>
        </w:rPr>
        <w:t xml:space="preserve"> study </w:t>
      </w:r>
      <w:r w:rsidRPr="00B717F6">
        <w:rPr>
          <w:szCs w:val="24"/>
          <w:lang w:val="en-US"/>
        </w:rPr>
        <w:t xml:space="preserve">was </w:t>
      </w:r>
      <w:r w:rsidR="00207466" w:rsidRPr="00B717F6">
        <w:rPr>
          <w:szCs w:val="24"/>
          <w:lang w:val="en-US"/>
        </w:rPr>
        <w:t>to identify sociodemographic, health, sexual behavior</w:t>
      </w:r>
      <w:r w:rsidR="00FB0DC1">
        <w:rPr>
          <w:szCs w:val="24"/>
          <w:lang w:val="en-US"/>
        </w:rPr>
        <w:t>,</w:t>
      </w:r>
      <w:r w:rsidR="00207466" w:rsidRPr="00B717F6">
        <w:rPr>
          <w:szCs w:val="24"/>
          <w:lang w:val="en-US"/>
        </w:rPr>
        <w:t xml:space="preserve"> and attitudinal factors associated with solitary sexual activity among adults aged 60–75 years in Norway, Denmark, Belgium</w:t>
      </w:r>
      <w:r w:rsidR="00FB0DC1">
        <w:rPr>
          <w:szCs w:val="24"/>
          <w:lang w:val="en-US"/>
        </w:rPr>
        <w:t>,</w:t>
      </w:r>
      <w:r w:rsidR="00207466" w:rsidRPr="00B717F6">
        <w:rPr>
          <w:szCs w:val="24"/>
          <w:lang w:val="en-US"/>
        </w:rPr>
        <w:t xml:space="preserve"> and Portugal. Although some of these correlates have been studied in younger populations, </w:t>
      </w:r>
      <w:r w:rsidR="00886EDF" w:rsidRPr="00B717F6">
        <w:rPr>
          <w:szCs w:val="24"/>
          <w:lang w:val="en-US"/>
        </w:rPr>
        <w:t xml:space="preserve">it </w:t>
      </w:r>
      <w:r w:rsidR="00FC3099" w:rsidRPr="00B717F6">
        <w:rPr>
          <w:szCs w:val="24"/>
          <w:lang w:val="en-US"/>
        </w:rPr>
        <w:t>was</w:t>
      </w:r>
      <w:r w:rsidR="00886EDF" w:rsidRPr="00B717F6">
        <w:rPr>
          <w:szCs w:val="24"/>
          <w:lang w:val="en-US"/>
        </w:rPr>
        <w:t xml:space="preserve"> expected </w:t>
      </w:r>
      <w:r w:rsidR="001B6CB4" w:rsidRPr="00B717F6">
        <w:rPr>
          <w:szCs w:val="24"/>
          <w:lang w:val="en-US"/>
        </w:rPr>
        <w:t xml:space="preserve">that </w:t>
      </w:r>
      <w:r w:rsidR="00207466" w:rsidRPr="00B717F6">
        <w:rPr>
          <w:szCs w:val="24"/>
          <w:lang w:val="en-US"/>
        </w:rPr>
        <w:t>these</w:t>
      </w:r>
      <w:r w:rsidR="00642276" w:rsidRPr="00B717F6">
        <w:rPr>
          <w:szCs w:val="24"/>
          <w:lang w:val="en-US"/>
        </w:rPr>
        <w:t xml:space="preserve"> previous</w:t>
      </w:r>
      <w:r w:rsidR="00207466" w:rsidRPr="00B717F6">
        <w:rPr>
          <w:szCs w:val="24"/>
          <w:lang w:val="en-US"/>
        </w:rPr>
        <w:t xml:space="preserve"> fi</w:t>
      </w:r>
      <w:r w:rsidR="00133DA9" w:rsidRPr="00B717F6">
        <w:rPr>
          <w:szCs w:val="24"/>
          <w:lang w:val="en-US"/>
        </w:rPr>
        <w:t>ndings may not be applicable to aging women and men</w:t>
      </w:r>
      <w:r w:rsidR="00886EDF" w:rsidRPr="00B717F6">
        <w:rPr>
          <w:szCs w:val="24"/>
          <w:lang w:val="en-US"/>
        </w:rPr>
        <w:t xml:space="preserve">. </w:t>
      </w:r>
      <w:r w:rsidR="00506A4B" w:rsidRPr="00B717F6">
        <w:rPr>
          <w:szCs w:val="24"/>
          <w:lang w:val="en-US"/>
        </w:rPr>
        <w:t xml:space="preserve">As </w:t>
      </w:r>
      <w:r w:rsidR="00133DA9" w:rsidRPr="00B717F6">
        <w:rPr>
          <w:szCs w:val="24"/>
          <w:lang w:val="en-US"/>
        </w:rPr>
        <w:t xml:space="preserve">older adults </w:t>
      </w:r>
      <w:r w:rsidR="002B402B" w:rsidRPr="00B717F6">
        <w:rPr>
          <w:szCs w:val="24"/>
          <w:lang w:val="en-US"/>
        </w:rPr>
        <w:t>have been socialized in more sexual</w:t>
      </w:r>
      <w:r w:rsidR="00FC3099" w:rsidRPr="00B717F6">
        <w:rPr>
          <w:szCs w:val="24"/>
          <w:lang w:val="en-US"/>
        </w:rPr>
        <w:t>ly</w:t>
      </w:r>
      <w:r w:rsidR="002B402B" w:rsidRPr="00B717F6">
        <w:rPr>
          <w:szCs w:val="24"/>
          <w:lang w:val="en-US"/>
        </w:rPr>
        <w:t xml:space="preserve"> restrictive and repressive environments than </w:t>
      </w:r>
      <w:r w:rsidR="00842F94" w:rsidRPr="00B717F6">
        <w:rPr>
          <w:szCs w:val="24"/>
          <w:lang w:val="en-US"/>
        </w:rPr>
        <w:t>current younger generations</w:t>
      </w:r>
      <w:r w:rsidR="00FC3099" w:rsidRPr="00B717F6">
        <w:rPr>
          <w:szCs w:val="24"/>
          <w:lang w:val="en-US"/>
        </w:rPr>
        <w:t>,</w:t>
      </w:r>
      <w:r w:rsidR="002B402B" w:rsidRPr="00B717F6">
        <w:rPr>
          <w:szCs w:val="24"/>
          <w:lang w:val="en-US"/>
        </w:rPr>
        <w:t xml:space="preserve"> they may </w:t>
      </w:r>
      <w:r w:rsidR="00FC3099" w:rsidRPr="00B717F6">
        <w:rPr>
          <w:szCs w:val="24"/>
          <w:lang w:val="en-US"/>
        </w:rPr>
        <w:t xml:space="preserve">have </w:t>
      </w:r>
      <w:r w:rsidR="002B402B" w:rsidRPr="00B717F6">
        <w:rPr>
          <w:szCs w:val="24"/>
          <w:lang w:val="en-US"/>
        </w:rPr>
        <w:t xml:space="preserve">more </w:t>
      </w:r>
      <w:r w:rsidR="00842F94" w:rsidRPr="00B717F6">
        <w:rPr>
          <w:szCs w:val="24"/>
          <w:lang w:val="en-US"/>
        </w:rPr>
        <w:t>internalized</w:t>
      </w:r>
      <w:r w:rsidR="002B402B" w:rsidRPr="00B717F6">
        <w:rPr>
          <w:szCs w:val="24"/>
          <w:lang w:val="en-US"/>
        </w:rPr>
        <w:t xml:space="preserve"> stigmatization, fears and guilt when </w:t>
      </w:r>
      <w:r w:rsidR="00842F94" w:rsidRPr="00B717F6">
        <w:rPr>
          <w:szCs w:val="24"/>
          <w:lang w:val="en-US"/>
        </w:rPr>
        <w:t>practicing self-stimulation</w:t>
      </w:r>
      <w:r w:rsidR="00C1294E" w:rsidRPr="00B717F6">
        <w:rPr>
          <w:szCs w:val="24"/>
          <w:lang w:val="en-US"/>
        </w:rPr>
        <w:t xml:space="preserve"> </w:t>
      </w:r>
      <w:r w:rsidR="00B53BF5" w:rsidRPr="00B717F6">
        <w:rPr>
          <w:szCs w:val="24"/>
          <w:lang w:val="en-US"/>
        </w:rPr>
        <w:t>(</w:t>
      </w:r>
      <w:proofErr w:type="spellStart"/>
      <w:r w:rsidR="00C1294E" w:rsidRPr="00B717F6">
        <w:rPr>
          <w:szCs w:val="24"/>
          <w:lang w:val="en-US"/>
        </w:rPr>
        <w:t>Štulhofer</w:t>
      </w:r>
      <w:proofErr w:type="spellEnd"/>
      <w:r w:rsidR="00C1294E" w:rsidRPr="00B717F6">
        <w:rPr>
          <w:szCs w:val="24"/>
          <w:lang w:val="en-US"/>
        </w:rPr>
        <w:t xml:space="preserve"> et al., 2018</w:t>
      </w:r>
      <w:r w:rsidR="00133DA9" w:rsidRPr="00B717F6">
        <w:rPr>
          <w:szCs w:val="24"/>
          <w:lang w:val="en-US"/>
        </w:rPr>
        <w:t>)</w:t>
      </w:r>
      <w:r w:rsidR="002A744A" w:rsidRPr="00B717F6">
        <w:rPr>
          <w:szCs w:val="24"/>
          <w:lang w:val="en-US"/>
        </w:rPr>
        <w:t xml:space="preserve">, which </w:t>
      </w:r>
      <w:r w:rsidR="00C1294E" w:rsidRPr="00B717F6">
        <w:rPr>
          <w:szCs w:val="24"/>
          <w:lang w:val="en-US"/>
        </w:rPr>
        <w:t xml:space="preserve">may influence </w:t>
      </w:r>
      <w:r w:rsidR="002A744A" w:rsidRPr="00B717F6">
        <w:rPr>
          <w:szCs w:val="24"/>
          <w:lang w:val="en-US"/>
        </w:rPr>
        <w:t>their</w:t>
      </w:r>
      <w:r w:rsidR="00C1294E" w:rsidRPr="00B717F6">
        <w:rPr>
          <w:szCs w:val="24"/>
          <w:lang w:val="en-US"/>
        </w:rPr>
        <w:t xml:space="preserve"> masturbation habits</w:t>
      </w:r>
      <w:r w:rsidR="002A744A" w:rsidRPr="00B717F6">
        <w:rPr>
          <w:szCs w:val="24"/>
          <w:lang w:val="en-US"/>
        </w:rPr>
        <w:t>.</w:t>
      </w:r>
      <w:r w:rsidR="00E7526B" w:rsidRPr="00B717F6">
        <w:rPr>
          <w:szCs w:val="24"/>
          <w:lang w:val="en-US"/>
        </w:rPr>
        <w:t xml:space="preserve"> </w:t>
      </w:r>
      <w:r w:rsidR="00207466" w:rsidRPr="00B717F6">
        <w:rPr>
          <w:szCs w:val="24"/>
          <w:lang w:val="en-US"/>
        </w:rPr>
        <w:t xml:space="preserve">To our knowledge, </w:t>
      </w:r>
      <w:r w:rsidR="00A17D1F" w:rsidRPr="00B717F6">
        <w:rPr>
          <w:szCs w:val="24"/>
          <w:lang w:val="en-US"/>
        </w:rPr>
        <w:t xml:space="preserve">this is the </w:t>
      </w:r>
      <w:r w:rsidR="007B11F2" w:rsidRPr="00B717F6">
        <w:rPr>
          <w:szCs w:val="24"/>
          <w:lang w:val="en-US"/>
        </w:rPr>
        <w:t>first</w:t>
      </w:r>
      <w:r w:rsidR="00A17D1F" w:rsidRPr="00B717F6">
        <w:rPr>
          <w:szCs w:val="24"/>
          <w:lang w:val="en-US"/>
        </w:rPr>
        <w:t xml:space="preserve"> </w:t>
      </w:r>
      <w:r w:rsidR="00D65423" w:rsidRPr="00B717F6">
        <w:rPr>
          <w:szCs w:val="24"/>
          <w:lang w:val="en-US"/>
        </w:rPr>
        <w:t xml:space="preserve">multi-national </w:t>
      </w:r>
      <w:r w:rsidR="00A17D1F" w:rsidRPr="00B717F6">
        <w:rPr>
          <w:szCs w:val="24"/>
          <w:lang w:val="en-US"/>
        </w:rPr>
        <w:t xml:space="preserve">study exploring correlates between </w:t>
      </w:r>
      <w:r w:rsidR="007B11F2" w:rsidRPr="00B717F6">
        <w:rPr>
          <w:szCs w:val="24"/>
          <w:lang w:val="en-US"/>
        </w:rPr>
        <w:t>masturbation</w:t>
      </w:r>
      <w:r w:rsidR="00A17D1F" w:rsidRPr="00B717F6">
        <w:rPr>
          <w:szCs w:val="24"/>
          <w:lang w:val="en-US"/>
        </w:rPr>
        <w:t xml:space="preserve"> and </w:t>
      </w:r>
      <w:r w:rsidR="007B11F2" w:rsidRPr="00B717F6">
        <w:rPr>
          <w:szCs w:val="24"/>
          <w:lang w:val="en-US"/>
        </w:rPr>
        <w:t xml:space="preserve">sociodemographic </w:t>
      </w:r>
      <w:r w:rsidR="00642276" w:rsidRPr="00B717F6">
        <w:rPr>
          <w:szCs w:val="24"/>
          <w:lang w:val="en-US"/>
        </w:rPr>
        <w:t>variables</w:t>
      </w:r>
      <w:r w:rsidR="007B11F2" w:rsidRPr="00B717F6">
        <w:rPr>
          <w:szCs w:val="24"/>
          <w:lang w:val="en-US"/>
        </w:rPr>
        <w:t xml:space="preserve"> (age, education, relationship status</w:t>
      </w:r>
      <w:r w:rsidR="00FB0DC1">
        <w:rPr>
          <w:szCs w:val="24"/>
          <w:lang w:val="en-US"/>
        </w:rPr>
        <w:t>, religiosity</w:t>
      </w:r>
      <w:r w:rsidR="007B11F2" w:rsidRPr="00B717F6">
        <w:rPr>
          <w:szCs w:val="24"/>
          <w:lang w:val="en-US"/>
        </w:rPr>
        <w:t xml:space="preserve">), health </w:t>
      </w:r>
      <w:r w:rsidR="00642276" w:rsidRPr="00B717F6">
        <w:rPr>
          <w:szCs w:val="24"/>
          <w:lang w:val="en-US"/>
        </w:rPr>
        <w:t xml:space="preserve">variables </w:t>
      </w:r>
      <w:r w:rsidR="007B11F2" w:rsidRPr="00B717F6">
        <w:rPr>
          <w:szCs w:val="24"/>
          <w:lang w:val="en-US"/>
        </w:rPr>
        <w:t xml:space="preserve">(self-perceived </w:t>
      </w:r>
      <w:r w:rsidR="00642276" w:rsidRPr="00B717F6">
        <w:rPr>
          <w:szCs w:val="24"/>
          <w:lang w:val="en-US"/>
        </w:rPr>
        <w:t xml:space="preserve">physical </w:t>
      </w:r>
      <w:r w:rsidR="007B11F2" w:rsidRPr="00B717F6">
        <w:rPr>
          <w:szCs w:val="24"/>
          <w:lang w:val="en-US"/>
        </w:rPr>
        <w:t xml:space="preserve">health, depression), </w:t>
      </w:r>
      <w:r w:rsidR="007B11F2" w:rsidRPr="00B717F6">
        <w:rPr>
          <w:szCs w:val="24"/>
          <w:lang w:val="en-US"/>
        </w:rPr>
        <w:lastRenderedPageBreak/>
        <w:t>as well as factors related to older adults</w:t>
      </w:r>
      <w:r w:rsidRPr="00B717F6">
        <w:rPr>
          <w:szCs w:val="24"/>
          <w:lang w:val="en-US"/>
        </w:rPr>
        <w:t>’</w:t>
      </w:r>
      <w:r w:rsidR="007B11F2" w:rsidRPr="00B717F6">
        <w:rPr>
          <w:szCs w:val="24"/>
          <w:lang w:val="en-US"/>
        </w:rPr>
        <w:t xml:space="preserve"> sexual lives (sexual activities, sexual perceptions and</w:t>
      </w:r>
      <w:r w:rsidR="004527E9" w:rsidRPr="00B717F6">
        <w:rPr>
          <w:szCs w:val="24"/>
          <w:lang w:val="en-US"/>
        </w:rPr>
        <w:t xml:space="preserve"> attitudes towards sexuality). </w:t>
      </w:r>
    </w:p>
    <w:p w14:paraId="1A271516" w14:textId="16D22C13" w:rsidR="00786734" w:rsidRPr="00B717F6" w:rsidRDefault="007010C0" w:rsidP="009C0C78">
      <w:pPr>
        <w:pStyle w:val="Heading1"/>
        <w:rPr>
          <w:szCs w:val="24"/>
        </w:rPr>
      </w:pPr>
      <w:r w:rsidRPr="00B717F6">
        <w:rPr>
          <w:szCs w:val="24"/>
        </w:rPr>
        <w:t>METHOD</w:t>
      </w:r>
    </w:p>
    <w:p w14:paraId="6860B79E" w14:textId="1BB8618D" w:rsidR="00D8431E" w:rsidRPr="00B717F6" w:rsidRDefault="001F6B1B" w:rsidP="009C0C78">
      <w:pPr>
        <w:adjustRightInd w:val="0"/>
        <w:snapToGrid w:val="0"/>
        <w:ind w:firstLine="0"/>
        <w:outlineLvl w:val="1"/>
        <w:rPr>
          <w:b/>
          <w:szCs w:val="24"/>
          <w:lang w:val="en-US"/>
        </w:rPr>
      </w:pPr>
      <w:r w:rsidRPr="00B717F6">
        <w:rPr>
          <w:b/>
          <w:szCs w:val="24"/>
          <w:lang w:val="en-US"/>
        </w:rPr>
        <w:t xml:space="preserve">Participants and </w:t>
      </w:r>
      <w:r w:rsidR="00786734" w:rsidRPr="00B717F6">
        <w:rPr>
          <w:b/>
          <w:szCs w:val="24"/>
          <w:lang w:val="en-US"/>
        </w:rPr>
        <w:t>Procedure</w:t>
      </w:r>
      <w:r w:rsidR="00C946F8" w:rsidRPr="00B717F6">
        <w:rPr>
          <w:b/>
          <w:szCs w:val="24"/>
          <w:lang w:val="en-US"/>
        </w:rPr>
        <w:t xml:space="preserve"> </w:t>
      </w:r>
    </w:p>
    <w:p w14:paraId="1A40B0A6" w14:textId="6B424A7C" w:rsidR="00FC3099" w:rsidRPr="00B717F6" w:rsidRDefault="00C4066E" w:rsidP="009C0C78">
      <w:pPr>
        <w:ind w:firstLine="426"/>
        <w:rPr>
          <w:szCs w:val="24"/>
          <w:lang w:val="en-US"/>
        </w:rPr>
      </w:pPr>
      <w:r w:rsidRPr="00B717F6">
        <w:rPr>
          <w:szCs w:val="24"/>
          <w:lang w:val="en-US"/>
        </w:rPr>
        <w:t>In 2016, a</w:t>
      </w:r>
      <w:r w:rsidRPr="00B717F6">
        <w:rPr>
          <w:b/>
          <w:szCs w:val="24"/>
          <w:lang w:val="en-US"/>
        </w:rPr>
        <w:t xml:space="preserve"> </w:t>
      </w:r>
      <w:r w:rsidRPr="00B717F6">
        <w:rPr>
          <w:szCs w:val="24"/>
          <w:lang w:val="en-US"/>
        </w:rPr>
        <w:t>study of sexual function and sexual well-being in older European adults</w:t>
      </w:r>
      <w:r w:rsidR="00F40D9C" w:rsidRPr="00B717F6">
        <w:rPr>
          <w:szCs w:val="24"/>
          <w:lang w:val="en-US"/>
        </w:rPr>
        <w:t xml:space="preserve"> was conducted</w:t>
      </w:r>
      <w:r w:rsidRPr="00B717F6">
        <w:rPr>
          <w:szCs w:val="24"/>
          <w:lang w:val="en-US"/>
        </w:rPr>
        <w:t xml:space="preserve">. </w:t>
      </w:r>
      <w:r w:rsidR="00F40D9C" w:rsidRPr="00B717F6">
        <w:rPr>
          <w:szCs w:val="24"/>
          <w:lang w:val="en-US"/>
        </w:rPr>
        <w:t>F</w:t>
      </w:r>
      <w:r w:rsidR="00662EAF" w:rsidRPr="00B717F6">
        <w:rPr>
          <w:szCs w:val="24"/>
          <w:lang w:val="en-US"/>
        </w:rPr>
        <w:t xml:space="preserve">or </w:t>
      </w:r>
      <w:r w:rsidRPr="00B717F6">
        <w:rPr>
          <w:szCs w:val="24"/>
          <w:lang w:val="en-US"/>
        </w:rPr>
        <w:t xml:space="preserve">the current </w:t>
      </w:r>
      <w:r w:rsidR="002E16DF" w:rsidRPr="00B717F6">
        <w:rPr>
          <w:szCs w:val="24"/>
          <w:lang w:val="en-US"/>
        </w:rPr>
        <w:t>article,</w:t>
      </w:r>
      <w:r w:rsidRPr="00B717F6">
        <w:rPr>
          <w:szCs w:val="24"/>
          <w:lang w:val="en-US"/>
        </w:rPr>
        <w:t xml:space="preserve"> </w:t>
      </w:r>
      <w:r w:rsidR="002E16DF" w:rsidRPr="00B717F6">
        <w:rPr>
          <w:szCs w:val="24"/>
          <w:lang w:val="en-US"/>
        </w:rPr>
        <w:t xml:space="preserve">we analyzed the </w:t>
      </w:r>
      <w:r w:rsidR="00F40D9C" w:rsidRPr="00B717F6">
        <w:rPr>
          <w:szCs w:val="24"/>
          <w:lang w:val="en-US"/>
        </w:rPr>
        <w:t>data from four n</w:t>
      </w:r>
      <w:r w:rsidR="00074310" w:rsidRPr="00B717F6">
        <w:rPr>
          <w:szCs w:val="24"/>
          <w:lang w:val="en-US"/>
        </w:rPr>
        <w:t xml:space="preserve">ational </w:t>
      </w:r>
      <w:r w:rsidR="00662EAF" w:rsidRPr="00B717F6">
        <w:rPr>
          <w:szCs w:val="24"/>
          <w:lang w:val="en-US"/>
        </w:rPr>
        <w:t>probability-based</w:t>
      </w:r>
      <w:r w:rsidR="00074310" w:rsidRPr="00B717F6">
        <w:rPr>
          <w:szCs w:val="24"/>
          <w:lang w:val="en-US"/>
        </w:rPr>
        <w:t xml:space="preserve"> samples</w:t>
      </w:r>
      <w:r w:rsidR="00662EAF" w:rsidRPr="00B717F6">
        <w:rPr>
          <w:szCs w:val="24"/>
          <w:lang w:val="en-US"/>
        </w:rPr>
        <w:t xml:space="preserve"> of individuals aged 60–75 years</w:t>
      </w:r>
      <w:r w:rsidR="00074310" w:rsidRPr="00B717F6">
        <w:rPr>
          <w:szCs w:val="24"/>
          <w:lang w:val="en-US"/>
        </w:rPr>
        <w:t xml:space="preserve"> </w:t>
      </w:r>
      <w:r w:rsidR="00F40D9C" w:rsidRPr="00B717F6">
        <w:rPr>
          <w:szCs w:val="24"/>
          <w:lang w:val="en-US"/>
        </w:rPr>
        <w:t xml:space="preserve">in Norway, Denmark, Belgium, and Portugal. </w:t>
      </w:r>
      <w:r w:rsidR="00D70FE9" w:rsidRPr="00B717F6">
        <w:rPr>
          <w:szCs w:val="24"/>
          <w:lang w:val="en-US"/>
        </w:rPr>
        <w:t>D</w:t>
      </w:r>
      <w:r w:rsidR="0064647A" w:rsidRPr="00B717F6">
        <w:rPr>
          <w:szCs w:val="24"/>
          <w:lang w:val="en-US"/>
        </w:rPr>
        <w:t xml:space="preserve">ata </w:t>
      </w:r>
      <w:r w:rsidR="00642276" w:rsidRPr="00B717F6">
        <w:rPr>
          <w:szCs w:val="24"/>
          <w:lang w:val="en-US"/>
        </w:rPr>
        <w:t xml:space="preserve">were </w:t>
      </w:r>
      <w:r w:rsidR="0064647A" w:rsidRPr="00B717F6">
        <w:rPr>
          <w:szCs w:val="24"/>
          <w:lang w:val="en-US"/>
        </w:rPr>
        <w:t>collected between October 2016 and February 2017 by Ipsos</w:t>
      </w:r>
      <w:r w:rsidR="00D70FE9" w:rsidRPr="00B717F6">
        <w:rPr>
          <w:szCs w:val="24"/>
          <w:lang w:val="en-US"/>
        </w:rPr>
        <w:t>,</w:t>
      </w:r>
      <w:r w:rsidR="0064647A" w:rsidRPr="00B717F6">
        <w:rPr>
          <w:szCs w:val="24"/>
          <w:lang w:val="en-US"/>
        </w:rPr>
        <w:t xml:space="preserve"> a </w:t>
      </w:r>
      <w:r w:rsidR="009B22D4" w:rsidRPr="00B717F6">
        <w:rPr>
          <w:szCs w:val="24"/>
          <w:lang w:val="en-US"/>
        </w:rPr>
        <w:t>polling agency with locally based firms</w:t>
      </w:r>
      <w:r w:rsidR="0064647A" w:rsidRPr="00B717F6">
        <w:rPr>
          <w:szCs w:val="24"/>
          <w:lang w:val="en-US"/>
        </w:rPr>
        <w:t xml:space="preserve"> in each country. </w:t>
      </w:r>
      <w:r w:rsidR="003D5A66" w:rsidRPr="00B717F6">
        <w:rPr>
          <w:szCs w:val="24"/>
          <w:lang w:val="en-US"/>
        </w:rPr>
        <w:t xml:space="preserve">The recruitment of participants occurred in two </w:t>
      </w:r>
      <w:r w:rsidR="00642276" w:rsidRPr="00B717F6">
        <w:rPr>
          <w:szCs w:val="24"/>
          <w:lang w:val="en-US"/>
        </w:rPr>
        <w:t>stages</w:t>
      </w:r>
      <w:r w:rsidR="003D5A66" w:rsidRPr="00B717F6">
        <w:rPr>
          <w:szCs w:val="24"/>
          <w:lang w:val="en-US"/>
        </w:rPr>
        <w:t>. First, p</w:t>
      </w:r>
      <w:r w:rsidR="0005662A" w:rsidRPr="00B717F6">
        <w:rPr>
          <w:szCs w:val="24"/>
          <w:lang w:val="en-US"/>
        </w:rPr>
        <w:t xml:space="preserve">articipants were randomly </w:t>
      </w:r>
      <w:r w:rsidR="00757956" w:rsidRPr="00B717F6">
        <w:rPr>
          <w:szCs w:val="24"/>
          <w:lang w:val="en-US"/>
        </w:rPr>
        <w:t>contacted</w:t>
      </w:r>
      <w:r w:rsidR="0005662A" w:rsidRPr="00B717F6">
        <w:rPr>
          <w:szCs w:val="24"/>
          <w:lang w:val="en-US"/>
        </w:rPr>
        <w:t xml:space="preserve"> by telephone</w:t>
      </w:r>
      <w:r w:rsidR="00757956" w:rsidRPr="00B717F6">
        <w:rPr>
          <w:szCs w:val="24"/>
          <w:lang w:val="en-US"/>
        </w:rPr>
        <w:t xml:space="preserve"> and asked to participate</w:t>
      </w:r>
      <w:r w:rsidR="0005662A" w:rsidRPr="00B717F6">
        <w:rPr>
          <w:szCs w:val="24"/>
          <w:lang w:val="en-US"/>
        </w:rPr>
        <w:t>. E</w:t>
      </w:r>
      <w:r w:rsidR="003335F7" w:rsidRPr="00B717F6">
        <w:rPr>
          <w:szCs w:val="24"/>
          <w:lang w:val="en-US"/>
        </w:rPr>
        <w:t>very</w:t>
      </w:r>
      <w:r w:rsidR="0005662A" w:rsidRPr="00B717F6">
        <w:rPr>
          <w:szCs w:val="24"/>
          <w:lang w:val="en-US"/>
        </w:rPr>
        <w:t xml:space="preserve"> country except Portugal had national and updated telephone</w:t>
      </w:r>
      <w:r w:rsidR="009B22D4" w:rsidRPr="00B717F6">
        <w:rPr>
          <w:szCs w:val="24"/>
          <w:lang w:val="en-US"/>
        </w:rPr>
        <w:t xml:space="preserve"> registers</w:t>
      </w:r>
      <w:r w:rsidR="0005662A" w:rsidRPr="00B717F6">
        <w:rPr>
          <w:szCs w:val="24"/>
          <w:lang w:val="en-US"/>
        </w:rPr>
        <w:t xml:space="preserve">, allowing </w:t>
      </w:r>
      <w:r w:rsidR="0056055C" w:rsidRPr="00B717F6">
        <w:rPr>
          <w:szCs w:val="24"/>
          <w:lang w:val="en-US"/>
        </w:rPr>
        <w:t>random</w:t>
      </w:r>
      <w:r w:rsidR="009B22D4" w:rsidRPr="00B717F6">
        <w:rPr>
          <w:szCs w:val="24"/>
          <w:lang w:val="en-US"/>
        </w:rPr>
        <w:t xml:space="preserve"> sampl</w:t>
      </w:r>
      <w:r w:rsidR="0056055C" w:rsidRPr="00B717F6">
        <w:rPr>
          <w:szCs w:val="24"/>
          <w:lang w:val="en-US"/>
        </w:rPr>
        <w:t>ing</w:t>
      </w:r>
      <w:r w:rsidR="009B22D4" w:rsidRPr="00B717F6">
        <w:rPr>
          <w:szCs w:val="24"/>
          <w:lang w:val="en-US"/>
        </w:rPr>
        <w:t xml:space="preserve"> in Norway, Denmark</w:t>
      </w:r>
      <w:r w:rsidR="00BB1027">
        <w:rPr>
          <w:szCs w:val="24"/>
          <w:lang w:val="en-US"/>
        </w:rPr>
        <w:t>,</w:t>
      </w:r>
      <w:r w:rsidR="009B22D4" w:rsidRPr="00B717F6">
        <w:rPr>
          <w:szCs w:val="24"/>
          <w:lang w:val="en-US"/>
        </w:rPr>
        <w:t xml:space="preserve"> and Belgium. As there exist</w:t>
      </w:r>
      <w:r w:rsidR="001B06CD" w:rsidRPr="00B717F6">
        <w:rPr>
          <w:szCs w:val="24"/>
          <w:lang w:val="en-US"/>
        </w:rPr>
        <w:t>s</w:t>
      </w:r>
      <w:r w:rsidR="009B22D4" w:rsidRPr="00B717F6">
        <w:rPr>
          <w:szCs w:val="24"/>
          <w:lang w:val="en-US"/>
        </w:rPr>
        <w:t xml:space="preserve"> no complete</w:t>
      </w:r>
      <w:r w:rsidR="001D4075" w:rsidRPr="00B717F6">
        <w:rPr>
          <w:szCs w:val="24"/>
          <w:lang w:val="en-US"/>
        </w:rPr>
        <w:t xml:space="preserve"> national</w:t>
      </w:r>
      <w:r w:rsidR="009B22D4" w:rsidRPr="00B717F6">
        <w:rPr>
          <w:szCs w:val="24"/>
          <w:lang w:val="en-US"/>
        </w:rPr>
        <w:t xml:space="preserve"> </w:t>
      </w:r>
      <w:r w:rsidR="001B06CD" w:rsidRPr="00B717F6">
        <w:rPr>
          <w:szCs w:val="24"/>
          <w:lang w:val="en-US"/>
        </w:rPr>
        <w:t>telephone register in</w:t>
      </w:r>
      <w:r w:rsidR="009B22D4" w:rsidRPr="00B717F6">
        <w:rPr>
          <w:szCs w:val="24"/>
          <w:lang w:val="en-US"/>
        </w:rPr>
        <w:t xml:space="preserve"> Portugal</w:t>
      </w:r>
      <w:r w:rsidR="00B84261" w:rsidRPr="00B717F6">
        <w:rPr>
          <w:szCs w:val="24"/>
          <w:lang w:val="en-US"/>
        </w:rPr>
        <w:t>,</w:t>
      </w:r>
      <w:r w:rsidR="009B22D4" w:rsidRPr="00B717F6">
        <w:rPr>
          <w:szCs w:val="24"/>
          <w:lang w:val="en-US"/>
        </w:rPr>
        <w:t xml:space="preserve"> </w:t>
      </w:r>
      <w:r w:rsidR="001D4075" w:rsidRPr="00B717F6">
        <w:rPr>
          <w:szCs w:val="24"/>
          <w:lang w:val="en-US"/>
        </w:rPr>
        <w:t xml:space="preserve">multi-stage </w:t>
      </w:r>
      <w:r w:rsidR="009B22D4" w:rsidRPr="00B717F6">
        <w:rPr>
          <w:szCs w:val="24"/>
          <w:lang w:val="en-US"/>
        </w:rPr>
        <w:t xml:space="preserve">stratified </w:t>
      </w:r>
      <w:r w:rsidR="00F517B8" w:rsidRPr="00B717F6">
        <w:rPr>
          <w:szCs w:val="24"/>
          <w:lang w:val="en-US"/>
        </w:rPr>
        <w:t xml:space="preserve">probability </w:t>
      </w:r>
      <w:r w:rsidR="009B22D4" w:rsidRPr="00B717F6">
        <w:rPr>
          <w:szCs w:val="24"/>
          <w:lang w:val="en-US"/>
        </w:rPr>
        <w:t>sam</w:t>
      </w:r>
      <w:r w:rsidR="001B06CD" w:rsidRPr="00B717F6">
        <w:rPr>
          <w:szCs w:val="24"/>
          <w:lang w:val="en-US"/>
        </w:rPr>
        <w:t xml:space="preserve">pling </w:t>
      </w:r>
      <w:r w:rsidR="0056055C" w:rsidRPr="00B717F6">
        <w:rPr>
          <w:szCs w:val="24"/>
          <w:lang w:val="en-US"/>
        </w:rPr>
        <w:t xml:space="preserve">common for public opinion surveys in this country </w:t>
      </w:r>
      <w:r w:rsidR="001B06CD" w:rsidRPr="00B717F6">
        <w:rPr>
          <w:szCs w:val="24"/>
          <w:lang w:val="en-US"/>
        </w:rPr>
        <w:t xml:space="preserve">had to be used. More detailed information of the sampling procedure </w:t>
      </w:r>
      <w:r w:rsidR="00FC3099" w:rsidRPr="00B717F6">
        <w:rPr>
          <w:szCs w:val="24"/>
          <w:lang w:val="en-US"/>
        </w:rPr>
        <w:t xml:space="preserve">has </w:t>
      </w:r>
      <w:r w:rsidR="00642276" w:rsidRPr="00B717F6">
        <w:rPr>
          <w:szCs w:val="24"/>
          <w:lang w:val="en-US"/>
        </w:rPr>
        <w:t>been provided</w:t>
      </w:r>
      <w:r w:rsidR="001B06CD" w:rsidRPr="00B717F6">
        <w:rPr>
          <w:szCs w:val="24"/>
          <w:lang w:val="en-US"/>
        </w:rPr>
        <w:t xml:space="preserve"> </w:t>
      </w:r>
      <w:r w:rsidR="00DA201B" w:rsidRPr="00B717F6">
        <w:rPr>
          <w:szCs w:val="24"/>
          <w:lang w:val="en-US"/>
        </w:rPr>
        <w:t>elsewhere (</w:t>
      </w:r>
      <w:proofErr w:type="spellStart"/>
      <w:r w:rsidR="00212C03" w:rsidRPr="00B717F6">
        <w:rPr>
          <w:szCs w:val="24"/>
          <w:lang w:val="en-US"/>
        </w:rPr>
        <w:t>Træen</w:t>
      </w:r>
      <w:proofErr w:type="spellEnd"/>
      <w:r w:rsidR="00212C03" w:rsidRPr="00B717F6">
        <w:rPr>
          <w:szCs w:val="24"/>
          <w:lang w:val="en-US"/>
        </w:rPr>
        <w:t xml:space="preserve"> et al., 2019</w:t>
      </w:r>
      <w:r w:rsidR="00DA201B" w:rsidRPr="00B717F6">
        <w:rPr>
          <w:szCs w:val="24"/>
          <w:lang w:val="en-US"/>
        </w:rPr>
        <w:t>).</w:t>
      </w:r>
      <w:r w:rsidR="003D5A66" w:rsidRPr="00B717F6">
        <w:rPr>
          <w:szCs w:val="24"/>
          <w:lang w:val="en-US"/>
        </w:rPr>
        <w:t xml:space="preserve"> </w:t>
      </w:r>
    </w:p>
    <w:p w14:paraId="54E03E75" w14:textId="4DC93797" w:rsidR="0083379B" w:rsidRPr="00B717F6" w:rsidRDefault="003D5A66" w:rsidP="009C0C78">
      <w:pPr>
        <w:ind w:firstLine="426"/>
        <w:rPr>
          <w:szCs w:val="24"/>
          <w:lang w:val="en-US"/>
        </w:rPr>
      </w:pPr>
      <w:r w:rsidRPr="00B717F6">
        <w:rPr>
          <w:szCs w:val="24"/>
          <w:lang w:val="en-US"/>
        </w:rPr>
        <w:t xml:space="preserve">Second, </w:t>
      </w:r>
      <w:r w:rsidR="00642276" w:rsidRPr="00B717F6">
        <w:rPr>
          <w:szCs w:val="24"/>
          <w:lang w:val="en-US"/>
        </w:rPr>
        <w:t xml:space="preserve">for </w:t>
      </w:r>
      <w:r w:rsidRPr="00B717F6">
        <w:rPr>
          <w:szCs w:val="24"/>
          <w:lang w:val="en-US"/>
        </w:rPr>
        <w:t xml:space="preserve">those who agreed </w:t>
      </w:r>
      <w:r w:rsidR="00642276" w:rsidRPr="00B717F6">
        <w:rPr>
          <w:szCs w:val="24"/>
          <w:lang w:val="en-US"/>
        </w:rPr>
        <w:t xml:space="preserve">to </w:t>
      </w:r>
      <w:r w:rsidR="00757956" w:rsidRPr="00B717F6">
        <w:rPr>
          <w:szCs w:val="24"/>
          <w:lang w:val="en-US"/>
        </w:rPr>
        <w:t>participat</w:t>
      </w:r>
      <w:r w:rsidR="00642276" w:rsidRPr="00B717F6">
        <w:rPr>
          <w:szCs w:val="24"/>
          <w:lang w:val="en-US"/>
        </w:rPr>
        <w:t>e</w:t>
      </w:r>
      <w:r w:rsidR="00757956" w:rsidRPr="00B717F6">
        <w:rPr>
          <w:szCs w:val="24"/>
          <w:lang w:val="en-US"/>
        </w:rPr>
        <w:t xml:space="preserve"> Ipsos registered the personal information (names and addresses) and</w:t>
      </w:r>
      <w:r w:rsidR="00642276" w:rsidRPr="00B717F6">
        <w:rPr>
          <w:szCs w:val="24"/>
          <w:lang w:val="en-US"/>
        </w:rPr>
        <w:t xml:space="preserve"> sent them</w:t>
      </w:r>
      <w:r w:rsidR="00757956" w:rsidRPr="00B717F6">
        <w:rPr>
          <w:szCs w:val="24"/>
          <w:lang w:val="en-US"/>
        </w:rPr>
        <w:t xml:space="preserve"> </w:t>
      </w:r>
      <w:r w:rsidRPr="00B717F6">
        <w:rPr>
          <w:szCs w:val="24"/>
          <w:lang w:val="en-US"/>
        </w:rPr>
        <w:t>a</w:t>
      </w:r>
      <w:r w:rsidR="00757956" w:rsidRPr="00B717F6">
        <w:rPr>
          <w:szCs w:val="24"/>
          <w:lang w:val="en-US"/>
        </w:rPr>
        <w:t>n</w:t>
      </w:r>
      <w:r w:rsidRPr="00B717F6">
        <w:rPr>
          <w:szCs w:val="24"/>
          <w:lang w:val="en-US"/>
        </w:rPr>
        <w:t xml:space="preserve"> </w:t>
      </w:r>
      <w:r w:rsidR="00D017E8" w:rsidRPr="00B717F6">
        <w:rPr>
          <w:szCs w:val="24"/>
          <w:lang w:val="en-US"/>
        </w:rPr>
        <w:t>anonymous questionnaire</w:t>
      </w:r>
      <w:r w:rsidR="00757956" w:rsidRPr="00B717F6">
        <w:rPr>
          <w:szCs w:val="24"/>
          <w:lang w:val="en-US"/>
        </w:rPr>
        <w:t xml:space="preserve"> for self-completion </w:t>
      </w:r>
      <w:r w:rsidR="006A771F" w:rsidRPr="00B717F6">
        <w:rPr>
          <w:szCs w:val="24"/>
          <w:lang w:val="en-US"/>
        </w:rPr>
        <w:t>with a</w:t>
      </w:r>
      <w:r w:rsidR="00D017E8" w:rsidRPr="00B717F6">
        <w:rPr>
          <w:szCs w:val="24"/>
          <w:lang w:val="en-US"/>
        </w:rPr>
        <w:t xml:space="preserve"> freepost envelope</w:t>
      </w:r>
      <w:r w:rsidR="00757956" w:rsidRPr="00B717F6">
        <w:rPr>
          <w:szCs w:val="24"/>
          <w:lang w:val="en-US"/>
        </w:rPr>
        <w:t>.</w:t>
      </w:r>
      <w:r w:rsidR="00F0217C" w:rsidRPr="00B717F6">
        <w:rPr>
          <w:szCs w:val="24"/>
          <w:lang w:val="en-US"/>
        </w:rPr>
        <w:t xml:space="preserve"> </w:t>
      </w:r>
      <w:r w:rsidR="006B6902" w:rsidRPr="00B717F6">
        <w:rPr>
          <w:szCs w:val="24"/>
          <w:lang w:val="en-US"/>
        </w:rPr>
        <w:t xml:space="preserve">Prospective participants in </w:t>
      </w:r>
      <w:r w:rsidR="00603B99" w:rsidRPr="00B717F6">
        <w:rPr>
          <w:szCs w:val="24"/>
          <w:lang w:val="en-US"/>
        </w:rPr>
        <w:t xml:space="preserve">Norway, Denmark, and </w:t>
      </w:r>
      <w:r w:rsidR="003859C2" w:rsidRPr="00B717F6">
        <w:rPr>
          <w:szCs w:val="24"/>
          <w:lang w:val="en-US"/>
        </w:rPr>
        <w:t>Belgium</w:t>
      </w:r>
      <w:r w:rsidR="00603B99" w:rsidRPr="00B717F6">
        <w:rPr>
          <w:szCs w:val="24"/>
          <w:lang w:val="en-US"/>
        </w:rPr>
        <w:t xml:space="preserve"> </w:t>
      </w:r>
      <w:r w:rsidR="006B6902" w:rsidRPr="00B717F6">
        <w:rPr>
          <w:szCs w:val="24"/>
          <w:lang w:val="en-US"/>
        </w:rPr>
        <w:t xml:space="preserve">received </w:t>
      </w:r>
      <w:r w:rsidR="00F54C87" w:rsidRPr="00B717F6">
        <w:rPr>
          <w:szCs w:val="24"/>
          <w:lang w:val="en-US"/>
        </w:rPr>
        <w:t xml:space="preserve">postal </w:t>
      </w:r>
      <w:r w:rsidR="006B6902" w:rsidRPr="00B717F6">
        <w:rPr>
          <w:szCs w:val="24"/>
          <w:lang w:val="en-US"/>
        </w:rPr>
        <w:t xml:space="preserve">reminders about a week after they got the questionnaire. </w:t>
      </w:r>
      <w:r w:rsidR="00156AE8" w:rsidRPr="00B717F6">
        <w:rPr>
          <w:szCs w:val="24"/>
          <w:lang w:val="en-US"/>
        </w:rPr>
        <w:t>Th</w:t>
      </w:r>
      <w:r w:rsidR="00C93285" w:rsidRPr="00B717F6">
        <w:rPr>
          <w:szCs w:val="24"/>
          <w:lang w:val="en-US"/>
        </w:rPr>
        <w:t xml:space="preserve">e 2000 previously </w:t>
      </w:r>
      <w:r w:rsidR="00156AE8" w:rsidRPr="00B717F6">
        <w:rPr>
          <w:szCs w:val="24"/>
          <w:lang w:val="en-US"/>
        </w:rPr>
        <w:t>recruited p</w:t>
      </w:r>
      <w:r w:rsidR="00F54C87" w:rsidRPr="00B717F6">
        <w:rPr>
          <w:szCs w:val="24"/>
          <w:lang w:val="en-US"/>
        </w:rPr>
        <w:t xml:space="preserve">articipants in Portugal were reminded by </w:t>
      </w:r>
      <w:r w:rsidR="00156AE8" w:rsidRPr="00B717F6">
        <w:rPr>
          <w:szCs w:val="24"/>
          <w:lang w:val="en-US"/>
        </w:rPr>
        <w:t xml:space="preserve">phone. However, </w:t>
      </w:r>
      <w:r w:rsidR="00C93285" w:rsidRPr="00B717F6">
        <w:rPr>
          <w:szCs w:val="24"/>
          <w:lang w:val="en-US"/>
        </w:rPr>
        <w:t>only three</w:t>
      </w:r>
      <w:r w:rsidR="003859C2" w:rsidRPr="00B717F6">
        <w:rPr>
          <w:szCs w:val="24"/>
          <w:lang w:val="en-US"/>
        </w:rPr>
        <w:t xml:space="preserve"> quarter</w:t>
      </w:r>
      <w:r w:rsidR="00642276" w:rsidRPr="00B717F6">
        <w:rPr>
          <w:szCs w:val="24"/>
          <w:lang w:val="en-US"/>
        </w:rPr>
        <w:t>s</w:t>
      </w:r>
      <w:r w:rsidR="003859C2" w:rsidRPr="00B717F6">
        <w:rPr>
          <w:szCs w:val="24"/>
          <w:lang w:val="en-US"/>
        </w:rPr>
        <w:t xml:space="preserve"> </w:t>
      </w:r>
      <w:r w:rsidR="00642276" w:rsidRPr="00B717F6">
        <w:rPr>
          <w:szCs w:val="24"/>
          <w:lang w:val="en-US"/>
        </w:rPr>
        <w:t xml:space="preserve">of these participants </w:t>
      </w:r>
      <w:r w:rsidR="00F54944" w:rsidRPr="00B717F6">
        <w:rPr>
          <w:szCs w:val="24"/>
          <w:lang w:val="en-US"/>
        </w:rPr>
        <w:t>(</w:t>
      </w:r>
      <w:r w:rsidR="00642276" w:rsidRPr="00B717F6">
        <w:rPr>
          <w:szCs w:val="24"/>
          <w:lang w:val="en-US"/>
        </w:rPr>
        <w:t>n =</w:t>
      </w:r>
      <w:r w:rsidR="00F54944" w:rsidRPr="00B717F6">
        <w:rPr>
          <w:szCs w:val="24"/>
          <w:lang w:val="en-US"/>
        </w:rPr>
        <w:t xml:space="preserve">1498) </w:t>
      </w:r>
      <w:r w:rsidR="00C93285" w:rsidRPr="00B717F6">
        <w:rPr>
          <w:szCs w:val="24"/>
          <w:lang w:val="en-US"/>
        </w:rPr>
        <w:t>c</w:t>
      </w:r>
      <w:r w:rsidR="00156AE8" w:rsidRPr="00B717F6">
        <w:rPr>
          <w:szCs w:val="24"/>
          <w:lang w:val="en-US"/>
        </w:rPr>
        <w:t xml:space="preserve">ould be reached again and </w:t>
      </w:r>
      <w:r w:rsidR="00C93285" w:rsidRPr="00B717F6">
        <w:rPr>
          <w:szCs w:val="24"/>
          <w:lang w:val="en-US"/>
        </w:rPr>
        <w:t>among those</w:t>
      </w:r>
      <w:r w:rsidR="00642276" w:rsidRPr="00B717F6">
        <w:rPr>
          <w:szCs w:val="24"/>
          <w:lang w:val="en-US"/>
        </w:rPr>
        <w:t>,</w:t>
      </w:r>
      <w:r w:rsidR="00C93285" w:rsidRPr="00B717F6">
        <w:rPr>
          <w:szCs w:val="24"/>
          <w:lang w:val="en-US"/>
        </w:rPr>
        <w:t xml:space="preserve"> another 561 </w:t>
      </w:r>
      <w:r w:rsidR="003859C2" w:rsidRPr="00B717F6">
        <w:rPr>
          <w:szCs w:val="24"/>
          <w:lang w:val="en-US"/>
        </w:rPr>
        <w:t xml:space="preserve">declined participation </w:t>
      </w:r>
      <w:r w:rsidR="00F0217C" w:rsidRPr="00B717F6">
        <w:rPr>
          <w:szCs w:val="24"/>
          <w:lang w:val="en-US"/>
        </w:rPr>
        <w:t xml:space="preserve">after they had </w:t>
      </w:r>
      <w:r w:rsidR="006A771F" w:rsidRPr="00B717F6">
        <w:rPr>
          <w:szCs w:val="24"/>
          <w:lang w:val="en-US"/>
        </w:rPr>
        <w:t>received</w:t>
      </w:r>
      <w:r w:rsidR="00F0217C" w:rsidRPr="00B717F6">
        <w:rPr>
          <w:szCs w:val="24"/>
          <w:lang w:val="en-US"/>
        </w:rPr>
        <w:t xml:space="preserve"> the </w:t>
      </w:r>
      <w:r w:rsidR="003859C2" w:rsidRPr="00B717F6">
        <w:rPr>
          <w:szCs w:val="24"/>
          <w:lang w:val="en-US"/>
        </w:rPr>
        <w:t xml:space="preserve">mail </w:t>
      </w:r>
      <w:r w:rsidR="006A771F" w:rsidRPr="00B717F6">
        <w:rPr>
          <w:szCs w:val="24"/>
          <w:lang w:val="en-US"/>
        </w:rPr>
        <w:t>survey</w:t>
      </w:r>
      <w:r w:rsidR="00F0217C" w:rsidRPr="00B717F6">
        <w:rPr>
          <w:szCs w:val="24"/>
          <w:lang w:val="en-US"/>
        </w:rPr>
        <w:t xml:space="preserve">. </w:t>
      </w:r>
      <w:r w:rsidR="00E001C6" w:rsidRPr="00B717F6">
        <w:rPr>
          <w:szCs w:val="24"/>
          <w:lang w:val="en-US"/>
        </w:rPr>
        <w:t xml:space="preserve">The Ipsos </w:t>
      </w:r>
      <w:r w:rsidR="00642276" w:rsidRPr="00B717F6">
        <w:rPr>
          <w:szCs w:val="24"/>
          <w:lang w:val="en-US"/>
        </w:rPr>
        <w:t xml:space="preserve">provided </w:t>
      </w:r>
      <w:r w:rsidR="00E001C6" w:rsidRPr="00B717F6">
        <w:rPr>
          <w:szCs w:val="24"/>
          <w:lang w:val="en-US"/>
        </w:rPr>
        <w:t>r</w:t>
      </w:r>
      <w:r w:rsidR="00D017E8" w:rsidRPr="00B717F6">
        <w:rPr>
          <w:szCs w:val="24"/>
          <w:lang w:val="en-US"/>
        </w:rPr>
        <w:t xml:space="preserve">esponse rates were </w:t>
      </w:r>
      <w:r w:rsidR="00F54944" w:rsidRPr="00B717F6">
        <w:rPr>
          <w:szCs w:val="24"/>
          <w:lang w:val="en-US"/>
        </w:rPr>
        <w:t>c</w:t>
      </w:r>
      <w:r w:rsidR="00D017E8" w:rsidRPr="00B717F6">
        <w:rPr>
          <w:szCs w:val="24"/>
          <w:lang w:val="en-US"/>
        </w:rPr>
        <w:t>alculated</w:t>
      </w:r>
      <w:r w:rsidR="00E001C6" w:rsidRPr="00B717F6">
        <w:rPr>
          <w:szCs w:val="24"/>
          <w:lang w:val="en-US"/>
        </w:rPr>
        <w:t xml:space="preserve"> by dividing the net sample by those who agreed to participate and received a questionnaire, and </w:t>
      </w:r>
      <w:r w:rsidR="00642276" w:rsidRPr="00B717F6">
        <w:rPr>
          <w:szCs w:val="24"/>
          <w:lang w:val="en-US"/>
        </w:rPr>
        <w:t xml:space="preserve">this </w:t>
      </w:r>
      <w:r w:rsidR="00E001C6" w:rsidRPr="00B717F6">
        <w:rPr>
          <w:szCs w:val="24"/>
          <w:lang w:val="en-US"/>
        </w:rPr>
        <w:t xml:space="preserve">resulted in a response rate of </w:t>
      </w:r>
      <w:r w:rsidR="001E44D7" w:rsidRPr="00B717F6">
        <w:rPr>
          <w:szCs w:val="24"/>
          <w:lang w:val="en-US"/>
        </w:rPr>
        <w:t xml:space="preserve">68% in </w:t>
      </w:r>
      <w:r w:rsidR="00E001C6" w:rsidRPr="00B717F6">
        <w:rPr>
          <w:szCs w:val="24"/>
          <w:lang w:val="en-US"/>
        </w:rPr>
        <w:t xml:space="preserve">Norway, </w:t>
      </w:r>
      <w:r w:rsidR="001E44D7" w:rsidRPr="00B717F6">
        <w:rPr>
          <w:szCs w:val="24"/>
          <w:lang w:val="en-US"/>
        </w:rPr>
        <w:t xml:space="preserve">57% in </w:t>
      </w:r>
      <w:r w:rsidR="00E001C6" w:rsidRPr="00B717F6">
        <w:rPr>
          <w:szCs w:val="24"/>
          <w:lang w:val="en-US"/>
        </w:rPr>
        <w:t xml:space="preserve">Belgium, </w:t>
      </w:r>
      <w:r w:rsidR="001E44D7" w:rsidRPr="00B717F6">
        <w:rPr>
          <w:szCs w:val="24"/>
          <w:lang w:val="en-US"/>
        </w:rPr>
        <w:t xml:space="preserve">52% in </w:t>
      </w:r>
      <w:r w:rsidR="00E001C6" w:rsidRPr="00B717F6">
        <w:rPr>
          <w:szCs w:val="24"/>
          <w:lang w:val="en-US"/>
        </w:rPr>
        <w:t xml:space="preserve">Denmark, and </w:t>
      </w:r>
      <w:r w:rsidR="001E44D7" w:rsidRPr="00B717F6">
        <w:rPr>
          <w:szCs w:val="24"/>
          <w:lang w:val="en-US"/>
        </w:rPr>
        <w:t xml:space="preserve">26% in </w:t>
      </w:r>
      <w:r w:rsidR="00E001C6" w:rsidRPr="00B717F6">
        <w:rPr>
          <w:szCs w:val="24"/>
          <w:lang w:val="en-US"/>
        </w:rPr>
        <w:t xml:space="preserve">Portugal. </w:t>
      </w:r>
    </w:p>
    <w:p w14:paraId="61A76630" w14:textId="1924913D" w:rsidR="00786734" w:rsidRPr="00B717F6" w:rsidRDefault="00786734" w:rsidP="009C0C78">
      <w:pPr>
        <w:pStyle w:val="1APA-stil"/>
        <w:rPr>
          <w:szCs w:val="24"/>
        </w:rPr>
      </w:pPr>
      <w:r w:rsidRPr="00B717F6">
        <w:rPr>
          <w:szCs w:val="24"/>
        </w:rPr>
        <w:lastRenderedPageBreak/>
        <w:t>Measures</w:t>
      </w:r>
    </w:p>
    <w:p w14:paraId="6BF5F08E" w14:textId="6074C55B" w:rsidR="008B1666" w:rsidRPr="00B717F6" w:rsidRDefault="002C7CEC" w:rsidP="009C0C78">
      <w:pPr>
        <w:rPr>
          <w:szCs w:val="24"/>
          <w:lang w:val="en-US"/>
        </w:rPr>
      </w:pPr>
      <w:r w:rsidRPr="00B717F6">
        <w:rPr>
          <w:szCs w:val="24"/>
          <w:lang w:val="en-US"/>
        </w:rPr>
        <w:t xml:space="preserve">Age was </w:t>
      </w:r>
      <w:r w:rsidR="001D6281" w:rsidRPr="00B717F6">
        <w:rPr>
          <w:szCs w:val="24"/>
          <w:lang w:val="en-US"/>
        </w:rPr>
        <w:t>assessed</w:t>
      </w:r>
      <w:r w:rsidRPr="00B717F6">
        <w:rPr>
          <w:szCs w:val="24"/>
          <w:lang w:val="en-US"/>
        </w:rPr>
        <w:t xml:space="preserve"> </w:t>
      </w:r>
      <w:r w:rsidR="00336C26" w:rsidRPr="00B717F6">
        <w:rPr>
          <w:szCs w:val="24"/>
          <w:lang w:val="en-US"/>
        </w:rPr>
        <w:t>by year of birth</w:t>
      </w:r>
      <w:r w:rsidRPr="00B717F6">
        <w:rPr>
          <w:szCs w:val="24"/>
          <w:lang w:val="en-US"/>
        </w:rPr>
        <w:t xml:space="preserve"> and </w:t>
      </w:r>
      <w:r w:rsidR="00336C26" w:rsidRPr="00B717F6">
        <w:rPr>
          <w:szCs w:val="24"/>
          <w:lang w:val="en-US"/>
        </w:rPr>
        <w:t>later</w:t>
      </w:r>
      <w:r w:rsidRPr="00B717F6">
        <w:rPr>
          <w:szCs w:val="24"/>
          <w:lang w:val="en-US"/>
        </w:rPr>
        <w:t xml:space="preserve"> recoded into three age </w:t>
      </w:r>
      <w:r w:rsidR="000100BA" w:rsidRPr="00B717F6">
        <w:rPr>
          <w:szCs w:val="24"/>
          <w:lang w:val="en-US"/>
        </w:rPr>
        <w:t>categories</w:t>
      </w:r>
      <w:r w:rsidRPr="00B717F6">
        <w:rPr>
          <w:szCs w:val="24"/>
          <w:lang w:val="en-US"/>
        </w:rPr>
        <w:t xml:space="preserve"> </w:t>
      </w:r>
      <w:r w:rsidR="000100BA" w:rsidRPr="00B717F6">
        <w:rPr>
          <w:szCs w:val="24"/>
          <w:lang w:val="en-US"/>
        </w:rPr>
        <w:t>(</w:t>
      </w:r>
      <w:r w:rsidRPr="00B717F6">
        <w:rPr>
          <w:szCs w:val="24"/>
          <w:lang w:val="en-US"/>
        </w:rPr>
        <w:t>1 = 60–64, 2 = 65–69, and 3 = 70–75 years</w:t>
      </w:r>
      <w:r w:rsidR="008052EC" w:rsidRPr="00B717F6">
        <w:rPr>
          <w:szCs w:val="24"/>
          <w:lang w:val="en-US"/>
        </w:rPr>
        <w:t>)</w:t>
      </w:r>
      <w:r w:rsidRPr="00B717F6">
        <w:rPr>
          <w:szCs w:val="24"/>
          <w:lang w:val="en-US"/>
        </w:rPr>
        <w:t xml:space="preserve">. </w:t>
      </w:r>
      <w:r w:rsidR="008B1666" w:rsidRPr="00B717F6">
        <w:rPr>
          <w:szCs w:val="24"/>
          <w:lang w:val="en-US"/>
        </w:rPr>
        <w:t>Relationship status was measured by asking: “Do you currently have a steady/ committed relationship with anybody? A steady/ committed relationship also includes married/ cohabiting persons</w:t>
      </w:r>
      <w:r w:rsidR="00501CE1" w:rsidRPr="00B717F6">
        <w:rPr>
          <w:szCs w:val="24"/>
          <w:lang w:val="en-US"/>
        </w:rPr>
        <w:t>.</w:t>
      </w:r>
      <w:r w:rsidR="008B1666" w:rsidRPr="00B717F6">
        <w:rPr>
          <w:szCs w:val="24"/>
          <w:lang w:val="en-US"/>
        </w:rPr>
        <w:t>” Response options were 1 = yes, 2 = no, and 3 = unsure. Twenty-one participants checked the category “unsure” and were subsequently dummy coded into the “no” category (2+3 = 0).</w:t>
      </w:r>
    </w:p>
    <w:p w14:paraId="48025848" w14:textId="7B9180DF" w:rsidR="002F484B" w:rsidRPr="00B717F6" w:rsidRDefault="00C16CCF" w:rsidP="009C0C78">
      <w:pPr>
        <w:rPr>
          <w:szCs w:val="24"/>
          <w:lang w:val="en-US"/>
        </w:rPr>
      </w:pPr>
      <w:r w:rsidRPr="00B717F6">
        <w:rPr>
          <w:szCs w:val="24"/>
          <w:lang w:val="en-US"/>
        </w:rPr>
        <w:t>E</w:t>
      </w:r>
      <w:r w:rsidR="002C7CEC" w:rsidRPr="00B717F6">
        <w:rPr>
          <w:szCs w:val="24"/>
          <w:lang w:val="en-US"/>
        </w:rPr>
        <w:t xml:space="preserve">ducation was </w:t>
      </w:r>
      <w:r w:rsidRPr="00B717F6">
        <w:rPr>
          <w:szCs w:val="24"/>
          <w:lang w:val="en-US"/>
        </w:rPr>
        <w:t>assessed</w:t>
      </w:r>
      <w:r w:rsidR="00E6406E" w:rsidRPr="00B717F6">
        <w:rPr>
          <w:szCs w:val="24"/>
          <w:lang w:val="en-US"/>
        </w:rPr>
        <w:t xml:space="preserve"> </w:t>
      </w:r>
      <w:r w:rsidRPr="00B717F6">
        <w:rPr>
          <w:szCs w:val="24"/>
          <w:lang w:val="en-US"/>
        </w:rPr>
        <w:t xml:space="preserve">by asking: </w:t>
      </w:r>
      <w:r w:rsidR="00105BC1">
        <w:rPr>
          <w:szCs w:val="24"/>
          <w:lang w:val="en-US"/>
        </w:rPr>
        <w:t>“</w:t>
      </w:r>
      <w:r w:rsidRPr="00B717F6">
        <w:rPr>
          <w:szCs w:val="24"/>
          <w:lang w:val="en-US"/>
        </w:rPr>
        <w:t>What is your highest level of formal education?</w:t>
      </w:r>
      <w:r w:rsidR="00105BC1">
        <w:rPr>
          <w:szCs w:val="24"/>
          <w:lang w:val="en-US"/>
        </w:rPr>
        <w:t>”</w:t>
      </w:r>
      <w:r w:rsidRPr="00B717F6">
        <w:rPr>
          <w:szCs w:val="24"/>
          <w:lang w:val="en-US"/>
        </w:rPr>
        <w:t xml:space="preserve"> </w:t>
      </w:r>
      <w:r w:rsidR="0041436B" w:rsidRPr="00B717F6">
        <w:rPr>
          <w:szCs w:val="24"/>
          <w:lang w:val="en-US"/>
        </w:rPr>
        <w:t>To</w:t>
      </w:r>
      <w:r w:rsidR="00293723" w:rsidRPr="00B717F6">
        <w:rPr>
          <w:szCs w:val="24"/>
          <w:lang w:val="en-US"/>
        </w:rPr>
        <w:t xml:space="preserve"> </w:t>
      </w:r>
      <w:r w:rsidR="0041436B" w:rsidRPr="00B717F6">
        <w:rPr>
          <w:szCs w:val="24"/>
          <w:lang w:val="en-US"/>
        </w:rPr>
        <w:t>reflect</w:t>
      </w:r>
      <w:r w:rsidR="00293723" w:rsidRPr="00B717F6">
        <w:rPr>
          <w:szCs w:val="24"/>
          <w:lang w:val="en-US"/>
        </w:rPr>
        <w:t xml:space="preserve"> </w:t>
      </w:r>
      <w:r w:rsidR="0041436B" w:rsidRPr="00B717F6">
        <w:rPr>
          <w:szCs w:val="24"/>
          <w:lang w:val="en-US"/>
        </w:rPr>
        <w:t xml:space="preserve">the </w:t>
      </w:r>
      <w:r w:rsidR="00293723" w:rsidRPr="00B717F6">
        <w:rPr>
          <w:szCs w:val="24"/>
          <w:lang w:val="en-US"/>
        </w:rPr>
        <w:t xml:space="preserve">educational system </w:t>
      </w:r>
      <w:r w:rsidR="0041436B" w:rsidRPr="00B717F6">
        <w:rPr>
          <w:szCs w:val="24"/>
          <w:lang w:val="en-US"/>
        </w:rPr>
        <w:t xml:space="preserve">in each country </w:t>
      </w:r>
      <w:r w:rsidRPr="00B717F6">
        <w:rPr>
          <w:szCs w:val="24"/>
          <w:lang w:val="en-US"/>
        </w:rPr>
        <w:t xml:space="preserve">response </w:t>
      </w:r>
      <w:r w:rsidR="00E22904" w:rsidRPr="00B717F6">
        <w:rPr>
          <w:szCs w:val="24"/>
          <w:lang w:val="en-US"/>
        </w:rPr>
        <w:t>options</w:t>
      </w:r>
      <w:r w:rsidRPr="00B717F6">
        <w:rPr>
          <w:szCs w:val="24"/>
          <w:lang w:val="en-US"/>
        </w:rPr>
        <w:t xml:space="preserve"> differed somewhat</w:t>
      </w:r>
      <w:r w:rsidR="002C7CEC" w:rsidRPr="00B717F6">
        <w:rPr>
          <w:szCs w:val="24"/>
          <w:lang w:val="en-US"/>
        </w:rPr>
        <w:t xml:space="preserve"> across </w:t>
      </w:r>
      <w:r w:rsidR="00B3069E" w:rsidRPr="00B717F6">
        <w:rPr>
          <w:szCs w:val="24"/>
          <w:lang w:val="en-US"/>
        </w:rPr>
        <w:t>countries</w:t>
      </w:r>
      <w:r w:rsidR="00ED700A" w:rsidRPr="00B717F6">
        <w:rPr>
          <w:szCs w:val="24"/>
          <w:lang w:val="en-US"/>
        </w:rPr>
        <w:t xml:space="preserve">. To </w:t>
      </w:r>
      <w:r w:rsidR="002E4041" w:rsidRPr="00B717F6">
        <w:rPr>
          <w:szCs w:val="24"/>
          <w:lang w:val="en-US"/>
        </w:rPr>
        <w:t xml:space="preserve">allow </w:t>
      </w:r>
      <w:r w:rsidR="0041436B" w:rsidRPr="00B717F6">
        <w:rPr>
          <w:szCs w:val="24"/>
          <w:lang w:val="en-US"/>
        </w:rPr>
        <w:t xml:space="preserve">for </w:t>
      </w:r>
      <w:r w:rsidR="002E4041" w:rsidRPr="00B717F6">
        <w:rPr>
          <w:szCs w:val="24"/>
          <w:lang w:val="en-US"/>
        </w:rPr>
        <w:t xml:space="preserve">comparisons across </w:t>
      </w:r>
      <w:r w:rsidR="0041436B" w:rsidRPr="00B717F6">
        <w:rPr>
          <w:szCs w:val="24"/>
          <w:lang w:val="en-US"/>
        </w:rPr>
        <w:t>countries</w:t>
      </w:r>
      <w:r w:rsidR="00ED700A" w:rsidRPr="00B717F6">
        <w:rPr>
          <w:szCs w:val="24"/>
          <w:lang w:val="en-US"/>
        </w:rPr>
        <w:t xml:space="preserve">, </w:t>
      </w:r>
      <w:r w:rsidR="002E4041" w:rsidRPr="00B717F6">
        <w:rPr>
          <w:szCs w:val="24"/>
          <w:lang w:val="en-US"/>
        </w:rPr>
        <w:t xml:space="preserve">the response </w:t>
      </w:r>
      <w:r w:rsidR="003719BE" w:rsidRPr="00B717F6">
        <w:rPr>
          <w:szCs w:val="24"/>
          <w:lang w:val="en-US"/>
        </w:rPr>
        <w:t>categories</w:t>
      </w:r>
      <w:r w:rsidR="00B3069E" w:rsidRPr="00B717F6">
        <w:rPr>
          <w:szCs w:val="24"/>
          <w:lang w:val="en-US"/>
        </w:rPr>
        <w:t xml:space="preserve"> </w:t>
      </w:r>
      <w:r w:rsidR="00ED700A" w:rsidRPr="00B717F6">
        <w:rPr>
          <w:szCs w:val="24"/>
          <w:lang w:val="en-US"/>
        </w:rPr>
        <w:t>were</w:t>
      </w:r>
      <w:r w:rsidR="00B3069E" w:rsidRPr="00B717F6">
        <w:rPr>
          <w:szCs w:val="24"/>
          <w:lang w:val="en-US"/>
        </w:rPr>
        <w:t xml:space="preserve"> recoded into three</w:t>
      </w:r>
      <w:r w:rsidR="002C7CEC" w:rsidRPr="00B717F6">
        <w:rPr>
          <w:szCs w:val="24"/>
          <w:lang w:val="en-US"/>
        </w:rPr>
        <w:t xml:space="preserve"> matching </w:t>
      </w:r>
      <w:r w:rsidR="00346493" w:rsidRPr="00B717F6">
        <w:rPr>
          <w:szCs w:val="24"/>
          <w:lang w:val="en-US"/>
        </w:rPr>
        <w:t>levels</w:t>
      </w:r>
      <w:r w:rsidR="002E4041" w:rsidRPr="00B717F6">
        <w:rPr>
          <w:szCs w:val="24"/>
          <w:lang w:val="en-US"/>
        </w:rPr>
        <w:t xml:space="preserve"> of education</w:t>
      </w:r>
      <w:r w:rsidR="00293723" w:rsidRPr="00B717F6">
        <w:rPr>
          <w:szCs w:val="24"/>
          <w:lang w:val="en-US"/>
        </w:rPr>
        <w:t>: 1 = p</w:t>
      </w:r>
      <w:r w:rsidR="002C7CEC" w:rsidRPr="00B717F6">
        <w:rPr>
          <w:szCs w:val="24"/>
          <w:lang w:val="en-US"/>
        </w:rPr>
        <w:t>rimary (6–8 years at schoo</w:t>
      </w:r>
      <w:r w:rsidR="00293723" w:rsidRPr="00B717F6">
        <w:rPr>
          <w:szCs w:val="24"/>
          <w:lang w:val="en-US"/>
        </w:rPr>
        <w:t>l), 2 = secondary (9–</w:t>
      </w:r>
      <w:r w:rsidR="002C7CEC" w:rsidRPr="00B717F6">
        <w:rPr>
          <w:szCs w:val="24"/>
          <w:lang w:val="en-US"/>
        </w:rPr>
        <w:t xml:space="preserve">10 years </w:t>
      </w:r>
      <w:r w:rsidR="00293723" w:rsidRPr="00B717F6">
        <w:rPr>
          <w:szCs w:val="24"/>
          <w:lang w:val="en-US"/>
        </w:rPr>
        <w:t xml:space="preserve">or </w:t>
      </w:r>
      <w:r w:rsidR="002C7CEC" w:rsidRPr="00B717F6">
        <w:rPr>
          <w:szCs w:val="24"/>
          <w:lang w:val="en-US"/>
        </w:rPr>
        <w:t>1</w:t>
      </w:r>
      <w:r w:rsidR="00293723" w:rsidRPr="00B717F6">
        <w:rPr>
          <w:szCs w:val="24"/>
          <w:lang w:val="en-US"/>
        </w:rPr>
        <w:t>2–13 years at school), and 3 = t</w:t>
      </w:r>
      <w:r w:rsidR="002C7CEC" w:rsidRPr="00B717F6">
        <w:rPr>
          <w:szCs w:val="24"/>
          <w:lang w:val="en-US"/>
        </w:rPr>
        <w:t xml:space="preserve">ertiary (college, lower </w:t>
      </w:r>
      <w:r w:rsidR="001C332E" w:rsidRPr="00B717F6">
        <w:rPr>
          <w:szCs w:val="24"/>
          <w:lang w:val="en-US"/>
        </w:rPr>
        <w:t>university level (e.g.</w:t>
      </w:r>
      <w:r w:rsidR="00A37D28" w:rsidRPr="00B717F6">
        <w:rPr>
          <w:szCs w:val="24"/>
          <w:lang w:val="en-US"/>
        </w:rPr>
        <w:t>,</w:t>
      </w:r>
      <w:r w:rsidR="001C332E" w:rsidRPr="00B717F6">
        <w:rPr>
          <w:szCs w:val="24"/>
          <w:lang w:val="en-US"/>
        </w:rPr>
        <w:t xml:space="preserve"> </w:t>
      </w:r>
      <w:r w:rsidR="00807443" w:rsidRPr="00B717F6">
        <w:rPr>
          <w:szCs w:val="24"/>
          <w:lang w:val="en-US"/>
        </w:rPr>
        <w:t>Bachelor’s</w:t>
      </w:r>
      <w:r w:rsidR="003335F7" w:rsidRPr="00B717F6">
        <w:rPr>
          <w:szCs w:val="24"/>
          <w:lang w:val="en-US"/>
        </w:rPr>
        <w:t xml:space="preserve"> </w:t>
      </w:r>
      <w:r w:rsidR="001C332E" w:rsidRPr="00B717F6">
        <w:rPr>
          <w:szCs w:val="24"/>
          <w:lang w:val="en-US"/>
        </w:rPr>
        <w:t xml:space="preserve">degree) </w:t>
      </w:r>
      <w:r w:rsidR="002C7CEC" w:rsidRPr="00B717F6">
        <w:rPr>
          <w:szCs w:val="24"/>
          <w:lang w:val="en-US"/>
        </w:rPr>
        <w:t>to higher university level</w:t>
      </w:r>
      <w:r w:rsidR="001C332E" w:rsidRPr="00B717F6">
        <w:rPr>
          <w:szCs w:val="24"/>
          <w:lang w:val="en-US"/>
        </w:rPr>
        <w:t xml:space="preserve"> (</w:t>
      </w:r>
      <w:r w:rsidR="00A37D28" w:rsidRPr="00B717F6">
        <w:rPr>
          <w:szCs w:val="24"/>
          <w:lang w:val="en-US"/>
        </w:rPr>
        <w:t xml:space="preserve">e.g., </w:t>
      </w:r>
      <w:r w:rsidR="003335F7" w:rsidRPr="00B717F6">
        <w:rPr>
          <w:szCs w:val="24"/>
          <w:lang w:val="en-US"/>
        </w:rPr>
        <w:t xml:space="preserve">Master’s </w:t>
      </w:r>
      <w:r w:rsidR="001C332E" w:rsidRPr="00B717F6">
        <w:rPr>
          <w:szCs w:val="24"/>
          <w:lang w:val="en-US"/>
        </w:rPr>
        <w:t>degree, PhD</w:t>
      </w:r>
      <w:r w:rsidR="002C7CEC" w:rsidRPr="00B717F6">
        <w:rPr>
          <w:szCs w:val="24"/>
          <w:lang w:val="en-US"/>
        </w:rPr>
        <w:t xml:space="preserve">). </w:t>
      </w:r>
    </w:p>
    <w:p w14:paraId="0A89D62D" w14:textId="1EE3676A" w:rsidR="00D86A00" w:rsidRPr="00B717F6" w:rsidRDefault="00D86A00" w:rsidP="009C0C78">
      <w:pPr>
        <w:rPr>
          <w:szCs w:val="24"/>
          <w:lang w:val="en-US"/>
        </w:rPr>
      </w:pPr>
      <w:r w:rsidRPr="00B717F6">
        <w:rPr>
          <w:szCs w:val="24"/>
          <w:lang w:val="en-US"/>
        </w:rPr>
        <w:t>Religiosity was measured by the following question: “Apart from special occasions such as weddings, funerals and baptisms, how often do you attend services or meetings connected with your religion?</w:t>
      </w:r>
      <w:r w:rsidR="00501CE1" w:rsidRPr="00B717F6">
        <w:rPr>
          <w:szCs w:val="24"/>
          <w:lang w:val="en-US"/>
        </w:rPr>
        <w:t>”</w:t>
      </w:r>
      <w:r w:rsidRPr="00B717F6">
        <w:rPr>
          <w:szCs w:val="24"/>
          <w:lang w:val="en-US"/>
        </w:rPr>
        <w:t xml:space="preserve"> Responses were 1 = never, 2 = less than once a year, 3 = once a year, 4 = twice a year, 5 = once a month, 6= once every two weeks, and 7 = once a week or more.</w:t>
      </w:r>
    </w:p>
    <w:p w14:paraId="4EA3C90A" w14:textId="007076DB" w:rsidR="001D6281" w:rsidRPr="00B717F6" w:rsidRDefault="001D6281" w:rsidP="00105BC1">
      <w:pPr>
        <w:rPr>
          <w:szCs w:val="24"/>
          <w:lang w:val="en-US"/>
        </w:rPr>
      </w:pPr>
      <w:r w:rsidRPr="00B717F6">
        <w:rPr>
          <w:szCs w:val="24"/>
          <w:lang w:val="en-US"/>
        </w:rPr>
        <w:t xml:space="preserve">Self-estimated health was </w:t>
      </w:r>
      <w:r w:rsidR="00BF478A" w:rsidRPr="00B717F6">
        <w:rPr>
          <w:szCs w:val="24"/>
          <w:lang w:val="en-US"/>
        </w:rPr>
        <w:t xml:space="preserve">indexed via the following item: </w:t>
      </w:r>
      <w:r w:rsidR="00537A07" w:rsidRPr="00B717F6">
        <w:rPr>
          <w:szCs w:val="24"/>
          <w:lang w:val="en-US"/>
        </w:rPr>
        <w:t>“In general, would you say your health is</w:t>
      </w:r>
      <w:r w:rsidR="00246F45" w:rsidRPr="00B717F6">
        <w:rPr>
          <w:szCs w:val="24"/>
          <w:lang w:val="en-US"/>
        </w:rPr>
        <w:t>:</w:t>
      </w:r>
      <w:r w:rsidR="00537A07" w:rsidRPr="00B717F6">
        <w:rPr>
          <w:szCs w:val="24"/>
          <w:lang w:val="en-US"/>
        </w:rPr>
        <w:t>”</w:t>
      </w:r>
      <w:r w:rsidR="003A5C8B" w:rsidRPr="00B717F6">
        <w:rPr>
          <w:szCs w:val="24"/>
          <w:lang w:val="en-US"/>
        </w:rPr>
        <w:t xml:space="preserve"> Scores </w:t>
      </w:r>
      <w:r w:rsidR="00105BC1">
        <w:rPr>
          <w:szCs w:val="24"/>
          <w:lang w:val="en-US"/>
        </w:rPr>
        <w:t xml:space="preserve">were </w:t>
      </w:r>
      <w:r w:rsidR="00246F45" w:rsidRPr="00B717F6">
        <w:rPr>
          <w:szCs w:val="24"/>
          <w:lang w:val="en-US"/>
        </w:rPr>
        <w:t>1 = excellent, 2 = very good, 3 = good, 4 = fair, and</w:t>
      </w:r>
      <w:r w:rsidR="00105BC1">
        <w:rPr>
          <w:szCs w:val="24"/>
          <w:lang w:val="en-US"/>
        </w:rPr>
        <w:t xml:space="preserve"> 5 = poor. </w:t>
      </w:r>
      <w:r w:rsidRPr="00B717F6">
        <w:rPr>
          <w:szCs w:val="24"/>
          <w:lang w:val="en-US"/>
        </w:rPr>
        <w:t>Depression</w:t>
      </w:r>
      <w:r w:rsidR="00580787" w:rsidRPr="00B717F6">
        <w:rPr>
          <w:i/>
          <w:szCs w:val="24"/>
          <w:lang w:val="en-US"/>
        </w:rPr>
        <w:t xml:space="preserve"> </w:t>
      </w:r>
      <w:r w:rsidR="00580787" w:rsidRPr="00B717F6">
        <w:rPr>
          <w:szCs w:val="24"/>
          <w:lang w:val="en-US"/>
        </w:rPr>
        <w:t>during the past fo</w:t>
      </w:r>
      <w:r w:rsidR="00807443" w:rsidRPr="00B717F6">
        <w:rPr>
          <w:szCs w:val="24"/>
          <w:lang w:val="en-US"/>
        </w:rPr>
        <w:t>u</w:t>
      </w:r>
      <w:r w:rsidR="00580787" w:rsidRPr="00B717F6">
        <w:rPr>
          <w:szCs w:val="24"/>
          <w:lang w:val="en-US"/>
        </w:rPr>
        <w:t xml:space="preserve">r weeks was </w:t>
      </w:r>
      <w:r w:rsidR="00107C99" w:rsidRPr="00B717F6">
        <w:rPr>
          <w:szCs w:val="24"/>
          <w:lang w:val="en-US"/>
        </w:rPr>
        <w:t>measured</w:t>
      </w:r>
      <w:r w:rsidR="00580787" w:rsidRPr="00B717F6">
        <w:rPr>
          <w:szCs w:val="24"/>
          <w:lang w:val="en-US"/>
        </w:rPr>
        <w:t xml:space="preserve"> with a </w:t>
      </w:r>
      <w:r w:rsidR="00807443" w:rsidRPr="00B717F6">
        <w:rPr>
          <w:szCs w:val="24"/>
          <w:lang w:val="en-US"/>
        </w:rPr>
        <w:t xml:space="preserve">brief </w:t>
      </w:r>
      <w:r w:rsidR="00580787" w:rsidRPr="00B717F6">
        <w:rPr>
          <w:szCs w:val="24"/>
          <w:lang w:val="en-US"/>
        </w:rPr>
        <w:t xml:space="preserve">psychometrically validated depression scale </w:t>
      </w:r>
      <w:r w:rsidR="00107C99" w:rsidRPr="00B717F6">
        <w:rPr>
          <w:szCs w:val="24"/>
          <w:lang w:val="en-US"/>
        </w:rPr>
        <w:t>(</w:t>
      </w:r>
      <w:r w:rsidR="00580787" w:rsidRPr="00B717F6">
        <w:rPr>
          <w:szCs w:val="24"/>
          <w:lang w:val="en-US"/>
        </w:rPr>
        <w:t>SCL-</w:t>
      </w:r>
      <w:r w:rsidR="00740863" w:rsidRPr="00B717F6">
        <w:rPr>
          <w:szCs w:val="24"/>
          <w:lang w:val="en-US"/>
        </w:rPr>
        <w:t>90-</w:t>
      </w:r>
      <w:r w:rsidR="00580787" w:rsidRPr="00B717F6">
        <w:rPr>
          <w:szCs w:val="24"/>
          <w:lang w:val="en-US"/>
        </w:rPr>
        <w:t>DEP</w:t>
      </w:r>
      <w:r w:rsidR="00107C99" w:rsidRPr="00B717F6">
        <w:rPr>
          <w:szCs w:val="24"/>
          <w:lang w:val="en-US"/>
        </w:rPr>
        <w:t xml:space="preserve">; </w:t>
      </w:r>
      <w:proofErr w:type="spellStart"/>
      <w:r w:rsidR="00107C99" w:rsidRPr="00B717F6">
        <w:rPr>
          <w:szCs w:val="24"/>
          <w:lang w:val="en-US"/>
        </w:rPr>
        <w:t>Søgaard</w:t>
      </w:r>
      <w:proofErr w:type="spellEnd"/>
      <w:r w:rsidR="00107C99" w:rsidRPr="00B717F6">
        <w:rPr>
          <w:szCs w:val="24"/>
          <w:lang w:val="en-US"/>
        </w:rPr>
        <w:t xml:space="preserve"> &amp; </w:t>
      </w:r>
      <w:proofErr w:type="spellStart"/>
      <w:r w:rsidR="00107C99" w:rsidRPr="00B717F6">
        <w:rPr>
          <w:szCs w:val="24"/>
          <w:lang w:val="en-US"/>
        </w:rPr>
        <w:t>Bech</w:t>
      </w:r>
      <w:proofErr w:type="spellEnd"/>
      <w:r w:rsidR="00107C99" w:rsidRPr="00B717F6">
        <w:rPr>
          <w:szCs w:val="24"/>
          <w:lang w:val="en-US"/>
        </w:rPr>
        <w:t>, 2009</w:t>
      </w:r>
      <w:r w:rsidR="00580787" w:rsidRPr="00B717F6">
        <w:rPr>
          <w:szCs w:val="24"/>
          <w:lang w:val="en-US"/>
        </w:rPr>
        <w:t xml:space="preserve">). </w:t>
      </w:r>
      <w:r w:rsidR="00086942" w:rsidRPr="00B717F6">
        <w:rPr>
          <w:szCs w:val="24"/>
          <w:lang w:val="en-US"/>
        </w:rPr>
        <w:t>The</w:t>
      </w:r>
      <w:r w:rsidR="00580787" w:rsidRPr="00B717F6">
        <w:rPr>
          <w:szCs w:val="24"/>
          <w:lang w:val="en-US"/>
        </w:rPr>
        <w:t xml:space="preserve"> </w:t>
      </w:r>
      <w:r w:rsidR="00B845F6" w:rsidRPr="00B717F6">
        <w:rPr>
          <w:szCs w:val="24"/>
          <w:lang w:val="en-US"/>
        </w:rPr>
        <w:t xml:space="preserve">6 </w:t>
      </w:r>
      <w:r w:rsidR="00580787" w:rsidRPr="00B717F6">
        <w:rPr>
          <w:szCs w:val="24"/>
          <w:lang w:val="en-US"/>
        </w:rPr>
        <w:t>item</w:t>
      </w:r>
      <w:r w:rsidR="00B845F6" w:rsidRPr="00B717F6">
        <w:rPr>
          <w:szCs w:val="24"/>
          <w:lang w:val="en-US"/>
        </w:rPr>
        <w:t>s</w:t>
      </w:r>
      <w:r w:rsidR="006C2A63" w:rsidRPr="00B717F6">
        <w:rPr>
          <w:szCs w:val="24"/>
          <w:lang w:val="en-US"/>
        </w:rPr>
        <w:t xml:space="preserve"> (e.g., </w:t>
      </w:r>
      <w:r w:rsidR="00A73F23" w:rsidRPr="00B717F6">
        <w:rPr>
          <w:szCs w:val="24"/>
          <w:lang w:val="en-US"/>
        </w:rPr>
        <w:t>“</w:t>
      </w:r>
      <w:r w:rsidR="006C2A63" w:rsidRPr="00B717F6">
        <w:rPr>
          <w:szCs w:val="24"/>
          <w:lang w:val="en-US"/>
        </w:rPr>
        <w:t>Feelings of worthlessness</w:t>
      </w:r>
      <w:r w:rsidR="00501CE1" w:rsidRPr="00B717F6">
        <w:rPr>
          <w:szCs w:val="24"/>
          <w:lang w:val="en-US"/>
        </w:rPr>
        <w:t>,</w:t>
      </w:r>
      <w:r w:rsidR="00A73F23" w:rsidRPr="00B717F6">
        <w:rPr>
          <w:szCs w:val="24"/>
          <w:lang w:val="en-US"/>
        </w:rPr>
        <w:t>” “Feeling lonely</w:t>
      </w:r>
      <w:r w:rsidR="00501CE1" w:rsidRPr="00B717F6">
        <w:rPr>
          <w:szCs w:val="24"/>
          <w:lang w:val="en-US"/>
        </w:rPr>
        <w:t>,</w:t>
      </w:r>
      <w:r w:rsidR="00A73F23" w:rsidRPr="00B717F6">
        <w:rPr>
          <w:szCs w:val="24"/>
          <w:lang w:val="en-US"/>
        </w:rPr>
        <w:t>” “Blaming yourself for things</w:t>
      </w:r>
      <w:r w:rsidR="00501CE1" w:rsidRPr="00B717F6">
        <w:rPr>
          <w:szCs w:val="24"/>
          <w:lang w:val="en-US"/>
        </w:rPr>
        <w:t>,</w:t>
      </w:r>
      <w:r w:rsidR="00A73F23" w:rsidRPr="00B717F6">
        <w:rPr>
          <w:szCs w:val="24"/>
          <w:lang w:val="en-US"/>
        </w:rPr>
        <w:t>” etc</w:t>
      </w:r>
      <w:r w:rsidR="00B845F6" w:rsidRPr="00B717F6">
        <w:rPr>
          <w:szCs w:val="24"/>
          <w:lang w:val="en-US"/>
        </w:rPr>
        <w:t>.</w:t>
      </w:r>
      <w:r w:rsidR="00A73F23" w:rsidRPr="00B717F6">
        <w:rPr>
          <w:szCs w:val="24"/>
          <w:lang w:val="en-US"/>
        </w:rPr>
        <w:t>)</w:t>
      </w:r>
      <w:r w:rsidR="00580787" w:rsidRPr="00B717F6">
        <w:rPr>
          <w:szCs w:val="24"/>
          <w:lang w:val="en-US"/>
        </w:rPr>
        <w:t xml:space="preserve"> </w:t>
      </w:r>
      <w:r w:rsidR="00B845F6" w:rsidRPr="00B717F6">
        <w:rPr>
          <w:szCs w:val="24"/>
          <w:lang w:val="en-US"/>
        </w:rPr>
        <w:t>were</w:t>
      </w:r>
      <w:r w:rsidR="00A73F23" w:rsidRPr="00B717F6">
        <w:rPr>
          <w:szCs w:val="24"/>
          <w:lang w:val="en-US"/>
        </w:rPr>
        <w:t xml:space="preserve"> </w:t>
      </w:r>
      <w:r w:rsidR="003335F7" w:rsidRPr="00B717F6">
        <w:rPr>
          <w:szCs w:val="24"/>
          <w:lang w:val="en-US"/>
        </w:rPr>
        <w:t xml:space="preserve">rated </w:t>
      </w:r>
      <w:r w:rsidR="00086942" w:rsidRPr="00B717F6">
        <w:rPr>
          <w:szCs w:val="24"/>
          <w:lang w:val="en-US"/>
        </w:rPr>
        <w:t xml:space="preserve">on </w:t>
      </w:r>
      <w:r w:rsidR="003335F7" w:rsidRPr="00B717F6">
        <w:rPr>
          <w:szCs w:val="24"/>
          <w:lang w:val="en-US"/>
        </w:rPr>
        <w:t xml:space="preserve">a </w:t>
      </w:r>
      <w:r w:rsidR="00086942" w:rsidRPr="00B717F6">
        <w:rPr>
          <w:szCs w:val="24"/>
          <w:lang w:val="en-US"/>
        </w:rPr>
        <w:t xml:space="preserve">5-point scale (1 = not at all to 5 = extremely), with higher scores reflecting higher levels of </w:t>
      </w:r>
      <w:r w:rsidR="00086942" w:rsidRPr="00B717F6">
        <w:rPr>
          <w:szCs w:val="24"/>
          <w:lang w:val="en-US"/>
        </w:rPr>
        <w:lastRenderedPageBreak/>
        <w:t>depression.</w:t>
      </w:r>
      <w:r w:rsidR="00C33499" w:rsidRPr="00B717F6">
        <w:rPr>
          <w:szCs w:val="24"/>
          <w:lang w:val="en-US"/>
        </w:rPr>
        <w:t xml:space="preserve"> The reliability of the scale in this study was acceptable (Cronbach’s </w:t>
      </w:r>
      <w:r w:rsidR="00C33499" w:rsidRPr="00B717F6">
        <w:rPr>
          <w:szCs w:val="24"/>
        </w:rPr>
        <w:t>α</w:t>
      </w:r>
      <w:r w:rsidR="00C33499" w:rsidRPr="00B717F6">
        <w:rPr>
          <w:szCs w:val="24"/>
          <w:lang w:val="en-US"/>
        </w:rPr>
        <w:t xml:space="preserve"> </w:t>
      </w:r>
      <w:r w:rsidR="00C33499" w:rsidRPr="00B717F6">
        <w:rPr>
          <w:szCs w:val="24"/>
          <w:vertAlign w:val="subscript"/>
          <w:lang w:val="en-US"/>
        </w:rPr>
        <w:t xml:space="preserve">by country </w:t>
      </w:r>
      <w:r w:rsidR="007C0700" w:rsidRPr="00B717F6">
        <w:rPr>
          <w:szCs w:val="24"/>
          <w:lang w:val="en-US"/>
        </w:rPr>
        <w:t>= .78–.82</w:t>
      </w:r>
      <w:r w:rsidR="00C33499" w:rsidRPr="00B717F6">
        <w:rPr>
          <w:szCs w:val="24"/>
          <w:lang w:val="en-US"/>
        </w:rPr>
        <w:t xml:space="preserve">). </w:t>
      </w:r>
      <w:r w:rsidR="00086942" w:rsidRPr="00B717F6">
        <w:rPr>
          <w:szCs w:val="24"/>
          <w:lang w:val="en-US"/>
        </w:rPr>
        <w:t xml:space="preserve"> </w:t>
      </w:r>
    </w:p>
    <w:p w14:paraId="329311F9" w14:textId="042665AE" w:rsidR="002F484B" w:rsidRPr="00B717F6" w:rsidRDefault="003E3421" w:rsidP="009C0C78">
      <w:pPr>
        <w:rPr>
          <w:szCs w:val="24"/>
          <w:lang w:val="en-US"/>
        </w:rPr>
      </w:pPr>
      <w:r w:rsidRPr="00B717F6">
        <w:rPr>
          <w:szCs w:val="24"/>
          <w:shd w:val="clear" w:color="auto" w:fill="FFFFFF" w:themeFill="background1"/>
          <w:lang w:val="en-US"/>
        </w:rPr>
        <w:t>Satisfaction with sexual activity</w:t>
      </w:r>
      <w:r w:rsidR="00530991" w:rsidRPr="00B717F6">
        <w:rPr>
          <w:szCs w:val="24"/>
          <w:shd w:val="clear" w:color="auto" w:fill="FFFFFF" w:themeFill="background1"/>
          <w:lang w:val="en-US"/>
        </w:rPr>
        <w:t xml:space="preserve"> was assessed with the question: “How satisfied are you with the current level of sexual activity in your life, in a general way?”</w:t>
      </w:r>
      <w:r w:rsidR="0066018E" w:rsidRPr="00B717F6">
        <w:rPr>
          <w:szCs w:val="24"/>
          <w:shd w:val="clear" w:color="auto" w:fill="FFFFFF" w:themeFill="background1"/>
          <w:lang w:val="en-US"/>
        </w:rPr>
        <w:t xml:space="preserve"> </w:t>
      </w:r>
      <w:r w:rsidR="00D37E76" w:rsidRPr="00B717F6">
        <w:rPr>
          <w:szCs w:val="24"/>
          <w:shd w:val="clear" w:color="auto" w:fill="FFFFFF" w:themeFill="background1"/>
          <w:lang w:val="en-US"/>
        </w:rPr>
        <w:t>Responses, which ranged from 1 = very satisfied to 5 = very dissatisfied, were reverse-recoded, so that higher scores reflected</w:t>
      </w:r>
      <w:r w:rsidR="00881298" w:rsidRPr="00B717F6">
        <w:rPr>
          <w:szCs w:val="24"/>
          <w:shd w:val="clear" w:color="auto" w:fill="FFFFFF" w:themeFill="background1"/>
          <w:lang w:val="en-US"/>
        </w:rPr>
        <w:t xml:space="preserve"> higher sexual satisfaction</w:t>
      </w:r>
      <w:r w:rsidR="0010728B" w:rsidRPr="00B717F6">
        <w:rPr>
          <w:szCs w:val="24"/>
          <w:lang w:val="en-US"/>
        </w:rPr>
        <w:t>.</w:t>
      </w:r>
    </w:p>
    <w:p w14:paraId="1FCEC9E1" w14:textId="4E99A85D" w:rsidR="002F484B" w:rsidRPr="00B717F6" w:rsidRDefault="003E3421" w:rsidP="009C0C78">
      <w:pPr>
        <w:rPr>
          <w:szCs w:val="24"/>
          <w:lang w:val="en-US"/>
        </w:rPr>
      </w:pPr>
      <w:r w:rsidRPr="00B717F6">
        <w:rPr>
          <w:szCs w:val="24"/>
          <w:lang w:val="en-US"/>
        </w:rPr>
        <w:t>Intercourse frequency</w:t>
      </w:r>
      <w:r w:rsidR="008B63E3" w:rsidRPr="00B717F6">
        <w:rPr>
          <w:i/>
          <w:szCs w:val="24"/>
          <w:lang w:val="en-US"/>
        </w:rPr>
        <w:t xml:space="preserve"> </w:t>
      </w:r>
      <w:r w:rsidR="008B63E3" w:rsidRPr="00B717F6">
        <w:rPr>
          <w:szCs w:val="24"/>
          <w:lang w:val="en-US"/>
        </w:rPr>
        <w:t xml:space="preserve">was assessed by a one-item indicator, used in the English Longitudinal Study of Ageing (ELSA; </w:t>
      </w:r>
      <w:r w:rsidR="00304876" w:rsidRPr="00B717F6">
        <w:rPr>
          <w:szCs w:val="24"/>
          <w:lang w:val="en-US"/>
        </w:rPr>
        <w:t xml:space="preserve">Lee </w:t>
      </w:r>
      <w:r w:rsidR="008B63E3" w:rsidRPr="00B717F6">
        <w:rPr>
          <w:szCs w:val="24"/>
          <w:lang w:val="en-US"/>
        </w:rPr>
        <w:t>et al., 2016), “How many times have you had or attempted sexual intercourse (vaginal, anal, or or</w:t>
      </w:r>
      <w:r w:rsidR="00501CE1" w:rsidRPr="00B717F6">
        <w:rPr>
          <w:szCs w:val="24"/>
          <w:lang w:val="en-US"/>
        </w:rPr>
        <w:t>al sex) during the past month?”</w:t>
      </w:r>
      <w:r w:rsidR="008B63E3" w:rsidRPr="00B717F6">
        <w:rPr>
          <w:szCs w:val="24"/>
          <w:lang w:val="en-US"/>
        </w:rPr>
        <w:t xml:space="preserve"> Response</w:t>
      </w:r>
      <w:r w:rsidR="003335F7" w:rsidRPr="00B717F6">
        <w:rPr>
          <w:szCs w:val="24"/>
          <w:lang w:val="en-US"/>
        </w:rPr>
        <w:t>s</w:t>
      </w:r>
      <w:r w:rsidR="008B63E3" w:rsidRPr="00B717F6">
        <w:rPr>
          <w:szCs w:val="24"/>
          <w:lang w:val="en-US"/>
        </w:rPr>
        <w:t xml:space="preserve"> </w:t>
      </w:r>
      <w:r w:rsidR="003335F7" w:rsidRPr="00B717F6">
        <w:rPr>
          <w:szCs w:val="24"/>
          <w:lang w:val="en-US"/>
        </w:rPr>
        <w:t>were made on</w:t>
      </w:r>
      <w:r w:rsidR="008B63E3" w:rsidRPr="00B717F6">
        <w:rPr>
          <w:szCs w:val="24"/>
          <w:lang w:val="en-US"/>
        </w:rPr>
        <w:t xml:space="preserve"> a 7-point scale (1 = none to 7 =</w:t>
      </w:r>
      <w:r w:rsidR="00562BA6" w:rsidRPr="00B717F6">
        <w:rPr>
          <w:szCs w:val="24"/>
          <w:lang w:val="en-US"/>
        </w:rPr>
        <w:t xml:space="preserve"> more than once a day).</w:t>
      </w:r>
    </w:p>
    <w:p w14:paraId="6FCE91C8" w14:textId="69E08B40" w:rsidR="00304876" w:rsidRPr="00B717F6" w:rsidRDefault="003E3421" w:rsidP="009C0C78">
      <w:pPr>
        <w:rPr>
          <w:szCs w:val="24"/>
          <w:lang w:val="en-US"/>
        </w:rPr>
      </w:pPr>
      <w:r w:rsidRPr="00B717F6">
        <w:rPr>
          <w:szCs w:val="24"/>
          <w:lang w:val="en-US"/>
        </w:rPr>
        <w:t>Sexual attitudes</w:t>
      </w:r>
      <w:r w:rsidR="00FF12E6" w:rsidRPr="00B717F6">
        <w:rPr>
          <w:i/>
          <w:szCs w:val="24"/>
          <w:lang w:val="en-US"/>
        </w:rPr>
        <w:t xml:space="preserve"> </w:t>
      </w:r>
      <w:r w:rsidR="00FF12E6" w:rsidRPr="00B717F6">
        <w:rPr>
          <w:szCs w:val="24"/>
          <w:lang w:val="en-US"/>
        </w:rPr>
        <w:t xml:space="preserve">were assessed using 6 items </w:t>
      </w:r>
      <w:r w:rsidR="00C119B6" w:rsidRPr="00B717F6">
        <w:rPr>
          <w:szCs w:val="24"/>
          <w:lang w:val="en-US"/>
        </w:rPr>
        <w:t xml:space="preserve">retrieved </w:t>
      </w:r>
      <w:r w:rsidR="00FF12E6" w:rsidRPr="00B717F6">
        <w:rPr>
          <w:szCs w:val="24"/>
          <w:lang w:val="en-US"/>
        </w:rPr>
        <w:t xml:space="preserve">from the ELSA Sexual Relationship and Activities Questionnaire (SRA-Q; </w:t>
      </w:r>
      <w:hyperlink r:id="rId8" w:history="1">
        <w:r w:rsidR="00FF12E6" w:rsidRPr="00B717F6">
          <w:rPr>
            <w:rStyle w:val="Hyperlink"/>
            <w:color w:val="auto"/>
            <w:szCs w:val="24"/>
            <w:u w:val="none"/>
            <w:lang w:val="en-US"/>
          </w:rPr>
          <w:t>http://www.elsa-project.ac.uk</w:t>
        </w:r>
      </w:hyperlink>
      <w:r w:rsidR="00FF12E6" w:rsidRPr="00B717F6">
        <w:rPr>
          <w:szCs w:val="24"/>
          <w:lang w:val="en-US"/>
        </w:rPr>
        <w:t>)</w:t>
      </w:r>
      <w:r w:rsidR="00C119B6" w:rsidRPr="00B717F6">
        <w:rPr>
          <w:szCs w:val="24"/>
          <w:lang w:val="en-US"/>
        </w:rPr>
        <w:t>.</w:t>
      </w:r>
      <w:r w:rsidR="00CF290B" w:rsidRPr="00B717F6">
        <w:rPr>
          <w:szCs w:val="24"/>
          <w:lang w:val="en-US"/>
        </w:rPr>
        <w:t xml:space="preserve"> R</w:t>
      </w:r>
      <w:r w:rsidR="00C119B6" w:rsidRPr="00B717F6">
        <w:rPr>
          <w:szCs w:val="24"/>
          <w:lang w:val="en-US"/>
        </w:rPr>
        <w:t>esponses were</w:t>
      </w:r>
      <w:r w:rsidR="00156E13" w:rsidRPr="00B717F6">
        <w:rPr>
          <w:szCs w:val="24"/>
          <w:lang w:val="en-US"/>
        </w:rPr>
        <w:t xml:space="preserve"> </w:t>
      </w:r>
      <w:r w:rsidR="00FC3099" w:rsidRPr="00B717F6">
        <w:rPr>
          <w:szCs w:val="24"/>
          <w:lang w:val="en-US"/>
        </w:rPr>
        <w:t xml:space="preserve">made </w:t>
      </w:r>
      <w:r w:rsidR="00C119B6" w:rsidRPr="00B717F6">
        <w:rPr>
          <w:szCs w:val="24"/>
          <w:lang w:val="en-US"/>
        </w:rPr>
        <w:t xml:space="preserve">on a </w:t>
      </w:r>
      <w:r w:rsidR="00156E13" w:rsidRPr="00B717F6">
        <w:rPr>
          <w:szCs w:val="24"/>
          <w:lang w:val="en-US"/>
        </w:rPr>
        <w:t xml:space="preserve">5-point Likert scale </w:t>
      </w:r>
      <w:r w:rsidR="00C119B6" w:rsidRPr="00B717F6">
        <w:rPr>
          <w:szCs w:val="24"/>
          <w:lang w:val="en-US"/>
        </w:rPr>
        <w:t xml:space="preserve">ranging from </w:t>
      </w:r>
      <w:r w:rsidR="00156E13" w:rsidRPr="00B717F6">
        <w:rPr>
          <w:szCs w:val="24"/>
          <w:lang w:val="en-US"/>
        </w:rPr>
        <w:t>1= strongly</w:t>
      </w:r>
      <w:r w:rsidR="00C119B6" w:rsidRPr="00B717F6">
        <w:rPr>
          <w:szCs w:val="24"/>
          <w:lang w:val="en-US"/>
        </w:rPr>
        <w:t xml:space="preserve"> agree to 5 = strongly disagree</w:t>
      </w:r>
      <w:r w:rsidR="00FF12E6" w:rsidRPr="00B717F6">
        <w:rPr>
          <w:szCs w:val="24"/>
          <w:lang w:val="en-US"/>
        </w:rPr>
        <w:t xml:space="preserve">. </w:t>
      </w:r>
      <w:r w:rsidR="003D6AA5" w:rsidRPr="00B717F6">
        <w:rPr>
          <w:szCs w:val="24"/>
          <w:lang w:val="en-US"/>
        </w:rPr>
        <w:t xml:space="preserve">Attitudes reflecting </w:t>
      </w:r>
      <w:r w:rsidR="00DC5DD9" w:rsidRPr="00B717F6">
        <w:rPr>
          <w:szCs w:val="24"/>
          <w:lang w:val="en-US"/>
        </w:rPr>
        <w:t>the</w:t>
      </w:r>
      <w:r w:rsidR="00F33EF8" w:rsidRPr="00B717F6">
        <w:rPr>
          <w:szCs w:val="24"/>
          <w:lang w:val="en-US"/>
        </w:rPr>
        <w:t xml:space="preserve"> idea that</w:t>
      </w:r>
      <w:r w:rsidR="00DC5DD9" w:rsidRPr="00B717F6">
        <w:rPr>
          <w:szCs w:val="24"/>
          <w:lang w:val="en-US"/>
        </w:rPr>
        <w:t xml:space="preserve"> </w:t>
      </w:r>
      <w:r w:rsidR="00F33EF8" w:rsidRPr="00B717F6">
        <w:rPr>
          <w:szCs w:val="24"/>
          <w:lang w:val="en-US"/>
        </w:rPr>
        <w:t>sex is legitimized by love</w:t>
      </w:r>
      <w:r w:rsidR="00E27E4B" w:rsidRPr="00B717F6">
        <w:rPr>
          <w:szCs w:val="24"/>
          <w:lang w:val="en-US"/>
        </w:rPr>
        <w:t xml:space="preserve"> </w:t>
      </w:r>
      <w:r w:rsidR="008356F5" w:rsidRPr="00B717F6">
        <w:rPr>
          <w:szCs w:val="24"/>
          <w:lang w:val="en-US"/>
        </w:rPr>
        <w:t>were assessed</w:t>
      </w:r>
      <w:r w:rsidR="00E01C71" w:rsidRPr="00B717F6">
        <w:rPr>
          <w:szCs w:val="24"/>
          <w:lang w:val="en-US"/>
        </w:rPr>
        <w:t xml:space="preserve"> with two items</w:t>
      </w:r>
      <w:r w:rsidR="007B7339" w:rsidRPr="00B717F6">
        <w:rPr>
          <w:szCs w:val="24"/>
          <w:lang w:val="en-US"/>
        </w:rPr>
        <w:t xml:space="preserve"> (</w:t>
      </w:r>
      <w:proofErr w:type="spellStart"/>
      <w:r w:rsidR="007B7339" w:rsidRPr="00B717F6">
        <w:rPr>
          <w:i/>
          <w:szCs w:val="24"/>
          <w:lang w:val="en-US"/>
        </w:rPr>
        <w:t>r</w:t>
      </w:r>
      <w:r w:rsidR="000E39D6" w:rsidRPr="00B717F6">
        <w:rPr>
          <w:szCs w:val="24"/>
          <w:vertAlign w:val="subscript"/>
          <w:lang w:val="en-US"/>
        </w:rPr>
        <w:t>men</w:t>
      </w:r>
      <w:proofErr w:type="spellEnd"/>
      <w:r w:rsidR="007B7339" w:rsidRPr="00B717F6">
        <w:rPr>
          <w:szCs w:val="24"/>
          <w:lang w:val="en-US"/>
        </w:rPr>
        <w:t xml:space="preserve"> =</w:t>
      </w:r>
      <w:r w:rsidR="000E39D6" w:rsidRPr="00B717F6">
        <w:rPr>
          <w:szCs w:val="24"/>
          <w:lang w:val="en-US"/>
        </w:rPr>
        <w:t xml:space="preserve"> .4</w:t>
      </w:r>
      <w:r w:rsidR="00156E13" w:rsidRPr="00B717F6">
        <w:rPr>
          <w:szCs w:val="24"/>
          <w:lang w:val="en-US"/>
        </w:rPr>
        <w:t>4</w:t>
      </w:r>
      <w:r w:rsidR="0044423D" w:rsidRPr="00B717F6">
        <w:rPr>
          <w:szCs w:val="24"/>
          <w:lang w:val="en-US"/>
        </w:rPr>
        <w:t>–.</w:t>
      </w:r>
      <w:r w:rsidR="00156E13" w:rsidRPr="00B717F6">
        <w:rPr>
          <w:szCs w:val="24"/>
          <w:lang w:val="en-US"/>
        </w:rPr>
        <w:t>63</w:t>
      </w:r>
      <w:r w:rsidR="000E39D6" w:rsidRPr="00B717F6">
        <w:rPr>
          <w:szCs w:val="24"/>
          <w:lang w:val="en-US"/>
        </w:rPr>
        <w:t xml:space="preserve">; </w:t>
      </w:r>
      <w:proofErr w:type="spellStart"/>
      <w:r w:rsidR="000E39D6" w:rsidRPr="00B717F6">
        <w:rPr>
          <w:i/>
          <w:szCs w:val="24"/>
          <w:lang w:val="en-US"/>
        </w:rPr>
        <w:t>r</w:t>
      </w:r>
      <w:r w:rsidR="000E39D6" w:rsidRPr="00B717F6">
        <w:rPr>
          <w:szCs w:val="24"/>
          <w:vertAlign w:val="subscript"/>
          <w:lang w:val="en-US"/>
        </w:rPr>
        <w:t>women</w:t>
      </w:r>
      <w:proofErr w:type="spellEnd"/>
      <w:r w:rsidR="000E39D6" w:rsidRPr="00B717F6">
        <w:rPr>
          <w:szCs w:val="24"/>
          <w:lang w:val="en-US"/>
        </w:rPr>
        <w:t xml:space="preserve"> = .3</w:t>
      </w:r>
      <w:r w:rsidR="00156E13" w:rsidRPr="00B717F6">
        <w:rPr>
          <w:szCs w:val="24"/>
          <w:lang w:val="en-US"/>
        </w:rPr>
        <w:t>9</w:t>
      </w:r>
      <w:r w:rsidR="000E39D6" w:rsidRPr="00B717F6">
        <w:rPr>
          <w:szCs w:val="24"/>
          <w:lang w:val="en-US"/>
        </w:rPr>
        <w:t>–.</w:t>
      </w:r>
      <w:r w:rsidR="00156E13" w:rsidRPr="00B717F6">
        <w:rPr>
          <w:szCs w:val="24"/>
          <w:lang w:val="en-US"/>
        </w:rPr>
        <w:t>62</w:t>
      </w:r>
      <w:r w:rsidR="000E39D6" w:rsidRPr="00B717F6">
        <w:rPr>
          <w:szCs w:val="24"/>
          <w:lang w:val="en-US"/>
        </w:rPr>
        <w:t>)</w:t>
      </w:r>
      <w:r w:rsidR="00E27E4B" w:rsidRPr="00B717F6">
        <w:rPr>
          <w:szCs w:val="24"/>
          <w:lang w:val="en-US"/>
        </w:rPr>
        <w:t>:</w:t>
      </w:r>
      <w:r w:rsidR="003D6AA5" w:rsidRPr="00B717F6">
        <w:rPr>
          <w:szCs w:val="24"/>
          <w:lang w:val="en-US"/>
        </w:rPr>
        <w:t xml:space="preserve"> “</w:t>
      </w:r>
      <w:r w:rsidR="00522476" w:rsidRPr="00B717F6">
        <w:rPr>
          <w:szCs w:val="24"/>
          <w:lang w:val="en-US"/>
        </w:rPr>
        <w:t>Having one-night stands is wrong</w:t>
      </w:r>
      <w:r w:rsidR="00501CE1" w:rsidRPr="00B717F6">
        <w:rPr>
          <w:szCs w:val="24"/>
          <w:lang w:val="en-US"/>
        </w:rPr>
        <w:t>,</w:t>
      </w:r>
      <w:r w:rsidR="00522476" w:rsidRPr="00B717F6">
        <w:rPr>
          <w:szCs w:val="24"/>
          <w:lang w:val="en-US"/>
        </w:rPr>
        <w:t>” and “A married person having sexual relations with someone other than their spouse is wrong</w:t>
      </w:r>
      <w:r w:rsidR="00501CE1" w:rsidRPr="00B717F6">
        <w:rPr>
          <w:szCs w:val="24"/>
          <w:lang w:val="en-US"/>
        </w:rPr>
        <w:t>.</w:t>
      </w:r>
      <w:r w:rsidR="00522476" w:rsidRPr="00B717F6">
        <w:rPr>
          <w:szCs w:val="24"/>
          <w:lang w:val="en-US"/>
        </w:rPr>
        <w:t xml:space="preserve">” </w:t>
      </w:r>
      <w:r w:rsidR="00CF290B" w:rsidRPr="00B717F6">
        <w:rPr>
          <w:szCs w:val="24"/>
          <w:lang w:val="en-US"/>
        </w:rPr>
        <w:t xml:space="preserve">The </w:t>
      </w:r>
      <w:r w:rsidR="00522476" w:rsidRPr="00B717F6">
        <w:rPr>
          <w:szCs w:val="24"/>
          <w:lang w:val="en-US"/>
        </w:rPr>
        <w:t>items</w:t>
      </w:r>
      <w:r w:rsidR="00156E13" w:rsidRPr="00B717F6">
        <w:rPr>
          <w:szCs w:val="24"/>
          <w:lang w:val="en-US"/>
        </w:rPr>
        <w:t xml:space="preserve"> </w:t>
      </w:r>
      <w:r w:rsidR="00522476" w:rsidRPr="00B717F6">
        <w:rPr>
          <w:szCs w:val="24"/>
          <w:lang w:val="en-US"/>
        </w:rPr>
        <w:t xml:space="preserve">were </w:t>
      </w:r>
      <w:r w:rsidR="00CF290B" w:rsidRPr="00B717F6">
        <w:rPr>
          <w:szCs w:val="24"/>
          <w:lang w:val="en-US"/>
        </w:rPr>
        <w:t xml:space="preserve">averaged into a composite indicator and </w:t>
      </w:r>
      <w:r w:rsidR="00994E6A" w:rsidRPr="00B717F6">
        <w:rPr>
          <w:szCs w:val="24"/>
          <w:lang w:val="en-US"/>
        </w:rPr>
        <w:t>reverse</w:t>
      </w:r>
      <w:r w:rsidR="00156E13" w:rsidRPr="00B717F6">
        <w:rPr>
          <w:szCs w:val="24"/>
          <w:lang w:val="en-US"/>
        </w:rPr>
        <w:t>-recoded</w:t>
      </w:r>
      <w:r w:rsidR="00994E6A" w:rsidRPr="00B717F6">
        <w:rPr>
          <w:szCs w:val="24"/>
          <w:lang w:val="en-US"/>
        </w:rPr>
        <w:t xml:space="preserve">, so higher scores </w:t>
      </w:r>
      <w:r w:rsidR="00CF3E48" w:rsidRPr="00B717F6">
        <w:rPr>
          <w:szCs w:val="24"/>
          <w:lang w:val="en-US"/>
        </w:rPr>
        <w:t>indicate</w:t>
      </w:r>
      <w:r w:rsidR="00CF290B" w:rsidRPr="00B717F6">
        <w:rPr>
          <w:szCs w:val="24"/>
          <w:lang w:val="en-US"/>
        </w:rPr>
        <w:t>d</w:t>
      </w:r>
      <w:r w:rsidR="00E27E4B" w:rsidRPr="00B717F6">
        <w:rPr>
          <w:szCs w:val="24"/>
          <w:lang w:val="en-US"/>
        </w:rPr>
        <w:t xml:space="preserve"> </w:t>
      </w:r>
      <w:r w:rsidR="00CF3E48" w:rsidRPr="00B717F6">
        <w:rPr>
          <w:szCs w:val="24"/>
          <w:lang w:val="en-US"/>
        </w:rPr>
        <w:t>negative feelings</w:t>
      </w:r>
      <w:r w:rsidR="00994E6A" w:rsidRPr="00B717F6">
        <w:rPr>
          <w:szCs w:val="24"/>
          <w:lang w:val="en-US"/>
        </w:rPr>
        <w:t xml:space="preserve"> </w:t>
      </w:r>
      <w:r w:rsidR="003335F7" w:rsidRPr="00B717F6">
        <w:rPr>
          <w:szCs w:val="24"/>
          <w:lang w:val="en-US"/>
        </w:rPr>
        <w:t xml:space="preserve">about </w:t>
      </w:r>
      <w:r w:rsidR="00994E6A" w:rsidRPr="00B717F6">
        <w:rPr>
          <w:szCs w:val="24"/>
          <w:lang w:val="en-US"/>
        </w:rPr>
        <w:t>having sex without love</w:t>
      </w:r>
      <w:r w:rsidR="00E27E4B" w:rsidRPr="00B717F6">
        <w:rPr>
          <w:szCs w:val="24"/>
          <w:lang w:val="en-US"/>
        </w:rPr>
        <w:t>.</w:t>
      </w:r>
      <w:r w:rsidR="00994E6A" w:rsidRPr="00B717F6">
        <w:rPr>
          <w:szCs w:val="24"/>
          <w:lang w:val="en-US"/>
        </w:rPr>
        <w:t xml:space="preserve"> </w:t>
      </w:r>
      <w:r w:rsidR="0066018E" w:rsidRPr="00B717F6">
        <w:rPr>
          <w:szCs w:val="24"/>
          <w:lang w:val="en-US"/>
        </w:rPr>
        <w:t xml:space="preserve">The following two </w:t>
      </w:r>
      <w:r w:rsidR="00102B40" w:rsidRPr="00B717F6">
        <w:rPr>
          <w:szCs w:val="24"/>
          <w:lang w:val="en-US"/>
        </w:rPr>
        <w:t>items</w:t>
      </w:r>
      <w:r w:rsidR="0066018E" w:rsidRPr="00B717F6">
        <w:rPr>
          <w:szCs w:val="24"/>
          <w:lang w:val="en-US"/>
        </w:rPr>
        <w:t xml:space="preserve"> were used to tap into </w:t>
      </w:r>
      <w:r w:rsidR="00CF3E48" w:rsidRPr="00B717F6">
        <w:rPr>
          <w:szCs w:val="24"/>
          <w:lang w:val="en-US"/>
        </w:rPr>
        <w:t>feelings</w:t>
      </w:r>
      <w:r w:rsidR="0066018E" w:rsidRPr="00B717F6">
        <w:rPr>
          <w:szCs w:val="24"/>
          <w:lang w:val="en-US"/>
        </w:rPr>
        <w:t xml:space="preserve"> that contemporary society is too sexualized</w:t>
      </w:r>
      <w:r w:rsidR="0056145D" w:rsidRPr="00B717F6">
        <w:rPr>
          <w:szCs w:val="24"/>
          <w:lang w:val="en-US"/>
        </w:rPr>
        <w:t xml:space="preserve"> (</w:t>
      </w:r>
      <w:proofErr w:type="spellStart"/>
      <w:r w:rsidR="0056145D" w:rsidRPr="00B717F6">
        <w:rPr>
          <w:i/>
          <w:szCs w:val="24"/>
          <w:lang w:val="en-US"/>
        </w:rPr>
        <w:t>r</w:t>
      </w:r>
      <w:r w:rsidR="0056145D" w:rsidRPr="00B717F6">
        <w:rPr>
          <w:szCs w:val="24"/>
          <w:vertAlign w:val="subscript"/>
          <w:lang w:val="en-US"/>
        </w:rPr>
        <w:t>men</w:t>
      </w:r>
      <w:proofErr w:type="spellEnd"/>
      <w:r w:rsidR="0056145D" w:rsidRPr="00B717F6">
        <w:rPr>
          <w:szCs w:val="24"/>
          <w:lang w:val="en-US"/>
        </w:rPr>
        <w:t xml:space="preserve"> = .40–.50; </w:t>
      </w:r>
      <w:proofErr w:type="spellStart"/>
      <w:r w:rsidR="0056145D" w:rsidRPr="00B717F6">
        <w:rPr>
          <w:i/>
          <w:szCs w:val="24"/>
          <w:lang w:val="en-US"/>
        </w:rPr>
        <w:t>r</w:t>
      </w:r>
      <w:r w:rsidR="0056145D" w:rsidRPr="00B717F6">
        <w:rPr>
          <w:szCs w:val="24"/>
          <w:vertAlign w:val="subscript"/>
          <w:lang w:val="en-US"/>
        </w:rPr>
        <w:t>women</w:t>
      </w:r>
      <w:proofErr w:type="spellEnd"/>
      <w:r w:rsidR="0056145D" w:rsidRPr="00B717F6">
        <w:rPr>
          <w:szCs w:val="24"/>
          <w:lang w:val="en-US"/>
        </w:rPr>
        <w:t xml:space="preserve"> = .35–.47</w:t>
      </w:r>
      <w:r w:rsidR="00F33EF8" w:rsidRPr="00B717F6">
        <w:rPr>
          <w:szCs w:val="24"/>
          <w:lang w:val="en-US"/>
        </w:rPr>
        <w:t>)</w:t>
      </w:r>
      <w:r w:rsidR="0066018E" w:rsidRPr="00B717F6">
        <w:rPr>
          <w:szCs w:val="24"/>
          <w:lang w:val="en-US"/>
        </w:rPr>
        <w:t>:</w:t>
      </w:r>
      <w:r w:rsidR="00530991" w:rsidRPr="00B717F6">
        <w:rPr>
          <w:szCs w:val="24"/>
          <w:lang w:val="en-US"/>
        </w:rPr>
        <w:t xml:space="preserve"> </w:t>
      </w:r>
      <w:r w:rsidR="00E3303D" w:rsidRPr="00B717F6">
        <w:rPr>
          <w:szCs w:val="24"/>
          <w:lang w:val="en-US"/>
        </w:rPr>
        <w:t>“There’</w:t>
      </w:r>
      <w:r w:rsidR="00102B40" w:rsidRPr="00B717F6">
        <w:rPr>
          <w:szCs w:val="24"/>
          <w:lang w:val="en-US"/>
        </w:rPr>
        <w:t>s too much sex in the media nowadays</w:t>
      </w:r>
      <w:r w:rsidR="00501CE1" w:rsidRPr="00B717F6">
        <w:rPr>
          <w:szCs w:val="24"/>
          <w:lang w:val="en-US"/>
        </w:rPr>
        <w:t>,</w:t>
      </w:r>
      <w:r w:rsidR="00102B40" w:rsidRPr="00B717F6">
        <w:rPr>
          <w:szCs w:val="24"/>
          <w:lang w:val="en-US"/>
        </w:rPr>
        <w:t>” and “Young people today start having sex too early</w:t>
      </w:r>
      <w:r w:rsidR="00501CE1" w:rsidRPr="00B717F6">
        <w:rPr>
          <w:szCs w:val="24"/>
          <w:lang w:val="en-US"/>
        </w:rPr>
        <w:t>.</w:t>
      </w:r>
      <w:r w:rsidR="00102B40" w:rsidRPr="00B717F6">
        <w:rPr>
          <w:szCs w:val="24"/>
          <w:lang w:val="en-US"/>
        </w:rPr>
        <w:t xml:space="preserve">” </w:t>
      </w:r>
      <w:r w:rsidR="00DC5DD9" w:rsidRPr="00B717F6">
        <w:rPr>
          <w:szCs w:val="24"/>
          <w:lang w:val="en-US"/>
        </w:rPr>
        <w:t>The two items were averaged and</w:t>
      </w:r>
      <w:r w:rsidR="00CF2CF1" w:rsidRPr="00B717F6">
        <w:rPr>
          <w:szCs w:val="24"/>
          <w:lang w:val="en-US"/>
        </w:rPr>
        <w:t xml:space="preserve"> scale scores reverse-coded, so that higher scores reflected </w:t>
      </w:r>
      <w:r w:rsidR="00C119B6" w:rsidRPr="00B717F6">
        <w:rPr>
          <w:szCs w:val="24"/>
          <w:lang w:val="en-US"/>
        </w:rPr>
        <w:t xml:space="preserve">less liberal </w:t>
      </w:r>
      <w:r w:rsidR="00C80C3D" w:rsidRPr="00B717F6">
        <w:rPr>
          <w:szCs w:val="24"/>
          <w:lang w:val="en-US"/>
        </w:rPr>
        <w:t>views about sexuality</w:t>
      </w:r>
      <w:r w:rsidR="00CF3E48" w:rsidRPr="00B717F6">
        <w:rPr>
          <w:szCs w:val="24"/>
          <w:lang w:val="en-US"/>
        </w:rPr>
        <w:t xml:space="preserve"> in modern society.</w:t>
      </w:r>
      <w:r w:rsidR="00CF2CF1" w:rsidRPr="00B717F6">
        <w:rPr>
          <w:szCs w:val="24"/>
          <w:lang w:val="en-US"/>
        </w:rPr>
        <w:t xml:space="preserve"> </w:t>
      </w:r>
      <w:r w:rsidR="00C56D05" w:rsidRPr="00B717F6">
        <w:rPr>
          <w:szCs w:val="24"/>
          <w:lang w:val="en-US"/>
        </w:rPr>
        <w:t>Attitudes</w:t>
      </w:r>
      <w:r w:rsidR="00F711D0" w:rsidRPr="00B717F6">
        <w:rPr>
          <w:szCs w:val="24"/>
          <w:lang w:val="en-US"/>
        </w:rPr>
        <w:t xml:space="preserve"> towards sexuality and aging were</w:t>
      </w:r>
      <w:r w:rsidR="00C56D05" w:rsidRPr="00B717F6">
        <w:rPr>
          <w:szCs w:val="24"/>
          <w:lang w:val="en-US"/>
        </w:rPr>
        <w:t xml:space="preserve"> </w:t>
      </w:r>
      <w:r w:rsidR="00F711D0" w:rsidRPr="00B717F6">
        <w:rPr>
          <w:szCs w:val="24"/>
          <w:lang w:val="en-US"/>
        </w:rPr>
        <w:t>indexed by t</w:t>
      </w:r>
      <w:r w:rsidR="003335F7" w:rsidRPr="00B717F6">
        <w:rPr>
          <w:szCs w:val="24"/>
          <w:lang w:val="en-US"/>
        </w:rPr>
        <w:t>w</w:t>
      </w:r>
      <w:r w:rsidR="00F711D0" w:rsidRPr="00B717F6">
        <w:rPr>
          <w:szCs w:val="24"/>
          <w:lang w:val="en-US"/>
        </w:rPr>
        <w:t xml:space="preserve">o separate items. One item assessed participants’ </w:t>
      </w:r>
      <w:r w:rsidR="00F701F3" w:rsidRPr="00B717F6">
        <w:rPr>
          <w:szCs w:val="24"/>
          <w:lang w:val="en-US"/>
        </w:rPr>
        <w:t>evaluation of older adults</w:t>
      </w:r>
      <w:r w:rsidR="00C31AF8" w:rsidRPr="00B717F6">
        <w:rPr>
          <w:szCs w:val="24"/>
          <w:lang w:val="en-US"/>
        </w:rPr>
        <w:t>’</w:t>
      </w:r>
      <w:r w:rsidR="00F701F3" w:rsidRPr="00B717F6">
        <w:rPr>
          <w:szCs w:val="24"/>
          <w:lang w:val="en-US"/>
        </w:rPr>
        <w:t xml:space="preserve"> sexual ability, compared </w:t>
      </w:r>
      <w:r w:rsidR="003335F7" w:rsidRPr="00B717F6">
        <w:rPr>
          <w:szCs w:val="24"/>
          <w:lang w:val="en-US"/>
        </w:rPr>
        <w:t>with</w:t>
      </w:r>
      <w:r w:rsidR="00F701F3" w:rsidRPr="00B717F6">
        <w:rPr>
          <w:szCs w:val="24"/>
          <w:lang w:val="en-US"/>
        </w:rPr>
        <w:t xml:space="preserve"> younger ages (“The ability to have sex decreases as a person grows older”)</w:t>
      </w:r>
      <w:r w:rsidR="00B57D1C" w:rsidRPr="00B717F6">
        <w:rPr>
          <w:szCs w:val="24"/>
          <w:lang w:val="en-US"/>
        </w:rPr>
        <w:t>.</w:t>
      </w:r>
      <w:r w:rsidR="00F701F3" w:rsidRPr="00B717F6">
        <w:rPr>
          <w:szCs w:val="24"/>
          <w:lang w:val="en-US"/>
        </w:rPr>
        <w:t xml:space="preserve"> The scale </w:t>
      </w:r>
      <w:r w:rsidR="00B57D1C" w:rsidRPr="00B717F6">
        <w:rPr>
          <w:szCs w:val="24"/>
          <w:lang w:val="en-US"/>
        </w:rPr>
        <w:t>scores were reverse-coded</w:t>
      </w:r>
      <w:r w:rsidR="00F701F3" w:rsidRPr="00B717F6">
        <w:rPr>
          <w:szCs w:val="24"/>
          <w:lang w:val="en-US"/>
        </w:rPr>
        <w:t>,</w:t>
      </w:r>
      <w:r w:rsidR="00B57D1C" w:rsidRPr="00B717F6">
        <w:rPr>
          <w:szCs w:val="24"/>
          <w:lang w:val="en-US"/>
        </w:rPr>
        <w:t xml:space="preserve"> </w:t>
      </w:r>
      <w:r w:rsidR="00F701F3" w:rsidRPr="00B717F6">
        <w:rPr>
          <w:szCs w:val="24"/>
          <w:lang w:val="en-US"/>
        </w:rPr>
        <w:t xml:space="preserve">with higher </w:t>
      </w:r>
      <w:r w:rsidR="00F701F3" w:rsidRPr="00B717F6">
        <w:rPr>
          <w:szCs w:val="24"/>
          <w:lang w:val="en-US"/>
        </w:rPr>
        <w:lastRenderedPageBreak/>
        <w:t>scores r</w:t>
      </w:r>
      <w:r w:rsidR="00C31AF8" w:rsidRPr="00B717F6">
        <w:rPr>
          <w:szCs w:val="24"/>
          <w:lang w:val="en-US"/>
        </w:rPr>
        <w:t>eflecting</w:t>
      </w:r>
      <w:r w:rsidR="00F701F3" w:rsidRPr="00B717F6">
        <w:rPr>
          <w:szCs w:val="24"/>
          <w:lang w:val="en-US"/>
        </w:rPr>
        <w:t xml:space="preserve"> the belief that sexuality decreases with increasing age. The other item</w:t>
      </w:r>
      <w:r w:rsidR="00F711D0" w:rsidRPr="00B717F6">
        <w:rPr>
          <w:szCs w:val="24"/>
          <w:lang w:val="en-US"/>
        </w:rPr>
        <w:t xml:space="preserve"> asked participants to </w:t>
      </w:r>
      <w:r w:rsidR="00B57D1C" w:rsidRPr="00B717F6">
        <w:rPr>
          <w:szCs w:val="24"/>
          <w:lang w:val="en-US"/>
        </w:rPr>
        <w:t xml:space="preserve">evaluate the beneficial </w:t>
      </w:r>
      <w:r w:rsidR="003335F7" w:rsidRPr="00B717F6">
        <w:rPr>
          <w:szCs w:val="24"/>
          <w:lang w:val="en-US"/>
        </w:rPr>
        <w:t xml:space="preserve">aspects </w:t>
      </w:r>
      <w:r w:rsidR="00B57D1C" w:rsidRPr="00B717F6">
        <w:rPr>
          <w:szCs w:val="24"/>
          <w:lang w:val="en-US"/>
        </w:rPr>
        <w:t>of sexual activity in later life (</w:t>
      </w:r>
      <w:r w:rsidR="00C56D05" w:rsidRPr="00B717F6">
        <w:rPr>
          <w:szCs w:val="24"/>
          <w:lang w:val="en-US"/>
        </w:rPr>
        <w:t>“Being sexually active is physically and psychologically bene</w:t>
      </w:r>
      <w:r w:rsidR="00C56D05" w:rsidRPr="00B717F6">
        <w:rPr>
          <w:szCs w:val="24"/>
        </w:rPr>
        <w:t>ﬁ</w:t>
      </w:r>
      <w:proofErr w:type="spellStart"/>
      <w:r w:rsidR="00C56D05" w:rsidRPr="00B717F6">
        <w:rPr>
          <w:szCs w:val="24"/>
          <w:lang w:val="en-US"/>
        </w:rPr>
        <w:t>cial</w:t>
      </w:r>
      <w:proofErr w:type="spellEnd"/>
      <w:r w:rsidR="00C56D05" w:rsidRPr="00B717F6">
        <w:rPr>
          <w:szCs w:val="24"/>
          <w:lang w:val="en-US"/>
        </w:rPr>
        <w:t xml:space="preserve"> to older people”</w:t>
      </w:r>
      <w:r w:rsidR="00B57D1C" w:rsidRPr="00B717F6">
        <w:rPr>
          <w:szCs w:val="24"/>
          <w:lang w:val="en-US"/>
        </w:rPr>
        <w:t xml:space="preserve">). </w:t>
      </w:r>
      <w:r w:rsidR="00284C81" w:rsidRPr="00B717F6">
        <w:rPr>
          <w:szCs w:val="24"/>
          <w:lang w:val="en-US"/>
        </w:rPr>
        <w:t>T</w:t>
      </w:r>
      <w:r w:rsidR="00B57D1C" w:rsidRPr="00B717F6">
        <w:rPr>
          <w:szCs w:val="24"/>
          <w:lang w:val="en-US"/>
        </w:rPr>
        <w:t xml:space="preserve">he </w:t>
      </w:r>
      <w:r w:rsidR="00C118CC" w:rsidRPr="00B717F6">
        <w:rPr>
          <w:szCs w:val="24"/>
          <w:lang w:val="en-US"/>
        </w:rPr>
        <w:t xml:space="preserve">responses were reversed-recoded, </w:t>
      </w:r>
      <w:r w:rsidR="00F33EF8" w:rsidRPr="00B717F6">
        <w:rPr>
          <w:szCs w:val="24"/>
          <w:lang w:val="en-US"/>
        </w:rPr>
        <w:t>with</w:t>
      </w:r>
      <w:r w:rsidR="00C118CC" w:rsidRPr="00B717F6">
        <w:rPr>
          <w:szCs w:val="24"/>
          <w:lang w:val="en-US"/>
        </w:rPr>
        <w:t xml:space="preserve"> higher scores </w:t>
      </w:r>
      <w:r w:rsidR="003335F7" w:rsidRPr="00B717F6">
        <w:rPr>
          <w:szCs w:val="24"/>
          <w:lang w:val="en-US"/>
        </w:rPr>
        <w:t xml:space="preserve">indicating </w:t>
      </w:r>
      <w:r w:rsidR="00DC5DD9" w:rsidRPr="00B717F6">
        <w:rPr>
          <w:szCs w:val="24"/>
          <w:lang w:val="en-US"/>
        </w:rPr>
        <w:t xml:space="preserve">more </w:t>
      </w:r>
      <w:r w:rsidR="00C118CC" w:rsidRPr="00B717F6">
        <w:rPr>
          <w:szCs w:val="24"/>
          <w:lang w:val="en-US"/>
        </w:rPr>
        <w:t>positive attitudes towards sexuality at older age.</w:t>
      </w:r>
    </w:p>
    <w:p w14:paraId="24FFCBD6" w14:textId="7309E437" w:rsidR="008B1666" w:rsidRPr="00B717F6" w:rsidRDefault="008B1666" w:rsidP="009C0C78">
      <w:pPr>
        <w:rPr>
          <w:szCs w:val="24"/>
          <w:lang w:val="en-US"/>
        </w:rPr>
      </w:pPr>
      <w:r w:rsidRPr="00B717F6">
        <w:rPr>
          <w:szCs w:val="24"/>
          <w:lang w:val="en-US"/>
        </w:rPr>
        <w:t>Masturbation activity</w:t>
      </w:r>
      <w:r w:rsidRPr="00B717F6">
        <w:rPr>
          <w:b/>
          <w:i/>
          <w:szCs w:val="24"/>
          <w:lang w:val="en-US"/>
        </w:rPr>
        <w:t xml:space="preserve"> </w:t>
      </w:r>
      <w:r w:rsidRPr="00B717F6">
        <w:rPr>
          <w:szCs w:val="24"/>
          <w:lang w:val="en-US"/>
        </w:rPr>
        <w:t xml:space="preserve">was measured by a one-item indicator, also used in the </w:t>
      </w:r>
      <w:r w:rsidR="00A74554" w:rsidRPr="00B717F6">
        <w:rPr>
          <w:szCs w:val="24"/>
          <w:lang w:val="en-US"/>
        </w:rPr>
        <w:t>ELSA</w:t>
      </w:r>
      <w:r w:rsidRPr="00B717F6">
        <w:rPr>
          <w:szCs w:val="24"/>
          <w:lang w:val="en-US"/>
        </w:rPr>
        <w:t xml:space="preserve"> </w:t>
      </w:r>
      <w:r w:rsidR="00A74554" w:rsidRPr="00B717F6">
        <w:rPr>
          <w:szCs w:val="24"/>
          <w:lang w:val="en-US"/>
        </w:rPr>
        <w:t>(</w:t>
      </w:r>
      <w:r w:rsidRPr="00B717F6">
        <w:rPr>
          <w:szCs w:val="24"/>
          <w:lang w:val="en-US"/>
        </w:rPr>
        <w:t>Lee et al., 2016),</w:t>
      </w:r>
      <w:r w:rsidRPr="00B717F6">
        <w:rPr>
          <w:b/>
          <w:i/>
          <w:szCs w:val="24"/>
          <w:lang w:val="en-US"/>
        </w:rPr>
        <w:t xml:space="preserve"> </w:t>
      </w:r>
      <w:r w:rsidRPr="00B717F6">
        <w:rPr>
          <w:szCs w:val="24"/>
          <w:lang w:val="en-US"/>
        </w:rPr>
        <w:t xml:space="preserve">“How often did you masturbate in the past month?” The response options were 1 = none, 2 = once in the past month, 3 = 2 or 3 times in the past month, 4 = once a week, 5 = 2 or 3 times a week, 6 = once a day, and 7 = more than once a day. </w:t>
      </w:r>
    </w:p>
    <w:p w14:paraId="494E187D" w14:textId="5473CB80" w:rsidR="00786734" w:rsidRPr="00B717F6" w:rsidRDefault="00786734" w:rsidP="009C0C78">
      <w:pPr>
        <w:pStyle w:val="Heading2"/>
        <w:spacing w:line="480" w:lineRule="auto"/>
        <w:rPr>
          <w:szCs w:val="24"/>
        </w:rPr>
      </w:pPr>
      <w:r w:rsidRPr="00B717F6">
        <w:rPr>
          <w:szCs w:val="24"/>
        </w:rPr>
        <w:t>Statistical Analysis</w:t>
      </w:r>
    </w:p>
    <w:p w14:paraId="74FA0CA7" w14:textId="6D8C41BE" w:rsidR="007010C0" w:rsidRPr="00B717F6" w:rsidRDefault="0070178F" w:rsidP="00BB2278">
      <w:pPr>
        <w:rPr>
          <w:szCs w:val="24"/>
          <w:lang w:val="en-US"/>
        </w:rPr>
      </w:pPr>
      <w:r w:rsidRPr="00B717F6">
        <w:rPr>
          <w:szCs w:val="24"/>
          <w:lang w:val="en-US"/>
        </w:rPr>
        <w:t>All statistical analyses were per</w:t>
      </w:r>
      <w:r w:rsidR="00423F14" w:rsidRPr="00B717F6">
        <w:rPr>
          <w:szCs w:val="24"/>
          <w:lang w:val="en-US"/>
        </w:rPr>
        <w:t>formed using IBM SPSS version 27</w:t>
      </w:r>
      <w:r w:rsidRPr="00B717F6">
        <w:rPr>
          <w:szCs w:val="24"/>
          <w:lang w:val="en-US"/>
        </w:rPr>
        <w:t>.0 statistical software package</w:t>
      </w:r>
      <w:r w:rsidR="00A31AC3" w:rsidRPr="00B717F6">
        <w:rPr>
          <w:szCs w:val="24"/>
          <w:lang w:val="en-US"/>
        </w:rPr>
        <w:t xml:space="preserve">. </w:t>
      </w:r>
      <w:r w:rsidR="009462D3" w:rsidRPr="00B717F6">
        <w:rPr>
          <w:szCs w:val="24"/>
          <w:lang w:val="en-US"/>
        </w:rPr>
        <w:t xml:space="preserve">In order to </w:t>
      </w:r>
      <w:r w:rsidR="009935D0" w:rsidRPr="00B717F6">
        <w:rPr>
          <w:szCs w:val="24"/>
          <w:lang w:val="en-US"/>
        </w:rPr>
        <w:t>adjust</w:t>
      </w:r>
      <w:r w:rsidR="005A573F" w:rsidRPr="00B717F6">
        <w:rPr>
          <w:szCs w:val="24"/>
          <w:lang w:val="en-US"/>
        </w:rPr>
        <w:t xml:space="preserve"> for </w:t>
      </w:r>
      <w:r w:rsidR="009935D0" w:rsidRPr="00B717F6">
        <w:rPr>
          <w:szCs w:val="24"/>
          <w:lang w:val="en-US"/>
        </w:rPr>
        <w:t xml:space="preserve">recruitment-based distortion in sex, age and </w:t>
      </w:r>
      <w:r w:rsidR="009462D3" w:rsidRPr="00B717F6">
        <w:rPr>
          <w:szCs w:val="24"/>
          <w:lang w:val="en-US"/>
        </w:rPr>
        <w:t>region</w:t>
      </w:r>
      <w:r w:rsidR="00105E64" w:rsidRPr="00B717F6">
        <w:rPr>
          <w:szCs w:val="24"/>
          <w:lang w:val="en-US"/>
        </w:rPr>
        <w:t>,</w:t>
      </w:r>
      <w:r w:rsidR="009462D3" w:rsidRPr="00B717F6">
        <w:rPr>
          <w:szCs w:val="24"/>
          <w:lang w:val="en-US"/>
        </w:rPr>
        <w:t xml:space="preserve"> census-based post hoc weighting was applied for each country. </w:t>
      </w:r>
      <w:r w:rsidR="009D57AF" w:rsidRPr="00B717F6">
        <w:rPr>
          <w:szCs w:val="24"/>
          <w:lang w:val="en-US"/>
        </w:rPr>
        <w:t>Various g</w:t>
      </w:r>
      <w:r w:rsidR="003235CA" w:rsidRPr="00B717F6">
        <w:rPr>
          <w:szCs w:val="24"/>
          <w:lang w:val="en-US"/>
        </w:rPr>
        <w:t xml:space="preserve">roup differences were estimated by using </w:t>
      </w:r>
      <w:r w:rsidR="00796522" w:rsidRPr="00B717F6">
        <w:rPr>
          <w:szCs w:val="24"/>
          <w:lang w:val="en-US"/>
        </w:rPr>
        <w:t xml:space="preserve">the </w:t>
      </w:r>
      <w:r w:rsidR="008356F5" w:rsidRPr="00B717F6">
        <w:rPr>
          <w:szCs w:val="24"/>
          <w:lang w:val="en-US"/>
        </w:rPr>
        <w:t>Chi</w:t>
      </w:r>
      <w:r w:rsidR="00796522" w:rsidRPr="00B717F6">
        <w:rPr>
          <w:szCs w:val="24"/>
          <w:lang w:val="en-US"/>
        </w:rPr>
        <w:t>-square</w:t>
      </w:r>
      <w:r w:rsidR="008356F5" w:rsidRPr="00B717F6">
        <w:rPr>
          <w:szCs w:val="24"/>
          <w:lang w:val="en-US"/>
        </w:rPr>
        <w:t>d</w:t>
      </w:r>
      <w:r w:rsidR="00796522" w:rsidRPr="00B717F6">
        <w:rPr>
          <w:szCs w:val="24"/>
          <w:lang w:val="en-US"/>
        </w:rPr>
        <w:t xml:space="preserve"> test</w:t>
      </w:r>
      <w:r w:rsidR="009D57AF" w:rsidRPr="00B717F6">
        <w:rPr>
          <w:szCs w:val="24"/>
          <w:lang w:val="en-US"/>
        </w:rPr>
        <w:t xml:space="preserve"> </w:t>
      </w:r>
      <w:r w:rsidR="003235CA" w:rsidRPr="00B717F6">
        <w:rPr>
          <w:szCs w:val="24"/>
          <w:lang w:val="en-US"/>
        </w:rPr>
        <w:t>(</w:t>
      </w:r>
      <w:r w:rsidR="009A0BCF">
        <w:rPr>
          <w:szCs w:val="24"/>
          <w:lang w:val="en-US"/>
        </w:rPr>
        <w:t>Table 2</w:t>
      </w:r>
      <w:r w:rsidR="003235CA" w:rsidRPr="00B717F6">
        <w:rPr>
          <w:szCs w:val="24"/>
          <w:lang w:val="en-US"/>
        </w:rPr>
        <w:t>)</w:t>
      </w:r>
      <w:r w:rsidR="009D57AF" w:rsidRPr="00B717F6">
        <w:rPr>
          <w:szCs w:val="24"/>
          <w:lang w:val="en-US"/>
        </w:rPr>
        <w:t>.</w:t>
      </w:r>
      <w:r w:rsidR="00C57F3C" w:rsidRPr="00B717F6">
        <w:rPr>
          <w:szCs w:val="24"/>
          <w:lang w:val="en-US"/>
        </w:rPr>
        <w:t xml:space="preserve"> </w:t>
      </w:r>
      <w:r w:rsidR="006420F8" w:rsidRPr="00B717F6">
        <w:rPr>
          <w:szCs w:val="24"/>
          <w:lang w:val="en-GB"/>
        </w:rPr>
        <w:t>M</w:t>
      </w:r>
      <w:proofErr w:type="spellStart"/>
      <w:r w:rsidR="006420F8" w:rsidRPr="00B717F6">
        <w:rPr>
          <w:szCs w:val="24"/>
          <w:lang w:val="en-US"/>
        </w:rPr>
        <w:t>ultivariate</w:t>
      </w:r>
      <w:proofErr w:type="spellEnd"/>
      <w:r w:rsidR="006420F8" w:rsidRPr="00B717F6">
        <w:rPr>
          <w:szCs w:val="24"/>
          <w:lang w:val="en-US"/>
        </w:rPr>
        <w:t xml:space="preserve"> </w:t>
      </w:r>
      <w:r w:rsidR="00D22A99">
        <w:rPr>
          <w:szCs w:val="24"/>
          <w:lang w:val="en-US"/>
        </w:rPr>
        <w:t>lin</w:t>
      </w:r>
      <w:r w:rsidR="007606B9">
        <w:rPr>
          <w:szCs w:val="24"/>
          <w:lang w:val="en-US"/>
        </w:rPr>
        <w:t>e</w:t>
      </w:r>
      <w:r w:rsidR="00D22A99">
        <w:rPr>
          <w:szCs w:val="24"/>
          <w:lang w:val="en-US"/>
        </w:rPr>
        <w:t>ar</w:t>
      </w:r>
      <w:r w:rsidR="00C67A5B">
        <w:rPr>
          <w:szCs w:val="24"/>
          <w:lang w:val="en-US"/>
        </w:rPr>
        <w:t xml:space="preserve"> </w:t>
      </w:r>
      <w:r w:rsidR="006420F8" w:rsidRPr="00B717F6">
        <w:rPr>
          <w:szCs w:val="24"/>
          <w:lang w:val="en-US"/>
        </w:rPr>
        <w:t xml:space="preserve">regression analysis </w:t>
      </w:r>
      <w:r w:rsidR="002F3E82" w:rsidRPr="00B717F6">
        <w:rPr>
          <w:szCs w:val="24"/>
          <w:lang w:val="en-US"/>
        </w:rPr>
        <w:t xml:space="preserve">was </w:t>
      </w:r>
      <w:r w:rsidR="008356F5" w:rsidRPr="00B717F6">
        <w:rPr>
          <w:szCs w:val="24"/>
          <w:lang w:val="en-US"/>
        </w:rPr>
        <w:t xml:space="preserve">conducted </w:t>
      </w:r>
      <w:r w:rsidR="002F3E82" w:rsidRPr="00B717F6">
        <w:rPr>
          <w:szCs w:val="24"/>
          <w:lang w:val="en-US"/>
        </w:rPr>
        <w:t xml:space="preserve">to </w:t>
      </w:r>
      <w:r w:rsidR="008356F5" w:rsidRPr="00B717F6">
        <w:rPr>
          <w:szCs w:val="24"/>
          <w:lang w:val="en-US"/>
        </w:rPr>
        <w:t xml:space="preserve">examine </w:t>
      </w:r>
      <w:r w:rsidR="002F3E82" w:rsidRPr="00B717F6">
        <w:rPr>
          <w:szCs w:val="24"/>
          <w:lang w:val="en-US"/>
        </w:rPr>
        <w:t xml:space="preserve">the association of reported masturbation </w:t>
      </w:r>
      <w:r w:rsidR="00B23849">
        <w:rPr>
          <w:szCs w:val="24"/>
          <w:lang w:val="en-US"/>
        </w:rPr>
        <w:t xml:space="preserve">frequency </w:t>
      </w:r>
      <w:r w:rsidR="002F3E82" w:rsidRPr="00B717F6">
        <w:rPr>
          <w:szCs w:val="24"/>
          <w:lang w:val="en-US"/>
        </w:rPr>
        <w:t>and sociodemographic factors (age, education, relationship status</w:t>
      </w:r>
      <w:r w:rsidR="009A0BCF">
        <w:rPr>
          <w:szCs w:val="24"/>
          <w:lang w:val="en-US"/>
        </w:rPr>
        <w:t xml:space="preserve">, </w:t>
      </w:r>
      <w:r w:rsidR="00B23849">
        <w:rPr>
          <w:szCs w:val="24"/>
          <w:lang w:val="en-US"/>
        </w:rPr>
        <w:t>religiosity</w:t>
      </w:r>
      <w:r w:rsidR="002F3E82" w:rsidRPr="00B717F6">
        <w:rPr>
          <w:szCs w:val="24"/>
          <w:lang w:val="en-US"/>
        </w:rPr>
        <w:t xml:space="preserve">), health factors (self-perceived health, depression), as well as factors related to older adults’ sexual lives (sexual </w:t>
      </w:r>
      <w:r w:rsidR="00B23849">
        <w:rPr>
          <w:szCs w:val="24"/>
          <w:lang w:val="en-US"/>
        </w:rPr>
        <w:t>activity</w:t>
      </w:r>
      <w:r w:rsidR="002F3E82" w:rsidRPr="00B717F6">
        <w:rPr>
          <w:szCs w:val="24"/>
          <w:lang w:val="en-US"/>
        </w:rPr>
        <w:t>, sexual satisfaction</w:t>
      </w:r>
      <w:r w:rsidR="009A0BCF">
        <w:rPr>
          <w:szCs w:val="24"/>
          <w:lang w:val="en-US"/>
        </w:rPr>
        <w:t>,</w:t>
      </w:r>
      <w:r w:rsidR="002F3E82" w:rsidRPr="00B717F6">
        <w:rPr>
          <w:szCs w:val="24"/>
          <w:lang w:val="en-US"/>
        </w:rPr>
        <w:t xml:space="preserve"> and attitudes towards sexuality)</w:t>
      </w:r>
      <w:r w:rsidR="009E0F6D" w:rsidRPr="00B717F6">
        <w:rPr>
          <w:szCs w:val="24"/>
          <w:lang w:val="en-US"/>
        </w:rPr>
        <w:t xml:space="preserve"> (Table</w:t>
      </w:r>
      <w:r w:rsidR="008356F5" w:rsidRPr="00B717F6">
        <w:rPr>
          <w:szCs w:val="24"/>
          <w:lang w:val="en-US"/>
        </w:rPr>
        <w:t>s</w:t>
      </w:r>
      <w:r w:rsidR="009A0BCF">
        <w:rPr>
          <w:szCs w:val="24"/>
          <w:lang w:val="en-US"/>
        </w:rPr>
        <w:t xml:space="preserve"> 3</w:t>
      </w:r>
      <w:r w:rsidR="008356F5" w:rsidRPr="00B717F6">
        <w:rPr>
          <w:szCs w:val="24"/>
          <w:lang w:val="en-US"/>
        </w:rPr>
        <w:t xml:space="preserve"> and</w:t>
      </w:r>
      <w:r w:rsidR="009E0F6D" w:rsidRPr="00B717F6">
        <w:rPr>
          <w:szCs w:val="24"/>
          <w:lang w:val="en-US"/>
        </w:rPr>
        <w:t xml:space="preserve"> </w:t>
      </w:r>
      <w:r w:rsidR="009A0BCF">
        <w:rPr>
          <w:szCs w:val="24"/>
          <w:lang w:val="en-US"/>
        </w:rPr>
        <w:t>4</w:t>
      </w:r>
      <w:r w:rsidR="009E0F6D" w:rsidRPr="00B717F6">
        <w:rPr>
          <w:szCs w:val="24"/>
          <w:lang w:val="en-US"/>
        </w:rPr>
        <w:t>)</w:t>
      </w:r>
      <w:r w:rsidR="0039586F" w:rsidRPr="00B717F6">
        <w:rPr>
          <w:szCs w:val="24"/>
          <w:lang w:val="en-US"/>
        </w:rPr>
        <w:t>.</w:t>
      </w:r>
      <w:r w:rsidR="002F3E82" w:rsidRPr="00B717F6">
        <w:rPr>
          <w:szCs w:val="24"/>
          <w:lang w:val="en-US"/>
        </w:rPr>
        <w:t xml:space="preserve"> Results </w:t>
      </w:r>
      <w:r w:rsidR="008356F5" w:rsidRPr="00B717F6">
        <w:rPr>
          <w:szCs w:val="24"/>
          <w:lang w:val="en-US"/>
        </w:rPr>
        <w:t xml:space="preserve">are </w:t>
      </w:r>
      <w:r w:rsidR="002F3E82" w:rsidRPr="00B717F6">
        <w:rPr>
          <w:szCs w:val="24"/>
          <w:lang w:val="en-US"/>
        </w:rPr>
        <w:t xml:space="preserve">presented as </w:t>
      </w:r>
      <w:r w:rsidR="00BB2278">
        <w:rPr>
          <w:szCs w:val="24"/>
          <w:lang w:val="en-US"/>
        </w:rPr>
        <w:t>unstandardized (</w:t>
      </w:r>
      <w:r w:rsidR="00BB2278" w:rsidRPr="00B23849">
        <w:rPr>
          <w:i/>
          <w:szCs w:val="24"/>
          <w:lang w:val="en-US"/>
        </w:rPr>
        <w:t>b</w:t>
      </w:r>
      <w:r w:rsidR="00BB2278">
        <w:rPr>
          <w:szCs w:val="24"/>
          <w:lang w:val="en-US"/>
        </w:rPr>
        <w:t xml:space="preserve">) and standardized </w:t>
      </w:r>
      <w:r w:rsidR="00BB2278" w:rsidRPr="00BB2278">
        <w:rPr>
          <w:szCs w:val="24"/>
          <w:lang w:val="en-US"/>
        </w:rPr>
        <w:t>coefficient (</w:t>
      </w:r>
      <w:r w:rsidR="00BB2278" w:rsidRPr="00BB2278">
        <w:rPr>
          <w:i/>
          <w:szCs w:val="24"/>
          <w:lang w:val="en-US"/>
        </w:rPr>
        <w:t>β</w:t>
      </w:r>
      <w:r w:rsidR="00BB2278" w:rsidRPr="00BB2278">
        <w:rPr>
          <w:szCs w:val="24"/>
          <w:lang w:val="en-US"/>
        </w:rPr>
        <w:t xml:space="preserve">), </w:t>
      </w:r>
      <w:r w:rsidR="00BB2278">
        <w:rPr>
          <w:szCs w:val="24"/>
          <w:lang w:val="en-US"/>
        </w:rPr>
        <w:t xml:space="preserve">and </w:t>
      </w:r>
      <w:r w:rsidR="00BB2278" w:rsidRPr="00BB2278">
        <w:rPr>
          <w:szCs w:val="24"/>
          <w:lang w:val="en-US"/>
        </w:rPr>
        <w:t>multiple correlations squared (</w:t>
      </w:r>
      <w:r w:rsidR="00BB2278" w:rsidRPr="00B23849">
        <w:rPr>
          <w:i/>
          <w:szCs w:val="24"/>
          <w:lang w:val="en-US"/>
        </w:rPr>
        <w:t>R</w:t>
      </w:r>
      <w:r w:rsidR="00BB2278" w:rsidRPr="00B23849">
        <w:rPr>
          <w:i/>
          <w:szCs w:val="24"/>
          <w:vertAlign w:val="superscript"/>
          <w:lang w:val="en-US"/>
        </w:rPr>
        <w:t>2</w:t>
      </w:r>
      <w:r w:rsidR="00BB2278" w:rsidRPr="00BB2278">
        <w:rPr>
          <w:szCs w:val="24"/>
          <w:lang w:val="en-US"/>
        </w:rPr>
        <w:t>)</w:t>
      </w:r>
      <w:r w:rsidR="00BB63E9" w:rsidRPr="00B717F6">
        <w:rPr>
          <w:szCs w:val="24"/>
          <w:lang w:val="en-US"/>
        </w:rPr>
        <w:t>.</w:t>
      </w:r>
    </w:p>
    <w:p w14:paraId="540E4F7F" w14:textId="6BC80F26" w:rsidR="000D338B" w:rsidRPr="00B717F6" w:rsidRDefault="007010C0" w:rsidP="009C0C78">
      <w:pPr>
        <w:pStyle w:val="Heading1"/>
        <w:rPr>
          <w:szCs w:val="24"/>
        </w:rPr>
      </w:pPr>
      <w:r w:rsidRPr="00B717F6">
        <w:rPr>
          <w:szCs w:val="24"/>
        </w:rPr>
        <w:t>RESULTS</w:t>
      </w:r>
    </w:p>
    <w:p w14:paraId="440C9E0B" w14:textId="77777777" w:rsidR="00DB78D2" w:rsidRPr="00B717F6" w:rsidRDefault="00DB78D2" w:rsidP="009C0C78">
      <w:pPr>
        <w:keepNext/>
        <w:keepLines/>
        <w:ind w:firstLine="0"/>
        <w:outlineLvl w:val="1"/>
        <w:rPr>
          <w:rFonts w:eastAsia="SimSun"/>
          <w:b/>
          <w:szCs w:val="24"/>
          <w:lang w:val="en-US"/>
        </w:rPr>
      </w:pPr>
      <w:r w:rsidRPr="00B717F6">
        <w:rPr>
          <w:rFonts w:eastAsia="SimSun"/>
          <w:b/>
          <w:szCs w:val="24"/>
          <w:lang w:val="en-US"/>
        </w:rPr>
        <w:t>Sample Characteristics</w:t>
      </w:r>
    </w:p>
    <w:p w14:paraId="4BE5CADC" w14:textId="3A5900C6" w:rsidR="005F2171" w:rsidRPr="00B717F6" w:rsidRDefault="005729C0" w:rsidP="009C0C78">
      <w:pPr>
        <w:rPr>
          <w:szCs w:val="24"/>
          <w:lang w:val="en-US"/>
        </w:rPr>
      </w:pPr>
      <w:r w:rsidRPr="00B717F6">
        <w:rPr>
          <w:szCs w:val="24"/>
          <w:lang w:val="en-US"/>
        </w:rPr>
        <w:t xml:space="preserve">Table 1 </w:t>
      </w:r>
      <w:r w:rsidR="008356F5" w:rsidRPr="00B717F6">
        <w:rPr>
          <w:szCs w:val="24"/>
          <w:lang w:val="en-US"/>
        </w:rPr>
        <w:t xml:space="preserve">presents the </w:t>
      </w:r>
      <w:r w:rsidR="007815EF" w:rsidRPr="00B717F6">
        <w:rPr>
          <w:szCs w:val="24"/>
          <w:lang w:val="en-US"/>
        </w:rPr>
        <w:t xml:space="preserve">sociodemographic </w:t>
      </w:r>
      <w:r w:rsidR="008356F5" w:rsidRPr="00B717F6">
        <w:rPr>
          <w:szCs w:val="24"/>
          <w:lang w:val="en-US"/>
        </w:rPr>
        <w:t xml:space="preserve">characteristics </w:t>
      </w:r>
      <w:r w:rsidRPr="00B717F6">
        <w:rPr>
          <w:szCs w:val="24"/>
          <w:lang w:val="en-US"/>
        </w:rPr>
        <w:t>of</w:t>
      </w:r>
      <w:r w:rsidR="00E11953" w:rsidRPr="00B717F6">
        <w:rPr>
          <w:szCs w:val="24"/>
          <w:lang w:val="en-US"/>
        </w:rPr>
        <w:t xml:space="preserve"> the</w:t>
      </w:r>
      <w:r w:rsidRPr="00B717F6">
        <w:rPr>
          <w:szCs w:val="24"/>
          <w:lang w:val="en-US"/>
        </w:rPr>
        <w:t xml:space="preserve"> four European</w:t>
      </w:r>
      <w:r w:rsidR="00E11953" w:rsidRPr="00B717F6">
        <w:rPr>
          <w:szCs w:val="24"/>
          <w:lang w:val="en-US"/>
        </w:rPr>
        <w:t xml:space="preserve"> </w:t>
      </w:r>
      <w:r w:rsidR="007815EF" w:rsidRPr="00B717F6">
        <w:rPr>
          <w:szCs w:val="24"/>
          <w:lang w:val="en-US"/>
        </w:rPr>
        <w:t>samples</w:t>
      </w:r>
      <w:r w:rsidRPr="00B717F6">
        <w:rPr>
          <w:szCs w:val="24"/>
          <w:lang w:val="en-US"/>
        </w:rPr>
        <w:t xml:space="preserve"> by</w:t>
      </w:r>
      <w:r w:rsidR="0039586F" w:rsidRPr="00B717F6">
        <w:rPr>
          <w:szCs w:val="24"/>
          <w:lang w:val="en-US"/>
        </w:rPr>
        <w:t xml:space="preserve"> gender</w:t>
      </w:r>
      <w:r w:rsidR="00FD3AEC" w:rsidRPr="00B717F6">
        <w:rPr>
          <w:szCs w:val="24"/>
          <w:lang w:val="en-US"/>
        </w:rPr>
        <w:t xml:space="preserve"> (weighted data)</w:t>
      </w:r>
      <w:r w:rsidR="007815EF" w:rsidRPr="00B717F6">
        <w:rPr>
          <w:szCs w:val="24"/>
          <w:lang w:val="en-US"/>
        </w:rPr>
        <w:t xml:space="preserve">. </w:t>
      </w:r>
      <w:r w:rsidR="00F25BB8" w:rsidRPr="00B717F6">
        <w:rPr>
          <w:szCs w:val="24"/>
          <w:lang w:val="en-US"/>
        </w:rPr>
        <w:t xml:space="preserve">The mean age in men and women across countries was about 67 years. </w:t>
      </w:r>
      <w:r w:rsidR="00AC0257" w:rsidRPr="00B717F6">
        <w:rPr>
          <w:szCs w:val="24"/>
          <w:lang w:val="en-US"/>
        </w:rPr>
        <w:t>The level of education</w:t>
      </w:r>
      <w:r w:rsidR="007815EF" w:rsidRPr="00B717F6">
        <w:rPr>
          <w:szCs w:val="24"/>
          <w:lang w:val="en-US"/>
        </w:rPr>
        <w:t xml:space="preserve"> was highest in Norway</w:t>
      </w:r>
      <w:r w:rsidR="008F1232" w:rsidRPr="00B717F6">
        <w:rPr>
          <w:szCs w:val="24"/>
          <w:lang w:val="en-US"/>
        </w:rPr>
        <w:t xml:space="preserve">, with </w:t>
      </w:r>
      <w:r w:rsidR="007815EF" w:rsidRPr="00B717F6">
        <w:rPr>
          <w:szCs w:val="24"/>
          <w:lang w:val="en-US"/>
        </w:rPr>
        <w:t xml:space="preserve">56% </w:t>
      </w:r>
      <w:r w:rsidR="008F1232" w:rsidRPr="00B717F6">
        <w:rPr>
          <w:szCs w:val="24"/>
          <w:lang w:val="en-US"/>
        </w:rPr>
        <w:t xml:space="preserve">of men </w:t>
      </w:r>
      <w:r w:rsidR="003335F7" w:rsidRPr="00B717F6">
        <w:rPr>
          <w:szCs w:val="24"/>
          <w:lang w:val="en-US"/>
        </w:rPr>
        <w:t xml:space="preserve">and </w:t>
      </w:r>
      <w:r w:rsidR="008F1232" w:rsidRPr="00B717F6">
        <w:rPr>
          <w:szCs w:val="24"/>
          <w:lang w:val="en-US"/>
        </w:rPr>
        <w:t xml:space="preserve">50% of women </w:t>
      </w:r>
      <w:r w:rsidR="008F1232" w:rsidRPr="00B717F6">
        <w:rPr>
          <w:szCs w:val="24"/>
          <w:lang w:val="en-US"/>
        </w:rPr>
        <w:lastRenderedPageBreak/>
        <w:t xml:space="preserve">reporting </w:t>
      </w:r>
      <w:r w:rsidR="00D7324E" w:rsidRPr="00B717F6">
        <w:rPr>
          <w:szCs w:val="24"/>
          <w:lang w:val="en-US"/>
        </w:rPr>
        <w:t xml:space="preserve">at least some </w:t>
      </w:r>
      <w:r w:rsidR="00D241EA" w:rsidRPr="00B717F6">
        <w:rPr>
          <w:szCs w:val="24"/>
          <w:lang w:val="en-US"/>
        </w:rPr>
        <w:t>college</w:t>
      </w:r>
      <w:r w:rsidR="00467763" w:rsidRPr="00B717F6">
        <w:rPr>
          <w:szCs w:val="24"/>
          <w:lang w:val="en-US"/>
        </w:rPr>
        <w:t xml:space="preserve"> </w:t>
      </w:r>
      <w:r w:rsidR="008F1232" w:rsidRPr="00B717F6">
        <w:rPr>
          <w:szCs w:val="24"/>
          <w:lang w:val="en-US"/>
        </w:rPr>
        <w:t>education. The respective proportions in Portugal</w:t>
      </w:r>
      <w:r w:rsidR="003335F7" w:rsidRPr="00B717F6">
        <w:rPr>
          <w:szCs w:val="24"/>
          <w:lang w:val="en-US"/>
        </w:rPr>
        <w:t>, the country with the lowest levels of education,</w:t>
      </w:r>
      <w:r w:rsidR="008F1232" w:rsidRPr="00B717F6">
        <w:rPr>
          <w:szCs w:val="24"/>
          <w:lang w:val="en-US"/>
        </w:rPr>
        <w:t xml:space="preserve"> were 19% for men and 16% for women. </w:t>
      </w:r>
      <w:r w:rsidR="005F2171" w:rsidRPr="00B717F6">
        <w:rPr>
          <w:szCs w:val="24"/>
          <w:lang w:val="en-US"/>
        </w:rPr>
        <w:t xml:space="preserve">The vast majority of men reported being </w:t>
      </w:r>
      <w:r w:rsidR="00467763" w:rsidRPr="00B717F6">
        <w:rPr>
          <w:szCs w:val="24"/>
          <w:lang w:val="en-US"/>
        </w:rPr>
        <w:t xml:space="preserve">partnered </w:t>
      </w:r>
      <w:r w:rsidR="0003450D" w:rsidRPr="00B717F6">
        <w:rPr>
          <w:szCs w:val="24"/>
          <w:lang w:val="en-US"/>
        </w:rPr>
        <w:t xml:space="preserve">at </w:t>
      </w:r>
      <w:r w:rsidR="00467763" w:rsidRPr="00B717F6">
        <w:rPr>
          <w:szCs w:val="24"/>
          <w:lang w:val="en-US"/>
        </w:rPr>
        <w:t>the time the study was conducted</w:t>
      </w:r>
      <w:r w:rsidR="005F2171" w:rsidRPr="00B717F6">
        <w:rPr>
          <w:szCs w:val="24"/>
          <w:lang w:val="en-US"/>
        </w:rPr>
        <w:t xml:space="preserve"> (</w:t>
      </w:r>
      <w:r w:rsidR="008648C0" w:rsidRPr="00B717F6">
        <w:rPr>
          <w:szCs w:val="24"/>
          <w:lang w:val="en-US"/>
        </w:rPr>
        <w:t xml:space="preserve">ranging from </w:t>
      </w:r>
      <w:r w:rsidR="005F2171" w:rsidRPr="00B717F6">
        <w:rPr>
          <w:szCs w:val="24"/>
          <w:lang w:val="en-US"/>
        </w:rPr>
        <w:t>79</w:t>
      </w:r>
      <w:r w:rsidR="008648C0" w:rsidRPr="00B717F6">
        <w:rPr>
          <w:szCs w:val="24"/>
          <w:lang w:val="en-US"/>
        </w:rPr>
        <w:t xml:space="preserve">% in Belgium to </w:t>
      </w:r>
      <w:r w:rsidR="00D62CF3" w:rsidRPr="00B717F6">
        <w:rPr>
          <w:szCs w:val="24"/>
          <w:lang w:val="en-US"/>
        </w:rPr>
        <w:t>9</w:t>
      </w:r>
      <w:r w:rsidR="005F2171" w:rsidRPr="00B717F6">
        <w:rPr>
          <w:szCs w:val="24"/>
          <w:lang w:val="en-US"/>
        </w:rPr>
        <w:t>3%</w:t>
      </w:r>
      <w:r w:rsidR="008648C0" w:rsidRPr="00B717F6">
        <w:rPr>
          <w:szCs w:val="24"/>
          <w:lang w:val="en-US"/>
        </w:rPr>
        <w:t xml:space="preserve"> in Portugal</w:t>
      </w:r>
      <w:r w:rsidR="005F2171" w:rsidRPr="00B717F6">
        <w:rPr>
          <w:szCs w:val="24"/>
          <w:lang w:val="en-US"/>
        </w:rPr>
        <w:t>)</w:t>
      </w:r>
      <w:r w:rsidR="000342E0" w:rsidRPr="00B717F6">
        <w:rPr>
          <w:szCs w:val="24"/>
          <w:lang w:val="en-US"/>
        </w:rPr>
        <w:t xml:space="preserve">. The </w:t>
      </w:r>
      <w:r w:rsidR="00D62CF3" w:rsidRPr="00B717F6">
        <w:rPr>
          <w:szCs w:val="24"/>
          <w:lang w:val="en-US"/>
        </w:rPr>
        <w:t>percentage</w:t>
      </w:r>
      <w:r w:rsidR="003335F7" w:rsidRPr="00B717F6">
        <w:rPr>
          <w:szCs w:val="24"/>
          <w:lang w:val="en-US"/>
        </w:rPr>
        <w:t>s</w:t>
      </w:r>
      <w:r w:rsidR="00D62CF3" w:rsidRPr="00B717F6">
        <w:rPr>
          <w:szCs w:val="24"/>
          <w:lang w:val="en-US"/>
        </w:rPr>
        <w:t xml:space="preserve"> of women being partnered </w:t>
      </w:r>
      <w:r w:rsidR="000342E0" w:rsidRPr="00B717F6">
        <w:rPr>
          <w:szCs w:val="24"/>
          <w:lang w:val="en-US"/>
        </w:rPr>
        <w:t xml:space="preserve">were </w:t>
      </w:r>
      <w:r w:rsidR="008F1232" w:rsidRPr="00B717F6">
        <w:rPr>
          <w:szCs w:val="24"/>
          <w:lang w:val="en-US"/>
        </w:rPr>
        <w:t xml:space="preserve">generally </w:t>
      </w:r>
      <w:r w:rsidR="000342E0" w:rsidRPr="00B717F6">
        <w:rPr>
          <w:szCs w:val="24"/>
          <w:lang w:val="en-US"/>
        </w:rPr>
        <w:t>lower than in men</w:t>
      </w:r>
      <w:r w:rsidR="003335F7" w:rsidRPr="00B717F6">
        <w:rPr>
          <w:szCs w:val="24"/>
          <w:lang w:val="en-US"/>
        </w:rPr>
        <w:t>,</w:t>
      </w:r>
      <w:r w:rsidR="000342E0" w:rsidRPr="00B717F6">
        <w:rPr>
          <w:szCs w:val="24"/>
          <w:lang w:val="en-US"/>
        </w:rPr>
        <w:t xml:space="preserve"> </w:t>
      </w:r>
      <w:r w:rsidR="008F1232" w:rsidRPr="00B717F6">
        <w:rPr>
          <w:szCs w:val="24"/>
          <w:lang w:val="en-US"/>
        </w:rPr>
        <w:t xml:space="preserve">ranging from </w:t>
      </w:r>
      <w:r w:rsidR="00D62CF3" w:rsidRPr="00B717F6">
        <w:rPr>
          <w:szCs w:val="24"/>
          <w:lang w:val="en-US"/>
        </w:rPr>
        <w:t>47%</w:t>
      </w:r>
      <w:r w:rsidR="00AC0257" w:rsidRPr="00B717F6">
        <w:rPr>
          <w:szCs w:val="24"/>
          <w:lang w:val="en-US"/>
        </w:rPr>
        <w:t xml:space="preserve"> </w:t>
      </w:r>
      <w:r w:rsidR="0003450D" w:rsidRPr="00B717F6">
        <w:rPr>
          <w:szCs w:val="24"/>
          <w:lang w:val="en-US"/>
        </w:rPr>
        <w:t>in Belgium</w:t>
      </w:r>
      <w:r w:rsidR="00AC0257" w:rsidRPr="00B717F6">
        <w:rPr>
          <w:szCs w:val="24"/>
          <w:lang w:val="en-US"/>
        </w:rPr>
        <w:t xml:space="preserve"> </w:t>
      </w:r>
      <w:r w:rsidR="008648C0" w:rsidRPr="00B717F6">
        <w:rPr>
          <w:szCs w:val="24"/>
          <w:lang w:val="en-US"/>
        </w:rPr>
        <w:t xml:space="preserve">to </w:t>
      </w:r>
      <w:r w:rsidR="00D62CF3" w:rsidRPr="00B717F6">
        <w:rPr>
          <w:szCs w:val="24"/>
          <w:lang w:val="en-US"/>
        </w:rPr>
        <w:t>84%</w:t>
      </w:r>
      <w:r w:rsidR="00F25BB8" w:rsidRPr="00B717F6">
        <w:rPr>
          <w:szCs w:val="24"/>
          <w:lang w:val="en-US"/>
        </w:rPr>
        <w:t xml:space="preserve"> in</w:t>
      </w:r>
      <w:r w:rsidR="00D62CF3" w:rsidRPr="00B717F6">
        <w:rPr>
          <w:szCs w:val="24"/>
          <w:lang w:val="en-US"/>
        </w:rPr>
        <w:t xml:space="preserve"> </w:t>
      </w:r>
      <w:r w:rsidR="008F1232" w:rsidRPr="00B717F6">
        <w:rPr>
          <w:szCs w:val="24"/>
          <w:lang w:val="en-US"/>
        </w:rPr>
        <w:t>Denmark.</w:t>
      </w:r>
    </w:p>
    <w:p w14:paraId="358023EF" w14:textId="736A8854" w:rsidR="00FB4209" w:rsidRPr="00B717F6" w:rsidRDefault="006040AD" w:rsidP="009C0C78">
      <w:pPr>
        <w:rPr>
          <w:szCs w:val="24"/>
          <w:lang w:val="en-US"/>
        </w:rPr>
      </w:pPr>
      <w:r w:rsidRPr="00B717F6">
        <w:rPr>
          <w:szCs w:val="24"/>
          <w:lang w:val="en-US"/>
        </w:rPr>
        <w:t xml:space="preserve">Table 2 shows the level of masturbation in the past month, separately for </w:t>
      </w:r>
      <w:r w:rsidR="0039586F" w:rsidRPr="00B717F6">
        <w:rPr>
          <w:szCs w:val="24"/>
          <w:lang w:val="en-US"/>
        </w:rPr>
        <w:t xml:space="preserve">gender </w:t>
      </w:r>
      <w:r w:rsidRPr="00B717F6">
        <w:rPr>
          <w:szCs w:val="24"/>
          <w:lang w:val="en-US"/>
        </w:rPr>
        <w:t xml:space="preserve">and </w:t>
      </w:r>
      <w:r w:rsidR="008D2DC2" w:rsidRPr="00B717F6">
        <w:rPr>
          <w:szCs w:val="24"/>
          <w:lang w:val="en-US"/>
        </w:rPr>
        <w:t>across countries</w:t>
      </w:r>
      <w:r w:rsidRPr="00B717F6">
        <w:rPr>
          <w:szCs w:val="24"/>
          <w:lang w:val="en-US"/>
        </w:rPr>
        <w:t>.</w:t>
      </w:r>
      <w:r w:rsidR="00FB4209" w:rsidRPr="00B717F6">
        <w:rPr>
          <w:szCs w:val="24"/>
          <w:lang w:val="en-US"/>
        </w:rPr>
        <w:t xml:space="preserve"> Among</w:t>
      </w:r>
      <w:r w:rsidR="008D2DC2" w:rsidRPr="00B717F6">
        <w:rPr>
          <w:szCs w:val="24"/>
          <w:lang w:val="en-US"/>
        </w:rPr>
        <w:t xml:space="preserve"> both men and </w:t>
      </w:r>
      <w:r w:rsidR="000D540D" w:rsidRPr="00B717F6">
        <w:rPr>
          <w:szCs w:val="24"/>
          <w:lang w:val="en-US"/>
        </w:rPr>
        <w:t>women,</w:t>
      </w:r>
      <w:r w:rsidR="008D2DC2" w:rsidRPr="00B717F6">
        <w:rPr>
          <w:szCs w:val="24"/>
          <w:lang w:val="en-US"/>
        </w:rPr>
        <w:t xml:space="preserve"> there was a statistically significant </w:t>
      </w:r>
      <w:r w:rsidR="000D540D" w:rsidRPr="00B717F6">
        <w:rPr>
          <w:szCs w:val="24"/>
          <w:lang w:val="en-US"/>
        </w:rPr>
        <w:t>difference</w:t>
      </w:r>
      <w:r w:rsidR="008D2DC2" w:rsidRPr="00B717F6">
        <w:rPr>
          <w:szCs w:val="24"/>
          <w:lang w:val="en-US"/>
        </w:rPr>
        <w:t xml:space="preserve"> in </w:t>
      </w:r>
      <w:r w:rsidR="003335F7" w:rsidRPr="00B717F6">
        <w:rPr>
          <w:szCs w:val="24"/>
          <w:lang w:val="en-US"/>
        </w:rPr>
        <w:t>the frequency of masturbation across the four countries</w:t>
      </w:r>
      <w:r w:rsidR="000D540D" w:rsidRPr="00B717F6">
        <w:rPr>
          <w:szCs w:val="24"/>
          <w:lang w:val="en-US"/>
        </w:rPr>
        <w:t>. T</w:t>
      </w:r>
      <w:r w:rsidR="00FB4209" w:rsidRPr="00B717F6">
        <w:rPr>
          <w:szCs w:val="24"/>
          <w:lang w:val="en-US"/>
        </w:rPr>
        <w:t xml:space="preserve">he </w:t>
      </w:r>
      <w:r w:rsidR="00435A04" w:rsidRPr="00B717F6">
        <w:rPr>
          <w:szCs w:val="24"/>
          <w:lang w:val="en-US"/>
        </w:rPr>
        <w:t>proportion</w:t>
      </w:r>
      <w:r w:rsidR="000D540D" w:rsidRPr="00B717F6">
        <w:rPr>
          <w:szCs w:val="24"/>
          <w:lang w:val="en-US"/>
        </w:rPr>
        <w:t xml:space="preserve"> of men </w:t>
      </w:r>
      <w:r w:rsidR="00F74B2A" w:rsidRPr="00B717F6">
        <w:rPr>
          <w:szCs w:val="24"/>
          <w:lang w:val="en-US"/>
        </w:rPr>
        <w:t xml:space="preserve">and women </w:t>
      </w:r>
      <w:r w:rsidR="00DB3DBC" w:rsidRPr="00B717F6">
        <w:rPr>
          <w:szCs w:val="24"/>
          <w:lang w:val="en-US"/>
        </w:rPr>
        <w:t>reporting masturbation activity (</w:t>
      </w:r>
      <w:r w:rsidR="00FB4209" w:rsidRPr="00B717F6">
        <w:rPr>
          <w:szCs w:val="24"/>
          <w:lang w:val="en-US"/>
        </w:rPr>
        <w:t>at least once during the past month</w:t>
      </w:r>
      <w:r w:rsidR="00DB3DBC" w:rsidRPr="00B717F6">
        <w:rPr>
          <w:szCs w:val="24"/>
          <w:lang w:val="en-US"/>
        </w:rPr>
        <w:t>)</w:t>
      </w:r>
      <w:r w:rsidR="00FB4209" w:rsidRPr="00B717F6">
        <w:rPr>
          <w:szCs w:val="24"/>
          <w:lang w:val="en-US"/>
        </w:rPr>
        <w:t xml:space="preserve"> </w:t>
      </w:r>
      <w:r w:rsidR="00F74B2A" w:rsidRPr="00B717F6">
        <w:rPr>
          <w:szCs w:val="24"/>
          <w:lang w:val="en-US"/>
        </w:rPr>
        <w:t>was highest in Norway (65%</w:t>
      </w:r>
      <w:r w:rsidR="000560F6" w:rsidRPr="00B717F6">
        <w:rPr>
          <w:szCs w:val="24"/>
          <w:lang w:val="en-US"/>
        </w:rPr>
        <w:t xml:space="preserve"> of men and 40% of women</w:t>
      </w:r>
      <w:r w:rsidR="00F74B2A" w:rsidRPr="00B717F6">
        <w:rPr>
          <w:szCs w:val="24"/>
          <w:lang w:val="en-US"/>
        </w:rPr>
        <w:t xml:space="preserve">), followed by Belgium </w:t>
      </w:r>
      <w:r w:rsidR="00DB3DBC" w:rsidRPr="00B717F6">
        <w:rPr>
          <w:szCs w:val="24"/>
          <w:lang w:val="en-US"/>
        </w:rPr>
        <w:t>(</w:t>
      </w:r>
      <w:r w:rsidR="00F54EB1" w:rsidRPr="00B717F6">
        <w:rPr>
          <w:szCs w:val="24"/>
          <w:lang w:val="en-US"/>
        </w:rPr>
        <w:t xml:space="preserve">57% </w:t>
      </w:r>
      <w:r w:rsidR="000560F6" w:rsidRPr="00B717F6">
        <w:rPr>
          <w:szCs w:val="24"/>
          <w:lang w:val="en-US"/>
        </w:rPr>
        <w:t xml:space="preserve">of men </w:t>
      </w:r>
      <w:r w:rsidR="00F54EB1" w:rsidRPr="00B717F6">
        <w:rPr>
          <w:szCs w:val="24"/>
          <w:lang w:val="en-US"/>
        </w:rPr>
        <w:t xml:space="preserve">and </w:t>
      </w:r>
      <w:r w:rsidR="00DB3DBC" w:rsidRPr="00B717F6">
        <w:rPr>
          <w:szCs w:val="24"/>
          <w:lang w:val="en-US"/>
        </w:rPr>
        <w:t>36%</w:t>
      </w:r>
      <w:r w:rsidR="000560F6" w:rsidRPr="00B717F6">
        <w:rPr>
          <w:szCs w:val="24"/>
          <w:lang w:val="en-US"/>
        </w:rPr>
        <w:t xml:space="preserve"> of women</w:t>
      </w:r>
      <w:r w:rsidR="00DB3DBC" w:rsidRPr="00B717F6">
        <w:rPr>
          <w:szCs w:val="24"/>
          <w:lang w:val="en-US"/>
        </w:rPr>
        <w:t>)</w:t>
      </w:r>
      <w:r w:rsidR="00F74B2A" w:rsidRPr="00B717F6">
        <w:rPr>
          <w:szCs w:val="24"/>
          <w:lang w:val="en-US"/>
        </w:rPr>
        <w:t xml:space="preserve">, </w:t>
      </w:r>
      <w:r w:rsidR="00A01BB2" w:rsidRPr="00B717F6">
        <w:rPr>
          <w:szCs w:val="24"/>
          <w:lang w:val="en-US"/>
        </w:rPr>
        <w:t xml:space="preserve">and </w:t>
      </w:r>
      <w:r w:rsidR="000560F6" w:rsidRPr="00B717F6">
        <w:rPr>
          <w:szCs w:val="24"/>
          <w:lang w:val="en-US"/>
        </w:rPr>
        <w:t xml:space="preserve">Denmark </w:t>
      </w:r>
      <w:r w:rsidR="00DB3DBC" w:rsidRPr="00B717F6">
        <w:rPr>
          <w:szCs w:val="24"/>
          <w:lang w:val="en-US"/>
        </w:rPr>
        <w:t>(</w:t>
      </w:r>
      <w:r w:rsidR="00ED4AAD" w:rsidRPr="00B717F6">
        <w:rPr>
          <w:szCs w:val="24"/>
          <w:lang w:val="en-US"/>
        </w:rPr>
        <w:t>53%</w:t>
      </w:r>
      <w:r w:rsidR="000560F6" w:rsidRPr="00B717F6">
        <w:rPr>
          <w:szCs w:val="24"/>
          <w:lang w:val="en-US"/>
        </w:rPr>
        <w:t xml:space="preserve"> men </w:t>
      </w:r>
      <w:r w:rsidR="00ED4AAD" w:rsidRPr="00B717F6">
        <w:rPr>
          <w:szCs w:val="24"/>
          <w:lang w:val="en-US"/>
        </w:rPr>
        <w:t xml:space="preserve">and </w:t>
      </w:r>
      <w:r w:rsidR="00DB3DBC" w:rsidRPr="00B717F6">
        <w:rPr>
          <w:szCs w:val="24"/>
          <w:lang w:val="en-US"/>
        </w:rPr>
        <w:t>31%</w:t>
      </w:r>
      <w:r w:rsidR="000560F6" w:rsidRPr="00B717F6">
        <w:rPr>
          <w:szCs w:val="24"/>
          <w:lang w:val="en-US"/>
        </w:rPr>
        <w:t xml:space="preserve"> of women</w:t>
      </w:r>
      <w:r w:rsidR="00DB3DBC" w:rsidRPr="00B717F6">
        <w:rPr>
          <w:szCs w:val="24"/>
          <w:lang w:val="en-US"/>
        </w:rPr>
        <w:t>)</w:t>
      </w:r>
      <w:r w:rsidR="00A01BB2" w:rsidRPr="00B717F6">
        <w:rPr>
          <w:szCs w:val="24"/>
          <w:lang w:val="en-US"/>
        </w:rPr>
        <w:t xml:space="preserve">. </w:t>
      </w:r>
      <w:r w:rsidR="00204F41" w:rsidRPr="00B717F6">
        <w:rPr>
          <w:szCs w:val="24"/>
          <w:lang w:val="en-US"/>
        </w:rPr>
        <w:t>Report</w:t>
      </w:r>
      <w:r w:rsidR="00152369" w:rsidRPr="00B717F6">
        <w:rPr>
          <w:szCs w:val="24"/>
          <w:lang w:val="en-US"/>
        </w:rPr>
        <w:t>ing masturbation activity was lea</w:t>
      </w:r>
      <w:r w:rsidR="00204F41" w:rsidRPr="00B717F6">
        <w:rPr>
          <w:szCs w:val="24"/>
          <w:lang w:val="en-US"/>
        </w:rPr>
        <w:t xml:space="preserve">st common </w:t>
      </w:r>
      <w:r w:rsidR="00ED4AAD" w:rsidRPr="00B717F6">
        <w:rPr>
          <w:szCs w:val="24"/>
          <w:lang w:val="en-US"/>
        </w:rPr>
        <w:t xml:space="preserve">in </w:t>
      </w:r>
      <w:r w:rsidR="000560F6" w:rsidRPr="00B717F6">
        <w:rPr>
          <w:szCs w:val="24"/>
          <w:lang w:val="en-US"/>
        </w:rPr>
        <w:t>Portuguese</w:t>
      </w:r>
      <w:r w:rsidR="00204F41" w:rsidRPr="00B717F6">
        <w:rPr>
          <w:szCs w:val="24"/>
          <w:lang w:val="en-US"/>
        </w:rPr>
        <w:t xml:space="preserve"> </w:t>
      </w:r>
      <w:r w:rsidR="000560F6" w:rsidRPr="00B717F6">
        <w:rPr>
          <w:szCs w:val="24"/>
          <w:lang w:val="en-US"/>
        </w:rPr>
        <w:t>men</w:t>
      </w:r>
      <w:r w:rsidR="00ED4AAD" w:rsidRPr="00B717F6">
        <w:rPr>
          <w:szCs w:val="24"/>
          <w:lang w:val="en-US"/>
        </w:rPr>
        <w:t xml:space="preserve"> and</w:t>
      </w:r>
      <w:r w:rsidR="000560F6" w:rsidRPr="00B717F6">
        <w:rPr>
          <w:szCs w:val="24"/>
          <w:lang w:val="en-US"/>
        </w:rPr>
        <w:t xml:space="preserve"> women (41% and </w:t>
      </w:r>
      <w:r w:rsidR="00204F41" w:rsidRPr="00B717F6">
        <w:rPr>
          <w:szCs w:val="24"/>
          <w:lang w:val="en-US"/>
        </w:rPr>
        <w:t>27</w:t>
      </w:r>
      <w:r w:rsidR="00CA61C6" w:rsidRPr="00B717F6">
        <w:rPr>
          <w:szCs w:val="24"/>
          <w:lang w:val="en-US"/>
        </w:rPr>
        <w:t>%</w:t>
      </w:r>
      <w:r w:rsidR="000560F6" w:rsidRPr="00B717F6">
        <w:rPr>
          <w:szCs w:val="24"/>
          <w:lang w:val="en-US"/>
        </w:rPr>
        <w:t>, respectively)</w:t>
      </w:r>
      <w:r w:rsidR="00204F41" w:rsidRPr="00B717F6">
        <w:rPr>
          <w:szCs w:val="24"/>
          <w:lang w:val="en-US"/>
        </w:rPr>
        <w:t xml:space="preserve">. </w:t>
      </w:r>
      <w:r w:rsidR="00ED4AAD" w:rsidRPr="00B717F6">
        <w:rPr>
          <w:szCs w:val="24"/>
          <w:lang w:val="en-US"/>
        </w:rPr>
        <w:t>Across countries</w:t>
      </w:r>
      <w:r w:rsidR="00382797" w:rsidRPr="00B717F6">
        <w:rPr>
          <w:szCs w:val="24"/>
          <w:lang w:val="en-US"/>
        </w:rPr>
        <w:t>, women</w:t>
      </w:r>
      <w:r w:rsidR="00D00203" w:rsidRPr="00B717F6">
        <w:rPr>
          <w:szCs w:val="24"/>
          <w:lang w:val="en-US"/>
        </w:rPr>
        <w:t xml:space="preserve"> </w:t>
      </w:r>
      <w:r w:rsidR="00435A04" w:rsidRPr="00B717F6">
        <w:rPr>
          <w:szCs w:val="24"/>
          <w:lang w:val="en-US"/>
        </w:rPr>
        <w:t xml:space="preserve">reported </w:t>
      </w:r>
      <w:r w:rsidR="00CA61C6" w:rsidRPr="00B717F6">
        <w:rPr>
          <w:szCs w:val="24"/>
          <w:lang w:val="en-US"/>
        </w:rPr>
        <w:t xml:space="preserve">less </w:t>
      </w:r>
      <w:r w:rsidR="00D00203" w:rsidRPr="00B717F6">
        <w:rPr>
          <w:szCs w:val="24"/>
          <w:lang w:val="en-US"/>
        </w:rPr>
        <w:t xml:space="preserve">masturbation </w:t>
      </w:r>
      <w:r w:rsidR="00CA61C6" w:rsidRPr="00B717F6">
        <w:rPr>
          <w:szCs w:val="24"/>
          <w:lang w:val="en-US"/>
        </w:rPr>
        <w:t xml:space="preserve">than </w:t>
      </w:r>
      <w:r w:rsidR="00503180" w:rsidRPr="00B717F6">
        <w:rPr>
          <w:szCs w:val="24"/>
          <w:lang w:val="en-US"/>
        </w:rPr>
        <w:t>men did</w:t>
      </w:r>
      <w:r w:rsidR="00CA61C6" w:rsidRPr="00B717F6">
        <w:rPr>
          <w:szCs w:val="24"/>
          <w:lang w:val="en-US"/>
        </w:rPr>
        <w:t>.</w:t>
      </w:r>
      <w:r w:rsidR="00382797" w:rsidRPr="00B717F6">
        <w:rPr>
          <w:szCs w:val="24"/>
          <w:lang w:val="en-US"/>
        </w:rPr>
        <w:t xml:space="preserve"> </w:t>
      </w:r>
      <w:r w:rsidR="00374F0F" w:rsidRPr="00B717F6">
        <w:rPr>
          <w:szCs w:val="24"/>
          <w:lang w:val="en-US"/>
        </w:rPr>
        <w:t>In comparison</w:t>
      </w:r>
      <w:r w:rsidR="00CA61C6" w:rsidRPr="00B717F6">
        <w:rPr>
          <w:szCs w:val="24"/>
          <w:lang w:val="en-US"/>
        </w:rPr>
        <w:t xml:space="preserve"> with partnered</w:t>
      </w:r>
      <w:r w:rsidR="00F54EB1" w:rsidRPr="00B717F6">
        <w:rPr>
          <w:szCs w:val="24"/>
          <w:lang w:val="en-US"/>
        </w:rPr>
        <w:t xml:space="preserve"> adults</w:t>
      </w:r>
      <w:r w:rsidR="00374F0F" w:rsidRPr="00B717F6">
        <w:rPr>
          <w:szCs w:val="24"/>
          <w:lang w:val="en-US"/>
        </w:rPr>
        <w:t xml:space="preserve">, </w:t>
      </w:r>
      <w:r w:rsidR="00F54EB1" w:rsidRPr="00B717F6">
        <w:rPr>
          <w:szCs w:val="24"/>
          <w:lang w:val="en-US"/>
        </w:rPr>
        <w:t>masturbation activity</w:t>
      </w:r>
      <w:r w:rsidR="00374F0F" w:rsidRPr="00B717F6">
        <w:rPr>
          <w:szCs w:val="24"/>
          <w:lang w:val="en-US"/>
        </w:rPr>
        <w:t xml:space="preserve"> </w:t>
      </w:r>
      <w:r w:rsidR="00F54EB1" w:rsidRPr="00B717F6">
        <w:rPr>
          <w:szCs w:val="24"/>
          <w:lang w:val="en-US"/>
        </w:rPr>
        <w:t>was</w:t>
      </w:r>
      <w:r w:rsidR="00374F0F" w:rsidRPr="00B717F6">
        <w:rPr>
          <w:szCs w:val="24"/>
          <w:lang w:val="en-US"/>
        </w:rPr>
        <w:t xml:space="preserve"> significantly higher among </w:t>
      </w:r>
      <w:r w:rsidR="00ED4AAD" w:rsidRPr="00B717F6">
        <w:rPr>
          <w:szCs w:val="24"/>
          <w:lang w:val="en-US"/>
        </w:rPr>
        <w:t xml:space="preserve">those </w:t>
      </w:r>
      <w:r w:rsidR="00374F0F" w:rsidRPr="00B717F6">
        <w:rPr>
          <w:szCs w:val="24"/>
          <w:lang w:val="en-US"/>
        </w:rPr>
        <w:t xml:space="preserve">who </w:t>
      </w:r>
      <w:r w:rsidR="00ED4AAD" w:rsidRPr="00B717F6">
        <w:rPr>
          <w:szCs w:val="24"/>
          <w:lang w:val="en-US"/>
        </w:rPr>
        <w:t xml:space="preserve">reported </w:t>
      </w:r>
      <w:r w:rsidR="00374F0F" w:rsidRPr="00B717F6">
        <w:rPr>
          <w:szCs w:val="24"/>
          <w:lang w:val="en-US"/>
        </w:rPr>
        <w:t>not</w:t>
      </w:r>
      <w:r w:rsidR="00ED4AAD" w:rsidRPr="00B717F6">
        <w:rPr>
          <w:szCs w:val="24"/>
          <w:lang w:val="en-US"/>
        </w:rPr>
        <w:t xml:space="preserve"> being in a current relationship</w:t>
      </w:r>
      <w:r w:rsidR="00374F0F" w:rsidRPr="00B717F6">
        <w:rPr>
          <w:szCs w:val="24"/>
          <w:lang w:val="en-US"/>
        </w:rPr>
        <w:t xml:space="preserve">. </w:t>
      </w:r>
    </w:p>
    <w:p w14:paraId="41EC9E31" w14:textId="06E9C281" w:rsidR="005C0DF9" w:rsidRPr="00B717F6" w:rsidRDefault="00A1128F" w:rsidP="009C0C78">
      <w:pPr>
        <w:rPr>
          <w:szCs w:val="24"/>
          <w:lang w:val="en-US"/>
        </w:rPr>
      </w:pPr>
      <w:r w:rsidRPr="00B717F6">
        <w:rPr>
          <w:szCs w:val="24"/>
          <w:lang w:val="en-US"/>
        </w:rPr>
        <w:t>Table 3 present</w:t>
      </w:r>
      <w:r w:rsidR="008356F5" w:rsidRPr="00B717F6">
        <w:rPr>
          <w:szCs w:val="24"/>
          <w:lang w:val="en-US"/>
        </w:rPr>
        <w:t>s</w:t>
      </w:r>
      <w:r w:rsidRPr="00B717F6">
        <w:rPr>
          <w:szCs w:val="24"/>
          <w:lang w:val="en-US"/>
        </w:rPr>
        <w:t xml:space="preserve"> the findings from multi</w:t>
      </w:r>
      <w:r w:rsidR="00E022A5">
        <w:rPr>
          <w:szCs w:val="24"/>
          <w:lang w:val="en-US"/>
        </w:rPr>
        <w:t>ple linear</w:t>
      </w:r>
      <w:r w:rsidRPr="00B717F6">
        <w:rPr>
          <w:szCs w:val="24"/>
          <w:lang w:val="en-US"/>
        </w:rPr>
        <w:t xml:space="preserve"> </w:t>
      </w:r>
      <w:r w:rsidR="00C95612" w:rsidRPr="00B717F6">
        <w:rPr>
          <w:szCs w:val="24"/>
          <w:lang w:val="en-US"/>
        </w:rPr>
        <w:t xml:space="preserve">regression analyses </w:t>
      </w:r>
      <w:r w:rsidR="00836349" w:rsidRPr="00B717F6">
        <w:rPr>
          <w:szCs w:val="24"/>
          <w:lang w:val="en-US"/>
        </w:rPr>
        <w:t xml:space="preserve">among men </w:t>
      </w:r>
      <w:r w:rsidR="000F0532" w:rsidRPr="00B717F6">
        <w:rPr>
          <w:szCs w:val="24"/>
          <w:lang w:val="en-US"/>
        </w:rPr>
        <w:t>in the four</w:t>
      </w:r>
      <w:r w:rsidR="00836349" w:rsidRPr="00B717F6">
        <w:rPr>
          <w:szCs w:val="24"/>
          <w:lang w:val="en-US"/>
        </w:rPr>
        <w:t xml:space="preserve"> countries</w:t>
      </w:r>
      <w:r w:rsidRPr="00B717F6">
        <w:rPr>
          <w:szCs w:val="24"/>
          <w:lang w:val="en-US"/>
        </w:rPr>
        <w:t xml:space="preserve"> on reported masturbation </w:t>
      </w:r>
      <w:r w:rsidR="00E022A5">
        <w:rPr>
          <w:szCs w:val="24"/>
          <w:lang w:val="en-US"/>
        </w:rPr>
        <w:t xml:space="preserve">frequency </w:t>
      </w:r>
      <w:r w:rsidRPr="00B717F6">
        <w:rPr>
          <w:szCs w:val="24"/>
          <w:lang w:val="en-US"/>
        </w:rPr>
        <w:t xml:space="preserve">during the past month, </w:t>
      </w:r>
      <w:r w:rsidR="008356F5" w:rsidRPr="00B717F6">
        <w:rPr>
          <w:szCs w:val="24"/>
          <w:lang w:val="en-US"/>
        </w:rPr>
        <w:t xml:space="preserve">broken down </w:t>
      </w:r>
      <w:r w:rsidRPr="00B717F6">
        <w:rPr>
          <w:szCs w:val="24"/>
          <w:lang w:val="en-US"/>
        </w:rPr>
        <w:t>by sociodemographic</w:t>
      </w:r>
      <w:r w:rsidR="00E022A5">
        <w:rPr>
          <w:szCs w:val="24"/>
          <w:lang w:val="en-US"/>
        </w:rPr>
        <w:t xml:space="preserve"> characteristics, </w:t>
      </w:r>
      <w:r w:rsidRPr="00B717F6">
        <w:rPr>
          <w:szCs w:val="24"/>
          <w:lang w:val="en-US"/>
        </w:rPr>
        <w:t>health factors</w:t>
      </w:r>
      <w:r w:rsidR="00A31DBB" w:rsidRPr="00B717F6">
        <w:rPr>
          <w:szCs w:val="24"/>
          <w:lang w:val="en-GB"/>
        </w:rPr>
        <w:t>, sexual behaviour, satisfaction</w:t>
      </w:r>
      <w:r w:rsidR="00B031EC">
        <w:rPr>
          <w:szCs w:val="24"/>
          <w:lang w:val="en-GB"/>
        </w:rPr>
        <w:t>,</w:t>
      </w:r>
      <w:r w:rsidR="00A31DBB" w:rsidRPr="00B717F6">
        <w:rPr>
          <w:szCs w:val="24"/>
          <w:lang w:val="en-GB"/>
        </w:rPr>
        <w:t xml:space="preserve"> and attitudes towards sexuality</w:t>
      </w:r>
      <w:r w:rsidRPr="00B717F6">
        <w:rPr>
          <w:szCs w:val="24"/>
          <w:lang w:val="en-US"/>
        </w:rPr>
        <w:t>.</w:t>
      </w:r>
      <w:r w:rsidR="00872755" w:rsidRPr="00B717F6">
        <w:rPr>
          <w:szCs w:val="24"/>
          <w:lang w:val="en-US"/>
        </w:rPr>
        <w:t xml:space="preserve"> </w:t>
      </w:r>
    </w:p>
    <w:p w14:paraId="3060373F" w14:textId="6D3B27FD" w:rsidR="00DC7C3D" w:rsidRPr="00B717F6" w:rsidRDefault="00445423" w:rsidP="009C0C78">
      <w:pPr>
        <w:rPr>
          <w:szCs w:val="24"/>
          <w:lang w:val="en-US"/>
        </w:rPr>
      </w:pPr>
      <w:r w:rsidRPr="00795B02">
        <w:rPr>
          <w:szCs w:val="24"/>
          <w:shd w:val="clear" w:color="auto" w:fill="FFFFFF" w:themeFill="background1"/>
          <w:lang w:val="en-US"/>
        </w:rPr>
        <w:t>Age</w:t>
      </w:r>
      <w:r w:rsidR="00E022A5" w:rsidRPr="00795B02">
        <w:rPr>
          <w:szCs w:val="24"/>
          <w:shd w:val="clear" w:color="auto" w:fill="FFFFFF" w:themeFill="background1"/>
          <w:lang w:val="en-US"/>
        </w:rPr>
        <w:t xml:space="preserve"> was</w:t>
      </w:r>
      <w:r w:rsidR="00D154CB" w:rsidRPr="00795B02">
        <w:rPr>
          <w:szCs w:val="24"/>
          <w:shd w:val="clear" w:color="auto" w:fill="FFFFFF" w:themeFill="background1"/>
          <w:lang w:val="en-US"/>
        </w:rPr>
        <w:t xml:space="preserve"> </w:t>
      </w:r>
      <w:r w:rsidRPr="00795B02">
        <w:rPr>
          <w:szCs w:val="24"/>
          <w:shd w:val="clear" w:color="auto" w:fill="FFFFFF" w:themeFill="background1"/>
          <w:lang w:val="en-US"/>
        </w:rPr>
        <w:t>significantly and negativity related</w:t>
      </w:r>
      <w:r w:rsidR="00D154CB" w:rsidRPr="00795B02">
        <w:rPr>
          <w:szCs w:val="24"/>
          <w:shd w:val="clear" w:color="auto" w:fill="FFFFFF" w:themeFill="background1"/>
          <w:lang w:val="en-US"/>
        </w:rPr>
        <w:t xml:space="preserve"> to masturbation frequency </w:t>
      </w:r>
      <w:r w:rsidRPr="00795B02">
        <w:rPr>
          <w:szCs w:val="24"/>
          <w:shd w:val="clear" w:color="auto" w:fill="FFFFFF" w:themeFill="background1"/>
          <w:lang w:val="en-US"/>
        </w:rPr>
        <w:t xml:space="preserve">in </w:t>
      </w:r>
      <w:r w:rsidR="00F325D0" w:rsidRPr="00795B02">
        <w:rPr>
          <w:szCs w:val="24"/>
          <w:shd w:val="clear" w:color="auto" w:fill="FFFFFF" w:themeFill="background1"/>
          <w:lang w:val="en-US"/>
        </w:rPr>
        <w:t>Norwegian</w:t>
      </w:r>
      <w:r w:rsidR="00A80978">
        <w:rPr>
          <w:szCs w:val="24"/>
          <w:shd w:val="clear" w:color="auto" w:fill="FFFFFF" w:themeFill="background1"/>
          <w:lang w:val="en-US"/>
        </w:rPr>
        <w:t xml:space="preserve">, </w:t>
      </w:r>
      <w:r w:rsidR="00F325D0" w:rsidRPr="00795B02">
        <w:rPr>
          <w:szCs w:val="24"/>
          <w:shd w:val="clear" w:color="auto" w:fill="FFFFFF" w:themeFill="background1"/>
          <w:lang w:val="en-US"/>
        </w:rPr>
        <w:t>Danish</w:t>
      </w:r>
      <w:r w:rsidR="00B031EC" w:rsidRPr="00795B02">
        <w:rPr>
          <w:szCs w:val="24"/>
          <w:shd w:val="clear" w:color="auto" w:fill="FFFFFF" w:themeFill="background1"/>
          <w:lang w:val="en-US"/>
        </w:rPr>
        <w:t>,</w:t>
      </w:r>
      <w:r w:rsidR="00F325D0" w:rsidRPr="00795B02">
        <w:rPr>
          <w:szCs w:val="24"/>
          <w:shd w:val="clear" w:color="auto" w:fill="FFFFFF" w:themeFill="background1"/>
          <w:lang w:val="en-US"/>
        </w:rPr>
        <w:t xml:space="preserve"> and </w:t>
      </w:r>
      <w:r w:rsidR="003335F7" w:rsidRPr="00795B02">
        <w:rPr>
          <w:szCs w:val="24"/>
          <w:shd w:val="clear" w:color="auto" w:fill="FFFFFF" w:themeFill="background1"/>
          <w:lang w:val="en-US"/>
        </w:rPr>
        <w:t xml:space="preserve">Belgian </w:t>
      </w:r>
      <w:r w:rsidR="00F325D0" w:rsidRPr="00795B02">
        <w:rPr>
          <w:szCs w:val="24"/>
          <w:shd w:val="clear" w:color="auto" w:fill="FFFFFF" w:themeFill="background1"/>
          <w:lang w:val="en-US"/>
        </w:rPr>
        <w:t xml:space="preserve">men </w:t>
      </w:r>
      <w:r w:rsidR="0044465E">
        <w:rPr>
          <w:szCs w:val="24"/>
          <w:shd w:val="clear" w:color="auto" w:fill="FFFFFF" w:themeFill="background1"/>
          <w:lang w:val="en-US"/>
        </w:rPr>
        <w:t>(</w:t>
      </w:r>
      <w:r w:rsidR="00A80978">
        <w:rPr>
          <w:szCs w:val="24"/>
          <w:shd w:val="clear" w:color="auto" w:fill="FFFFFF" w:themeFill="background1"/>
          <w:lang w:val="en-US"/>
        </w:rPr>
        <w:t>all</w:t>
      </w:r>
      <w:r w:rsidR="00247088">
        <w:rPr>
          <w:szCs w:val="24"/>
          <w:shd w:val="clear" w:color="auto" w:fill="FFFFFF" w:themeFill="background1"/>
          <w:lang w:val="en-US"/>
        </w:rPr>
        <w:t xml:space="preserve"> </w:t>
      </w:r>
      <w:r w:rsidR="0098732F" w:rsidRPr="00B65E36">
        <w:rPr>
          <w:szCs w:val="24"/>
          <w:shd w:val="clear" w:color="auto" w:fill="FFFFFF" w:themeFill="background1"/>
          <w:lang w:val="en-US"/>
        </w:rPr>
        <w:t>b</w:t>
      </w:r>
      <w:r w:rsidR="007606B9">
        <w:rPr>
          <w:szCs w:val="24"/>
          <w:shd w:val="clear" w:color="auto" w:fill="FFFFFF" w:themeFill="background1"/>
          <w:lang w:val="en-US"/>
        </w:rPr>
        <w:t>s</w:t>
      </w:r>
      <w:r w:rsidR="0098732F" w:rsidRPr="00B65E36">
        <w:rPr>
          <w:szCs w:val="24"/>
          <w:shd w:val="clear" w:color="auto" w:fill="FFFFFF" w:themeFill="background1"/>
          <w:lang w:val="en-US"/>
        </w:rPr>
        <w:t xml:space="preserve"> </w:t>
      </w:r>
      <w:r w:rsidR="0098732F" w:rsidRPr="00795B02">
        <w:rPr>
          <w:szCs w:val="24"/>
          <w:shd w:val="clear" w:color="auto" w:fill="FFFFFF" w:themeFill="background1"/>
          <w:lang w:val="en-US"/>
        </w:rPr>
        <w:t>=</w:t>
      </w:r>
      <w:r w:rsidR="00AD52F6">
        <w:rPr>
          <w:szCs w:val="24"/>
          <w:shd w:val="clear" w:color="auto" w:fill="FFFFFF" w:themeFill="background1"/>
          <w:lang w:val="en-US"/>
        </w:rPr>
        <w:t xml:space="preserve"> -0.06</w:t>
      </w:r>
      <w:r w:rsidR="00795B02" w:rsidRPr="00795B02">
        <w:rPr>
          <w:szCs w:val="24"/>
          <w:shd w:val="clear" w:color="auto" w:fill="FFFFFF" w:themeFill="background1"/>
          <w:lang w:val="en-US"/>
        </w:rPr>
        <w:t>)</w:t>
      </w:r>
      <w:r w:rsidR="00F325D0" w:rsidRPr="00795B02">
        <w:rPr>
          <w:szCs w:val="24"/>
          <w:shd w:val="clear" w:color="auto" w:fill="FFFFFF" w:themeFill="background1"/>
          <w:lang w:val="en-US"/>
        </w:rPr>
        <w:t xml:space="preserve">. </w:t>
      </w:r>
      <w:r w:rsidR="00EC7DFD" w:rsidRPr="00795B02">
        <w:rPr>
          <w:szCs w:val="24"/>
          <w:shd w:val="clear" w:color="auto" w:fill="FFFFFF" w:themeFill="background1"/>
          <w:lang w:val="en-US"/>
        </w:rPr>
        <w:t xml:space="preserve">For Portuguese men, there was no </w:t>
      </w:r>
      <w:r w:rsidR="00E37F2F" w:rsidRPr="00795B02">
        <w:rPr>
          <w:szCs w:val="24"/>
          <w:shd w:val="clear" w:color="auto" w:fill="FFFFFF" w:themeFill="background1"/>
          <w:lang w:val="en-US"/>
        </w:rPr>
        <w:t>relationship</w:t>
      </w:r>
      <w:r w:rsidR="00EC7DFD" w:rsidRPr="00795B02">
        <w:rPr>
          <w:szCs w:val="24"/>
          <w:shd w:val="clear" w:color="auto" w:fill="FFFFFF" w:themeFill="background1"/>
          <w:lang w:val="en-US"/>
        </w:rPr>
        <w:t xml:space="preserve"> between age and masturbation activity.</w:t>
      </w:r>
      <w:r w:rsidR="00A31DBB" w:rsidRPr="00795B02">
        <w:rPr>
          <w:szCs w:val="24"/>
          <w:shd w:val="clear" w:color="auto" w:fill="FFFFFF" w:themeFill="background1"/>
          <w:lang w:val="en-US"/>
        </w:rPr>
        <w:t xml:space="preserve"> </w:t>
      </w:r>
      <w:r w:rsidR="00234CF2">
        <w:rPr>
          <w:szCs w:val="24"/>
          <w:shd w:val="clear" w:color="auto" w:fill="FFFFFF" w:themeFill="background1"/>
          <w:lang w:val="en-US"/>
        </w:rPr>
        <w:t xml:space="preserve">Education was </w:t>
      </w:r>
      <w:r w:rsidR="00345E8B">
        <w:rPr>
          <w:szCs w:val="24"/>
          <w:shd w:val="clear" w:color="auto" w:fill="FFFFFF" w:themeFill="background1"/>
          <w:lang w:val="en-US"/>
        </w:rPr>
        <w:t>significantly</w:t>
      </w:r>
      <w:r w:rsidR="00234CF2">
        <w:rPr>
          <w:szCs w:val="24"/>
          <w:shd w:val="clear" w:color="auto" w:fill="FFFFFF" w:themeFill="background1"/>
          <w:lang w:val="en-US"/>
        </w:rPr>
        <w:t xml:space="preserve"> associated with reported masturbation</w:t>
      </w:r>
      <w:r w:rsidR="00345E8B">
        <w:rPr>
          <w:szCs w:val="24"/>
          <w:shd w:val="clear" w:color="auto" w:fill="FFFFFF" w:themeFill="background1"/>
          <w:lang w:val="en-US"/>
        </w:rPr>
        <w:t xml:space="preserve">, with higher levels of education associated with more masturbation in </w:t>
      </w:r>
      <w:r w:rsidR="00247088">
        <w:rPr>
          <w:szCs w:val="24"/>
          <w:shd w:val="clear" w:color="auto" w:fill="FFFFFF" w:themeFill="background1"/>
          <w:lang w:val="en-US"/>
        </w:rPr>
        <w:t>Danish</w:t>
      </w:r>
      <w:r w:rsidR="00345E8B">
        <w:rPr>
          <w:szCs w:val="24"/>
          <w:shd w:val="clear" w:color="auto" w:fill="FFFFFF" w:themeFill="background1"/>
          <w:lang w:val="en-US"/>
        </w:rPr>
        <w:t xml:space="preserve"> </w:t>
      </w:r>
      <w:r w:rsidR="00345E8B" w:rsidRPr="00795B02">
        <w:rPr>
          <w:szCs w:val="24"/>
          <w:shd w:val="clear" w:color="auto" w:fill="FFFFFF" w:themeFill="background1"/>
          <w:lang w:val="en-US"/>
        </w:rPr>
        <w:t>(</w:t>
      </w:r>
      <w:r w:rsidR="00345E8B">
        <w:rPr>
          <w:szCs w:val="24"/>
          <w:shd w:val="clear" w:color="auto" w:fill="FFFFFF" w:themeFill="background1"/>
          <w:lang w:val="en-US"/>
        </w:rPr>
        <w:t>b</w:t>
      </w:r>
      <w:r w:rsidR="00345E8B" w:rsidRPr="00795B02">
        <w:rPr>
          <w:szCs w:val="24"/>
          <w:shd w:val="clear" w:color="auto" w:fill="FFFFFF" w:themeFill="background1"/>
          <w:lang w:val="en-US"/>
        </w:rPr>
        <w:t xml:space="preserve"> = </w:t>
      </w:r>
      <w:r w:rsidR="00AD52F6">
        <w:rPr>
          <w:szCs w:val="24"/>
          <w:shd w:val="clear" w:color="auto" w:fill="FFFFFF" w:themeFill="background1"/>
          <w:lang w:val="en-US"/>
        </w:rPr>
        <w:t>0.2</w:t>
      </w:r>
      <w:r w:rsidR="00247088">
        <w:rPr>
          <w:szCs w:val="24"/>
          <w:shd w:val="clear" w:color="auto" w:fill="FFFFFF" w:themeFill="background1"/>
          <w:lang w:val="en-US"/>
        </w:rPr>
        <w:t>9</w:t>
      </w:r>
      <w:r w:rsidR="00345E8B" w:rsidRPr="00795B02">
        <w:rPr>
          <w:szCs w:val="24"/>
          <w:shd w:val="clear" w:color="auto" w:fill="FFFFFF" w:themeFill="background1"/>
          <w:lang w:val="en-US"/>
        </w:rPr>
        <w:t>)</w:t>
      </w:r>
      <w:r w:rsidR="00345E8B">
        <w:rPr>
          <w:szCs w:val="24"/>
          <w:shd w:val="clear" w:color="auto" w:fill="FFFFFF" w:themeFill="background1"/>
          <w:lang w:val="en-US"/>
        </w:rPr>
        <w:t xml:space="preserve"> </w:t>
      </w:r>
      <w:r w:rsidR="00247088">
        <w:rPr>
          <w:szCs w:val="24"/>
          <w:shd w:val="clear" w:color="auto" w:fill="FFFFFF" w:themeFill="background1"/>
          <w:lang w:val="en-US"/>
        </w:rPr>
        <w:t>and Norwegian</w:t>
      </w:r>
      <w:r w:rsidR="00345E8B">
        <w:rPr>
          <w:szCs w:val="24"/>
          <w:shd w:val="clear" w:color="auto" w:fill="FFFFFF" w:themeFill="background1"/>
          <w:lang w:val="en-US"/>
        </w:rPr>
        <w:t xml:space="preserve"> men</w:t>
      </w:r>
      <w:r w:rsidR="00650035">
        <w:rPr>
          <w:szCs w:val="24"/>
          <w:shd w:val="clear" w:color="auto" w:fill="FFFFFF" w:themeFill="background1"/>
          <w:lang w:val="en-US"/>
        </w:rPr>
        <w:t xml:space="preserve"> </w:t>
      </w:r>
      <w:r w:rsidR="00650035" w:rsidRPr="00795B02">
        <w:rPr>
          <w:szCs w:val="24"/>
          <w:shd w:val="clear" w:color="auto" w:fill="FFFFFF" w:themeFill="background1"/>
          <w:lang w:val="en-US"/>
        </w:rPr>
        <w:t>(</w:t>
      </w:r>
      <w:r w:rsidR="00650035">
        <w:rPr>
          <w:szCs w:val="24"/>
          <w:shd w:val="clear" w:color="auto" w:fill="FFFFFF" w:themeFill="background1"/>
          <w:lang w:val="en-US"/>
        </w:rPr>
        <w:t>b</w:t>
      </w:r>
      <w:r w:rsidR="00650035" w:rsidRPr="00795B02">
        <w:rPr>
          <w:szCs w:val="24"/>
          <w:shd w:val="clear" w:color="auto" w:fill="FFFFFF" w:themeFill="background1"/>
          <w:lang w:val="en-US"/>
        </w:rPr>
        <w:t xml:space="preserve"> = 0.</w:t>
      </w:r>
      <w:r w:rsidR="00AD52F6">
        <w:rPr>
          <w:szCs w:val="24"/>
          <w:shd w:val="clear" w:color="auto" w:fill="FFFFFF" w:themeFill="background1"/>
          <w:lang w:val="en-US"/>
        </w:rPr>
        <w:t>2</w:t>
      </w:r>
      <w:r w:rsidR="00247088">
        <w:rPr>
          <w:szCs w:val="24"/>
          <w:shd w:val="clear" w:color="auto" w:fill="FFFFFF" w:themeFill="background1"/>
          <w:lang w:val="en-US"/>
        </w:rPr>
        <w:t>1</w:t>
      </w:r>
      <w:r w:rsidR="00650035" w:rsidRPr="00795B02">
        <w:rPr>
          <w:szCs w:val="24"/>
          <w:shd w:val="clear" w:color="auto" w:fill="FFFFFF" w:themeFill="background1"/>
          <w:lang w:val="en-US"/>
        </w:rPr>
        <w:t>)</w:t>
      </w:r>
      <w:r w:rsidR="00345E8B">
        <w:rPr>
          <w:szCs w:val="24"/>
          <w:shd w:val="clear" w:color="auto" w:fill="FFFFFF" w:themeFill="background1"/>
          <w:lang w:val="en-US"/>
        </w:rPr>
        <w:t xml:space="preserve">. </w:t>
      </w:r>
      <w:r w:rsidR="003335F7" w:rsidRPr="00795B02">
        <w:rPr>
          <w:szCs w:val="24"/>
          <w:shd w:val="clear" w:color="auto" w:fill="FFFFFF" w:themeFill="background1"/>
          <w:lang w:val="en-US"/>
        </w:rPr>
        <w:t>In contrast</w:t>
      </w:r>
      <w:r w:rsidR="006147FC" w:rsidRPr="00795B02">
        <w:rPr>
          <w:szCs w:val="24"/>
          <w:shd w:val="clear" w:color="auto" w:fill="FFFFFF" w:themeFill="background1"/>
          <w:lang w:val="en-US"/>
        </w:rPr>
        <w:t>, among Portuguese men</w:t>
      </w:r>
      <w:r w:rsidR="00AD52F6">
        <w:rPr>
          <w:szCs w:val="24"/>
          <w:shd w:val="clear" w:color="auto" w:fill="FFFFFF" w:themeFill="background1"/>
          <w:lang w:val="en-US"/>
        </w:rPr>
        <w:t>,</w:t>
      </w:r>
      <w:r w:rsidR="006147FC" w:rsidRPr="00795B02">
        <w:rPr>
          <w:szCs w:val="24"/>
          <w:shd w:val="clear" w:color="auto" w:fill="FFFFFF" w:themeFill="background1"/>
          <w:lang w:val="en-US"/>
        </w:rPr>
        <w:t xml:space="preserve"> higher education </w:t>
      </w:r>
      <w:r w:rsidR="00345E8B">
        <w:rPr>
          <w:szCs w:val="24"/>
          <w:shd w:val="clear" w:color="auto" w:fill="FFFFFF" w:themeFill="background1"/>
          <w:lang w:val="en-US"/>
        </w:rPr>
        <w:t xml:space="preserve">was </w:t>
      </w:r>
      <w:r w:rsidR="00633C83">
        <w:rPr>
          <w:szCs w:val="24"/>
          <w:shd w:val="clear" w:color="auto" w:fill="FFFFFF" w:themeFill="background1"/>
          <w:lang w:val="en-US"/>
        </w:rPr>
        <w:t>related with</w:t>
      </w:r>
      <w:r w:rsidR="00345E8B">
        <w:rPr>
          <w:szCs w:val="24"/>
          <w:shd w:val="clear" w:color="auto" w:fill="FFFFFF" w:themeFill="background1"/>
          <w:lang w:val="en-US"/>
        </w:rPr>
        <w:t xml:space="preserve"> less </w:t>
      </w:r>
      <w:r w:rsidR="006147FC" w:rsidRPr="00795B02">
        <w:rPr>
          <w:szCs w:val="24"/>
          <w:shd w:val="clear" w:color="auto" w:fill="FFFFFF" w:themeFill="background1"/>
          <w:lang w:val="en-US"/>
        </w:rPr>
        <w:t>masturbation frequency (</w:t>
      </w:r>
      <w:r w:rsidR="00345E8B">
        <w:rPr>
          <w:szCs w:val="24"/>
          <w:shd w:val="clear" w:color="auto" w:fill="FFFFFF" w:themeFill="background1"/>
          <w:lang w:val="en-US"/>
        </w:rPr>
        <w:t>b</w:t>
      </w:r>
      <w:r w:rsidR="00EB49EE" w:rsidRPr="00795B02">
        <w:rPr>
          <w:szCs w:val="24"/>
          <w:shd w:val="clear" w:color="auto" w:fill="FFFFFF" w:themeFill="background1"/>
          <w:lang w:val="en-US"/>
        </w:rPr>
        <w:t xml:space="preserve"> = </w:t>
      </w:r>
      <w:r w:rsidR="00345E8B">
        <w:rPr>
          <w:szCs w:val="24"/>
          <w:shd w:val="clear" w:color="auto" w:fill="FFFFFF" w:themeFill="background1"/>
          <w:lang w:val="en-US"/>
        </w:rPr>
        <w:t>-</w:t>
      </w:r>
      <w:r w:rsidR="00EB49EE" w:rsidRPr="00795B02">
        <w:rPr>
          <w:szCs w:val="24"/>
          <w:shd w:val="clear" w:color="auto" w:fill="FFFFFF" w:themeFill="background1"/>
          <w:lang w:val="en-US"/>
        </w:rPr>
        <w:t>0.</w:t>
      </w:r>
      <w:r w:rsidR="00345E8B">
        <w:rPr>
          <w:szCs w:val="24"/>
          <w:shd w:val="clear" w:color="auto" w:fill="FFFFFF" w:themeFill="background1"/>
          <w:lang w:val="en-US"/>
        </w:rPr>
        <w:t>35</w:t>
      </w:r>
      <w:r w:rsidR="00EB49EE" w:rsidRPr="00795B02">
        <w:rPr>
          <w:szCs w:val="24"/>
          <w:shd w:val="clear" w:color="auto" w:fill="FFFFFF" w:themeFill="background1"/>
          <w:lang w:val="en-US"/>
        </w:rPr>
        <w:t>).</w:t>
      </w:r>
      <w:r w:rsidR="002147D0" w:rsidRPr="00B717F6">
        <w:rPr>
          <w:szCs w:val="24"/>
          <w:lang w:val="en-US"/>
        </w:rPr>
        <w:t xml:space="preserve"> </w:t>
      </w:r>
      <w:r w:rsidR="00A80025">
        <w:rPr>
          <w:szCs w:val="24"/>
          <w:lang w:val="en-US"/>
        </w:rPr>
        <w:t xml:space="preserve">For all men, except in Norway, </w:t>
      </w:r>
      <w:r w:rsidR="00A80025">
        <w:rPr>
          <w:szCs w:val="24"/>
          <w:lang w:val="en-US"/>
        </w:rPr>
        <w:lastRenderedPageBreak/>
        <w:t>p</w:t>
      </w:r>
      <w:r w:rsidR="002147D0" w:rsidRPr="00B717F6">
        <w:rPr>
          <w:szCs w:val="24"/>
          <w:lang w:val="en-US"/>
        </w:rPr>
        <w:t>oor</w:t>
      </w:r>
      <w:r w:rsidR="00F35F7F" w:rsidRPr="00B717F6">
        <w:rPr>
          <w:szCs w:val="24"/>
          <w:lang w:val="en-US"/>
        </w:rPr>
        <w:t>er</w:t>
      </w:r>
      <w:r w:rsidR="002147D0" w:rsidRPr="00B717F6">
        <w:rPr>
          <w:szCs w:val="24"/>
          <w:lang w:val="en-US"/>
        </w:rPr>
        <w:t xml:space="preserve"> </w:t>
      </w:r>
      <w:r w:rsidR="00650035">
        <w:rPr>
          <w:szCs w:val="24"/>
          <w:lang w:val="en-US"/>
        </w:rPr>
        <w:t xml:space="preserve">physical </w:t>
      </w:r>
      <w:r w:rsidR="002147D0" w:rsidRPr="00B717F6">
        <w:rPr>
          <w:szCs w:val="24"/>
          <w:lang w:val="en-US"/>
        </w:rPr>
        <w:t xml:space="preserve">health </w:t>
      </w:r>
      <w:r w:rsidR="00A80025">
        <w:rPr>
          <w:szCs w:val="24"/>
          <w:lang w:val="en-US"/>
        </w:rPr>
        <w:t xml:space="preserve">was </w:t>
      </w:r>
      <w:r w:rsidR="002147D0" w:rsidRPr="00B717F6">
        <w:rPr>
          <w:szCs w:val="24"/>
          <w:lang w:val="en-US"/>
        </w:rPr>
        <w:t xml:space="preserve">significantly </w:t>
      </w:r>
      <w:r w:rsidR="00A80025">
        <w:rPr>
          <w:szCs w:val="24"/>
          <w:lang w:val="en-US"/>
        </w:rPr>
        <w:t>associated with less</w:t>
      </w:r>
      <w:r w:rsidR="00650035" w:rsidRPr="00650035">
        <w:rPr>
          <w:szCs w:val="24"/>
          <w:lang w:val="en-US"/>
        </w:rPr>
        <w:t xml:space="preserve"> </w:t>
      </w:r>
      <w:r w:rsidR="00650035">
        <w:rPr>
          <w:szCs w:val="24"/>
          <w:lang w:val="en-US"/>
        </w:rPr>
        <w:t>masturbation</w:t>
      </w:r>
      <w:r w:rsidR="00A80025">
        <w:rPr>
          <w:szCs w:val="24"/>
          <w:lang w:val="en-US"/>
        </w:rPr>
        <w:t xml:space="preserve"> (</w:t>
      </w:r>
      <w:proofErr w:type="spellStart"/>
      <w:r w:rsidR="00AD52F6">
        <w:rPr>
          <w:szCs w:val="24"/>
          <w:lang w:val="en-US"/>
        </w:rPr>
        <w:t>b</w:t>
      </w:r>
      <w:r w:rsidR="00AD52F6" w:rsidRPr="00232794">
        <w:rPr>
          <w:szCs w:val="24"/>
          <w:vertAlign w:val="subscript"/>
          <w:lang w:val="en-US"/>
        </w:rPr>
        <w:t>Belgium</w:t>
      </w:r>
      <w:proofErr w:type="spellEnd"/>
      <w:r w:rsidR="00AD52F6">
        <w:rPr>
          <w:szCs w:val="24"/>
          <w:lang w:val="en-US"/>
        </w:rPr>
        <w:t xml:space="preserve"> = -0.35;</w:t>
      </w:r>
      <w:r w:rsidR="006429B2" w:rsidRPr="006429B2">
        <w:rPr>
          <w:szCs w:val="24"/>
          <w:lang w:val="en-US"/>
        </w:rPr>
        <w:t xml:space="preserve"> </w:t>
      </w:r>
      <w:proofErr w:type="spellStart"/>
      <w:r w:rsidR="006429B2" w:rsidRPr="006429B2">
        <w:rPr>
          <w:szCs w:val="24"/>
          <w:lang w:val="en-US"/>
        </w:rPr>
        <w:t>b</w:t>
      </w:r>
      <w:r w:rsidR="006429B2" w:rsidRPr="00232794">
        <w:rPr>
          <w:szCs w:val="24"/>
          <w:vertAlign w:val="subscript"/>
          <w:lang w:val="en-US"/>
        </w:rPr>
        <w:t>Portugal</w:t>
      </w:r>
      <w:proofErr w:type="spellEnd"/>
      <w:r w:rsidR="006429B2" w:rsidRPr="006429B2">
        <w:rPr>
          <w:szCs w:val="24"/>
          <w:lang w:val="en-US"/>
        </w:rPr>
        <w:t xml:space="preserve"> =</w:t>
      </w:r>
      <w:r w:rsidR="006429B2">
        <w:rPr>
          <w:szCs w:val="24"/>
          <w:lang w:val="en-US"/>
        </w:rPr>
        <w:t xml:space="preserve"> -0.34; </w:t>
      </w:r>
      <w:proofErr w:type="spellStart"/>
      <w:r w:rsidR="006429B2">
        <w:rPr>
          <w:szCs w:val="24"/>
          <w:lang w:val="en-US"/>
        </w:rPr>
        <w:t>b</w:t>
      </w:r>
      <w:r w:rsidR="006429B2" w:rsidRPr="00B65E36">
        <w:rPr>
          <w:szCs w:val="24"/>
          <w:vertAlign w:val="subscript"/>
          <w:lang w:val="en-US"/>
        </w:rPr>
        <w:t>Denmark</w:t>
      </w:r>
      <w:proofErr w:type="spellEnd"/>
      <w:r w:rsidR="006429B2">
        <w:rPr>
          <w:szCs w:val="24"/>
          <w:lang w:val="en-US"/>
        </w:rPr>
        <w:t xml:space="preserve"> = -0.14</w:t>
      </w:r>
      <w:r w:rsidR="00247088">
        <w:rPr>
          <w:szCs w:val="24"/>
          <w:lang w:val="en-US"/>
        </w:rPr>
        <w:t>)</w:t>
      </w:r>
      <w:r w:rsidR="00A80025">
        <w:rPr>
          <w:szCs w:val="24"/>
          <w:lang w:val="en-US"/>
        </w:rPr>
        <w:t>.</w:t>
      </w:r>
      <w:r w:rsidR="00650035" w:rsidRPr="00650035">
        <w:rPr>
          <w:szCs w:val="24"/>
          <w:lang w:val="en-US"/>
        </w:rPr>
        <w:t xml:space="preserve"> </w:t>
      </w:r>
      <w:r w:rsidR="006D4644" w:rsidRPr="00B717F6">
        <w:rPr>
          <w:szCs w:val="24"/>
          <w:lang w:val="en-US"/>
        </w:rPr>
        <w:t>H</w:t>
      </w:r>
      <w:r w:rsidR="000C7E62" w:rsidRPr="00B717F6">
        <w:rPr>
          <w:szCs w:val="24"/>
          <w:lang w:val="en-US"/>
        </w:rPr>
        <w:t xml:space="preserve">igher levels of depression </w:t>
      </w:r>
      <w:r w:rsidR="003A4B59" w:rsidRPr="003A4B59">
        <w:rPr>
          <w:szCs w:val="24"/>
          <w:lang w:val="en-US"/>
        </w:rPr>
        <w:t xml:space="preserve">significantly predicted </w:t>
      </w:r>
      <w:r w:rsidR="006429B2">
        <w:rPr>
          <w:szCs w:val="24"/>
          <w:lang w:val="en-US"/>
        </w:rPr>
        <w:t>more frequent</w:t>
      </w:r>
      <w:r w:rsidR="003A4B59" w:rsidRPr="003A4B59">
        <w:rPr>
          <w:szCs w:val="24"/>
          <w:lang w:val="en-US"/>
        </w:rPr>
        <w:t xml:space="preserve"> </w:t>
      </w:r>
      <w:r w:rsidR="00573643" w:rsidRPr="00B717F6">
        <w:rPr>
          <w:szCs w:val="24"/>
          <w:lang w:val="en-US"/>
        </w:rPr>
        <w:t>masturbation</w:t>
      </w:r>
      <w:r w:rsidR="003A4B59">
        <w:rPr>
          <w:szCs w:val="24"/>
          <w:lang w:val="en-US"/>
        </w:rPr>
        <w:t xml:space="preserve"> in </w:t>
      </w:r>
      <w:r w:rsidR="0033317F">
        <w:rPr>
          <w:szCs w:val="24"/>
          <w:lang w:val="en-US"/>
        </w:rPr>
        <w:t>Belgian</w:t>
      </w:r>
      <w:r w:rsidR="00A80978">
        <w:rPr>
          <w:szCs w:val="24"/>
          <w:lang w:val="en-US"/>
        </w:rPr>
        <w:t xml:space="preserve"> (b = 0.43) and </w:t>
      </w:r>
      <w:r w:rsidR="003A4B59">
        <w:rPr>
          <w:szCs w:val="24"/>
          <w:lang w:val="en-US"/>
        </w:rPr>
        <w:t>Norwegian</w:t>
      </w:r>
      <w:r w:rsidR="00247088">
        <w:rPr>
          <w:szCs w:val="24"/>
          <w:lang w:val="en-US"/>
        </w:rPr>
        <w:t xml:space="preserve"> </w:t>
      </w:r>
      <w:r w:rsidR="00A80978">
        <w:rPr>
          <w:szCs w:val="24"/>
          <w:lang w:val="en-US"/>
        </w:rPr>
        <w:t xml:space="preserve">men </w:t>
      </w:r>
      <w:r w:rsidR="00247088">
        <w:rPr>
          <w:szCs w:val="24"/>
          <w:lang w:val="en-US"/>
        </w:rPr>
        <w:t>(b = 0.3</w:t>
      </w:r>
      <w:r w:rsidR="00A80978">
        <w:rPr>
          <w:szCs w:val="24"/>
          <w:lang w:val="en-US"/>
        </w:rPr>
        <w:t>6</w:t>
      </w:r>
      <w:r w:rsidR="00247088">
        <w:rPr>
          <w:szCs w:val="24"/>
          <w:lang w:val="en-US"/>
        </w:rPr>
        <w:t>)</w:t>
      </w:r>
      <w:r w:rsidR="00573643" w:rsidRPr="00B717F6">
        <w:rPr>
          <w:szCs w:val="24"/>
          <w:lang w:val="en-US"/>
        </w:rPr>
        <w:t xml:space="preserve">. </w:t>
      </w:r>
    </w:p>
    <w:p w14:paraId="509BDA77" w14:textId="546E023F" w:rsidR="00E00777" w:rsidRPr="00B717F6" w:rsidRDefault="00551804" w:rsidP="009C0C78">
      <w:pPr>
        <w:rPr>
          <w:szCs w:val="24"/>
          <w:lang w:val="en-US"/>
        </w:rPr>
      </w:pPr>
      <w:r w:rsidRPr="00B717F6">
        <w:rPr>
          <w:szCs w:val="24"/>
          <w:lang w:val="en-US"/>
        </w:rPr>
        <w:t xml:space="preserve">Regarding sexual satisfaction, we found that greater satisfaction with one’s level of sexual activity </w:t>
      </w:r>
      <w:r w:rsidR="003A4B59">
        <w:rPr>
          <w:szCs w:val="24"/>
          <w:lang w:val="en-US"/>
        </w:rPr>
        <w:t>significantly predicted</w:t>
      </w:r>
      <w:r w:rsidRPr="00B717F6">
        <w:rPr>
          <w:szCs w:val="24"/>
          <w:lang w:val="en-US"/>
        </w:rPr>
        <w:t xml:space="preserve"> </w:t>
      </w:r>
      <w:r w:rsidR="00A80978">
        <w:rPr>
          <w:szCs w:val="24"/>
          <w:lang w:val="en-US"/>
        </w:rPr>
        <w:t>lower</w:t>
      </w:r>
      <w:r w:rsidR="003A4B59">
        <w:rPr>
          <w:szCs w:val="24"/>
          <w:lang w:val="en-US"/>
        </w:rPr>
        <w:t xml:space="preserve"> levels </w:t>
      </w:r>
      <w:r w:rsidRPr="00B717F6">
        <w:rPr>
          <w:szCs w:val="24"/>
          <w:lang w:val="en-US"/>
        </w:rPr>
        <w:t xml:space="preserve">of masturbation in men across all four countries </w:t>
      </w:r>
      <w:r w:rsidRPr="00B717F6">
        <w:rPr>
          <w:szCs w:val="24"/>
          <w:shd w:val="clear" w:color="auto" w:fill="FFFFFF" w:themeFill="background1"/>
          <w:lang w:val="en-US"/>
        </w:rPr>
        <w:t>(</w:t>
      </w:r>
      <w:proofErr w:type="spellStart"/>
      <w:r w:rsidR="003A4B59">
        <w:rPr>
          <w:szCs w:val="24"/>
          <w:shd w:val="clear" w:color="auto" w:fill="FFFFFF" w:themeFill="background1"/>
          <w:lang w:val="en-US"/>
        </w:rPr>
        <w:t>b</w:t>
      </w:r>
      <w:r w:rsidR="003A4B59" w:rsidRPr="00B717F6">
        <w:rPr>
          <w:szCs w:val="24"/>
          <w:shd w:val="clear" w:color="auto" w:fill="FFFFFF" w:themeFill="background1"/>
          <w:vertAlign w:val="subscript"/>
          <w:lang w:val="en-US"/>
        </w:rPr>
        <w:t>Portugal</w:t>
      </w:r>
      <w:proofErr w:type="spellEnd"/>
      <w:r w:rsidR="003A4B59" w:rsidRPr="00B717F6">
        <w:rPr>
          <w:szCs w:val="24"/>
          <w:shd w:val="clear" w:color="auto" w:fill="FFFFFF" w:themeFill="background1"/>
          <w:vertAlign w:val="subscript"/>
          <w:lang w:val="en-US"/>
        </w:rPr>
        <w:t xml:space="preserve"> </w:t>
      </w:r>
      <w:r w:rsidRPr="00B717F6">
        <w:rPr>
          <w:szCs w:val="24"/>
          <w:shd w:val="clear" w:color="auto" w:fill="FFFFFF" w:themeFill="background1"/>
          <w:lang w:val="en-US"/>
        </w:rPr>
        <w:t xml:space="preserve">= </w:t>
      </w:r>
      <w:r w:rsidR="00247088">
        <w:rPr>
          <w:szCs w:val="24"/>
          <w:shd w:val="clear" w:color="auto" w:fill="FFFFFF" w:themeFill="background1"/>
          <w:lang w:val="en-US"/>
        </w:rPr>
        <w:t>-</w:t>
      </w:r>
      <w:r w:rsidRPr="00B717F6">
        <w:rPr>
          <w:szCs w:val="24"/>
          <w:shd w:val="clear" w:color="auto" w:fill="FFFFFF" w:themeFill="background1"/>
          <w:lang w:val="en-US"/>
        </w:rPr>
        <w:t>0.</w:t>
      </w:r>
      <w:r w:rsidR="00247088">
        <w:rPr>
          <w:szCs w:val="24"/>
          <w:shd w:val="clear" w:color="auto" w:fill="FFFFFF" w:themeFill="background1"/>
          <w:lang w:val="en-US"/>
        </w:rPr>
        <w:t>32</w:t>
      </w:r>
      <w:r w:rsidRPr="00B717F6">
        <w:rPr>
          <w:szCs w:val="24"/>
          <w:shd w:val="clear" w:color="auto" w:fill="FFFFFF" w:themeFill="background1"/>
          <w:lang w:val="en-US"/>
        </w:rPr>
        <w:t xml:space="preserve">; </w:t>
      </w:r>
      <w:proofErr w:type="spellStart"/>
      <w:r w:rsidR="003A4B59">
        <w:rPr>
          <w:szCs w:val="24"/>
          <w:shd w:val="clear" w:color="auto" w:fill="FFFFFF" w:themeFill="background1"/>
          <w:lang w:val="en-US"/>
        </w:rPr>
        <w:t>b</w:t>
      </w:r>
      <w:r w:rsidR="005540B8" w:rsidRPr="00B717F6">
        <w:rPr>
          <w:szCs w:val="24"/>
          <w:shd w:val="clear" w:color="auto" w:fill="FFFFFF" w:themeFill="background1"/>
          <w:vertAlign w:val="subscript"/>
          <w:lang w:val="en-US"/>
        </w:rPr>
        <w:t>Denmark</w:t>
      </w:r>
      <w:proofErr w:type="spellEnd"/>
      <w:r w:rsidRPr="00B717F6">
        <w:rPr>
          <w:szCs w:val="24"/>
          <w:shd w:val="clear" w:color="auto" w:fill="FFFFFF" w:themeFill="background1"/>
          <w:vertAlign w:val="subscript"/>
          <w:lang w:val="en-US"/>
        </w:rPr>
        <w:t xml:space="preserve"> </w:t>
      </w:r>
      <w:r w:rsidRPr="00B717F6">
        <w:rPr>
          <w:szCs w:val="24"/>
          <w:shd w:val="clear" w:color="auto" w:fill="FFFFFF" w:themeFill="background1"/>
          <w:lang w:val="en-US"/>
        </w:rPr>
        <w:t xml:space="preserve">= </w:t>
      </w:r>
      <w:r w:rsidR="00247088">
        <w:rPr>
          <w:szCs w:val="24"/>
          <w:shd w:val="clear" w:color="auto" w:fill="FFFFFF" w:themeFill="background1"/>
          <w:lang w:val="en-US"/>
        </w:rPr>
        <w:t>-</w:t>
      </w:r>
      <w:r w:rsidRPr="00B717F6">
        <w:rPr>
          <w:szCs w:val="24"/>
          <w:shd w:val="clear" w:color="auto" w:fill="FFFFFF" w:themeFill="background1"/>
          <w:lang w:val="en-US"/>
        </w:rPr>
        <w:t>0.</w:t>
      </w:r>
      <w:r w:rsidR="00247088">
        <w:rPr>
          <w:szCs w:val="24"/>
          <w:shd w:val="clear" w:color="auto" w:fill="FFFFFF" w:themeFill="background1"/>
          <w:lang w:val="en-US"/>
        </w:rPr>
        <w:t>30</w:t>
      </w:r>
      <w:r w:rsidRPr="00B717F6">
        <w:rPr>
          <w:szCs w:val="24"/>
          <w:shd w:val="clear" w:color="auto" w:fill="FFFFFF" w:themeFill="background1"/>
          <w:lang w:val="en-US"/>
        </w:rPr>
        <w:t xml:space="preserve">; </w:t>
      </w:r>
      <w:proofErr w:type="spellStart"/>
      <w:r w:rsidR="003A4B59">
        <w:rPr>
          <w:szCs w:val="24"/>
          <w:shd w:val="clear" w:color="auto" w:fill="FFFFFF" w:themeFill="background1"/>
          <w:lang w:val="en-US"/>
        </w:rPr>
        <w:t>b</w:t>
      </w:r>
      <w:r w:rsidR="005540B8" w:rsidRPr="00B717F6">
        <w:rPr>
          <w:szCs w:val="24"/>
          <w:shd w:val="clear" w:color="auto" w:fill="FFFFFF" w:themeFill="background1"/>
          <w:vertAlign w:val="subscript"/>
          <w:lang w:val="en-US"/>
        </w:rPr>
        <w:t>Norway</w:t>
      </w:r>
      <w:proofErr w:type="spellEnd"/>
      <w:r w:rsidRPr="00B717F6">
        <w:rPr>
          <w:szCs w:val="24"/>
          <w:shd w:val="clear" w:color="auto" w:fill="FFFFFF" w:themeFill="background1"/>
          <w:lang w:val="en-US"/>
        </w:rPr>
        <w:t xml:space="preserve"> = </w:t>
      </w:r>
      <w:r w:rsidR="00247088">
        <w:rPr>
          <w:szCs w:val="24"/>
          <w:shd w:val="clear" w:color="auto" w:fill="FFFFFF" w:themeFill="background1"/>
          <w:lang w:val="en-US"/>
        </w:rPr>
        <w:t>-</w:t>
      </w:r>
      <w:r w:rsidRPr="00B717F6">
        <w:rPr>
          <w:szCs w:val="24"/>
          <w:shd w:val="clear" w:color="auto" w:fill="FFFFFF" w:themeFill="background1"/>
          <w:lang w:val="en-US"/>
        </w:rPr>
        <w:t>0.</w:t>
      </w:r>
      <w:r w:rsidR="003B6B40">
        <w:rPr>
          <w:szCs w:val="24"/>
          <w:shd w:val="clear" w:color="auto" w:fill="FFFFFF" w:themeFill="background1"/>
          <w:lang w:val="en-US"/>
        </w:rPr>
        <w:t>27</w:t>
      </w:r>
      <w:r w:rsidRPr="00B717F6">
        <w:rPr>
          <w:szCs w:val="24"/>
          <w:shd w:val="clear" w:color="auto" w:fill="FFFFFF" w:themeFill="background1"/>
          <w:lang w:val="en-US"/>
        </w:rPr>
        <w:t xml:space="preserve">; </w:t>
      </w:r>
      <w:proofErr w:type="spellStart"/>
      <w:r w:rsidR="003A4B59">
        <w:rPr>
          <w:szCs w:val="24"/>
          <w:shd w:val="clear" w:color="auto" w:fill="FFFFFF" w:themeFill="background1"/>
          <w:lang w:val="en-US"/>
        </w:rPr>
        <w:t>b</w:t>
      </w:r>
      <w:r w:rsidR="003A4B59" w:rsidRPr="00B717F6">
        <w:rPr>
          <w:szCs w:val="24"/>
          <w:shd w:val="clear" w:color="auto" w:fill="FFFFFF" w:themeFill="background1"/>
          <w:vertAlign w:val="subscript"/>
          <w:lang w:val="en-US"/>
        </w:rPr>
        <w:t>Belgium</w:t>
      </w:r>
      <w:proofErr w:type="spellEnd"/>
      <w:r w:rsidR="003A4B59" w:rsidRPr="00B717F6">
        <w:rPr>
          <w:szCs w:val="24"/>
          <w:shd w:val="clear" w:color="auto" w:fill="FFFFFF" w:themeFill="background1"/>
          <w:lang w:val="en-US"/>
        </w:rPr>
        <w:t xml:space="preserve"> </w:t>
      </w:r>
      <w:r w:rsidRPr="00B717F6">
        <w:rPr>
          <w:szCs w:val="24"/>
          <w:shd w:val="clear" w:color="auto" w:fill="FFFFFF" w:themeFill="background1"/>
          <w:lang w:val="en-US"/>
        </w:rPr>
        <w:t xml:space="preserve">= </w:t>
      </w:r>
      <w:r w:rsidR="00247088">
        <w:rPr>
          <w:szCs w:val="24"/>
          <w:shd w:val="clear" w:color="auto" w:fill="FFFFFF" w:themeFill="background1"/>
          <w:lang w:val="en-US"/>
        </w:rPr>
        <w:t>-</w:t>
      </w:r>
      <w:r w:rsidRPr="00B717F6">
        <w:rPr>
          <w:szCs w:val="24"/>
          <w:shd w:val="clear" w:color="auto" w:fill="FFFFFF" w:themeFill="background1"/>
          <w:lang w:val="en-US"/>
        </w:rPr>
        <w:t>0.</w:t>
      </w:r>
      <w:r w:rsidR="00247088">
        <w:rPr>
          <w:szCs w:val="24"/>
          <w:shd w:val="clear" w:color="auto" w:fill="FFFFFF" w:themeFill="background1"/>
          <w:lang w:val="en-US"/>
        </w:rPr>
        <w:t>16</w:t>
      </w:r>
      <w:r w:rsidRPr="00B717F6">
        <w:rPr>
          <w:szCs w:val="24"/>
          <w:lang w:val="en-US"/>
        </w:rPr>
        <w:t xml:space="preserve">). </w:t>
      </w:r>
      <w:r w:rsidR="00353B6A">
        <w:rPr>
          <w:szCs w:val="24"/>
          <w:lang w:val="en-US"/>
        </w:rPr>
        <w:t xml:space="preserve">Compared to </w:t>
      </w:r>
      <w:r w:rsidRPr="00B717F6">
        <w:rPr>
          <w:szCs w:val="24"/>
          <w:lang w:val="en-US"/>
        </w:rPr>
        <w:t>Danish men</w:t>
      </w:r>
      <w:r w:rsidR="006429B2">
        <w:rPr>
          <w:szCs w:val="24"/>
          <w:lang w:val="en-US"/>
        </w:rPr>
        <w:t>,</w:t>
      </w:r>
      <w:r w:rsidR="00353B6A">
        <w:rPr>
          <w:szCs w:val="24"/>
          <w:lang w:val="en-US"/>
        </w:rPr>
        <w:t xml:space="preserve"> where </w:t>
      </w:r>
      <w:r w:rsidRPr="00B717F6">
        <w:rPr>
          <w:szCs w:val="24"/>
          <w:lang w:val="en-US"/>
        </w:rPr>
        <w:t xml:space="preserve">intercourse activity </w:t>
      </w:r>
      <w:r w:rsidR="00353B6A">
        <w:rPr>
          <w:szCs w:val="24"/>
          <w:lang w:val="en-US"/>
        </w:rPr>
        <w:t>was associated with less masturbation</w:t>
      </w:r>
      <w:r w:rsidR="003B6B40">
        <w:rPr>
          <w:szCs w:val="24"/>
          <w:lang w:val="en-US"/>
        </w:rPr>
        <w:t xml:space="preserve"> (b = -0.16</w:t>
      </w:r>
      <w:r w:rsidR="006429B2">
        <w:rPr>
          <w:szCs w:val="24"/>
          <w:lang w:val="en-US"/>
        </w:rPr>
        <w:t>)</w:t>
      </w:r>
      <w:r w:rsidR="00353B6A">
        <w:rPr>
          <w:szCs w:val="24"/>
          <w:lang w:val="en-US"/>
        </w:rPr>
        <w:t xml:space="preserve">, </w:t>
      </w:r>
      <w:r w:rsidR="00353B6A" w:rsidRPr="00353B6A">
        <w:rPr>
          <w:szCs w:val="24"/>
          <w:lang w:val="en-US"/>
        </w:rPr>
        <w:t xml:space="preserve">the opposite relationship was found among </w:t>
      </w:r>
      <w:r w:rsidR="00353B6A">
        <w:rPr>
          <w:szCs w:val="24"/>
          <w:lang w:val="en-US"/>
        </w:rPr>
        <w:t>men</w:t>
      </w:r>
      <w:r w:rsidR="00353B6A" w:rsidRPr="00353B6A">
        <w:rPr>
          <w:szCs w:val="24"/>
          <w:lang w:val="en-US"/>
        </w:rPr>
        <w:t xml:space="preserve"> </w:t>
      </w:r>
      <w:r w:rsidR="00353B6A">
        <w:rPr>
          <w:szCs w:val="24"/>
          <w:lang w:val="en-US"/>
        </w:rPr>
        <w:t xml:space="preserve">in Portugal (b = </w:t>
      </w:r>
      <w:r w:rsidR="006429B2">
        <w:rPr>
          <w:szCs w:val="24"/>
          <w:lang w:val="en-US"/>
        </w:rPr>
        <w:t>0.25</w:t>
      </w:r>
      <w:r w:rsidR="00353B6A">
        <w:rPr>
          <w:szCs w:val="24"/>
          <w:lang w:val="en-US"/>
        </w:rPr>
        <w:t xml:space="preserve">). </w:t>
      </w:r>
      <w:r w:rsidR="003C54FE" w:rsidRPr="00B717F6">
        <w:rPr>
          <w:szCs w:val="24"/>
          <w:lang w:val="en-US"/>
        </w:rPr>
        <w:t xml:space="preserve">With respect to sexual attitudes, several patterns of findings emerged. </w:t>
      </w:r>
      <w:r w:rsidR="00910A3C">
        <w:rPr>
          <w:szCs w:val="24"/>
          <w:lang w:val="en-US"/>
        </w:rPr>
        <w:t>B</w:t>
      </w:r>
      <w:r w:rsidR="00846322" w:rsidRPr="00B717F6">
        <w:rPr>
          <w:szCs w:val="24"/>
          <w:lang w:val="en-US"/>
        </w:rPr>
        <w:t>elieving</w:t>
      </w:r>
      <w:r w:rsidR="00E93CD8" w:rsidRPr="00B717F6">
        <w:rPr>
          <w:szCs w:val="24"/>
          <w:lang w:val="en-US"/>
        </w:rPr>
        <w:t xml:space="preserve"> </w:t>
      </w:r>
      <w:r w:rsidR="00846322" w:rsidRPr="00B717F6">
        <w:rPr>
          <w:szCs w:val="24"/>
          <w:lang w:val="en-US"/>
        </w:rPr>
        <w:t xml:space="preserve">that </w:t>
      </w:r>
      <w:r w:rsidR="00E93CD8" w:rsidRPr="00B717F6">
        <w:rPr>
          <w:szCs w:val="24"/>
          <w:lang w:val="en-US"/>
        </w:rPr>
        <w:t>sex should happen within a loving relationship</w:t>
      </w:r>
      <w:r w:rsidR="00910A3C">
        <w:rPr>
          <w:szCs w:val="24"/>
          <w:lang w:val="en-US"/>
        </w:rPr>
        <w:t xml:space="preserve"> was significantly and negatively related to the level of</w:t>
      </w:r>
      <w:r w:rsidR="00846322" w:rsidRPr="00B717F6">
        <w:rPr>
          <w:szCs w:val="24"/>
          <w:lang w:val="en-US"/>
        </w:rPr>
        <w:t xml:space="preserve"> </w:t>
      </w:r>
      <w:r w:rsidR="00E76BBA" w:rsidRPr="00B717F6">
        <w:rPr>
          <w:szCs w:val="24"/>
          <w:lang w:val="en-US"/>
        </w:rPr>
        <w:t xml:space="preserve">reported </w:t>
      </w:r>
      <w:r w:rsidR="00846322" w:rsidRPr="00B717F6">
        <w:rPr>
          <w:szCs w:val="24"/>
          <w:lang w:val="en-US"/>
        </w:rPr>
        <w:t xml:space="preserve">masturbation </w:t>
      </w:r>
      <w:r w:rsidR="00F859EE">
        <w:rPr>
          <w:szCs w:val="24"/>
          <w:lang w:val="en-US"/>
        </w:rPr>
        <w:t>f</w:t>
      </w:r>
      <w:r w:rsidR="00F859EE" w:rsidRPr="00F859EE">
        <w:rPr>
          <w:szCs w:val="24"/>
          <w:lang w:val="en-US"/>
        </w:rPr>
        <w:t>or all men</w:t>
      </w:r>
      <w:r w:rsidR="006429B2">
        <w:rPr>
          <w:szCs w:val="24"/>
          <w:lang w:val="en-US"/>
        </w:rPr>
        <w:t xml:space="preserve"> </w:t>
      </w:r>
      <w:r w:rsidR="006429B2" w:rsidRPr="00B717F6">
        <w:rPr>
          <w:szCs w:val="24"/>
          <w:lang w:val="en-US"/>
        </w:rPr>
        <w:t>(</w:t>
      </w:r>
      <w:proofErr w:type="spellStart"/>
      <w:r w:rsidR="006429B2">
        <w:rPr>
          <w:szCs w:val="24"/>
          <w:shd w:val="clear" w:color="auto" w:fill="FFFFFF" w:themeFill="background1"/>
          <w:lang w:val="en-US"/>
        </w:rPr>
        <w:t>b</w:t>
      </w:r>
      <w:r w:rsidR="006429B2" w:rsidRPr="00B717F6">
        <w:rPr>
          <w:szCs w:val="24"/>
          <w:shd w:val="clear" w:color="auto" w:fill="FFFFFF" w:themeFill="background1"/>
          <w:vertAlign w:val="subscript"/>
          <w:lang w:val="en-US"/>
        </w:rPr>
        <w:t>Norway</w:t>
      </w:r>
      <w:proofErr w:type="spellEnd"/>
      <w:r w:rsidR="006429B2" w:rsidRPr="00B717F6">
        <w:rPr>
          <w:szCs w:val="24"/>
          <w:shd w:val="clear" w:color="auto" w:fill="FFFFFF" w:themeFill="background1"/>
          <w:lang w:val="en-US"/>
        </w:rPr>
        <w:t xml:space="preserve"> = </w:t>
      </w:r>
      <w:r w:rsidR="006429B2">
        <w:rPr>
          <w:szCs w:val="24"/>
          <w:shd w:val="clear" w:color="auto" w:fill="FFFFFF" w:themeFill="background1"/>
          <w:lang w:val="en-US"/>
        </w:rPr>
        <w:t>-</w:t>
      </w:r>
      <w:r w:rsidR="006429B2" w:rsidRPr="00B717F6">
        <w:rPr>
          <w:szCs w:val="24"/>
          <w:shd w:val="clear" w:color="auto" w:fill="FFFFFF" w:themeFill="background1"/>
          <w:lang w:val="en-US"/>
        </w:rPr>
        <w:t>0.</w:t>
      </w:r>
      <w:r w:rsidR="003B6B40">
        <w:rPr>
          <w:szCs w:val="24"/>
          <w:shd w:val="clear" w:color="auto" w:fill="FFFFFF" w:themeFill="background1"/>
          <w:lang w:val="en-US"/>
        </w:rPr>
        <w:t>34</w:t>
      </w:r>
      <w:r w:rsidR="006429B2" w:rsidRPr="00B717F6">
        <w:rPr>
          <w:szCs w:val="24"/>
          <w:shd w:val="clear" w:color="auto" w:fill="FFFFFF" w:themeFill="background1"/>
          <w:lang w:val="en-US"/>
        </w:rPr>
        <w:t xml:space="preserve">; </w:t>
      </w:r>
      <w:proofErr w:type="spellStart"/>
      <w:r w:rsidR="006429B2" w:rsidRPr="006429B2">
        <w:rPr>
          <w:szCs w:val="24"/>
          <w:shd w:val="clear" w:color="auto" w:fill="FFFFFF" w:themeFill="background1"/>
          <w:lang w:val="en-US"/>
        </w:rPr>
        <w:t>b</w:t>
      </w:r>
      <w:r w:rsidR="006429B2" w:rsidRPr="00232794">
        <w:rPr>
          <w:szCs w:val="24"/>
          <w:shd w:val="clear" w:color="auto" w:fill="FFFFFF" w:themeFill="background1"/>
          <w:vertAlign w:val="subscript"/>
          <w:lang w:val="en-US"/>
        </w:rPr>
        <w:t>Denmark</w:t>
      </w:r>
      <w:proofErr w:type="spellEnd"/>
      <w:r w:rsidR="006429B2" w:rsidRPr="006429B2">
        <w:rPr>
          <w:szCs w:val="24"/>
          <w:shd w:val="clear" w:color="auto" w:fill="FFFFFF" w:themeFill="background1"/>
          <w:lang w:val="en-US"/>
        </w:rPr>
        <w:t xml:space="preserve"> = </w:t>
      </w:r>
      <w:r w:rsidR="000A1A72">
        <w:rPr>
          <w:szCs w:val="24"/>
          <w:shd w:val="clear" w:color="auto" w:fill="FFFFFF" w:themeFill="background1"/>
          <w:lang w:val="en-US"/>
        </w:rPr>
        <w:t>-</w:t>
      </w:r>
      <w:r w:rsidR="006429B2" w:rsidRPr="006429B2">
        <w:rPr>
          <w:szCs w:val="24"/>
          <w:shd w:val="clear" w:color="auto" w:fill="FFFFFF" w:themeFill="background1"/>
          <w:lang w:val="en-US"/>
        </w:rPr>
        <w:t>0.</w:t>
      </w:r>
      <w:r w:rsidR="000A1A72">
        <w:rPr>
          <w:szCs w:val="24"/>
          <w:shd w:val="clear" w:color="auto" w:fill="FFFFFF" w:themeFill="background1"/>
          <w:lang w:val="en-US"/>
        </w:rPr>
        <w:t xml:space="preserve">20; </w:t>
      </w:r>
      <w:proofErr w:type="spellStart"/>
      <w:r w:rsidR="006429B2">
        <w:rPr>
          <w:szCs w:val="24"/>
          <w:shd w:val="clear" w:color="auto" w:fill="FFFFFF" w:themeFill="background1"/>
          <w:lang w:val="en-US"/>
        </w:rPr>
        <w:t>b</w:t>
      </w:r>
      <w:r w:rsidR="003B6B40">
        <w:rPr>
          <w:szCs w:val="24"/>
          <w:shd w:val="clear" w:color="auto" w:fill="FFFFFF" w:themeFill="background1"/>
          <w:vertAlign w:val="subscript"/>
          <w:lang w:val="en-US"/>
        </w:rPr>
        <w:t>Belgium</w:t>
      </w:r>
      <w:proofErr w:type="spellEnd"/>
      <w:r w:rsidR="006429B2" w:rsidRPr="00B717F6">
        <w:rPr>
          <w:szCs w:val="24"/>
          <w:shd w:val="clear" w:color="auto" w:fill="FFFFFF" w:themeFill="background1"/>
          <w:lang w:val="en-US"/>
        </w:rPr>
        <w:t xml:space="preserve"> = </w:t>
      </w:r>
      <w:r w:rsidR="000A1A72">
        <w:rPr>
          <w:szCs w:val="24"/>
          <w:shd w:val="clear" w:color="auto" w:fill="FFFFFF" w:themeFill="background1"/>
          <w:lang w:val="en-US"/>
        </w:rPr>
        <w:t>-</w:t>
      </w:r>
      <w:r w:rsidR="006429B2" w:rsidRPr="00B717F6">
        <w:rPr>
          <w:szCs w:val="24"/>
          <w:shd w:val="clear" w:color="auto" w:fill="FFFFFF" w:themeFill="background1"/>
          <w:lang w:val="en-US"/>
        </w:rPr>
        <w:t>0.</w:t>
      </w:r>
      <w:r w:rsidR="000A1A72">
        <w:rPr>
          <w:szCs w:val="24"/>
          <w:shd w:val="clear" w:color="auto" w:fill="FFFFFF" w:themeFill="background1"/>
          <w:lang w:val="en-US"/>
        </w:rPr>
        <w:t>1</w:t>
      </w:r>
      <w:r w:rsidR="003B6B40">
        <w:rPr>
          <w:szCs w:val="24"/>
          <w:shd w:val="clear" w:color="auto" w:fill="FFFFFF" w:themeFill="background1"/>
          <w:lang w:val="en-US"/>
        </w:rPr>
        <w:t>8</w:t>
      </w:r>
      <w:r w:rsidR="006429B2" w:rsidRPr="00B717F6">
        <w:rPr>
          <w:szCs w:val="24"/>
          <w:shd w:val="clear" w:color="auto" w:fill="FFFFFF" w:themeFill="background1"/>
          <w:lang w:val="en-US"/>
        </w:rPr>
        <w:t>)</w:t>
      </w:r>
      <w:r w:rsidR="006429B2">
        <w:rPr>
          <w:szCs w:val="24"/>
          <w:lang w:val="en-US"/>
        </w:rPr>
        <w:t>, except those in Portugal</w:t>
      </w:r>
      <w:r w:rsidR="00C33860" w:rsidRPr="00B717F6">
        <w:rPr>
          <w:szCs w:val="24"/>
          <w:lang w:val="en-US"/>
        </w:rPr>
        <w:t>.</w:t>
      </w:r>
      <w:r w:rsidR="00801BC9" w:rsidRPr="00B717F6">
        <w:rPr>
          <w:szCs w:val="24"/>
          <w:lang w:val="en-US"/>
        </w:rPr>
        <w:t xml:space="preserve"> L</w:t>
      </w:r>
      <w:r w:rsidR="00F55366" w:rsidRPr="00B717F6">
        <w:rPr>
          <w:szCs w:val="24"/>
          <w:lang w:val="en-US"/>
        </w:rPr>
        <w:t>ess permissive</w:t>
      </w:r>
      <w:r w:rsidR="00B26C0E" w:rsidRPr="00B717F6">
        <w:rPr>
          <w:szCs w:val="24"/>
          <w:lang w:val="en-US"/>
        </w:rPr>
        <w:t xml:space="preserve"> </w:t>
      </w:r>
      <w:r w:rsidR="002A1171" w:rsidRPr="00B717F6">
        <w:rPr>
          <w:szCs w:val="24"/>
          <w:lang w:val="en-US"/>
        </w:rPr>
        <w:t>attitude</w:t>
      </w:r>
      <w:r w:rsidR="00801BC9" w:rsidRPr="00B717F6">
        <w:rPr>
          <w:szCs w:val="24"/>
          <w:lang w:val="en-US"/>
        </w:rPr>
        <w:t>s</w:t>
      </w:r>
      <w:r w:rsidR="00B26C0E" w:rsidRPr="00B717F6">
        <w:rPr>
          <w:szCs w:val="24"/>
          <w:lang w:val="en-US"/>
        </w:rPr>
        <w:t xml:space="preserve"> towards sexuality in </w:t>
      </w:r>
      <w:r w:rsidR="00F62EE6" w:rsidRPr="00B717F6">
        <w:rPr>
          <w:szCs w:val="24"/>
          <w:lang w:val="en-US"/>
        </w:rPr>
        <w:t>modern</w:t>
      </w:r>
      <w:r w:rsidR="00B26C0E" w:rsidRPr="00B717F6">
        <w:rPr>
          <w:szCs w:val="24"/>
          <w:lang w:val="en-US"/>
        </w:rPr>
        <w:t xml:space="preserve"> society </w:t>
      </w:r>
      <w:r w:rsidR="00910A3C">
        <w:rPr>
          <w:szCs w:val="24"/>
          <w:lang w:val="en-US"/>
        </w:rPr>
        <w:t>w</w:t>
      </w:r>
      <w:r w:rsidR="007606B9">
        <w:rPr>
          <w:szCs w:val="24"/>
          <w:lang w:val="en-US"/>
        </w:rPr>
        <w:t>ere</w:t>
      </w:r>
      <w:r w:rsidR="00910A3C">
        <w:rPr>
          <w:szCs w:val="24"/>
          <w:lang w:val="en-US"/>
        </w:rPr>
        <w:t xml:space="preserve"> negatively associated with</w:t>
      </w:r>
      <w:r w:rsidR="00B26C0E" w:rsidRPr="00B717F6">
        <w:rPr>
          <w:szCs w:val="24"/>
          <w:lang w:val="en-US"/>
        </w:rPr>
        <w:t xml:space="preserve"> masturbation activity in </w:t>
      </w:r>
      <w:r w:rsidR="005540B8" w:rsidRPr="00B717F6">
        <w:rPr>
          <w:szCs w:val="24"/>
          <w:lang w:val="en-US"/>
        </w:rPr>
        <w:t>Norwegian</w:t>
      </w:r>
      <w:r w:rsidR="00910A3C">
        <w:rPr>
          <w:szCs w:val="24"/>
          <w:lang w:val="en-US"/>
        </w:rPr>
        <w:t xml:space="preserve"> men (b</w:t>
      </w:r>
      <w:r w:rsidR="005540B8" w:rsidRPr="00B717F6">
        <w:rPr>
          <w:szCs w:val="24"/>
          <w:lang w:val="en-US"/>
        </w:rPr>
        <w:t xml:space="preserve"> = </w:t>
      </w:r>
      <w:r w:rsidR="000A1A72">
        <w:rPr>
          <w:szCs w:val="24"/>
          <w:lang w:val="en-US"/>
        </w:rPr>
        <w:t>-</w:t>
      </w:r>
      <w:r w:rsidR="005540B8" w:rsidRPr="00B717F6">
        <w:rPr>
          <w:szCs w:val="24"/>
          <w:lang w:val="en-US"/>
        </w:rPr>
        <w:t>0.</w:t>
      </w:r>
      <w:r w:rsidR="003B6B40">
        <w:rPr>
          <w:szCs w:val="24"/>
          <w:lang w:val="en-US"/>
        </w:rPr>
        <w:t>22</w:t>
      </w:r>
      <w:r w:rsidR="00910A3C">
        <w:rPr>
          <w:szCs w:val="24"/>
          <w:lang w:val="en-US"/>
        </w:rPr>
        <w:t>)</w:t>
      </w:r>
      <w:r w:rsidR="002A1171" w:rsidRPr="00B717F6">
        <w:rPr>
          <w:szCs w:val="24"/>
          <w:lang w:val="en-US"/>
        </w:rPr>
        <w:t>.</w:t>
      </w:r>
      <w:r w:rsidR="007F70E9" w:rsidRPr="00B717F6">
        <w:rPr>
          <w:szCs w:val="24"/>
          <w:lang w:val="en-US"/>
        </w:rPr>
        <w:t xml:space="preserve"> </w:t>
      </w:r>
      <w:r w:rsidR="000A1A72">
        <w:rPr>
          <w:szCs w:val="24"/>
          <w:lang w:val="en-US"/>
        </w:rPr>
        <w:t xml:space="preserve">Danish </w:t>
      </w:r>
      <w:r w:rsidR="008D5A67" w:rsidRPr="00B717F6">
        <w:rPr>
          <w:szCs w:val="24"/>
          <w:lang w:val="en-US"/>
        </w:rPr>
        <w:t>men who had less positive attitudes towards later life sexuality</w:t>
      </w:r>
      <w:r w:rsidR="009D0F43" w:rsidRPr="00B717F6">
        <w:rPr>
          <w:szCs w:val="24"/>
          <w:lang w:val="en-US"/>
        </w:rPr>
        <w:t xml:space="preserve"> were less likely to report </w:t>
      </w:r>
      <w:r w:rsidR="00F859EE">
        <w:rPr>
          <w:szCs w:val="24"/>
          <w:lang w:val="en-US"/>
        </w:rPr>
        <w:t xml:space="preserve">frequent </w:t>
      </w:r>
      <w:r w:rsidR="009D0F43" w:rsidRPr="00B717F6">
        <w:rPr>
          <w:szCs w:val="24"/>
          <w:lang w:val="en-US"/>
        </w:rPr>
        <w:t xml:space="preserve">masturbation than </w:t>
      </w:r>
      <w:r w:rsidR="00B33E0D" w:rsidRPr="00B717F6">
        <w:rPr>
          <w:szCs w:val="24"/>
          <w:lang w:val="en-US"/>
        </w:rPr>
        <w:t>those who did not endorse these attitudes</w:t>
      </w:r>
      <w:r w:rsidR="00E00777" w:rsidRPr="00B717F6">
        <w:rPr>
          <w:szCs w:val="24"/>
          <w:lang w:val="en-US"/>
        </w:rPr>
        <w:t xml:space="preserve"> </w:t>
      </w:r>
      <w:r w:rsidR="004070F1" w:rsidRPr="00B717F6">
        <w:rPr>
          <w:szCs w:val="24"/>
          <w:shd w:val="clear" w:color="auto" w:fill="FFFFFF" w:themeFill="background1"/>
          <w:lang w:val="en-US"/>
        </w:rPr>
        <w:t>(</w:t>
      </w:r>
      <w:r w:rsidR="00F859EE">
        <w:rPr>
          <w:szCs w:val="24"/>
          <w:shd w:val="clear" w:color="auto" w:fill="FFFFFF" w:themeFill="background1"/>
          <w:lang w:val="en-US"/>
        </w:rPr>
        <w:t>b</w:t>
      </w:r>
      <w:r w:rsidR="004070F1" w:rsidRPr="00B717F6">
        <w:rPr>
          <w:szCs w:val="24"/>
          <w:shd w:val="clear" w:color="auto" w:fill="FFFFFF" w:themeFill="background1"/>
          <w:lang w:val="en-US"/>
        </w:rPr>
        <w:t xml:space="preserve"> = </w:t>
      </w:r>
      <w:r w:rsidR="000A1A72">
        <w:rPr>
          <w:szCs w:val="24"/>
          <w:shd w:val="clear" w:color="auto" w:fill="FFFFFF" w:themeFill="background1"/>
          <w:lang w:val="en-US"/>
        </w:rPr>
        <w:t>-</w:t>
      </w:r>
      <w:r w:rsidR="006A0578" w:rsidRPr="00B717F6">
        <w:rPr>
          <w:szCs w:val="24"/>
          <w:shd w:val="clear" w:color="auto" w:fill="FFFFFF" w:themeFill="background1"/>
          <w:lang w:val="en-US"/>
        </w:rPr>
        <w:t>0</w:t>
      </w:r>
      <w:r w:rsidR="004070F1" w:rsidRPr="00B717F6">
        <w:rPr>
          <w:szCs w:val="24"/>
          <w:shd w:val="clear" w:color="auto" w:fill="FFFFFF" w:themeFill="background1"/>
          <w:lang w:val="en-US"/>
        </w:rPr>
        <w:t>.</w:t>
      </w:r>
      <w:r w:rsidR="000A1A72">
        <w:rPr>
          <w:szCs w:val="24"/>
          <w:shd w:val="clear" w:color="auto" w:fill="FFFFFF" w:themeFill="background1"/>
          <w:lang w:val="en-US"/>
        </w:rPr>
        <w:t>21</w:t>
      </w:r>
      <w:r w:rsidR="004070F1" w:rsidRPr="00B717F6">
        <w:rPr>
          <w:szCs w:val="24"/>
          <w:lang w:val="en-US"/>
        </w:rPr>
        <w:t xml:space="preserve">). </w:t>
      </w:r>
      <w:r w:rsidR="00E00777" w:rsidRPr="00B717F6">
        <w:rPr>
          <w:szCs w:val="24"/>
          <w:lang w:val="en-US"/>
        </w:rPr>
        <w:t xml:space="preserve">Finally, believing that sexual activity is </w:t>
      </w:r>
      <w:r w:rsidR="00375CE7" w:rsidRPr="00B717F6">
        <w:rPr>
          <w:szCs w:val="24"/>
          <w:lang w:val="en-US"/>
        </w:rPr>
        <w:t>beneficial</w:t>
      </w:r>
      <w:r w:rsidR="00E00777" w:rsidRPr="00B717F6">
        <w:rPr>
          <w:szCs w:val="24"/>
          <w:lang w:val="en-US"/>
        </w:rPr>
        <w:t xml:space="preserve"> for older people </w:t>
      </w:r>
      <w:r w:rsidR="00F859EE">
        <w:rPr>
          <w:szCs w:val="24"/>
          <w:lang w:val="en-US"/>
        </w:rPr>
        <w:t>predicted higher levels of</w:t>
      </w:r>
      <w:r w:rsidR="00E00777" w:rsidRPr="00B717F6">
        <w:rPr>
          <w:szCs w:val="24"/>
          <w:lang w:val="en-US"/>
        </w:rPr>
        <w:t xml:space="preserve"> reported masturbation </w:t>
      </w:r>
      <w:r w:rsidR="003000FD" w:rsidRPr="00B717F6">
        <w:rPr>
          <w:szCs w:val="24"/>
          <w:lang w:val="en-US"/>
        </w:rPr>
        <w:t xml:space="preserve">in </w:t>
      </w:r>
      <w:r w:rsidR="00F859EE">
        <w:rPr>
          <w:szCs w:val="24"/>
          <w:lang w:val="en-US"/>
        </w:rPr>
        <w:t>Danish</w:t>
      </w:r>
      <w:r w:rsidR="000A1A72">
        <w:rPr>
          <w:szCs w:val="24"/>
          <w:lang w:val="en-US"/>
        </w:rPr>
        <w:t xml:space="preserve"> (b =</w:t>
      </w:r>
      <w:r w:rsidR="00C13D3A">
        <w:rPr>
          <w:szCs w:val="24"/>
          <w:lang w:val="en-US"/>
        </w:rPr>
        <w:t xml:space="preserve"> </w:t>
      </w:r>
      <w:r w:rsidR="000A1A72">
        <w:rPr>
          <w:szCs w:val="24"/>
          <w:lang w:val="en-US"/>
        </w:rPr>
        <w:t>0.41)</w:t>
      </w:r>
      <w:r w:rsidR="00F859EE">
        <w:rPr>
          <w:szCs w:val="24"/>
          <w:lang w:val="en-US"/>
        </w:rPr>
        <w:t xml:space="preserve"> and </w:t>
      </w:r>
      <w:r w:rsidR="00C02B6C" w:rsidRPr="00B717F6">
        <w:rPr>
          <w:szCs w:val="24"/>
          <w:lang w:val="en-US"/>
        </w:rPr>
        <w:t>Belgian men</w:t>
      </w:r>
      <w:r w:rsidR="000A1A72">
        <w:rPr>
          <w:szCs w:val="24"/>
          <w:lang w:val="en-US"/>
        </w:rPr>
        <w:t xml:space="preserve"> (b = 0</w:t>
      </w:r>
      <w:r w:rsidR="00F859EE">
        <w:rPr>
          <w:szCs w:val="24"/>
          <w:lang w:val="en-US"/>
        </w:rPr>
        <w:t>.</w:t>
      </w:r>
      <w:r w:rsidR="000A1A72">
        <w:rPr>
          <w:szCs w:val="24"/>
          <w:lang w:val="en-US"/>
        </w:rPr>
        <w:t>2</w:t>
      </w:r>
      <w:r w:rsidR="00C13D3A">
        <w:rPr>
          <w:szCs w:val="24"/>
          <w:lang w:val="en-US"/>
        </w:rPr>
        <w:t>4</w:t>
      </w:r>
      <w:r w:rsidR="000A1A72">
        <w:rPr>
          <w:szCs w:val="24"/>
          <w:lang w:val="en-US"/>
        </w:rPr>
        <w:t>).</w:t>
      </w:r>
    </w:p>
    <w:p w14:paraId="12563970" w14:textId="52FB5FD2" w:rsidR="0036674D" w:rsidRPr="00B717F6" w:rsidRDefault="00551804" w:rsidP="00232794">
      <w:pPr>
        <w:ind w:firstLine="708"/>
        <w:rPr>
          <w:szCs w:val="24"/>
          <w:lang w:val="en-US"/>
        </w:rPr>
      </w:pPr>
      <w:r w:rsidRPr="00B717F6">
        <w:rPr>
          <w:szCs w:val="24"/>
          <w:lang w:val="en-US"/>
        </w:rPr>
        <w:t xml:space="preserve">Results from the </w:t>
      </w:r>
      <w:r w:rsidR="00EA0A78" w:rsidRPr="00EA0A78">
        <w:rPr>
          <w:szCs w:val="24"/>
          <w:lang w:val="en-US"/>
        </w:rPr>
        <w:t xml:space="preserve">multiple linear </w:t>
      </w:r>
      <w:r w:rsidRPr="00B717F6">
        <w:rPr>
          <w:szCs w:val="24"/>
          <w:lang w:val="en-US"/>
        </w:rPr>
        <w:t>regression analysis on masturbation activity for women are presented in Table 4. For women, with two exceptions, there was no relationship between masturbation and any sociodemographic or health factors. First,</w:t>
      </w:r>
      <w:r w:rsidR="00EA0A78">
        <w:rPr>
          <w:szCs w:val="24"/>
          <w:lang w:val="en-US"/>
        </w:rPr>
        <w:t xml:space="preserve"> older</w:t>
      </w:r>
      <w:r w:rsidRPr="00B717F6">
        <w:rPr>
          <w:szCs w:val="24"/>
          <w:lang w:val="en-US"/>
        </w:rPr>
        <w:t xml:space="preserve"> </w:t>
      </w:r>
      <w:r w:rsidR="00EA0A78">
        <w:rPr>
          <w:szCs w:val="24"/>
          <w:lang w:val="en-US"/>
        </w:rPr>
        <w:t xml:space="preserve">age significantly predicted </w:t>
      </w:r>
      <w:r w:rsidRPr="00B717F6">
        <w:rPr>
          <w:szCs w:val="24"/>
          <w:lang w:val="en-US"/>
        </w:rPr>
        <w:t>masturbation</w:t>
      </w:r>
      <w:r w:rsidR="00EA0A78">
        <w:rPr>
          <w:szCs w:val="24"/>
          <w:lang w:val="en-US"/>
        </w:rPr>
        <w:t xml:space="preserve"> frequency in</w:t>
      </w:r>
      <w:r w:rsidRPr="00B717F6">
        <w:rPr>
          <w:szCs w:val="24"/>
          <w:lang w:val="en-US"/>
        </w:rPr>
        <w:t xml:space="preserve"> Danish</w:t>
      </w:r>
      <w:r w:rsidR="000A1A72">
        <w:rPr>
          <w:szCs w:val="24"/>
          <w:lang w:val="en-US"/>
        </w:rPr>
        <w:t xml:space="preserve"> women</w:t>
      </w:r>
      <w:r w:rsidRPr="00B717F6">
        <w:rPr>
          <w:szCs w:val="24"/>
          <w:lang w:val="en-US"/>
        </w:rPr>
        <w:t xml:space="preserve"> </w:t>
      </w:r>
      <w:r w:rsidR="00EA0A78">
        <w:rPr>
          <w:szCs w:val="24"/>
          <w:lang w:val="en-US"/>
        </w:rPr>
        <w:t>(</w:t>
      </w:r>
      <w:r w:rsidR="000A1A72">
        <w:rPr>
          <w:szCs w:val="24"/>
          <w:lang w:val="en-US"/>
        </w:rPr>
        <w:t>b = -0.03</w:t>
      </w:r>
      <w:r w:rsidRPr="00B717F6">
        <w:rPr>
          <w:szCs w:val="24"/>
          <w:shd w:val="clear" w:color="auto" w:fill="FFFFFF" w:themeFill="background1"/>
          <w:lang w:val="en-US"/>
        </w:rPr>
        <w:t>).</w:t>
      </w:r>
      <w:r w:rsidRPr="00B717F6">
        <w:rPr>
          <w:szCs w:val="24"/>
          <w:lang w:val="en-US"/>
        </w:rPr>
        <w:t xml:space="preserve"> Second, </w:t>
      </w:r>
      <w:r w:rsidR="00EA0A78">
        <w:rPr>
          <w:szCs w:val="24"/>
          <w:lang w:val="en-US"/>
        </w:rPr>
        <w:t>relationship status was significantly related to masturbation activity</w:t>
      </w:r>
      <w:r w:rsidR="006E7204">
        <w:rPr>
          <w:szCs w:val="24"/>
          <w:lang w:val="en-US"/>
        </w:rPr>
        <w:t xml:space="preserve">; being in a relationship predicted less </w:t>
      </w:r>
      <w:r w:rsidRPr="00B717F6">
        <w:rPr>
          <w:szCs w:val="24"/>
          <w:lang w:val="en-US"/>
        </w:rPr>
        <w:t xml:space="preserve">masturbation </w:t>
      </w:r>
      <w:r w:rsidR="003D3B3E">
        <w:rPr>
          <w:szCs w:val="24"/>
          <w:lang w:val="en-US"/>
        </w:rPr>
        <w:t>frequency</w:t>
      </w:r>
      <w:r w:rsidR="003D3B3E" w:rsidRPr="00B717F6">
        <w:rPr>
          <w:szCs w:val="24"/>
          <w:lang w:val="en-US"/>
        </w:rPr>
        <w:t xml:space="preserve"> </w:t>
      </w:r>
      <w:r w:rsidR="006E7204">
        <w:rPr>
          <w:szCs w:val="24"/>
          <w:lang w:val="en-US"/>
        </w:rPr>
        <w:t xml:space="preserve">in </w:t>
      </w:r>
      <w:r w:rsidR="00C13D3A">
        <w:rPr>
          <w:szCs w:val="24"/>
          <w:lang w:val="en-US"/>
        </w:rPr>
        <w:t xml:space="preserve">Portuguese (b = -0.39) and </w:t>
      </w:r>
      <w:r w:rsidR="006E7204">
        <w:rPr>
          <w:szCs w:val="24"/>
          <w:lang w:val="en-US"/>
        </w:rPr>
        <w:t xml:space="preserve">Norwegian </w:t>
      </w:r>
      <w:r w:rsidR="000A1A72">
        <w:rPr>
          <w:szCs w:val="24"/>
          <w:lang w:val="en-US"/>
        </w:rPr>
        <w:t>(b = -0.3</w:t>
      </w:r>
      <w:r w:rsidR="00C13D3A">
        <w:rPr>
          <w:szCs w:val="24"/>
          <w:lang w:val="en-US"/>
        </w:rPr>
        <w:t>6</w:t>
      </w:r>
      <w:r w:rsidR="000A1A72">
        <w:rPr>
          <w:szCs w:val="24"/>
          <w:lang w:val="en-US"/>
        </w:rPr>
        <w:t>)</w:t>
      </w:r>
      <w:r w:rsidR="00C13D3A">
        <w:rPr>
          <w:szCs w:val="24"/>
          <w:lang w:val="en-US"/>
        </w:rPr>
        <w:t xml:space="preserve"> women</w:t>
      </w:r>
      <w:r w:rsidR="006E7204">
        <w:rPr>
          <w:szCs w:val="24"/>
          <w:lang w:val="en-US"/>
        </w:rPr>
        <w:t>.</w:t>
      </w:r>
      <w:r w:rsidRPr="00B717F6">
        <w:rPr>
          <w:szCs w:val="24"/>
          <w:lang w:val="en-US"/>
        </w:rPr>
        <w:t xml:space="preserve"> </w:t>
      </w:r>
      <w:r w:rsidR="005A07C4">
        <w:rPr>
          <w:szCs w:val="24"/>
          <w:lang w:val="en-US"/>
        </w:rPr>
        <w:t xml:space="preserve">In Belgium </w:t>
      </w:r>
      <w:r w:rsidR="000A1A72">
        <w:rPr>
          <w:szCs w:val="24"/>
          <w:lang w:val="en-US"/>
        </w:rPr>
        <w:t xml:space="preserve">and Norwegian </w:t>
      </w:r>
      <w:r w:rsidR="005A07C4">
        <w:rPr>
          <w:szCs w:val="24"/>
          <w:lang w:val="en-US"/>
        </w:rPr>
        <w:t>women, greater i</w:t>
      </w:r>
      <w:r w:rsidR="005A07C4" w:rsidRPr="00B717F6">
        <w:rPr>
          <w:szCs w:val="24"/>
          <w:lang w:val="en-US"/>
        </w:rPr>
        <w:t xml:space="preserve">ntercourse activity </w:t>
      </w:r>
      <w:r w:rsidR="005A07C4">
        <w:rPr>
          <w:szCs w:val="24"/>
          <w:lang w:val="en-US"/>
        </w:rPr>
        <w:t>predicted more masturbation</w:t>
      </w:r>
      <w:r w:rsidR="00E876A7">
        <w:rPr>
          <w:szCs w:val="24"/>
          <w:lang w:val="en-US"/>
        </w:rPr>
        <w:t xml:space="preserve"> (</w:t>
      </w:r>
      <w:proofErr w:type="spellStart"/>
      <w:r w:rsidR="00E876A7">
        <w:rPr>
          <w:szCs w:val="24"/>
          <w:lang w:val="en-US"/>
        </w:rPr>
        <w:t>b</w:t>
      </w:r>
      <w:r w:rsidR="00E876A7" w:rsidRPr="00232794">
        <w:rPr>
          <w:szCs w:val="24"/>
          <w:vertAlign w:val="subscript"/>
          <w:lang w:val="en-US"/>
        </w:rPr>
        <w:t>Belgium</w:t>
      </w:r>
      <w:proofErr w:type="spellEnd"/>
      <w:r w:rsidR="00C13D3A">
        <w:rPr>
          <w:szCs w:val="24"/>
          <w:lang w:val="en-US"/>
        </w:rPr>
        <w:t xml:space="preserve"> = 0.21</w:t>
      </w:r>
      <w:r w:rsidR="00E876A7">
        <w:rPr>
          <w:szCs w:val="24"/>
          <w:lang w:val="en-US"/>
        </w:rPr>
        <w:t xml:space="preserve">; </w:t>
      </w:r>
      <w:proofErr w:type="spellStart"/>
      <w:r w:rsidR="00E876A7">
        <w:rPr>
          <w:szCs w:val="24"/>
          <w:lang w:val="en-US"/>
        </w:rPr>
        <w:t>b</w:t>
      </w:r>
      <w:r w:rsidR="00E876A7" w:rsidRPr="00232794">
        <w:rPr>
          <w:szCs w:val="24"/>
          <w:vertAlign w:val="subscript"/>
          <w:lang w:val="en-US"/>
        </w:rPr>
        <w:t>Norway</w:t>
      </w:r>
      <w:proofErr w:type="spellEnd"/>
      <w:r w:rsidR="00E876A7">
        <w:rPr>
          <w:szCs w:val="24"/>
          <w:lang w:val="en-US"/>
        </w:rPr>
        <w:t xml:space="preserve"> = 0.</w:t>
      </w:r>
      <w:r w:rsidR="00C13D3A">
        <w:rPr>
          <w:szCs w:val="24"/>
          <w:lang w:val="en-US"/>
        </w:rPr>
        <w:t>10</w:t>
      </w:r>
      <w:r w:rsidR="00E876A7">
        <w:rPr>
          <w:szCs w:val="24"/>
          <w:lang w:val="en-US"/>
        </w:rPr>
        <w:t>)</w:t>
      </w:r>
      <w:r w:rsidR="005A07C4">
        <w:rPr>
          <w:szCs w:val="24"/>
          <w:lang w:val="en-US"/>
        </w:rPr>
        <w:t xml:space="preserve">. </w:t>
      </w:r>
      <w:r w:rsidR="0041243F" w:rsidRPr="00B717F6">
        <w:rPr>
          <w:szCs w:val="24"/>
          <w:lang w:val="en-US"/>
        </w:rPr>
        <w:t xml:space="preserve">Similar to men, </w:t>
      </w:r>
      <w:r w:rsidR="000E07ED" w:rsidRPr="00B717F6">
        <w:rPr>
          <w:szCs w:val="24"/>
          <w:lang w:val="en-US"/>
        </w:rPr>
        <w:t xml:space="preserve">being more satisfied </w:t>
      </w:r>
      <w:r w:rsidR="0036674D" w:rsidRPr="00B717F6">
        <w:rPr>
          <w:szCs w:val="24"/>
          <w:lang w:val="en-US"/>
        </w:rPr>
        <w:t>with</w:t>
      </w:r>
      <w:r w:rsidR="000E07ED" w:rsidRPr="00B717F6">
        <w:rPr>
          <w:szCs w:val="24"/>
          <w:lang w:val="en-US"/>
        </w:rPr>
        <w:t xml:space="preserve"> one’s </w:t>
      </w:r>
      <w:r w:rsidR="000E07ED" w:rsidRPr="00B717F6">
        <w:rPr>
          <w:szCs w:val="24"/>
          <w:lang w:val="en-US"/>
        </w:rPr>
        <w:lastRenderedPageBreak/>
        <w:t>level of</w:t>
      </w:r>
      <w:r w:rsidR="0036674D" w:rsidRPr="00B717F6">
        <w:rPr>
          <w:szCs w:val="24"/>
          <w:lang w:val="en-US"/>
        </w:rPr>
        <w:t xml:space="preserve"> sexual activity was negatively related to masturbation for </w:t>
      </w:r>
      <w:r w:rsidR="00C13D3A">
        <w:rPr>
          <w:szCs w:val="24"/>
          <w:lang w:val="en-US"/>
        </w:rPr>
        <w:t>Danish</w:t>
      </w:r>
      <w:r w:rsidR="00E876A7">
        <w:rPr>
          <w:szCs w:val="24"/>
          <w:lang w:val="en-US"/>
        </w:rPr>
        <w:t xml:space="preserve"> (b = -0.</w:t>
      </w:r>
      <w:r w:rsidR="00C13D3A">
        <w:rPr>
          <w:szCs w:val="24"/>
          <w:lang w:val="en-US"/>
        </w:rPr>
        <w:t>20</w:t>
      </w:r>
      <w:r w:rsidR="00E876A7">
        <w:rPr>
          <w:szCs w:val="24"/>
          <w:lang w:val="en-US"/>
        </w:rPr>
        <w:t>)</w:t>
      </w:r>
      <w:r w:rsidR="00C13D3A">
        <w:rPr>
          <w:szCs w:val="24"/>
          <w:lang w:val="en-US"/>
        </w:rPr>
        <w:t xml:space="preserve">, Belgian </w:t>
      </w:r>
      <w:r w:rsidR="00E876A7">
        <w:rPr>
          <w:szCs w:val="24"/>
          <w:lang w:val="en-US"/>
        </w:rPr>
        <w:t>(b = -0.18), and Norw</w:t>
      </w:r>
      <w:r w:rsidR="00C13D3A">
        <w:rPr>
          <w:szCs w:val="24"/>
          <w:lang w:val="en-US"/>
        </w:rPr>
        <w:t>egian</w:t>
      </w:r>
      <w:r w:rsidR="00E876A7">
        <w:rPr>
          <w:szCs w:val="24"/>
          <w:lang w:val="en-US"/>
        </w:rPr>
        <w:t xml:space="preserve"> (b = -0.1</w:t>
      </w:r>
      <w:r w:rsidR="00C13D3A">
        <w:rPr>
          <w:szCs w:val="24"/>
          <w:lang w:val="en-US"/>
        </w:rPr>
        <w:t>1</w:t>
      </w:r>
      <w:r w:rsidR="00E876A7">
        <w:rPr>
          <w:szCs w:val="24"/>
          <w:lang w:val="en-US"/>
        </w:rPr>
        <w:t>)</w:t>
      </w:r>
      <w:r w:rsidR="00C13D3A">
        <w:rPr>
          <w:szCs w:val="24"/>
          <w:lang w:val="en-US"/>
        </w:rPr>
        <w:t xml:space="preserve"> women</w:t>
      </w:r>
      <w:r w:rsidR="006E7204">
        <w:rPr>
          <w:szCs w:val="24"/>
          <w:lang w:val="en-US"/>
        </w:rPr>
        <w:t>.</w:t>
      </w:r>
      <w:r w:rsidR="00E876A7">
        <w:rPr>
          <w:szCs w:val="24"/>
          <w:lang w:val="en-US"/>
        </w:rPr>
        <w:t xml:space="preserve"> </w:t>
      </w:r>
      <w:r w:rsidR="0099734F">
        <w:rPr>
          <w:szCs w:val="24"/>
          <w:lang w:val="en-US"/>
        </w:rPr>
        <w:t>Women in Norway</w:t>
      </w:r>
      <w:r w:rsidR="00AB36A9" w:rsidRPr="00B717F6">
        <w:rPr>
          <w:szCs w:val="24"/>
          <w:lang w:val="en-US"/>
        </w:rPr>
        <w:t xml:space="preserve"> </w:t>
      </w:r>
      <w:r w:rsidR="00AE450F" w:rsidRPr="00B717F6">
        <w:rPr>
          <w:szCs w:val="24"/>
          <w:lang w:val="en-US"/>
        </w:rPr>
        <w:t xml:space="preserve">and </w:t>
      </w:r>
      <w:r w:rsidR="00AB36A9" w:rsidRPr="00B717F6">
        <w:rPr>
          <w:szCs w:val="24"/>
          <w:lang w:val="en-US"/>
        </w:rPr>
        <w:t xml:space="preserve">Portugal who believed that sex should </w:t>
      </w:r>
      <w:r w:rsidR="006A0578" w:rsidRPr="00B717F6">
        <w:rPr>
          <w:szCs w:val="24"/>
          <w:lang w:val="en-US"/>
        </w:rPr>
        <w:t xml:space="preserve">only </w:t>
      </w:r>
      <w:r w:rsidR="00AB36A9" w:rsidRPr="00B717F6">
        <w:rPr>
          <w:szCs w:val="24"/>
          <w:lang w:val="en-US"/>
        </w:rPr>
        <w:t xml:space="preserve">happen within loving relationships were less likely to report </w:t>
      </w:r>
      <w:r w:rsidR="006E7204">
        <w:rPr>
          <w:szCs w:val="24"/>
          <w:lang w:val="en-US"/>
        </w:rPr>
        <w:t xml:space="preserve">frequent </w:t>
      </w:r>
      <w:r w:rsidR="00AB36A9" w:rsidRPr="00B717F6">
        <w:rPr>
          <w:szCs w:val="24"/>
          <w:lang w:val="en-US"/>
        </w:rPr>
        <w:t xml:space="preserve">masturbation than women with more permissive </w:t>
      </w:r>
      <w:r w:rsidR="006A0578" w:rsidRPr="00B717F6">
        <w:rPr>
          <w:szCs w:val="24"/>
          <w:lang w:val="en-US"/>
        </w:rPr>
        <w:t>sexual attitudes</w:t>
      </w:r>
      <w:r w:rsidR="00E876A7">
        <w:rPr>
          <w:szCs w:val="24"/>
          <w:lang w:val="en-US"/>
        </w:rPr>
        <w:t xml:space="preserve"> </w:t>
      </w:r>
      <w:r w:rsidR="00E876A7" w:rsidRPr="00B717F6">
        <w:rPr>
          <w:szCs w:val="24"/>
          <w:shd w:val="clear" w:color="auto" w:fill="FFFFFF" w:themeFill="background1"/>
          <w:lang w:val="en-US"/>
        </w:rPr>
        <w:t>(</w:t>
      </w:r>
      <w:proofErr w:type="spellStart"/>
      <w:r w:rsidR="00E876A7">
        <w:rPr>
          <w:szCs w:val="24"/>
          <w:shd w:val="clear" w:color="auto" w:fill="FFFFFF" w:themeFill="background1"/>
          <w:lang w:val="en-US"/>
        </w:rPr>
        <w:t>b</w:t>
      </w:r>
      <w:r w:rsidR="00E876A7" w:rsidRPr="00B717F6">
        <w:rPr>
          <w:szCs w:val="24"/>
          <w:shd w:val="clear" w:color="auto" w:fill="FFFFFF" w:themeFill="background1"/>
          <w:vertAlign w:val="subscript"/>
          <w:lang w:val="en-US"/>
        </w:rPr>
        <w:t>Norway</w:t>
      </w:r>
      <w:proofErr w:type="spellEnd"/>
      <w:r w:rsidR="00E876A7" w:rsidRPr="00B717F6">
        <w:rPr>
          <w:szCs w:val="24"/>
          <w:shd w:val="clear" w:color="auto" w:fill="FFFFFF" w:themeFill="background1"/>
          <w:lang w:val="en-US"/>
        </w:rPr>
        <w:t xml:space="preserve"> = </w:t>
      </w:r>
      <w:r w:rsidR="00E876A7">
        <w:rPr>
          <w:szCs w:val="24"/>
          <w:shd w:val="clear" w:color="auto" w:fill="FFFFFF" w:themeFill="background1"/>
          <w:lang w:val="en-US"/>
        </w:rPr>
        <w:t>-</w:t>
      </w:r>
      <w:r w:rsidR="00E876A7" w:rsidRPr="00B717F6">
        <w:rPr>
          <w:szCs w:val="24"/>
          <w:shd w:val="clear" w:color="auto" w:fill="FFFFFF" w:themeFill="background1"/>
          <w:lang w:val="en-US"/>
        </w:rPr>
        <w:t>0.</w:t>
      </w:r>
      <w:r w:rsidR="00C13D3A">
        <w:rPr>
          <w:szCs w:val="24"/>
          <w:shd w:val="clear" w:color="auto" w:fill="FFFFFF" w:themeFill="background1"/>
          <w:lang w:val="en-US"/>
        </w:rPr>
        <w:t>15</w:t>
      </w:r>
      <w:r w:rsidR="00E876A7">
        <w:rPr>
          <w:szCs w:val="24"/>
          <w:shd w:val="clear" w:color="auto" w:fill="FFFFFF" w:themeFill="background1"/>
          <w:lang w:val="en-US"/>
        </w:rPr>
        <w:t xml:space="preserve">; </w:t>
      </w:r>
      <w:proofErr w:type="spellStart"/>
      <w:r w:rsidR="00E876A7">
        <w:rPr>
          <w:szCs w:val="24"/>
          <w:shd w:val="clear" w:color="auto" w:fill="FFFFFF" w:themeFill="background1"/>
          <w:lang w:val="en-US"/>
        </w:rPr>
        <w:t>b</w:t>
      </w:r>
      <w:r w:rsidR="00E876A7" w:rsidRPr="00B717F6">
        <w:rPr>
          <w:szCs w:val="24"/>
          <w:shd w:val="clear" w:color="auto" w:fill="FFFFFF" w:themeFill="background1"/>
          <w:vertAlign w:val="subscript"/>
          <w:lang w:val="en-US"/>
        </w:rPr>
        <w:t>Portugal</w:t>
      </w:r>
      <w:proofErr w:type="spellEnd"/>
      <w:r w:rsidR="00E876A7" w:rsidRPr="00B717F6">
        <w:rPr>
          <w:szCs w:val="24"/>
          <w:shd w:val="clear" w:color="auto" w:fill="FFFFFF" w:themeFill="background1"/>
          <w:lang w:val="en-US"/>
        </w:rPr>
        <w:t xml:space="preserve"> = </w:t>
      </w:r>
      <w:r w:rsidR="00E876A7">
        <w:rPr>
          <w:szCs w:val="24"/>
          <w:shd w:val="clear" w:color="auto" w:fill="FFFFFF" w:themeFill="background1"/>
          <w:lang w:val="en-US"/>
        </w:rPr>
        <w:t>-</w:t>
      </w:r>
      <w:r w:rsidR="00E876A7" w:rsidRPr="00B717F6">
        <w:rPr>
          <w:szCs w:val="24"/>
          <w:shd w:val="clear" w:color="auto" w:fill="FFFFFF" w:themeFill="background1"/>
          <w:lang w:val="en-US"/>
        </w:rPr>
        <w:t>0.</w:t>
      </w:r>
      <w:r w:rsidR="00E876A7">
        <w:rPr>
          <w:szCs w:val="24"/>
          <w:shd w:val="clear" w:color="auto" w:fill="FFFFFF" w:themeFill="background1"/>
          <w:lang w:val="en-US"/>
        </w:rPr>
        <w:t>12</w:t>
      </w:r>
      <w:r w:rsidR="00E876A7" w:rsidRPr="00B717F6">
        <w:rPr>
          <w:szCs w:val="24"/>
          <w:lang w:val="en-US"/>
        </w:rPr>
        <w:t>)</w:t>
      </w:r>
      <w:r w:rsidR="00AB36A9" w:rsidRPr="00B717F6">
        <w:rPr>
          <w:szCs w:val="24"/>
          <w:lang w:val="en-US"/>
        </w:rPr>
        <w:t xml:space="preserve">. </w:t>
      </w:r>
      <w:r w:rsidR="005A07C4">
        <w:rPr>
          <w:szCs w:val="24"/>
          <w:lang w:val="en-US"/>
        </w:rPr>
        <w:t>Finally</w:t>
      </w:r>
      <w:r w:rsidR="006E7204" w:rsidRPr="00B717F6">
        <w:rPr>
          <w:szCs w:val="24"/>
          <w:lang w:val="en-US"/>
        </w:rPr>
        <w:t xml:space="preserve">, believing that sexual activity is beneficial for older people </w:t>
      </w:r>
      <w:r w:rsidR="006E7204">
        <w:rPr>
          <w:szCs w:val="24"/>
          <w:lang w:val="en-US"/>
        </w:rPr>
        <w:t>predicted higher levels of</w:t>
      </w:r>
      <w:r w:rsidR="006E7204" w:rsidRPr="00B717F6">
        <w:rPr>
          <w:szCs w:val="24"/>
          <w:lang w:val="en-US"/>
        </w:rPr>
        <w:t xml:space="preserve"> reported masturbation in </w:t>
      </w:r>
      <w:r w:rsidR="006E7204">
        <w:rPr>
          <w:szCs w:val="24"/>
          <w:lang w:val="en-US"/>
        </w:rPr>
        <w:t xml:space="preserve">Danish </w:t>
      </w:r>
      <w:r w:rsidR="00E876A7">
        <w:rPr>
          <w:szCs w:val="24"/>
          <w:lang w:val="en-US"/>
        </w:rPr>
        <w:t>(b = 0.1</w:t>
      </w:r>
      <w:r w:rsidR="00A93A2B">
        <w:rPr>
          <w:szCs w:val="24"/>
          <w:lang w:val="en-US"/>
        </w:rPr>
        <w:t>6</w:t>
      </w:r>
      <w:r w:rsidR="00E876A7">
        <w:rPr>
          <w:szCs w:val="24"/>
          <w:lang w:val="en-US"/>
        </w:rPr>
        <w:t xml:space="preserve">) </w:t>
      </w:r>
      <w:r w:rsidR="006E7204">
        <w:rPr>
          <w:szCs w:val="24"/>
          <w:lang w:val="en-US"/>
        </w:rPr>
        <w:t xml:space="preserve">and </w:t>
      </w:r>
      <w:r w:rsidR="006E7204" w:rsidRPr="00B717F6">
        <w:rPr>
          <w:szCs w:val="24"/>
          <w:lang w:val="en-US"/>
        </w:rPr>
        <w:t xml:space="preserve">Belgian </w:t>
      </w:r>
      <w:r w:rsidR="006E7204">
        <w:rPr>
          <w:szCs w:val="24"/>
          <w:lang w:val="en-US"/>
        </w:rPr>
        <w:t>wo</w:t>
      </w:r>
      <w:r w:rsidR="006E7204" w:rsidRPr="00B717F6">
        <w:rPr>
          <w:szCs w:val="24"/>
          <w:lang w:val="en-US"/>
        </w:rPr>
        <w:t>men</w:t>
      </w:r>
      <w:r w:rsidR="00E876A7">
        <w:rPr>
          <w:szCs w:val="24"/>
          <w:lang w:val="en-US"/>
        </w:rPr>
        <w:t xml:space="preserve"> (b = </w:t>
      </w:r>
      <w:r w:rsidR="00A93A2B">
        <w:rPr>
          <w:szCs w:val="24"/>
          <w:lang w:val="en-US"/>
        </w:rPr>
        <w:t>0.</w:t>
      </w:r>
      <w:r w:rsidR="00E876A7">
        <w:rPr>
          <w:szCs w:val="24"/>
          <w:lang w:val="en-US"/>
        </w:rPr>
        <w:t>13)</w:t>
      </w:r>
      <w:r w:rsidR="006E7204">
        <w:rPr>
          <w:szCs w:val="24"/>
          <w:lang w:val="en-US"/>
        </w:rPr>
        <w:t>.</w:t>
      </w:r>
    </w:p>
    <w:p w14:paraId="391491FE" w14:textId="6E813EE7" w:rsidR="00610188" w:rsidRPr="00B717F6" w:rsidRDefault="007010C0" w:rsidP="009C0C78">
      <w:pPr>
        <w:pStyle w:val="Heading1"/>
        <w:rPr>
          <w:szCs w:val="24"/>
        </w:rPr>
      </w:pPr>
      <w:r w:rsidRPr="00B717F6">
        <w:rPr>
          <w:szCs w:val="24"/>
        </w:rPr>
        <w:t>DISCUSSION</w:t>
      </w:r>
    </w:p>
    <w:p w14:paraId="34F4E5C3" w14:textId="22F5E901" w:rsidR="00E122DF" w:rsidRPr="00B717F6" w:rsidRDefault="007C17EB" w:rsidP="009C0C78">
      <w:pPr>
        <w:rPr>
          <w:szCs w:val="24"/>
          <w:lang w:val="en-US"/>
        </w:rPr>
      </w:pPr>
      <w:r w:rsidRPr="00B717F6">
        <w:rPr>
          <w:szCs w:val="24"/>
          <w:lang w:val="en-US"/>
        </w:rPr>
        <w:t>In this European four-count</w:t>
      </w:r>
      <w:r w:rsidR="008356F5" w:rsidRPr="00B717F6">
        <w:rPr>
          <w:szCs w:val="24"/>
          <w:lang w:val="en-US"/>
        </w:rPr>
        <w:t>r</w:t>
      </w:r>
      <w:r w:rsidRPr="00B717F6">
        <w:rPr>
          <w:szCs w:val="24"/>
          <w:lang w:val="en-US"/>
        </w:rPr>
        <w:t xml:space="preserve">y study, we assessed </w:t>
      </w:r>
      <w:r w:rsidR="0003450D" w:rsidRPr="00B717F6">
        <w:rPr>
          <w:szCs w:val="24"/>
          <w:lang w:val="en-US"/>
        </w:rPr>
        <w:t>several</w:t>
      </w:r>
      <w:r w:rsidRPr="00B717F6">
        <w:rPr>
          <w:szCs w:val="24"/>
          <w:lang w:val="en-US"/>
        </w:rPr>
        <w:t xml:space="preserve"> sociodemographic, health, attitudinal</w:t>
      </w:r>
      <w:r w:rsidR="00F371B6">
        <w:rPr>
          <w:szCs w:val="24"/>
          <w:lang w:val="en-US"/>
        </w:rPr>
        <w:t>,</w:t>
      </w:r>
      <w:r w:rsidRPr="00B717F6">
        <w:rPr>
          <w:szCs w:val="24"/>
          <w:lang w:val="en-US"/>
        </w:rPr>
        <w:t xml:space="preserve"> and sexual behavioral factors associated with reported masturbation</w:t>
      </w:r>
      <w:r w:rsidR="003D3B3E">
        <w:rPr>
          <w:szCs w:val="24"/>
          <w:lang w:val="en-US"/>
        </w:rPr>
        <w:t xml:space="preserve"> frequency</w:t>
      </w:r>
      <w:r w:rsidRPr="00B717F6">
        <w:rPr>
          <w:szCs w:val="24"/>
          <w:lang w:val="en-US"/>
        </w:rPr>
        <w:t xml:space="preserve"> among men and women aged 60–75 years</w:t>
      </w:r>
      <w:r w:rsidR="008356F5" w:rsidRPr="00B717F6">
        <w:rPr>
          <w:szCs w:val="24"/>
          <w:lang w:val="en-US"/>
        </w:rPr>
        <w:t>.</w:t>
      </w:r>
      <w:r w:rsidRPr="00B717F6">
        <w:rPr>
          <w:szCs w:val="24"/>
          <w:lang w:val="en-US"/>
        </w:rPr>
        <w:t xml:space="preserve"> Despite marked cross-cultural and </w:t>
      </w:r>
      <w:r w:rsidR="008356F5" w:rsidRPr="00B717F6">
        <w:rPr>
          <w:szCs w:val="24"/>
          <w:lang w:val="en-US"/>
        </w:rPr>
        <w:t xml:space="preserve">gender </w:t>
      </w:r>
      <w:r w:rsidRPr="00B717F6">
        <w:rPr>
          <w:szCs w:val="24"/>
          <w:lang w:val="en-US"/>
        </w:rPr>
        <w:t>differences in masturbation frequency, predictors of masturbation were in most instances more similar than different</w:t>
      </w:r>
      <w:r w:rsidR="008356F5" w:rsidRPr="00B717F6">
        <w:rPr>
          <w:szCs w:val="24"/>
          <w:lang w:val="en-US"/>
        </w:rPr>
        <w:t xml:space="preserve"> across the four countries</w:t>
      </w:r>
      <w:r w:rsidRPr="00B717F6">
        <w:rPr>
          <w:szCs w:val="24"/>
          <w:lang w:val="en-US"/>
        </w:rPr>
        <w:t>.</w:t>
      </w:r>
      <w:r w:rsidR="00BD4254" w:rsidRPr="00B717F6">
        <w:rPr>
          <w:szCs w:val="24"/>
          <w:lang w:val="en-US"/>
        </w:rPr>
        <w:t xml:space="preserve"> </w:t>
      </w:r>
      <w:r w:rsidR="00682F5F" w:rsidRPr="00B717F6">
        <w:rPr>
          <w:szCs w:val="24"/>
          <w:lang w:val="en-US"/>
        </w:rPr>
        <w:t>S</w:t>
      </w:r>
      <w:r w:rsidR="00A25597" w:rsidRPr="00B717F6">
        <w:rPr>
          <w:szCs w:val="24"/>
          <w:lang w:val="en-US"/>
        </w:rPr>
        <w:t>atisfaction with the level of</w:t>
      </w:r>
      <w:r w:rsidR="00682F5F" w:rsidRPr="00B717F6">
        <w:rPr>
          <w:szCs w:val="24"/>
          <w:lang w:val="en-US"/>
        </w:rPr>
        <w:t xml:space="preserve"> sexual activity was a significant </w:t>
      </w:r>
      <w:r w:rsidR="0003450D" w:rsidRPr="00B717F6">
        <w:rPr>
          <w:szCs w:val="24"/>
          <w:lang w:val="en-US"/>
        </w:rPr>
        <w:t xml:space="preserve">negative </w:t>
      </w:r>
      <w:r w:rsidR="00682F5F" w:rsidRPr="00B717F6">
        <w:rPr>
          <w:szCs w:val="24"/>
          <w:lang w:val="en-US"/>
        </w:rPr>
        <w:t xml:space="preserve">predictor of masturbation </w:t>
      </w:r>
      <w:r w:rsidR="002F3977" w:rsidRPr="00B717F6">
        <w:rPr>
          <w:szCs w:val="24"/>
          <w:lang w:val="en-US"/>
        </w:rPr>
        <w:t xml:space="preserve">in Norwegian, Danish, </w:t>
      </w:r>
      <w:r w:rsidR="00CD5E1F" w:rsidRPr="00B717F6">
        <w:rPr>
          <w:szCs w:val="24"/>
          <w:lang w:val="en-US"/>
        </w:rPr>
        <w:t>and Belgian</w:t>
      </w:r>
      <w:r w:rsidR="002F3977" w:rsidRPr="00B717F6">
        <w:rPr>
          <w:szCs w:val="24"/>
          <w:lang w:val="en-US"/>
        </w:rPr>
        <w:t xml:space="preserve"> men and women, and Portuguese men. </w:t>
      </w:r>
      <w:r w:rsidR="0003450D" w:rsidRPr="00B717F6">
        <w:rPr>
          <w:szCs w:val="24"/>
          <w:lang w:val="en-US"/>
        </w:rPr>
        <w:t>Ano</w:t>
      </w:r>
      <w:r w:rsidR="002F3977" w:rsidRPr="00B717F6">
        <w:rPr>
          <w:szCs w:val="24"/>
          <w:lang w:val="en-US"/>
        </w:rPr>
        <w:t xml:space="preserve">ther important predictor of </w:t>
      </w:r>
      <w:r w:rsidR="003D3B3E">
        <w:rPr>
          <w:szCs w:val="24"/>
          <w:lang w:val="en-US"/>
        </w:rPr>
        <w:t xml:space="preserve">frequent </w:t>
      </w:r>
      <w:r w:rsidR="002F3977" w:rsidRPr="00B717F6">
        <w:rPr>
          <w:szCs w:val="24"/>
          <w:lang w:val="en-US"/>
        </w:rPr>
        <w:t xml:space="preserve">masturbation </w:t>
      </w:r>
      <w:r w:rsidR="0003450D" w:rsidRPr="00B717F6">
        <w:rPr>
          <w:szCs w:val="24"/>
          <w:lang w:val="en-US"/>
        </w:rPr>
        <w:t xml:space="preserve">was </w:t>
      </w:r>
      <w:r w:rsidR="002F3977" w:rsidRPr="00B717F6">
        <w:rPr>
          <w:szCs w:val="24"/>
          <w:lang w:val="en-US"/>
        </w:rPr>
        <w:t xml:space="preserve">sexual attitudes. </w:t>
      </w:r>
      <w:r w:rsidR="00CD5E1F" w:rsidRPr="00B717F6">
        <w:rPr>
          <w:szCs w:val="24"/>
          <w:lang w:val="en-US"/>
        </w:rPr>
        <w:t xml:space="preserve">Specifically, </w:t>
      </w:r>
      <w:r w:rsidR="00CD5E1F" w:rsidRPr="00B717F6">
        <w:rPr>
          <w:szCs w:val="24"/>
          <w:shd w:val="clear" w:color="auto" w:fill="FFFFFF" w:themeFill="background1"/>
          <w:lang w:val="en-US"/>
        </w:rPr>
        <w:t>a</w:t>
      </w:r>
      <w:r w:rsidRPr="00B717F6">
        <w:rPr>
          <w:szCs w:val="24"/>
          <w:shd w:val="clear" w:color="auto" w:fill="FFFFFF" w:themeFill="background1"/>
          <w:lang w:val="en-US"/>
        </w:rPr>
        <w:t xml:space="preserve">ttitudes reflecting the idea that sex is legitimized by love were </w:t>
      </w:r>
      <w:r w:rsidR="00BD4254" w:rsidRPr="00B717F6">
        <w:rPr>
          <w:szCs w:val="24"/>
          <w:shd w:val="clear" w:color="auto" w:fill="FFFFFF" w:themeFill="background1"/>
          <w:lang w:val="en-US"/>
        </w:rPr>
        <w:t xml:space="preserve">associated with </w:t>
      </w:r>
      <w:r w:rsidRPr="00B717F6">
        <w:rPr>
          <w:szCs w:val="24"/>
          <w:shd w:val="clear" w:color="auto" w:fill="FFFFFF" w:themeFill="background1"/>
          <w:lang w:val="en-US"/>
        </w:rPr>
        <w:t>masturbation in</w:t>
      </w:r>
      <w:r w:rsidR="00CD5E1F" w:rsidRPr="00B717F6">
        <w:rPr>
          <w:szCs w:val="24"/>
          <w:shd w:val="clear" w:color="auto" w:fill="FFFFFF" w:themeFill="background1"/>
          <w:lang w:val="en-US"/>
        </w:rPr>
        <w:t xml:space="preserve"> </w:t>
      </w:r>
      <w:r w:rsidR="00262D9D">
        <w:rPr>
          <w:szCs w:val="24"/>
          <w:shd w:val="clear" w:color="auto" w:fill="FFFFFF" w:themeFill="background1"/>
          <w:lang w:val="en-US"/>
        </w:rPr>
        <w:t xml:space="preserve">Norwegian, </w:t>
      </w:r>
      <w:r w:rsidR="00CD5E1F" w:rsidRPr="00B717F6">
        <w:rPr>
          <w:szCs w:val="24"/>
          <w:shd w:val="clear" w:color="auto" w:fill="FFFFFF" w:themeFill="background1"/>
          <w:lang w:val="en-US"/>
        </w:rPr>
        <w:t>Danish</w:t>
      </w:r>
      <w:r w:rsidR="00262D9D">
        <w:rPr>
          <w:szCs w:val="24"/>
          <w:shd w:val="clear" w:color="auto" w:fill="FFFFFF" w:themeFill="background1"/>
          <w:lang w:val="en-US"/>
        </w:rPr>
        <w:t>, and Belgi</w:t>
      </w:r>
      <w:r w:rsidR="003D3B3E">
        <w:rPr>
          <w:szCs w:val="24"/>
          <w:shd w:val="clear" w:color="auto" w:fill="FFFFFF" w:themeFill="background1"/>
          <w:lang w:val="en-US"/>
        </w:rPr>
        <w:t>an</w:t>
      </w:r>
      <w:r w:rsidR="00CD5E1F" w:rsidRPr="00B717F6">
        <w:rPr>
          <w:szCs w:val="24"/>
          <w:shd w:val="clear" w:color="auto" w:fill="FFFFFF" w:themeFill="background1"/>
          <w:lang w:val="en-US"/>
        </w:rPr>
        <w:t xml:space="preserve"> men, </w:t>
      </w:r>
      <w:r w:rsidR="00262D9D">
        <w:rPr>
          <w:szCs w:val="24"/>
          <w:shd w:val="clear" w:color="auto" w:fill="FFFFFF" w:themeFill="background1"/>
          <w:lang w:val="en-US"/>
        </w:rPr>
        <w:t xml:space="preserve">and Norwegian and </w:t>
      </w:r>
      <w:r w:rsidR="00CD5E1F" w:rsidRPr="00B717F6">
        <w:rPr>
          <w:szCs w:val="24"/>
          <w:shd w:val="clear" w:color="auto" w:fill="FFFFFF" w:themeFill="background1"/>
          <w:lang w:val="en-US"/>
        </w:rPr>
        <w:t>Portuguese</w:t>
      </w:r>
      <w:r w:rsidR="00D72FC3">
        <w:rPr>
          <w:szCs w:val="24"/>
          <w:shd w:val="clear" w:color="auto" w:fill="FFFFFF" w:themeFill="background1"/>
          <w:lang w:val="en-US"/>
        </w:rPr>
        <w:t xml:space="preserve"> women</w:t>
      </w:r>
      <w:r w:rsidR="00CD5E1F" w:rsidRPr="00B717F6">
        <w:rPr>
          <w:szCs w:val="24"/>
          <w:shd w:val="clear" w:color="auto" w:fill="FFFFFF" w:themeFill="background1"/>
          <w:lang w:val="en-US"/>
        </w:rPr>
        <w:t>.</w:t>
      </w:r>
      <w:r w:rsidR="00AC447C" w:rsidRPr="00B717F6">
        <w:rPr>
          <w:szCs w:val="24"/>
          <w:lang w:val="en-US"/>
        </w:rPr>
        <w:t xml:space="preserve"> W</w:t>
      </w:r>
      <w:r w:rsidR="00F20E66" w:rsidRPr="00B717F6">
        <w:rPr>
          <w:szCs w:val="24"/>
          <w:lang w:val="en-US"/>
        </w:rPr>
        <w:t>hile age, education,</w:t>
      </w:r>
      <w:r w:rsidR="00753774" w:rsidRPr="00B717F6">
        <w:rPr>
          <w:szCs w:val="24"/>
          <w:lang w:val="en-US"/>
        </w:rPr>
        <w:t xml:space="preserve"> </w:t>
      </w:r>
      <w:r w:rsidR="00F20E66" w:rsidRPr="00B717F6">
        <w:rPr>
          <w:szCs w:val="24"/>
          <w:lang w:val="en-US"/>
        </w:rPr>
        <w:t>self-perceived health</w:t>
      </w:r>
      <w:r w:rsidR="003D3B3E">
        <w:rPr>
          <w:szCs w:val="24"/>
          <w:lang w:val="en-US"/>
        </w:rPr>
        <w:t>,</w:t>
      </w:r>
      <w:r w:rsidR="00F20E66" w:rsidRPr="00B717F6">
        <w:rPr>
          <w:szCs w:val="24"/>
          <w:lang w:val="en-US"/>
        </w:rPr>
        <w:t xml:space="preserve"> and depression were significantly related </w:t>
      </w:r>
      <w:r w:rsidR="00AC447C" w:rsidRPr="00B717F6">
        <w:rPr>
          <w:szCs w:val="24"/>
          <w:lang w:val="en-US"/>
        </w:rPr>
        <w:t>to men’s reported masturbation, few sociodemographic and health factors were associated with masturbation activity among women.</w:t>
      </w:r>
    </w:p>
    <w:p w14:paraId="0D1FA320" w14:textId="4AC37463" w:rsidR="00AD0993" w:rsidRDefault="00262D9D" w:rsidP="00AD0993">
      <w:pPr>
        <w:rPr>
          <w:szCs w:val="24"/>
          <w:lang w:val="en-US"/>
        </w:rPr>
      </w:pPr>
      <w:r>
        <w:rPr>
          <w:szCs w:val="24"/>
          <w:lang w:val="en-US"/>
        </w:rPr>
        <w:t>S</w:t>
      </w:r>
      <w:r w:rsidR="00CA1594" w:rsidRPr="00B717F6">
        <w:rPr>
          <w:szCs w:val="24"/>
          <w:lang w:val="en-US"/>
        </w:rPr>
        <w:t xml:space="preserve">atisfaction with sexual </w:t>
      </w:r>
      <w:r w:rsidR="0025562C" w:rsidRPr="00B717F6">
        <w:rPr>
          <w:szCs w:val="24"/>
          <w:lang w:val="en-US"/>
        </w:rPr>
        <w:t xml:space="preserve">activity </w:t>
      </w:r>
      <w:r w:rsidR="00B02100" w:rsidRPr="00B717F6">
        <w:rPr>
          <w:szCs w:val="24"/>
          <w:lang w:val="en-US"/>
        </w:rPr>
        <w:t xml:space="preserve">was </w:t>
      </w:r>
      <w:r w:rsidR="002B5B80" w:rsidRPr="00B717F6">
        <w:rPr>
          <w:szCs w:val="24"/>
          <w:lang w:val="en-US"/>
        </w:rPr>
        <w:t>significantly</w:t>
      </w:r>
      <w:r w:rsidR="008C2C21" w:rsidRPr="00B717F6">
        <w:rPr>
          <w:szCs w:val="24"/>
          <w:lang w:val="en-US"/>
        </w:rPr>
        <w:t xml:space="preserve"> </w:t>
      </w:r>
      <w:r w:rsidR="002B5B80" w:rsidRPr="00B717F6">
        <w:rPr>
          <w:szCs w:val="24"/>
          <w:lang w:val="en-US"/>
        </w:rPr>
        <w:t>related to</w:t>
      </w:r>
      <w:r w:rsidR="00B02100" w:rsidRPr="00B717F6">
        <w:rPr>
          <w:szCs w:val="24"/>
          <w:lang w:val="en-US"/>
        </w:rPr>
        <w:t xml:space="preserve"> </w:t>
      </w:r>
      <w:r w:rsidR="00CA1594" w:rsidRPr="00B717F6">
        <w:rPr>
          <w:szCs w:val="24"/>
          <w:lang w:val="en-US"/>
        </w:rPr>
        <w:t>masturbation</w:t>
      </w:r>
      <w:r w:rsidR="0025562C" w:rsidRPr="00B717F6">
        <w:rPr>
          <w:szCs w:val="24"/>
          <w:lang w:val="en-US"/>
        </w:rPr>
        <w:t xml:space="preserve"> in almost all</w:t>
      </w:r>
      <w:r w:rsidR="00CA1594" w:rsidRPr="00B717F6">
        <w:rPr>
          <w:szCs w:val="24"/>
          <w:lang w:val="en-US"/>
        </w:rPr>
        <w:t xml:space="preserve"> count</w:t>
      </w:r>
      <w:r w:rsidR="0025562C" w:rsidRPr="00B717F6">
        <w:rPr>
          <w:szCs w:val="24"/>
          <w:lang w:val="en-US"/>
        </w:rPr>
        <w:t xml:space="preserve">ries. </w:t>
      </w:r>
      <w:r w:rsidR="00360D35" w:rsidRPr="00B717F6">
        <w:rPr>
          <w:szCs w:val="24"/>
          <w:lang w:val="en-US"/>
        </w:rPr>
        <w:t>Men and women in Norway, Denmark, and Belgium, and men in Portugal were less likely to report</w:t>
      </w:r>
      <w:r w:rsidR="00EE3C5A">
        <w:rPr>
          <w:szCs w:val="24"/>
          <w:lang w:val="en-US"/>
        </w:rPr>
        <w:t xml:space="preserve"> frequent</w:t>
      </w:r>
      <w:r w:rsidR="00360D35" w:rsidRPr="00B717F6">
        <w:rPr>
          <w:szCs w:val="24"/>
          <w:lang w:val="en-US"/>
        </w:rPr>
        <w:t xml:space="preserve"> masturbation if they were satisfied with their level of sexual activity. </w:t>
      </w:r>
      <w:r w:rsidR="003B386D" w:rsidRPr="00B717F6">
        <w:rPr>
          <w:szCs w:val="24"/>
          <w:lang w:val="en-US"/>
        </w:rPr>
        <w:t>The central role of</w:t>
      </w:r>
      <w:r w:rsidR="00CF0623" w:rsidRPr="00B717F6">
        <w:rPr>
          <w:szCs w:val="24"/>
          <w:lang w:val="en-US"/>
        </w:rPr>
        <w:t xml:space="preserve"> </w:t>
      </w:r>
      <w:r w:rsidR="003B386D" w:rsidRPr="00B717F6">
        <w:rPr>
          <w:szCs w:val="24"/>
          <w:lang w:val="en-US"/>
        </w:rPr>
        <w:t xml:space="preserve">sexual </w:t>
      </w:r>
      <w:r w:rsidR="00DE5229" w:rsidRPr="00B717F6">
        <w:rPr>
          <w:szCs w:val="24"/>
          <w:lang w:val="en-US"/>
        </w:rPr>
        <w:t>contentment</w:t>
      </w:r>
      <w:r w:rsidR="0083307C" w:rsidRPr="00B717F6">
        <w:rPr>
          <w:szCs w:val="24"/>
          <w:lang w:val="en-US"/>
        </w:rPr>
        <w:t xml:space="preserve"> </w:t>
      </w:r>
      <w:r w:rsidR="003B386D" w:rsidRPr="00B717F6">
        <w:rPr>
          <w:szCs w:val="24"/>
          <w:lang w:val="en-US"/>
        </w:rPr>
        <w:t>in predicting solitary sexual activity may</w:t>
      </w:r>
      <w:r w:rsidR="00793897" w:rsidRPr="00B717F6">
        <w:rPr>
          <w:szCs w:val="24"/>
          <w:lang w:val="en-US"/>
        </w:rPr>
        <w:t xml:space="preserve"> </w:t>
      </w:r>
      <w:r w:rsidR="00436066" w:rsidRPr="00B717F6">
        <w:rPr>
          <w:szCs w:val="24"/>
          <w:lang w:val="en-US"/>
        </w:rPr>
        <w:t xml:space="preserve">reflect </w:t>
      </w:r>
      <w:r w:rsidR="00793897" w:rsidRPr="00B717F6">
        <w:rPr>
          <w:szCs w:val="24"/>
          <w:lang w:val="en-US"/>
        </w:rPr>
        <w:t xml:space="preserve">older </w:t>
      </w:r>
      <w:r w:rsidR="00670033" w:rsidRPr="00B717F6">
        <w:rPr>
          <w:szCs w:val="24"/>
          <w:lang w:val="en-US"/>
        </w:rPr>
        <w:t>adults’</w:t>
      </w:r>
      <w:r w:rsidR="00793897" w:rsidRPr="00B717F6">
        <w:rPr>
          <w:szCs w:val="24"/>
          <w:lang w:val="en-US"/>
        </w:rPr>
        <w:t xml:space="preserve"> </w:t>
      </w:r>
      <w:r w:rsidR="00670033" w:rsidRPr="00B717F6">
        <w:rPr>
          <w:szCs w:val="24"/>
          <w:lang w:val="en-US"/>
        </w:rPr>
        <w:t xml:space="preserve">tendency to </w:t>
      </w:r>
      <w:r w:rsidR="00793897" w:rsidRPr="00B717F6">
        <w:rPr>
          <w:szCs w:val="24"/>
          <w:lang w:val="en-US"/>
        </w:rPr>
        <w:t xml:space="preserve">view </w:t>
      </w:r>
      <w:r w:rsidR="00D400E7" w:rsidRPr="00B717F6">
        <w:rPr>
          <w:szCs w:val="24"/>
          <w:lang w:val="en-US"/>
        </w:rPr>
        <w:t>masturbation</w:t>
      </w:r>
      <w:r w:rsidR="00670033" w:rsidRPr="00B717F6">
        <w:rPr>
          <w:szCs w:val="24"/>
          <w:lang w:val="en-US"/>
        </w:rPr>
        <w:t xml:space="preserve"> </w:t>
      </w:r>
      <w:r w:rsidR="001F7327" w:rsidRPr="00B717F6">
        <w:rPr>
          <w:szCs w:val="24"/>
          <w:lang w:val="en-US"/>
        </w:rPr>
        <w:t>as a second</w:t>
      </w:r>
      <w:r w:rsidR="00670033" w:rsidRPr="00B717F6">
        <w:rPr>
          <w:szCs w:val="24"/>
          <w:lang w:val="en-US"/>
        </w:rPr>
        <w:t>-</w:t>
      </w:r>
      <w:r w:rsidR="001F7327" w:rsidRPr="00B717F6">
        <w:rPr>
          <w:szCs w:val="24"/>
          <w:lang w:val="en-US"/>
        </w:rPr>
        <w:t>best</w:t>
      </w:r>
      <w:r w:rsidR="0018493C" w:rsidRPr="00B717F6">
        <w:rPr>
          <w:szCs w:val="24"/>
          <w:lang w:val="en-US"/>
        </w:rPr>
        <w:t xml:space="preserve"> </w:t>
      </w:r>
      <w:r w:rsidR="00670033" w:rsidRPr="00B717F6">
        <w:rPr>
          <w:szCs w:val="24"/>
          <w:lang w:val="en-US"/>
        </w:rPr>
        <w:t>alternative that is only</w:t>
      </w:r>
      <w:r w:rsidR="00436066" w:rsidRPr="00B717F6">
        <w:rPr>
          <w:szCs w:val="24"/>
          <w:lang w:val="en-US"/>
        </w:rPr>
        <w:t xml:space="preserve"> </w:t>
      </w:r>
      <w:r w:rsidR="00436066" w:rsidRPr="00B717F6">
        <w:rPr>
          <w:szCs w:val="24"/>
          <w:lang w:val="en-US"/>
        </w:rPr>
        <w:lastRenderedPageBreak/>
        <w:t>needed if</w:t>
      </w:r>
      <w:r w:rsidR="00793897" w:rsidRPr="00B717F6">
        <w:rPr>
          <w:szCs w:val="24"/>
          <w:lang w:val="en-US"/>
        </w:rPr>
        <w:t xml:space="preserve"> one desires more sex or</w:t>
      </w:r>
      <w:r w:rsidR="00436066" w:rsidRPr="00B717F6">
        <w:rPr>
          <w:szCs w:val="24"/>
          <w:lang w:val="en-US"/>
        </w:rPr>
        <w:t xml:space="preserve"> partnered sex is not satisfying</w:t>
      </w:r>
      <w:r w:rsidR="004B4059" w:rsidRPr="00B717F6">
        <w:rPr>
          <w:szCs w:val="24"/>
          <w:lang w:val="en-US"/>
        </w:rPr>
        <w:t>.</w:t>
      </w:r>
      <w:r w:rsidR="006A6DDD" w:rsidRPr="00B717F6">
        <w:rPr>
          <w:szCs w:val="24"/>
          <w:lang w:val="en-US"/>
        </w:rPr>
        <w:t xml:space="preserve"> </w:t>
      </w:r>
      <w:r w:rsidR="005D028C" w:rsidRPr="00B717F6">
        <w:rPr>
          <w:szCs w:val="24"/>
          <w:lang w:val="en-US"/>
        </w:rPr>
        <w:t>Although</w:t>
      </w:r>
      <w:r w:rsidR="00301214" w:rsidRPr="00B717F6">
        <w:rPr>
          <w:szCs w:val="24"/>
          <w:lang w:val="en-US"/>
        </w:rPr>
        <w:t xml:space="preserve"> t</w:t>
      </w:r>
      <w:r w:rsidR="008333FB" w:rsidRPr="00B717F6">
        <w:rPr>
          <w:szCs w:val="24"/>
          <w:lang w:val="en-US"/>
        </w:rPr>
        <w:t xml:space="preserve">his finding supports </w:t>
      </w:r>
      <w:r w:rsidR="00301214" w:rsidRPr="00B717F6">
        <w:rPr>
          <w:szCs w:val="24"/>
          <w:lang w:val="en-US"/>
        </w:rPr>
        <w:t xml:space="preserve">the </w:t>
      </w:r>
      <w:r w:rsidR="00905C31" w:rsidRPr="00B717F6">
        <w:rPr>
          <w:szCs w:val="24"/>
          <w:lang w:val="en-US"/>
        </w:rPr>
        <w:t xml:space="preserve">idea that masturbation functions as a substitute among </w:t>
      </w:r>
      <w:r w:rsidR="00E95E04" w:rsidRPr="00B717F6">
        <w:rPr>
          <w:szCs w:val="24"/>
          <w:lang w:val="en-US"/>
        </w:rPr>
        <w:t xml:space="preserve">contemporary </w:t>
      </w:r>
      <w:r w:rsidR="0018493C" w:rsidRPr="00B717F6">
        <w:rPr>
          <w:szCs w:val="24"/>
          <w:lang w:val="en-US"/>
        </w:rPr>
        <w:t xml:space="preserve">older </w:t>
      </w:r>
      <w:r w:rsidR="00E95E04" w:rsidRPr="00B717F6">
        <w:rPr>
          <w:szCs w:val="24"/>
          <w:lang w:val="en-US"/>
        </w:rPr>
        <w:t xml:space="preserve">populations, it is </w:t>
      </w:r>
      <w:r w:rsidR="00301214" w:rsidRPr="00B717F6">
        <w:rPr>
          <w:szCs w:val="24"/>
          <w:lang w:val="en-US"/>
        </w:rPr>
        <w:t>possible that</w:t>
      </w:r>
      <w:r w:rsidR="00905C31" w:rsidRPr="00B717F6">
        <w:rPr>
          <w:szCs w:val="24"/>
          <w:lang w:val="en-US"/>
        </w:rPr>
        <w:t xml:space="preserve"> </w:t>
      </w:r>
      <w:r w:rsidR="00FB5328" w:rsidRPr="00B717F6">
        <w:rPr>
          <w:szCs w:val="24"/>
          <w:lang w:val="en-US"/>
        </w:rPr>
        <w:t xml:space="preserve">this will </w:t>
      </w:r>
      <w:r w:rsidR="009B7D79" w:rsidRPr="00B717F6">
        <w:rPr>
          <w:szCs w:val="24"/>
          <w:lang w:val="en-US"/>
        </w:rPr>
        <w:t xml:space="preserve">not </w:t>
      </w:r>
      <w:r w:rsidR="00FB5328" w:rsidRPr="00B717F6">
        <w:rPr>
          <w:szCs w:val="24"/>
          <w:lang w:val="en-US"/>
        </w:rPr>
        <w:t>be the case for</w:t>
      </w:r>
      <w:r w:rsidR="00622E03" w:rsidRPr="00B717F6">
        <w:rPr>
          <w:szCs w:val="24"/>
          <w:lang w:val="en-US"/>
        </w:rPr>
        <w:t xml:space="preserve"> the</w:t>
      </w:r>
      <w:r w:rsidR="009B7D79" w:rsidRPr="00B717F6">
        <w:rPr>
          <w:szCs w:val="24"/>
          <w:lang w:val="en-US"/>
        </w:rPr>
        <w:t xml:space="preserve"> </w:t>
      </w:r>
      <w:r w:rsidR="0018493C" w:rsidRPr="00B717F6">
        <w:rPr>
          <w:szCs w:val="24"/>
          <w:lang w:val="en-US"/>
        </w:rPr>
        <w:t xml:space="preserve">coming generations. </w:t>
      </w:r>
      <w:r w:rsidR="00FB5328" w:rsidRPr="00B717F6">
        <w:rPr>
          <w:szCs w:val="24"/>
          <w:lang w:val="en-US"/>
        </w:rPr>
        <w:t>F</w:t>
      </w:r>
      <w:r w:rsidR="005D028C" w:rsidRPr="00B717F6">
        <w:rPr>
          <w:szCs w:val="24"/>
          <w:lang w:val="en-US"/>
        </w:rPr>
        <w:t>indings from Finland and G</w:t>
      </w:r>
      <w:r w:rsidR="001F74A0" w:rsidRPr="00B717F6">
        <w:rPr>
          <w:szCs w:val="24"/>
          <w:lang w:val="en-US"/>
        </w:rPr>
        <w:t>ermany indicate cultural changes in the meaning of masturbation,</w:t>
      </w:r>
      <w:r w:rsidR="00622E03" w:rsidRPr="00B717F6">
        <w:rPr>
          <w:szCs w:val="24"/>
          <w:lang w:val="en-US"/>
        </w:rPr>
        <w:t xml:space="preserve"> </w:t>
      </w:r>
      <w:r w:rsidR="00EF09BE" w:rsidRPr="00B717F6">
        <w:rPr>
          <w:szCs w:val="24"/>
          <w:lang w:val="en-US"/>
        </w:rPr>
        <w:t>with</w:t>
      </w:r>
      <w:r w:rsidR="003E6DB8" w:rsidRPr="00B717F6">
        <w:rPr>
          <w:szCs w:val="24"/>
          <w:lang w:val="en-US"/>
        </w:rPr>
        <w:t xml:space="preserve"> younger </w:t>
      </w:r>
      <w:r w:rsidR="00DB5929" w:rsidRPr="00B717F6">
        <w:rPr>
          <w:szCs w:val="24"/>
          <w:lang w:val="en-US"/>
        </w:rPr>
        <w:t>generations</w:t>
      </w:r>
      <w:r w:rsidR="003E6DB8" w:rsidRPr="00B717F6">
        <w:rPr>
          <w:szCs w:val="24"/>
          <w:lang w:val="en-US"/>
        </w:rPr>
        <w:t xml:space="preserve"> </w:t>
      </w:r>
      <w:r w:rsidR="00EF09BE" w:rsidRPr="00B717F6">
        <w:rPr>
          <w:szCs w:val="24"/>
          <w:lang w:val="en-US"/>
        </w:rPr>
        <w:t xml:space="preserve">increasingly considering it as an independent </w:t>
      </w:r>
      <w:r w:rsidR="00C63751" w:rsidRPr="00B717F6">
        <w:rPr>
          <w:szCs w:val="24"/>
          <w:lang w:val="en-US"/>
        </w:rPr>
        <w:t>source</w:t>
      </w:r>
      <w:r w:rsidR="00EF09BE" w:rsidRPr="00B717F6">
        <w:rPr>
          <w:szCs w:val="24"/>
          <w:lang w:val="en-US"/>
        </w:rPr>
        <w:t xml:space="preserve"> </w:t>
      </w:r>
      <w:r w:rsidR="0003450D" w:rsidRPr="00B717F6">
        <w:rPr>
          <w:szCs w:val="24"/>
          <w:lang w:val="en-US"/>
        </w:rPr>
        <w:t xml:space="preserve">of experiencing </w:t>
      </w:r>
      <w:r w:rsidR="00EF09BE" w:rsidRPr="00B717F6">
        <w:rPr>
          <w:szCs w:val="24"/>
          <w:lang w:val="en-US"/>
        </w:rPr>
        <w:t xml:space="preserve">sexual pleasure </w:t>
      </w:r>
      <w:r w:rsidR="006E1EA2" w:rsidRPr="00B717F6">
        <w:rPr>
          <w:szCs w:val="24"/>
          <w:lang w:val="en-US"/>
        </w:rPr>
        <w:t>(Dekker &amp; Schmidt, 2003</w:t>
      </w:r>
      <w:r w:rsidR="009B585F" w:rsidRPr="00B717F6">
        <w:rPr>
          <w:szCs w:val="24"/>
          <w:lang w:val="en-US"/>
        </w:rPr>
        <w:t xml:space="preserve">; </w:t>
      </w:r>
      <w:proofErr w:type="spellStart"/>
      <w:r w:rsidR="009B585F" w:rsidRPr="00B717F6">
        <w:rPr>
          <w:szCs w:val="24"/>
          <w:lang w:val="en-US"/>
        </w:rPr>
        <w:t>Kontula</w:t>
      </w:r>
      <w:proofErr w:type="spellEnd"/>
      <w:r w:rsidR="009B585F" w:rsidRPr="00B717F6">
        <w:rPr>
          <w:szCs w:val="24"/>
          <w:lang w:val="en-US"/>
        </w:rPr>
        <w:t xml:space="preserve"> &amp; </w:t>
      </w:r>
      <w:proofErr w:type="spellStart"/>
      <w:r w:rsidR="009B585F" w:rsidRPr="00B717F6">
        <w:rPr>
          <w:szCs w:val="24"/>
          <w:lang w:val="en-US"/>
        </w:rPr>
        <w:t>Haavio-Mannila</w:t>
      </w:r>
      <w:proofErr w:type="spellEnd"/>
      <w:r w:rsidR="009B585F" w:rsidRPr="00B717F6">
        <w:rPr>
          <w:szCs w:val="24"/>
          <w:lang w:val="en-US"/>
        </w:rPr>
        <w:t>, 2003)</w:t>
      </w:r>
      <w:r w:rsidR="00360D35" w:rsidRPr="00B717F6">
        <w:rPr>
          <w:szCs w:val="24"/>
          <w:lang w:val="en-US"/>
        </w:rPr>
        <w:t>.</w:t>
      </w:r>
    </w:p>
    <w:p w14:paraId="693E6351" w14:textId="1EA92422" w:rsidR="00060FC8" w:rsidRPr="00060FC8" w:rsidRDefault="00060FC8" w:rsidP="00060FC8">
      <w:pPr>
        <w:rPr>
          <w:szCs w:val="24"/>
          <w:lang w:val="en-US"/>
        </w:rPr>
      </w:pPr>
      <w:r w:rsidRPr="00060FC8">
        <w:rPr>
          <w:lang w:val="en-US"/>
        </w:rPr>
        <w:t>Similar to previous findings</w:t>
      </w:r>
      <w:r w:rsidR="007606B9">
        <w:rPr>
          <w:lang w:val="en-US"/>
        </w:rPr>
        <w:t>,</w:t>
      </w:r>
      <w:r w:rsidRPr="00060FC8">
        <w:rPr>
          <w:lang w:val="en-US"/>
        </w:rPr>
        <w:t xml:space="preserve"> the association between intercourse and masturbation frequency was not unequivocal (</w:t>
      </w:r>
      <w:r w:rsidRPr="00060FC8">
        <w:rPr>
          <w:szCs w:val="24"/>
          <w:lang w:val="en-US"/>
        </w:rPr>
        <w:t>Regnerus et al., 2017; Rowland et al., 2020)</w:t>
      </w:r>
      <w:r w:rsidRPr="00060FC8">
        <w:rPr>
          <w:lang w:val="en-US"/>
        </w:rPr>
        <w:t xml:space="preserve">. As with </w:t>
      </w:r>
      <w:proofErr w:type="spellStart"/>
      <w:r w:rsidRPr="00060FC8">
        <w:rPr>
          <w:lang w:val="en-US"/>
        </w:rPr>
        <w:t>Gerressu</w:t>
      </w:r>
      <w:proofErr w:type="spellEnd"/>
      <w:r w:rsidRPr="00060FC8">
        <w:rPr>
          <w:lang w:val="en-US"/>
        </w:rPr>
        <w:t xml:space="preserve"> et al. (2008), we found a gender-specific pattern where, among Norwegian and Belgian women, more frequent intercourse increased the likelihood of frequent masturbation (reflecting the complementary model)</w:t>
      </w:r>
      <w:r w:rsidR="007606B9">
        <w:rPr>
          <w:lang w:val="en-US"/>
        </w:rPr>
        <w:t>,</w:t>
      </w:r>
      <w:r w:rsidRPr="00060FC8">
        <w:rPr>
          <w:lang w:val="en-US"/>
        </w:rPr>
        <w:t xml:space="preserve"> while the opposite relationship was found among Danish men (in line with the compensatory model). </w:t>
      </w:r>
      <w:r w:rsidR="007606B9">
        <w:rPr>
          <w:lang w:val="en-US"/>
        </w:rPr>
        <w:t>In contrast</w:t>
      </w:r>
      <w:r w:rsidRPr="00060FC8">
        <w:rPr>
          <w:lang w:val="en-US"/>
        </w:rPr>
        <w:t xml:space="preserve"> to this pattern was the finding in Portuguese men, where more intercourse activity was related to higher levels of masturbation. Although this finding may represent a difference in sexual culture in southern Europe, it is more likely that it reflects a sample selection bias, give</w:t>
      </w:r>
      <w:r w:rsidR="00633C83">
        <w:rPr>
          <w:lang w:val="en-US"/>
        </w:rPr>
        <w:t>n</w:t>
      </w:r>
      <w:r w:rsidRPr="00060FC8">
        <w:rPr>
          <w:lang w:val="en-US"/>
        </w:rPr>
        <w:t xml:space="preserve"> a less reliable sampling method, a high refusal rate, and a much lower response rate for the Portuguese sample than for the samples in Norway, Denmark, and Belgium. </w:t>
      </w:r>
    </w:p>
    <w:p w14:paraId="15A5EF3A" w14:textId="046C4F58" w:rsidR="004027A3" w:rsidRPr="00B717F6" w:rsidRDefault="000B1D0E" w:rsidP="009C0C78">
      <w:pPr>
        <w:rPr>
          <w:szCs w:val="24"/>
          <w:lang w:val="en-US"/>
        </w:rPr>
      </w:pPr>
      <w:r w:rsidRPr="00B717F6">
        <w:rPr>
          <w:szCs w:val="24"/>
          <w:lang w:val="en-US"/>
        </w:rPr>
        <w:t>Another</w:t>
      </w:r>
      <w:r w:rsidR="00B11180" w:rsidRPr="00B717F6">
        <w:rPr>
          <w:szCs w:val="24"/>
          <w:lang w:val="en-US"/>
        </w:rPr>
        <w:t xml:space="preserve"> </w:t>
      </w:r>
      <w:r w:rsidR="00683B9B" w:rsidRPr="00B717F6">
        <w:rPr>
          <w:szCs w:val="24"/>
          <w:lang w:val="en-US"/>
        </w:rPr>
        <w:t xml:space="preserve">key </w:t>
      </w:r>
      <w:r w:rsidR="00B11180" w:rsidRPr="00B717F6">
        <w:rPr>
          <w:szCs w:val="24"/>
          <w:lang w:val="en-US"/>
        </w:rPr>
        <w:t>finding point</w:t>
      </w:r>
      <w:r w:rsidR="00683B9B" w:rsidRPr="00B717F6">
        <w:rPr>
          <w:szCs w:val="24"/>
          <w:lang w:val="en-US"/>
        </w:rPr>
        <w:t>s</w:t>
      </w:r>
      <w:r w:rsidR="00B11180" w:rsidRPr="00B717F6">
        <w:rPr>
          <w:szCs w:val="24"/>
          <w:lang w:val="en-US"/>
        </w:rPr>
        <w:t xml:space="preserve"> to the</w:t>
      </w:r>
      <w:r w:rsidRPr="00B717F6">
        <w:rPr>
          <w:szCs w:val="24"/>
          <w:lang w:val="en-US"/>
        </w:rPr>
        <w:t xml:space="preserve"> </w:t>
      </w:r>
      <w:r w:rsidR="00B05237" w:rsidRPr="00B717F6">
        <w:rPr>
          <w:szCs w:val="24"/>
          <w:lang w:val="en-US"/>
        </w:rPr>
        <w:t xml:space="preserve">important </w:t>
      </w:r>
      <w:r w:rsidR="00346F7D" w:rsidRPr="00B717F6">
        <w:rPr>
          <w:szCs w:val="24"/>
          <w:lang w:val="en-US"/>
        </w:rPr>
        <w:t xml:space="preserve">role </w:t>
      </w:r>
      <w:r w:rsidR="00B05237" w:rsidRPr="00B717F6">
        <w:rPr>
          <w:szCs w:val="24"/>
          <w:lang w:val="en-US"/>
        </w:rPr>
        <w:t>o</w:t>
      </w:r>
      <w:r w:rsidR="009B7C2E" w:rsidRPr="00B717F6">
        <w:rPr>
          <w:szCs w:val="24"/>
          <w:lang w:val="en-US"/>
        </w:rPr>
        <w:t>f sexual attitudes</w:t>
      </w:r>
      <w:r w:rsidR="00B05237" w:rsidRPr="00B717F6">
        <w:rPr>
          <w:szCs w:val="24"/>
          <w:lang w:val="en-US"/>
        </w:rPr>
        <w:t xml:space="preserve"> in </w:t>
      </w:r>
      <w:r w:rsidR="00683B9B" w:rsidRPr="00B717F6">
        <w:rPr>
          <w:szCs w:val="24"/>
          <w:lang w:val="en-US"/>
        </w:rPr>
        <w:t xml:space="preserve">predicting sexual behavior in </w:t>
      </w:r>
      <w:r w:rsidR="00B05237" w:rsidRPr="00B717F6">
        <w:rPr>
          <w:szCs w:val="24"/>
          <w:lang w:val="en-US"/>
        </w:rPr>
        <w:t>aging men and women</w:t>
      </w:r>
      <w:r w:rsidR="009B7C2E" w:rsidRPr="00B717F6">
        <w:rPr>
          <w:szCs w:val="24"/>
          <w:lang w:val="en-US"/>
        </w:rPr>
        <w:t xml:space="preserve">. Sexual attitudes </w:t>
      </w:r>
      <w:r w:rsidR="00BF7921" w:rsidRPr="00B717F6">
        <w:rPr>
          <w:szCs w:val="24"/>
          <w:lang w:val="en-US"/>
        </w:rPr>
        <w:t>mirror</w:t>
      </w:r>
      <w:r w:rsidR="009B7C2E" w:rsidRPr="00B717F6">
        <w:rPr>
          <w:szCs w:val="24"/>
          <w:lang w:val="en-US"/>
        </w:rPr>
        <w:t xml:space="preserve"> prevailing socio-</w:t>
      </w:r>
      <w:r w:rsidR="00BF7921" w:rsidRPr="00B717F6">
        <w:rPr>
          <w:szCs w:val="24"/>
          <w:lang w:val="en-US"/>
        </w:rPr>
        <w:t>cultural</w:t>
      </w:r>
      <w:r w:rsidR="009B7C2E" w:rsidRPr="00B717F6">
        <w:rPr>
          <w:szCs w:val="24"/>
          <w:lang w:val="en-US"/>
        </w:rPr>
        <w:t xml:space="preserve"> norms and </w:t>
      </w:r>
      <w:r w:rsidR="007456EC" w:rsidRPr="00B717F6">
        <w:rPr>
          <w:szCs w:val="24"/>
          <w:lang w:val="en-US"/>
        </w:rPr>
        <w:t>t</w:t>
      </w:r>
      <w:r w:rsidR="009B7C2E" w:rsidRPr="00B717F6">
        <w:rPr>
          <w:szCs w:val="24"/>
          <w:lang w:val="en-US"/>
        </w:rPr>
        <w:t>he</w:t>
      </w:r>
      <w:r w:rsidR="005063F1" w:rsidRPr="00B717F6">
        <w:rPr>
          <w:szCs w:val="24"/>
          <w:lang w:val="en-US"/>
        </w:rPr>
        <w:t xml:space="preserve"> attached</w:t>
      </w:r>
      <w:r w:rsidR="009B7C2E" w:rsidRPr="00B717F6">
        <w:rPr>
          <w:szCs w:val="24"/>
          <w:lang w:val="en-US"/>
        </w:rPr>
        <w:t xml:space="preserve"> meaning of sexual behavior within a cultural context</w:t>
      </w:r>
      <w:r w:rsidR="00D2510D" w:rsidRPr="00B717F6">
        <w:rPr>
          <w:szCs w:val="24"/>
          <w:lang w:val="en-US"/>
        </w:rPr>
        <w:t xml:space="preserve"> (</w:t>
      </w:r>
      <w:r w:rsidR="007458BA" w:rsidRPr="00B717F6">
        <w:rPr>
          <w:szCs w:val="24"/>
          <w:lang w:val="en-US"/>
        </w:rPr>
        <w:t>Masters et al.</w:t>
      </w:r>
      <w:r w:rsidR="00B03650" w:rsidRPr="00B717F6">
        <w:rPr>
          <w:szCs w:val="24"/>
          <w:lang w:val="en-US"/>
        </w:rPr>
        <w:t>,</w:t>
      </w:r>
      <w:r w:rsidR="007458BA" w:rsidRPr="00B717F6">
        <w:rPr>
          <w:szCs w:val="24"/>
          <w:lang w:val="en-US"/>
        </w:rPr>
        <w:t xml:space="preserve"> 2013</w:t>
      </w:r>
      <w:r w:rsidR="00BF7921" w:rsidRPr="00B717F6">
        <w:rPr>
          <w:szCs w:val="24"/>
          <w:lang w:val="en-US"/>
        </w:rPr>
        <w:t>)</w:t>
      </w:r>
      <w:r w:rsidR="009B7C2E" w:rsidRPr="00B717F6">
        <w:rPr>
          <w:szCs w:val="24"/>
          <w:lang w:val="en-US"/>
        </w:rPr>
        <w:t xml:space="preserve">. </w:t>
      </w:r>
      <w:r w:rsidR="0033029A" w:rsidRPr="00B717F6">
        <w:rPr>
          <w:szCs w:val="24"/>
          <w:lang w:val="en-US"/>
        </w:rPr>
        <w:t xml:space="preserve">We investigated </w:t>
      </w:r>
      <w:r w:rsidR="00D916F2" w:rsidRPr="00B717F6">
        <w:rPr>
          <w:szCs w:val="24"/>
          <w:lang w:val="en-US"/>
        </w:rPr>
        <w:t xml:space="preserve">several sexual attitudes as possible predictors of </w:t>
      </w:r>
      <w:r w:rsidR="00B31790" w:rsidRPr="00B717F6">
        <w:rPr>
          <w:szCs w:val="24"/>
          <w:lang w:val="en-US"/>
        </w:rPr>
        <w:t>masturbation</w:t>
      </w:r>
      <w:r w:rsidR="00D916F2" w:rsidRPr="00B717F6">
        <w:rPr>
          <w:szCs w:val="24"/>
          <w:lang w:val="en-US"/>
        </w:rPr>
        <w:t xml:space="preserve"> and fou</w:t>
      </w:r>
      <w:r w:rsidR="00B31790" w:rsidRPr="00B717F6">
        <w:rPr>
          <w:szCs w:val="24"/>
          <w:lang w:val="en-US"/>
        </w:rPr>
        <w:t xml:space="preserve">nd that attitudes reflecting the idea that sex is legitimized by love </w:t>
      </w:r>
      <w:r w:rsidR="00683B9B" w:rsidRPr="00B717F6">
        <w:rPr>
          <w:szCs w:val="24"/>
          <w:lang w:val="en-US"/>
        </w:rPr>
        <w:t xml:space="preserve">were </w:t>
      </w:r>
      <w:r w:rsidR="00B31790" w:rsidRPr="00B717F6">
        <w:rPr>
          <w:szCs w:val="24"/>
          <w:lang w:val="en-US"/>
        </w:rPr>
        <w:t xml:space="preserve">negatively associated with masturbation </w:t>
      </w:r>
      <w:r w:rsidR="00FF168A" w:rsidRPr="00B717F6">
        <w:rPr>
          <w:szCs w:val="24"/>
          <w:lang w:val="en-US"/>
        </w:rPr>
        <w:t>in</w:t>
      </w:r>
      <w:r w:rsidR="000538AB" w:rsidRPr="00B717F6">
        <w:rPr>
          <w:szCs w:val="24"/>
          <w:lang w:val="en-US"/>
        </w:rPr>
        <w:t xml:space="preserve"> </w:t>
      </w:r>
      <w:r w:rsidR="004C5926" w:rsidRPr="00B717F6">
        <w:rPr>
          <w:szCs w:val="24"/>
          <w:lang w:val="en-US"/>
        </w:rPr>
        <w:t>Norwegian, Danish</w:t>
      </w:r>
      <w:r w:rsidR="00791FC4" w:rsidRPr="00B717F6">
        <w:rPr>
          <w:szCs w:val="24"/>
          <w:lang w:val="en-US"/>
        </w:rPr>
        <w:t xml:space="preserve">, and </w:t>
      </w:r>
      <w:r w:rsidR="00D67860">
        <w:rPr>
          <w:szCs w:val="24"/>
          <w:lang w:val="en-US"/>
        </w:rPr>
        <w:t>Belgian</w:t>
      </w:r>
      <w:r w:rsidR="004611F9" w:rsidRPr="00B717F6">
        <w:rPr>
          <w:szCs w:val="24"/>
          <w:lang w:val="en-US"/>
        </w:rPr>
        <w:t xml:space="preserve"> </w:t>
      </w:r>
      <w:r w:rsidR="004C5926" w:rsidRPr="00B717F6">
        <w:rPr>
          <w:szCs w:val="24"/>
          <w:lang w:val="en-US"/>
        </w:rPr>
        <w:t xml:space="preserve">men, and in Norwegian and Portuguese women. </w:t>
      </w:r>
      <w:r w:rsidR="000401DC" w:rsidRPr="00B717F6">
        <w:rPr>
          <w:szCs w:val="24"/>
          <w:lang w:val="en-US"/>
        </w:rPr>
        <w:t xml:space="preserve">This finding may reflect </w:t>
      </w:r>
      <w:r w:rsidR="00DF01BA" w:rsidRPr="00B717F6">
        <w:rPr>
          <w:szCs w:val="24"/>
          <w:lang w:val="en-US"/>
        </w:rPr>
        <w:t>the pr</w:t>
      </w:r>
      <w:r w:rsidR="00EC2466" w:rsidRPr="00B717F6">
        <w:rPr>
          <w:szCs w:val="24"/>
          <w:lang w:val="en-US"/>
        </w:rPr>
        <w:t>evailing</w:t>
      </w:r>
      <w:r w:rsidR="000401DC" w:rsidRPr="00B717F6">
        <w:rPr>
          <w:szCs w:val="24"/>
          <w:lang w:val="en-US"/>
        </w:rPr>
        <w:t xml:space="preserve"> </w:t>
      </w:r>
      <w:r w:rsidR="00DF01BA" w:rsidRPr="00B717F6">
        <w:rPr>
          <w:szCs w:val="24"/>
          <w:lang w:val="en-US"/>
        </w:rPr>
        <w:t xml:space="preserve">heterosexual </w:t>
      </w:r>
      <w:r w:rsidR="000401DC" w:rsidRPr="00B717F6">
        <w:rPr>
          <w:szCs w:val="24"/>
          <w:lang w:val="en-US"/>
        </w:rPr>
        <w:t xml:space="preserve">sexual script, </w:t>
      </w:r>
      <w:r w:rsidR="00B9657B" w:rsidRPr="00B717F6">
        <w:rPr>
          <w:szCs w:val="24"/>
          <w:lang w:val="en-US"/>
        </w:rPr>
        <w:t xml:space="preserve">where sexual behavior </w:t>
      </w:r>
      <w:r w:rsidR="00EC2466" w:rsidRPr="00B717F6">
        <w:rPr>
          <w:szCs w:val="24"/>
          <w:lang w:val="en-US"/>
        </w:rPr>
        <w:t xml:space="preserve">is legitimized by romantic love </w:t>
      </w:r>
      <w:r w:rsidR="000401DC" w:rsidRPr="00B717F6">
        <w:rPr>
          <w:szCs w:val="24"/>
          <w:lang w:val="en-US"/>
        </w:rPr>
        <w:t>(</w:t>
      </w:r>
      <w:r w:rsidR="00DF01BA" w:rsidRPr="00B717F6">
        <w:rPr>
          <w:szCs w:val="24"/>
          <w:lang w:val="en-US"/>
        </w:rPr>
        <w:t xml:space="preserve">also </w:t>
      </w:r>
      <w:r w:rsidR="000401DC" w:rsidRPr="00B717F6">
        <w:rPr>
          <w:szCs w:val="24"/>
          <w:lang w:val="en-US"/>
        </w:rPr>
        <w:t>termed the “love ideology”) (</w:t>
      </w:r>
      <w:r w:rsidR="007676EA" w:rsidRPr="00B717F6">
        <w:rPr>
          <w:szCs w:val="24"/>
          <w:lang w:val="en-US"/>
        </w:rPr>
        <w:t xml:space="preserve">Francoeur </w:t>
      </w:r>
      <w:r w:rsidR="007676EA" w:rsidRPr="00B717F6">
        <w:rPr>
          <w:szCs w:val="24"/>
          <w:lang w:val="en-US"/>
        </w:rPr>
        <w:lastRenderedPageBreak/>
        <w:t xml:space="preserve">&amp; </w:t>
      </w:r>
      <w:proofErr w:type="spellStart"/>
      <w:r w:rsidR="007676EA" w:rsidRPr="00B717F6">
        <w:rPr>
          <w:szCs w:val="24"/>
          <w:lang w:val="en-US"/>
        </w:rPr>
        <w:t>Noona</w:t>
      </w:r>
      <w:proofErr w:type="spellEnd"/>
      <w:r w:rsidR="007676EA" w:rsidRPr="00B717F6">
        <w:rPr>
          <w:szCs w:val="24"/>
          <w:lang w:val="en-US"/>
        </w:rPr>
        <w:t xml:space="preserve">, 2004; </w:t>
      </w:r>
      <w:r w:rsidR="009D6DCE" w:rsidRPr="00B717F6">
        <w:rPr>
          <w:szCs w:val="24"/>
          <w:lang w:val="en-US"/>
        </w:rPr>
        <w:t xml:space="preserve">Gagnon </w:t>
      </w:r>
      <w:r w:rsidR="00E31DB4" w:rsidRPr="00B717F6">
        <w:rPr>
          <w:szCs w:val="24"/>
          <w:lang w:val="en-US"/>
        </w:rPr>
        <w:t>&amp;</w:t>
      </w:r>
      <w:r w:rsidR="009D6DCE" w:rsidRPr="00B717F6">
        <w:rPr>
          <w:szCs w:val="24"/>
          <w:lang w:val="en-US"/>
        </w:rPr>
        <w:t xml:space="preserve"> Simon, 2005; </w:t>
      </w:r>
      <w:proofErr w:type="spellStart"/>
      <w:r w:rsidR="00E26151" w:rsidRPr="00B717F6">
        <w:rPr>
          <w:szCs w:val="24"/>
          <w:lang w:val="en-US"/>
        </w:rPr>
        <w:t>Træen</w:t>
      </w:r>
      <w:proofErr w:type="spellEnd"/>
      <w:r w:rsidR="00E26151" w:rsidRPr="00B717F6">
        <w:rPr>
          <w:szCs w:val="24"/>
          <w:lang w:val="en-US"/>
        </w:rPr>
        <w:t xml:space="preserve"> &amp; Lewin, 2008</w:t>
      </w:r>
      <w:r w:rsidR="000401DC" w:rsidRPr="00B717F6">
        <w:rPr>
          <w:szCs w:val="24"/>
          <w:lang w:val="en-US"/>
        </w:rPr>
        <w:t>). A</w:t>
      </w:r>
      <w:r w:rsidR="00AC5668" w:rsidRPr="00B717F6">
        <w:rPr>
          <w:szCs w:val="24"/>
          <w:lang w:val="en-US"/>
        </w:rPr>
        <w:t xml:space="preserve">ccording to </w:t>
      </w:r>
      <w:r w:rsidR="00526F0F" w:rsidRPr="00B717F6">
        <w:rPr>
          <w:szCs w:val="24"/>
          <w:lang w:val="en-US"/>
        </w:rPr>
        <w:t>this script</w:t>
      </w:r>
      <w:r w:rsidR="000401DC" w:rsidRPr="00B717F6">
        <w:rPr>
          <w:szCs w:val="24"/>
          <w:lang w:val="en-US"/>
        </w:rPr>
        <w:t xml:space="preserve">, “good” sexuality </w:t>
      </w:r>
      <w:r w:rsidR="00526F0F" w:rsidRPr="00B717F6">
        <w:rPr>
          <w:szCs w:val="24"/>
          <w:lang w:val="en-US"/>
        </w:rPr>
        <w:t>is contextualized</w:t>
      </w:r>
      <w:r w:rsidR="000401DC" w:rsidRPr="00B717F6">
        <w:rPr>
          <w:szCs w:val="24"/>
          <w:lang w:val="en-US"/>
        </w:rPr>
        <w:t xml:space="preserve"> within intimate relationships</w:t>
      </w:r>
      <w:r w:rsidR="00257D7F" w:rsidRPr="00B717F6">
        <w:rPr>
          <w:szCs w:val="24"/>
          <w:lang w:val="en-US"/>
        </w:rPr>
        <w:t xml:space="preserve">, </w:t>
      </w:r>
      <w:r w:rsidR="0000609C" w:rsidRPr="00B717F6">
        <w:rPr>
          <w:szCs w:val="24"/>
          <w:lang w:val="en-US"/>
        </w:rPr>
        <w:t xml:space="preserve">where </w:t>
      </w:r>
      <w:r w:rsidR="00152F96" w:rsidRPr="00B717F6">
        <w:rPr>
          <w:szCs w:val="24"/>
          <w:lang w:val="en-US"/>
        </w:rPr>
        <w:t xml:space="preserve">partnered </w:t>
      </w:r>
      <w:r w:rsidR="0000609C" w:rsidRPr="00B717F6">
        <w:rPr>
          <w:szCs w:val="24"/>
          <w:lang w:val="en-US"/>
        </w:rPr>
        <w:t xml:space="preserve">sex symbolizes mutual </w:t>
      </w:r>
      <w:r w:rsidR="0002304D" w:rsidRPr="00B717F6">
        <w:rPr>
          <w:szCs w:val="24"/>
          <w:lang w:val="en-US"/>
        </w:rPr>
        <w:t>love</w:t>
      </w:r>
      <w:r w:rsidR="00526F0F" w:rsidRPr="00B717F6">
        <w:rPr>
          <w:szCs w:val="24"/>
          <w:lang w:val="en-US"/>
        </w:rPr>
        <w:t xml:space="preserve"> and commitment</w:t>
      </w:r>
      <w:r w:rsidR="0002304D" w:rsidRPr="00B717F6">
        <w:rPr>
          <w:szCs w:val="24"/>
          <w:lang w:val="en-US"/>
        </w:rPr>
        <w:t xml:space="preserve"> </w:t>
      </w:r>
      <w:r w:rsidR="000401DC" w:rsidRPr="00B717F6">
        <w:rPr>
          <w:szCs w:val="24"/>
          <w:lang w:val="en-US"/>
        </w:rPr>
        <w:t>(</w:t>
      </w:r>
      <w:proofErr w:type="spellStart"/>
      <w:r w:rsidR="000401DC" w:rsidRPr="00B717F6">
        <w:rPr>
          <w:szCs w:val="24"/>
          <w:lang w:val="en-US"/>
        </w:rPr>
        <w:t>Fileborn</w:t>
      </w:r>
      <w:proofErr w:type="spellEnd"/>
      <w:r w:rsidR="000401DC" w:rsidRPr="00B717F6">
        <w:rPr>
          <w:szCs w:val="24"/>
          <w:lang w:val="en-US"/>
        </w:rPr>
        <w:t xml:space="preserve"> et al., 2017; Gagnon </w:t>
      </w:r>
      <w:r w:rsidR="00683B9B" w:rsidRPr="00B717F6">
        <w:rPr>
          <w:szCs w:val="24"/>
          <w:lang w:val="en-US"/>
        </w:rPr>
        <w:t xml:space="preserve">&amp; </w:t>
      </w:r>
      <w:r w:rsidR="000401DC" w:rsidRPr="00B717F6">
        <w:rPr>
          <w:szCs w:val="24"/>
          <w:lang w:val="en-US"/>
        </w:rPr>
        <w:t xml:space="preserve">Simon, 2005; </w:t>
      </w:r>
      <w:proofErr w:type="spellStart"/>
      <w:r w:rsidR="000401DC" w:rsidRPr="00B717F6">
        <w:rPr>
          <w:szCs w:val="24"/>
          <w:lang w:val="en-US"/>
        </w:rPr>
        <w:t>Hinchliff</w:t>
      </w:r>
      <w:proofErr w:type="spellEnd"/>
      <w:r w:rsidR="000401DC" w:rsidRPr="00B717F6">
        <w:rPr>
          <w:szCs w:val="24"/>
          <w:lang w:val="en-US"/>
        </w:rPr>
        <w:t xml:space="preserve"> &amp; Gott, 2004; </w:t>
      </w:r>
      <w:proofErr w:type="spellStart"/>
      <w:r w:rsidR="00E26151" w:rsidRPr="00B717F6">
        <w:rPr>
          <w:szCs w:val="24"/>
          <w:lang w:val="en-US"/>
        </w:rPr>
        <w:t>Træen</w:t>
      </w:r>
      <w:proofErr w:type="spellEnd"/>
      <w:r w:rsidR="00E26151" w:rsidRPr="00B717F6">
        <w:rPr>
          <w:szCs w:val="24"/>
          <w:lang w:val="en-US"/>
        </w:rPr>
        <w:t xml:space="preserve"> &amp; Lewin, 2008</w:t>
      </w:r>
      <w:r w:rsidR="000401DC" w:rsidRPr="00B717F6">
        <w:rPr>
          <w:szCs w:val="24"/>
          <w:lang w:val="en-US"/>
        </w:rPr>
        <w:t>)</w:t>
      </w:r>
      <w:r w:rsidR="00EC29A8" w:rsidRPr="00B717F6">
        <w:rPr>
          <w:szCs w:val="24"/>
          <w:lang w:val="en-US"/>
        </w:rPr>
        <w:t xml:space="preserve">. Within this </w:t>
      </w:r>
      <w:r w:rsidR="00D24FEF" w:rsidRPr="00B717F6">
        <w:rPr>
          <w:szCs w:val="24"/>
          <w:lang w:val="en-US"/>
        </w:rPr>
        <w:t xml:space="preserve">love </w:t>
      </w:r>
      <w:r w:rsidR="00EC29A8" w:rsidRPr="00B717F6">
        <w:rPr>
          <w:szCs w:val="24"/>
          <w:lang w:val="en-US"/>
        </w:rPr>
        <w:t>script, there</w:t>
      </w:r>
      <w:r w:rsidR="00257D7F" w:rsidRPr="00B717F6">
        <w:rPr>
          <w:szCs w:val="24"/>
          <w:lang w:val="en-US"/>
        </w:rPr>
        <w:t xml:space="preserve"> exists</w:t>
      </w:r>
      <w:r w:rsidR="000401DC" w:rsidRPr="00B717F6">
        <w:rPr>
          <w:szCs w:val="24"/>
          <w:lang w:val="en-US"/>
        </w:rPr>
        <w:t xml:space="preserve"> </w:t>
      </w:r>
      <w:r w:rsidR="00EC29A8" w:rsidRPr="00B717F6">
        <w:rPr>
          <w:szCs w:val="24"/>
          <w:lang w:val="en-US"/>
        </w:rPr>
        <w:t xml:space="preserve">little </w:t>
      </w:r>
      <w:r w:rsidR="000401DC" w:rsidRPr="00B717F6">
        <w:rPr>
          <w:szCs w:val="24"/>
          <w:lang w:val="en-US"/>
        </w:rPr>
        <w:t xml:space="preserve">space for </w:t>
      </w:r>
      <w:r w:rsidR="00152F96" w:rsidRPr="00B717F6">
        <w:rPr>
          <w:szCs w:val="24"/>
          <w:lang w:val="en-US"/>
        </w:rPr>
        <w:t>sexual self-pleasuring (</w:t>
      </w:r>
      <w:r w:rsidR="00FD18F6" w:rsidRPr="00B717F6">
        <w:rPr>
          <w:szCs w:val="24"/>
          <w:lang w:val="en-US"/>
        </w:rPr>
        <w:t>Hogarth &amp; Ingham, 2009</w:t>
      </w:r>
      <w:r w:rsidR="00152F96" w:rsidRPr="00B717F6">
        <w:rPr>
          <w:szCs w:val="24"/>
          <w:lang w:val="en-US"/>
        </w:rPr>
        <w:t>).</w:t>
      </w:r>
      <w:r w:rsidR="000401DC" w:rsidRPr="00B717F6">
        <w:rPr>
          <w:szCs w:val="24"/>
          <w:lang w:val="en-US"/>
        </w:rPr>
        <w:t xml:space="preserve"> </w:t>
      </w:r>
      <w:r w:rsidR="00683B9B" w:rsidRPr="00B717F6">
        <w:rPr>
          <w:szCs w:val="24"/>
          <w:lang w:val="en-US"/>
        </w:rPr>
        <w:t>D</w:t>
      </w:r>
      <w:r w:rsidR="009C10EC" w:rsidRPr="00B717F6">
        <w:rPr>
          <w:szCs w:val="24"/>
          <w:lang w:val="en-US"/>
        </w:rPr>
        <w:t>isapprov</w:t>
      </w:r>
      <w:r w:rsidR="00683B9B" w:rsidRPr="00B717F6">
        <w:rPr>
          <w:szCs w:val="24"/>
          <w:lang w:val="en-US"/>
        </w:rPr>
        <w:t>al of</w:t>
      </w:r>
      <w:r w:rsidR="009C10EC" w:rsidRPr="00B717F6">
        <w:rPr>
          <w:szCs w:val="24"/>
          <w:lang w:val="en-US"/>
        </w:rPr>
        <w:t xml:space="preserve"> sex without love among older adults </w:t>
      </w:r>
      <w:r w:rsidR="0000609C" w:rsidRPr="00B717F6">
        <w:rPr>
          <w:szCs w:val="24"/>
          <w:lang w:val="en-US"/>
        </w:rPr>
        <w:t>seem to</w:t>
      </w:r>
      <w:r w:rsidR="00257D7F" w:rsidRPr="00B717F6">
        <w:rPr>
          <w:szCs w:val="24"/>
          <w:lang w:val="en-US"/>
        </w:rPr>
        <w:t xml:space="preserve"> </w:t>
      </w:r>
      <w:r w:rsidR="00683B9B" w:rsidRPr="00B717F6">
        <w:rPr>
          <w:szCs w:val="24"/>
          <w:lang w:val="en-US"/>
        </w:rPr>
        <w:t xml:space="preserve">reflect </w:t>
      </w:r>
      <w:r w:rsidR="00D24FEF" w:rsidRPr="00B717F6">
        <w:rPr>
          <w:szCs w:val="24"/>
          <w:lang w:val="en-US"/>
        </w:rPr>
        <w:t xml:space="preserve">this </w:t>
      </w:r>
      <w:r w:rsidR="00683B9B" w:rsidRPr="00B717F6">
        <w:rPr>
          <w:szCs w:val="24"/>
          <w:lang w:val="en-US"/>
        </w:rPr>
        <w:t xml:space="preserve">traditional </w:t>
      </w:r>
      <w:r w:rsidR="00526F0F" w:rsidRPr="00B717F6">
        <w:rPr>
          <w:szCs w:val="24"/>
          <w:lang w:val="en-US"/>
        </w:rPr>
        <w:t xml:space="preserve">script and </w:t>
      </w:r>
      <w:r w:rsidR="004C7B12" w:rsidRPr="00B717F6">
        <w:rPr>
          <w:szCs w:val="24"/>
          <w:lang w:val="en-US"/>
        </w:rPr>
        <w:t xml:space="preserve">the idea that partnered sex is </w:t>
      </w:r>
      <w:r w:rsidR="0002304D" w:rsidRPr="00B717F6">
        <w:rPr>
          <w:szCs w:val="24"/>
          <w:lang w:val="en-US"/>
        </w:rPr>
        <w:t>superior to masturbation</w:t>
      </w:r>
      <w:r w:rsidR="009C10EC" w:rsidRPr="00B717F6">
        <w:rPr>
          <w:szCs w:val="24"/>
          <w:lang w:val="en-US"/>
        </w:rPr>
        <w:t xml:space="preserve">. </w:t>
      </w:r>
      <w:r w:rsidR="00A349F0" w:rsidRPr="00B717F6">
        <w:rPr>
          <w:szCs w:val="24"/>
          <w:lang w:val="en-US"/>
        </w:rPr>
        <w:t>Hence</w:t>
      </w:r>
      <w:r w:rsidR="004400E6" w:rsidRPr="00B717F6">
        <w:rPr>
          <w:szCs w:val="24"/>
          <w:lang w:val="en-US"/>
        </w:rPr>
        <w:t>, masturbation</w:t>
      </w:r>
      <w:r w:rsidR="0002304D" w:rsidRPr="00B717F6">
        <w:rPr>
          <w:szCs w:val="24"/>
          <w:lang w:val="en-US"/>
        </w:rPr>
        <w:t xml:space="preserve"> </w:t>
      </w:r>
      <w:r w:rsidR="00880A7E" w:rsidRPr="00B717F6">
        <w:rPr>
          <w:szCs w:val="24"/>
          <w:lang w:val="en-US"/>
        </w:rPr>
        <w:t xml:space="preserve">signifies </w:t>
      </w:r>
      <w:r w:rsidR="009724FC" w:rsidRPr="00B717F6">
        <w:rPr>
          <w:szCs w:val="24"/>
          <w:lang w:val="en-US"/>
        </w:rPr>
        <w:t xml:space="preserve">something </w:t>
      </w:r>
      <w:r w:rsidR="005F44A6" w:rsidRPr="00B717F6">
        <w:rPr>
          <w:szCs w:val="24"/>
          <w:lang w:val="en-US"/>
        </w:rPr>
        <w:t>suboptimal and unnecessary</w:t>
      </w:r>
      <w:r w:rsidR="009D6DCE" w:rsidRPr="00B717F6">
        <w:rPr>
          <w:szCs w:val="24"/>
          <w:lang w:val="en-US"/>
        </w:rPr>
        <w:t>, especially</w:t>
      </w:r>
      <w:r w:rsidR="009724FC" w:rsidRPr="00B717F6">
        <w:rPr>
          <w:szCs w:val="24"/>
          <w:lang w:val="en-US"/>
        </w:rPr>
        <w:t xml:space="preserve"> </w:t>
      </w:r>
      <w:r w:rsidR="004E540D" w:rsidRPr="00B717F6">
        <w:rPr>
          <w:szCs w:val="24"/>
          <w:lang w:val="en-US"/>
        </w:rPr>
        <w:t>if</w:t>
      </w:r>
      <w:r w:rsidR="0002304D" w:rsidRPr="00B717F6">
        <w:rPr>
          <w:szCs w:val="24"/>
          <w:lang w:val="en-US"/>
        </w:rPr>
        <w:t xml:space="preserve"> one has access to</w:t>
      </w:r>
      <w:r w:rsidR="005F6CF3" w:rsidRPr="00B717F6">
        <w:rPr>
          <w:szCs w:val="24"/>
          <w:lang w:val="en-US"/>
        </w:rPr>
        <w:t xml:space="preserve"> </w:t>
      </w:r>
      <w:r w:rsidR="004E540D" w:rsidRPr="00B717F6">
        <w:rPr>
          <w:szCs w:val="24"/>
          <w:lang w:val="en-US"/>
        </w:rPr>
        <w:t>the “real deal”</w:t>
      </w:r>
      <w:r w:rsidR="00D54B1E" w:rsidRPr="00B717F6">
        <w:rPr>
          <w:szCs w:val="24"/>
          <w:lang w:val="en-US"/>
        </w:rPr>
        <w:t xml:space="preserve"> (</w:t>
      </w:r>
      <w:proofErr w:type="spellStart"/>
      <w:r w:rsidR="00D54B1E" w:rsidRPr="00B717F6">
        <w:rPr>
          <w:szCs w:val="24"/>
          <w:lang w:val="en-US"/>
        </w:rPr>
        <w:t>Træen</w:t>
      </w:r>
      <w:proofErr w:type="spellEnd"/>
      <w:r w:rsidR="00D54B1E" w:rsidRPr="00B717F6">
        <w:rPr>
          <w:szCs w:val="24"/>
          <w:lang w:val="en-US"/>
        </w:rPr>
        <w:t xml:space="preserve"> et al., 2019)</w:t>
      </w:r>
      <w:r w:rsidR="009724FC" w:rsidRPr="00B717F6">
        <w:rPr>
          <w:szCs w:val="24"/>
          <w:lang w:val="en-US"/>
        </w:rPr>
        <w:t xml:space="preserve">. </w:t>
      </w:r>
      <w:r w:rsidR="0069398B" w:rsidRPr="00B717F6">
        <w:rPr>
          <w:szCs w:val="24"/>
          <w:lang w:val="en-US"/>
        </w:rPr>
        <w:t xml:space="preserve">Moreover, </w:t>
      </w:r>
      <w:r w:rsidR="00905753" w:rsidRPr="00B717F6">
        <w:rPr>
          <w:szCs w:val="24"/>
          <w:lang w:val="en-US"/>
        </w:rPr>
        <w:t xml:space="preserve">practicing </w:t>
      </w:r>
      <w:r w:rsidR="00996572" w:rsidRPr="00B717F6">
        <w:rPr>
          <w:szCs w:val="24"/>
          <w:lang w:val="en-US"/>
        </w:rPr>
        <w:t>sexual self</w:t>
      </w:r>
      <w:r w:rsidR="00683B9B" w:rsidRPr="00B717F6">
        <w:rPr>
          <w:szCs w:val="24"/>
          <w:lang w:val="en-US"/>
        </w:rPr>
        <w:t>-</w:t>
      </w:r>
      <w:r w:rsidR="00905753" w:rsidRPr="00B717F6">
        <w:rPr>
          <w:szCs w:val="24"/>
          <w:lang w:val="en-US"/>
        </w:rPr>
        <w:t>pleasuring</w:t>
      </w:r>
      <w:r w:rsidR="00996572" w:rsidRPr="00B717F6">
        <w:rPr>
          <w:szCs w:val="24"/>
          <w:lang w:val="en-US"/>
        </w:rPr>
        <w:t xml:space="preserve"> </w:t>
      </w:r>
      <w:r w:rsidR="00F67533" w:rsidRPr="00B717F6">
        <w:rPr>
          <w:szCs w:val="24"/>
          <w:lang w:val="en-US"/>
        </w:rPr>
        <w:t xml:space="preserve">in a relationship </w:t>
      </w:r>
      <w:r w:rsidR="00905753" w:rsidRPr="00B717F6">
        <w:rPr>
          <w:szCs w:val="24"/>
          <w:lang w:val="en-US"/>
        </w:rPr>
        <w:t>might be associated with</w:t>
      </w:r>
      <w:r w:rsidR="00996572" w:rsidRPr="00B717F6">
        <w:rPr>
          <w:szCs w:val="24"/>
          <w:lang w:val="en-US"/>
        </w:rPr>
        <w:t xml:space="preserve"> </w:t>
      </w:r>
      <w:r w:rsidR="00BD1940" w:rsidRPr="00B717F6">
        <w:rPr>
          <w:szCs w:val="24"/>
          <w:lang w:val="en-US"/>
        </w:rPr>
        <w:t>the</w:t>
      </w:r>
      <w:r w:rsidR="00F67533" w:rsidRPr="00B717F6">
        <w:rPr>
          <w:szCs w:val="24"/>
          <w:lang w:val="en-US"/>
        </w:rPr>
        <w:t xml:space="preserve"> fear that </w:t>
      </w:r>
      <w:r w:rsidR="00D67F4E" w:rsidRPr="00B717F6">
        <w:rPr>
          <w:szCs w:val="24"/>
          <w:lang w:val="en-US"/>
        </w:rPr>
        <w:t xml:space="preserve">the partner </w:t>
      </w:r>
      <w:r w:rsidR="00F67533" w:rsidRPr="00B717F6">
        <w:rPr>
          <w:szCs w:val="24"/>
          <w:lang w:val="en-US"/>
        </w:rPr>
        <w:t>may misconstrue the behavior as a sign</w:t>
      </w:r>
      <w:r w:rsidR="00BD1940" w:rsidRPr="00B717F6">
        <w:rPr>
          <w:szCs w:val="24"/>
          <w:lang w:val="en-US"/>
        </w:rPr>
        <w:t xml:space="preserve"> of personal undesirability and sexual incompetence (</w:t>
      </w:r>
      <w:proofErr w:type="spellStart"/>
      <w:r w:rsidR="00245386" w:rsidRPr="00B717F6">
        <w:rPr>
          <w:szCs w:val="24"/>
          <w:lang w:val="en-US"/>
        </w:rPr>
        <w:t>Onar</w:t>
      </w:r>
      <w:proofErr w:type="spellEnd"/>
      <w:r w:rsidR="00245386" w:rsidRPr="00B717F6">
        <w:rPr>
          <w:szCs w:val="24"/>
          <w:lang w:val="en-US"/>
        </w:rPr>
        <w:t xml:space="preserve"> et al., 2020</w:t>
      </w:r>
      <w:r w:rsidR="0069398B" w:rsidRPr="00B717F6">
        <w:rPr>
          <w:szCs w:val="24"/>
          <w:lang w:val="en-US"/>
        </w:rPr>
        <w:t xml:space="preserve">). </w:t>
      </w:r>
      <w:r w:rsidR="00ED55BF" w:rsidRPr="00B717F6">
        <w:rPr>
          <w:szCs w:val="24"/>
          <w:lang w:val="en-US"/>
        </w:rPr>
        <w:t>A</w:t>
      </w:r>
      <w:r w:rsidR="004321DC" w:rsidRPr="00B717F6">
        <w:rPr>
          <w:szCs w:val="24"/>
          <w:lang w:val="en-US"/>
        </w:rPr>
        <w:t>ttitudes reflecting</w:t>
      </w:r>
      <w:r w:rsidR="00683B9B" w:rsidRPr="00B717F6">
        <w:rPr>
          <w:szCs w:val="24"/>
          <w:lang w:val="en-US"/>
        </w:rPr>
        <w:t xml:space="preserve"> the notion</w:t>
      </w:r>
      <w:r w:rsidR="004321DC" w:rsidRPr="00B717F6">
        <w:rPr>
          <w:szCs w:val="24"/>
          <w:lang w:val="en-US"/>
        </w:rPr>
        <w:t xml:space="preserve"> that </w:t>
      </w:r>
      <w:r w:rsidR="00C92529" w:rsidRPr="00B717F6">
        <w:rPr>
          <w:szCs w:val="24"/>
          <w:lang w:val="en-US"/>
        </w:rPr>
        <w:t>sexuality</w:t>
      </w:r>
      <w:r w:rsidR="004321DC" w:rsidRPr="00B717F6">
        <w:rPr>
          <w:szCs w:val="24"/>
          <w:lang w:val="en-US"/>
        </w:rPr>
        <w:t xml:space="preserve"> decreases with older age and </w:t>
      </w:r>
      <w:r w:rsidR="00683B9B" w:rsidRPr="00B717F6">
        <w:rPr>
          <w:szCs w:val="24"/>
          <w:lang w:val="en-US"/>
        </w:rPr>
        <w:t>that</w:t>
      </w:r>
      <w:r w:rsidR="004321DC" w:rsidRPr="00B717F6">
        <w:rPr>
          <w:szCs w:val="24"/>
          <w:lang w:val="en-US"/>
        </w:rPr>
        <w:t xml:space="preserve"> </w:t>
      </w:r>
      <w:r w:rsidR="00C92529" w:rsidRPr="00B717F6">
        <w:rPr>
          <w:szCs w:val="24"/>
          <w:lang w:val="en-US"/>
        </w:rPr>
        <w:t>society</w:t>
      </w:r>
      <w:r w:rsidR="00431037" w:rsidRPr="00B717F6">
        <w:rPr>
          <w:szCs w:val="24"/>
          <w:lang w:val="en-US"/>
        </w:rPr>
        <w:t xml:space="preserve"> </w:t>
      </w:r>
      <w:r w:rsidR="00683B9B" w:rsidRPr="00B717F6">
        <w:rPr>
          <w:szCs w:val="24"/>
          <w:lang w:val="en-US"/>
        </w:rPr>
        <w:t xml:space="preserve">has become too sexualized </w:t>
      </w:r>
      <w:r w:rsidR="00431037" w:rsidRPr="00B717F6">
        <w:rPr>
          <w:szCs w:val="24"/>
          <w:lang w:val="en-US"/>
        </w:rPr>
        <w:t>were</w:t>
      </w:r>
      <w:r w:rsidR="00FB232E" w:rsidRPr="00B717F6">
        <w:rPr>
          <w:szCs w:val="24"/>
          <w:lang w:val="en-US"/>
        </w:rPr>
        <w:t xml:space="preserve"> </w:t>
      </w:r>
      <w:r w:rsidR="007F527D" w:rsidRPr="00B717F6">
        <w:rPr>
          <w:szCs w:val="24"/>
          <w:lang w:val="en-US"/>
        </w:rPr>
        <w:t xml:space="preserve">also </w:t>
      </w:r>
      <w:r w:rsidR="004771F3" w:rsidRPr="00B717F6">
        <w:rPr>
          <w:szCs w:val="24"/>
          <w:lang w:val="en-US"/>
        </w:rPr>
        <w:t>negatively</w:t>
      </w:r>
      <w:r w:rsidR="00D223C8" w:rsidRPr="00B717F6">
        <w:rPr>
          <w:szCs w:val="24"/>
          <w:lang w:val="en-US"/>
        </w:rPr>
        <w:t xml:space="preserve"> related to masturbation</w:t>
      </w:r>
      <w:r w:rsidR="005B785E">
        <w:rPr>
          <w:szCs w:val="24"/>
          <w:lang w:val="en-US"/>
        </w:rPr>
        <w:t xml:space="preserve"> frequency</w:t>
      </w:r>
      <w:r w:rsidR="00C92529" w:rsidRPr="00B717F6">
        <w:rPr>
          <w:szCs w:val="24"/>
          <w:lang w:val="en-US"/>
        </w:rPr>
        <w:t>, but only in men from Norway and Denmark</w:t>
      </w:r>
      <w:r w:rsidR="002E5886" w:rsidRPr="00B717F6">
        <w:rPr>
          <w:szCs w:val="24"/>
          <w:lang w:val="en-US"/>
        </w:rPr>
        <w:t xml:space="preserve">. </w:t>
      </w:r>
      <w:r w:rsidR="00386CE5" w:rsidRPr="00B717F6">
        <w:rPr>
          <w:szCs w:val="24"/>
          <w:lang w:val="en-US"/>
        </w:rPr>
        <w:t xml:space="preserve">In </w:t>
      </w:r>
      <w:r w:rsidR="00BC2BDF" w:rsidRPr="00B717F6">
        <w:rPr>
          <w:szCs w:val="24"/>
          <w:lang w:val="en-US"/>
        </w:rPr>
        <w:t>contrast</w:t>
      </w:r>
      <w:r w:rsidR="00431037" w:rsidRPr="00B717F6">
        <w:rPr>
          <w:szCs w:val="24"/>
          <w:lang w:val="en-US"/>
        </w:rPr>
        <w:t xml:space="preserve"> to these less permissive attitudes</w:t>
      </w:r>
      <w:r w:rsidR="00386CE5" w:rsidRPr="00B717F6">
        <w:rPr>
          <w:szCs w:val="24"/>
          <w:lang w:val="en-US"/>
        </w:rPr>
        <w:t xml:space="preserve">, </w:t>
      </w:r>
      <w:r w:rsidR="00D67860">
        <w:rPr>
          <w:szCs w:val="24"/>
          <w:lang w:val="en-US"/>
        </w:rPr>
        <w:t xml:space="preserve">Danish and Belgian men and women </w:t>
      </w:r>
      <w:r w:rsidR="00093C62" w:rsidRPr="00B717F6">
        <w:rPr>
          <w:szCs w:val="24"/>
          <w:lang w:val="en-US"/>
        </w:rPr>
        <w:t xml:space="preserve">who </w:t>
      </w:r>
      <w:r w:rsidR="00897D6E" w:rsidRPr="00B717F6">
        <w:rPr>
          <w:szCs w:val="24"/>
          <w:lang w:val="en-US"/>
        </w:rPr>
        <w:t xml:space="preserve">believed that sexual activity is beneficial for older people </w:t>
      </w:r>
      <w:r w:rsidR="00093C62" w:rsidRPr="00B717F6">
        <w:rPr>
          <w:szCs w:val="24"/>
          <w:lang w:val="en-US"/>
        </w:rPr>
        <w:t>were more likely to</w:t>
      </w:r>
      <w:r w:rsidR="00897D6E" w:rsidRPr="00B717F6">
        <w:rPr>
          <w:szCs w:val="24"/>
          <w:lang w:val="en-US"/>
        </w:rPr>
        <w:t xml:space="preserve"> report</w:t>
      </w:r>
      <w:r w:rsidR="005B785E">
        <w:rPr>
          <w:szCs w:val="24"/>
          <w:lang w:val="en-US"/>
        </w:rPr>
        <w:t xml:space="preserve"> frequent</w:t>
      </w:r>
      <w:r w:rsidR="00093C62" w:rsidRPr="00B717F6">
        <w:rPr>
          <w:szCs w:val="24"/>
          <w:lang w:val="en-US"/>
        </w:rPr>
        <w:t xml:space="preserve"> masturbation </w:t>
      </w:r>
      <w:r w:rsidR="004C7F99" w:rsidRPr="00B717F6">
        <w:rPr>
          <w:szCs w:val="24"/>
          <w:lang w:val="en-US"/>
        </w:rPr>
        <w:t xml:space="preserve">than those </w:t>
      </w:r>
      <w:r w:rsidR="00897D6E" w:rsidRPr="00B717F6">
        <w:rPr>
          <w:szCs w:val="24"/>
          <w:lang w:val="en-US"/>
        </w:rPr>
        <w:t xml:space="preserve">who did not endorse these attitudes. </w:t>
      </w:r>
      <w:r w:rsidR="00093C62" w:rsidRPr="00B717F6">
        <w:rPr>
          <w:szCs w:val="24"/>
          <w:lang w:val="en-US"/>
        </w:rPr>
        <w:t>T</w:t>
      </w:r>
      <w:r w:rsidR="0090106D" w:rsidRPr="00B717F6">
        <w:rPr>
          <w:szCs w:val="24"/>
          <w:lang w:val="en-US"/>
        </w:rPr>
        <w:t>h</w:t>
      </w:r>
      <w:r w:rsidR="00C223F6" w:rsidRPr="00B717F6">
        <w:rPr>
          <w:szCs w:val="24"/>
          <w:lang w:val="en-US"/>
        </w:rPr>
        <w:t>is</w:t>
      </w:r>
      <w:r w:rsidR="00986DC9" w:rsidRPr="00B717F6">
        <w:rPr>
          <w:szCs w:val="24"/>
          <w:lang w:val="en-US"/>
        </w:rPr>
        <w:t xml:space="preserve"> finding</w:t>
      </w:r>
      <w:r w:rsidR="00694686" w:rsidRPr="00B717F6">
        <w:rPr>
          <w:szCs w:val="24"/>
          <w:lang w:val="en-US"/>
        </w:rPr>
        <w:t xml:space="preserve"> </w:t>
      </w:r>
      <w:r w:rsidR="00C223F6" w:rsidRPr="00B717F6">
        <w:rPr>
          <w:szCs w:val="24"/>
          <w:lang w:val="en-US"/>
        </w:rPr>
        <w:t>is</w:t>
      </w:r>
      <w:r w:rsidR="00093C62" w:rsidRPr="00B717F6">
        <w:rPr>
          <w:szCs w:val="24"/>
          <w:lang w:val="en-US"/>
        </w:rPr>
        <w:t xml:space="preserve"> </w:t>
      </w:r>
      <w:r w:rsidR="00986DC9" w:rsidRPr="00B717F6">
        <w:rPr>
          <w:szCs w:val="24"/>
          <w:lang w:val="en-US"/>
        </w:rPr>
        <w:t xml:space="preserve">consistent </w:t>
      </w:r>
      <w:r w:rsidR="00093C62" w:rsidRPr="00B717F6">
        <w:rPr>
          <w:szCs w:val="24"/>
          <w:lang w:val="en-US"/>
        </w:rPr>
        <w:t xml:space="preserve">with </w:t>
      </w:r>
      <w:r w:rsidR="00986DC9" w:rsidRPr="00B717F6">
        <w:rPr>
          <w:szCs w:val="24"/>
          <w:lang w:val="en-US"/>
        </w:rPr>
        <w:t>previous</w:t>
      </w:r>
      <w:r w:rsidR="00BC2BDF" w:rsidRPr="00B717F6">
        <w:rPr>
          <w:szCs w:val="24"/>
          <w:lang w:val="en-US"/>
        </w:rPr>
        <w:t xml:space="preserve"> </w:t>
      </w:r>
      <w:r w:rsidR="00986DC9" w:rsidRPr="00B717F6">
        <w:rPr>
          <w:szCs w:val="24"/>
          <w:lang w:val="en-US"/>
        </w:rPr>
        <w:t>research</w:t>
      </w:r>
      <w:r w:rsidR="00BC2BDF" w:rsidRPr="00B717F6">
        <w:rPr>
          <w:szCs w:val="24"/>
          <w:lang w:val="en-US"/>
        </w:rPr>
        <w:t xml:space="preserve"> showing </w:t>
      </w:r>
      <w:r w:rsidR="0014387A" w:rsidRPr="00B717F6">
        <w:rPr>
          <w:szCs w:val="24"/>
          <w:lang w:val="en-US"/>
        </w:rPr>
        <w:t>a positive link between more liberal attitudes</w:t>
      </w:r>
      <w:r w:rsidR="0097699D" w:rsidRPr="00B717F6">
        <w:rPr>
          <w:szCs w:val="24"/>
          <w:lang w:val="en-US"/>
        </w:rPr>
        <w:t>/</w:t>
      </w:r>
      <w:r w:rsidR="00986DC9" w:rsidRPr="00B717F6">
        <w:rPr>
          <w:szCs w:val="24"/>
          <w:lang w:val="en-US"/>
        </w:rPr>
        <w:t>values</w:t>
      </w:r>
      <w:r w:rsidR="0014387A" w:rsidRPr="00B717F6">
        <w:rPr>
          <w:szCs w:val="24"/>
          <w:lang w:val="en-US"/>
        </w:rPr>
        <w:t xml:space="preserve"> and reported masturbation (Das et al., 2009;</w:t>
      </w:r>
      <w:r w:rsidR="00986DC9" w:rsidRPr="00B717F6">
        <w:rPr>
          <w:szCs w:val="24"/>
          <w:lang w:val="en-US"/>
        </w:rPr>
        <w:t xml:space="preserve"> </w:t>
      </w:r>
      <w:proofErr w:type="spellStart"/>
      <w:r w:rsidR="00986DC9" w:rsidRPr="00B717F6">
        <w:rPr>
          <w:szCs w:val="24"/>
          <w:lang w:val="en-US"/>
        </w:rPr>
        <w:t>Gerressu</w:t>
      </w:r>
      <w:proofErr w:type="spellEnd"/>
      <w:r w:rsidR="00986DC9" w:rsidRPr="00B717F6">
        <w:rPr>
          <w:szCs w:val="24"/>
          <w:lang w:val="en-US"/>
        </w:rPr>
        <w:t xml:space="preserve"> et al., 2008).</w:t>
      </w:r>
    </w:p>
    <w:p w14:paraId="7066A652" w14:textId="77777777" w:rsidR="00310885" w:rsidRDefault="000E5804" w:rsidP="009C0C78">
      <w:pPr>
        <w:rPr>
          <w:szCs w:val="24"/>
          <w:lang w:val="en-US"/>
        </w:rPr>
      </w:pPr>
      <w:r w:rsidRPr="00B717F6">
        <w:rPr>
          <w:szCs w:val="24"/>
          <w:lang w:val="en-US"/>
        </w:rPr>
        <w:t>Overall, more sociodemographic factors were predictive of men’s masturbation</w:t>
      </w:r>
      <w:r w:rsidR="00C37E40" w:rsidRPr="00B717F6">
        <w:rPr>
          <w:szCs w:val="24"/>
          <w:lang w:val="en-US"/>
        </w:rPr>
        <w:t xml:space="preserve"> than women’s</w:t>
      </w:r>
      <w:r w:rsidR="00155F7A" w:rsidRPr="00B717F6">
        <w:rPr>
          <w:szCs w:val="24"/>
          <w:lang w:val="en-US"/>
        </w:rPr>
        <w:t>.</w:t>
      </w:r>
      <w:r w:rsidRPr="00B717F6">
        <w:rPr>
          <w:szCs w:val="24"/>
          <w:lang w:val="en-US"/>
        </w:rPr>
        <w:t xml:space="preserve"> </w:t>
      </w:r>
      <w:r w:rsidR="00347700" w:rsidRPr="00B717F6">
        <w:rPr>
          <w:szCs w:val="24"/>
          <w:lang w:val="en-US"/>
        </w:rPr>
        <w:t>As found by others</w:t>
      </w:r>
      <w:r w:rsidR="00D62C88" w:rsidRPr="00B717F6">
        <w:rPr>
          <w:szCs w:val="24"/>
          <w:lang w:val="en-US"/>
        </w:rPr>
        <w:t xml:space="preserve"> (Corona et al., 2010;</w:t>
      </w:r>
      <w:r w:rsidR="00347700" w:rsidRPr="00B717F6">
        <w:rPr>
          <w:szCs w:val="24"/>
          <w:lang w:val="en-US"/>
        </w:rPr>
        <w:t xml:space="preserve"> </w:t>
      </w:r>
      <w:r w:rsidR="00D62C88" w:rsidRPr="00B717F6">
        <w:rPr>
          <w:szCs w:val="24"/>
          <w:lang w:val="en-US"/>
        </w:rPr>
        <w:t>Lee et al., 2016; Lindau e</w:t>
      </w:r>
      <w:r w:rsidR="007C7672" w:rsidRPr="00B717F6">
        <w:rPr>
          <w:szCs w:val="24"/>
          <w:lang w:val="en-US"/>
        </w:rPr>
        <w:t>t al., 20</w:t>
      </w:r>
      <w:r w:rsidR="00E526B2" w:rsidRPr="00B717F6">
        <w:rPr>
          <w:szCs w:val="24"/>
          <w:lang w:val="en-US"/>
        </w:rPr>
        <w:t>0</w:t>
      </w:r>
      <w:r w:rsidR="007C7672" w:rsidRPr="00B717F6">
        <w:rPr>
          <w:szCs w:val="24"/>
          <w:lang w:val="en-US"/>
        </w:rPr>
        <w:t>7</w:t>
      </w:r>
      <w:r w:rsidR="00E526B2" w:rsidRPr="00B717F6">
        <w:rPr>
          <w:szCs w:val="24"/>
          <w:lang w:val="en-US"/>
        </w:rPr>
        <w:t>; Mercer et al., 2013</w:t>
      </w:r>
      <w:r w:rsidR="00D62C88" w:rsidRPr="00B717F6">
        <w:rPr>
          <w:szCs w:val="24"/>
          <w:lang w:val="en-US"/>
        </w:rPr>
        <w:t xml:space="preserve">; </w:t>
      </w:r>
      <w:r w:rsidR="00D62C88" w:rsidRPr="00B717F6">
        <w:rPr>
          <w:szCs w:val="24"/>
          <w:lang w:val="es-ES"/>
        </w:rPr>
        <w:t>Palacios-</w:t>
      </w:r>
      <w:proofErr w:type="spellStart"/>
      <w:r w:rsidR="00D62C88" w:rsidRPr="00B717F6">
        <w:rPr>
          <w:szCs w:val="24"/>
          <w:lang w:val="es-ES"/>
        </w:rPr>
        <w:t>Ceña</w:t>
      </w:r>
      <w:proofErr w:type="spellEnd"/>
      <w:r w:rsidR="00D62C88" w:rsidRPr="00B717F6">
        <w:rPr>
          <w:szCs w:val="24"/>
          <w:lang w:val="en-US"/>
        </w:rPr>
        <w:t xml:space="preserve"> et al., 2012;</w:t>
      </w:r>
      <w:r w:rsidR="006D6ED1" w:rsidRPr="00B717F6">
        <w:rPr>
          <w:szCs w:val="24"/>
          <w:lang w:val="en-US"/>
        </w:rPr>
        <w:t xml:space="preserve"> </w:t>
      </w:r>
      <w:proofErr w:type="spellStart"/>
      <w:r w:rsidR="006D6ED1" w:rsidRPr="00B717F6">
        <w:rPr>
          <w:szCs w:val="24"/>
          <w:lang w:val="en-US"/>
        </w:rPr>
        <w:t>Richters</w:t>
      </w:r>
      <w:proofErr w:type="spellEnd"/>
      <w:r w:rsidR="006D6ED1" w:rsidRPr="00B717F6">
        <w:rPr>
          <w:szCs w:val="24"/>
          <w:lang w:val="en-US"/>
        </w:rPr>
        <w:t xml:space="preserve"> et al., 2014; </w:t>
      </w:r>
      <w:r w:rsidR="00D62C88" w:rsidRPr="00B717F6">
        <w:rPr>
          <w:szCs w:val="24"/>
          <w:lang w:val="en-US"/>
        </w:rPr>
        <w:t>Schick et al., 2010</w:t>
      </w:r>
      <w:r w:rsidR="008D3175" w:rsidRPr="00B717F6">
        <w:rPr>
          <w:szCs w:val="24"/>
          <w:lang w:val="en-US"/>
        </w:rPr>
        <w:t>)</w:t>
      </w:r>
      <w:r w:rsidR="00880A7E" w:rsidRPr="00B717F6">
        <w:rPr>
          <w:szCs w:val="24"/>
          <w:lang w:val="en-US"/>
        </w:rPr>
        <w:t>,</w:t>
      </w:r>
      <w:r w:rsidR="008D3175" w:rsidRPr="00B717F6">
        <w:rPr>
          <w:szCs w:val="24"/>
          <w:lang w:val="en-US"/>
        </w:rPr>
        <w:t xml:space="preserve"> </w:t>
      </w:r>
      <w:r w:rsidR="00400440" w:rsidRPr="00B717F6">
        <w:rPr>
          <w:szCs w:val="24"/>
          <w:lang w:val="en-US"/>
        </w:rPr>
        <w:t xml:space="preserve">older </w:t>
      </w:r>
      <w:r w:rsidR="0097699D" w:rsidRPr="00B717F6">
        <w:rPr>
          <w:szCs w:val="24"/>
          <w:lang w:val="en-US"/>
        </w:rPr>
        <w:t xml:space="preserve">age was negatively associated with masturbation in Norwegian, Danish, and Belgian </w:t>
      </w:r>
      <w:r w:rsidR="00347700" w:rsidRPr="00B717F6">
        <w:rPr>
          <w:szCs w:val="24"/>
          <w:lang w:val="en-US"/>
        </w:rPr>
        <w:t>men</w:t>
      </w:r>
      <w:r w:rsidR="00423F14" w:rsidRPr="00B717F6">
        <w:rPr>
          <w:szCs w:val="24"/>
          <w:lang w:val="en-US"/>
        </w:rPr>
        <w:t>, and Danish women</w:t>
      </w:r>
      <w:r w:rsidR="0097699D" w:rsidRPr="00B717F6">
        <w:rPr>
          <w:szCs w:val="24"/>
          <w:lang w:val="en-US"/>
        </w:rPr>
        <w:t>.</w:t>
      </w:r>
      <w:r w:rsidR="00347700" w:rsidRPr="00B717F6">
        <w:rPr>
          <w:szCs w:val="24"/>
          <w:lang w:val="en-US"/>
        </w:rPr>
        <w:t xml:space="preserve"> </w:t>
      </w:r>
      <w:r w:rsidR="004528A8" w:rsidRPr="00B717F6">
        <w:rPr>
          <w:szCs w:val="24"/>
          <w:lang w:val="en-US"/>
        </w:rPr>
        <w:t>However</w:t>
      </w:r>
      <w:r w:rsidR="00771833" w:rsidRPr="00B717F6">
        <w:rPr>
          <w:szCs w:val="24"/>
          <w:lang w:val="en-US"/>
        </w:rPr>
        <w:t xml:space="preserve">, as </w:t>
      </w:r>
      <w:r w:rsidR="004528A8" w:rsidRPr="00B717F6">
        <w:rPr>
          <w:szCs w:val="24"/>
          <w:lang w:val="en-US"/>
        </w:rPr>
        <w:t>with previous</w:t>
      </w:r>
      <w:r w:rsidR="008D3175" w:rsidRPr="00B717F6">
        <w:rPr>
          <w:szCs w:val="24"/>
          <w:lang w:val="en-US"/>
        </w:rPr>
        <w:t xml:space="preserve"> cross-sectional data, it </w:t>
      </w:r>
      <w:r w:rsidR="00880A7E" w:rsidRPr="00B717F6">
        <w:rPr>
          <w:szCs w:val="24"/>
          <w:lang w:val="en-US"/>
        </w:rPr>
        <w:t xml:space="preserve">was </w:t>
      </w:r>
      <w:r w:rsidR="008D3175" w:rsidRPr="00B717F6">
        <w:rPr>
          <w:szCs w:val="24"/>
          <w:lang w:val="en-US"/>
        </w:rPr>
        <w:t xml:space="preserve">not possible to assess </w:t>
      </w:r>
      <w:r w:rsidR="00E069E3" w:rsidRPr="00B717F6">
        <w:rPr>
          <w:szCs w:val="24"/>
          <w:lang w:val="en-US"/>
        </w:rPr>
        <w:t>whether</w:t>
      </w:r>
      <w:r w:rsidR="008D3175" w:rsidRPr="00B717F6">
        <w:rPr>
          <w:szCs w:val="24"/>
          <w:lang w:val="en-US"/>
        </w:rPr>
        <w:t xml:space="preserve"> </w:t>
      </w:r>
      <w:r w:rsidR="00D64E53" w:rsidRPr="00B717F6">
        <w:rPr>
          <w:szCs w:val="24"/>
          <w:lang w:val="en-US"/>
        </w:rPr>
        <w:t>this</w:t>
      </w:r>
      <w:r w:rsidR="0090106D" w:rsidRPr="00B717F6">
        <w:rPr>
          <w:szCs w:val="24"/>
          <w:lang w:val="en-US"/>
        </w:rPr>
        <w:t xml:space="preserve"> </w:t>
      </w:r>
      <w:r w:rsidR="00880A7E" w:rsidRPr="00B717F6">
        <w:rPr>
          <w:szCs w:val="24"/>
          <w:lang w:val="en-US"/>
        </w:rPr>
        <w:t xml:space="preserve">reflected </w:t>
      </w:r>
      <w:r w:rsidR="004721B0" w:rsidRPr="00B717F6">
        <w:rPr>
          <w:szCs w:val="24"/>
          <w:lang w:val="en-US"/>
        </w:rPr>
        <w:t>an age or cohort effect</w:t>
      </w:r>
      <w:r w:rsidR="006D6ED1" w:rsidRPr="00B717F6">
        <w:rPr>
          <w:szCs w:val="24"/>
          <w:lang w:val="en-US"/>
        </w:rPr>
        <w:t>.</w:t>
      </w:r>
      <w:r w:rsidR="00D55ABA" w:rsidRPr="00B717F6">
        <w:rPr>
          <w:szCs w:val="24"/>
          <w:lang w:val="en-US"/>
        </w:rPr>
        <w:t xml:space="preserve"> </w:t>
      </w:r>
      <w:r w:rsidR="00893942" w:rsidRPr="00B717F6">
        <w:rPr>
          <w:szCs w:val="24"/>
          <w:lang w:val="en-US"/>
        </w:rPr>
        <w:t xml:space="preserve">Regarding </w:t>
      </w:r>
      <w:r w:rsidR="00B03650" w:rsidRPr="00B717F6">
        <w:rPr>
          <w:szCs w:val="24"/>
          <w:lang w:val="en-US"/>
        </w:rPr>
        <w:t xml:space="preserve">level of </w:t>
      </w:r>
      <w:r w:rsidR="00893942" w:rsidRPr="00B717F6">
        <w:rPr>
          <w:szCs w:val="24"/>
          <w:lang w:val="en-US"/>
        </w:rPr>
        <w:t xml:space="preserve">education, we found some </w:t>
      </w:r>
      <w:r w:rsidR="00127BD3" w:rsidRPr="00B717F6">
        <w:rPr>
          <w:szCs w:val="24"/>
          <w:lang w:val="en-US"/>
        </w:rPr>
        <w:t>cultural</w:t>
      </w:r>
      <w:r w:rsidR="00893942" w:rsidRPr="00B717F6">
        <w:rPr>
          <w:szCs w:val="24"/>
          <w:lang w:val="en-US"/>
        </w:rPr>
        <w:t xml:space="preserve">-specific </w:t>
      </w:r>
      <w:r w:rsidR="00C57BEE" w:rsidRPr="00B717F6">
        <w:rPr>
          <w:szCs w:val="24"/>
          <w:lang w:val="en-US"/>
        </w:rPr>
        <w:t xml:space="preserve">patterns. While higher levels of education </w:t>
      </w:r>
      <w:r w:rsidR="0057026A" w:rsidRPr="00B717F6">
        <w:rPr>
          <w:szCs w:val="24"/>
          <w:lang w:val="en-US"/>
        </w:rPr>
        <w:t xml:space="preserve">increased the </w:t>
      </w:r>
      <w:r w:rsidR="0057026A" w:rsidRPr="00B717F6">
        <w:rPr>
          <w:szCs w:val="24"/>
          <w:lang w:val="en-US"/>
        </w:rPr>
        <w:lastRenderedPageBreak/>
        <w:t xml:space="preserve">likelihood of </w:t>
      </w:r>
      <w:r w:rsidR="00C57BEE" w:rsidRPr="00B717F6">
        <w:rPr>
          <w:szCs w:val="24"/>
          <w:lang w:val="en-US"/>
        </w:rPr>
        <w:t xml:space="preserve">masturbation </w:t>
      </w:r>
      <w:r w:rsidR="00D67860">
        <w:rPr>
          <w:szCs w:val="24"/>
          <w:lang w:val="en-US"/>
        </w:rPr>
        <w:t xml:space="preserve">frequency </w:t>
      </w:r>
      <w:r w:rsidR="00C57BEE" w:rsidRPr="00B717F6">
        <w:rPr>
          <w:szCs w:val="24"/>
          <w:lang w:val="en-US"/>
        </w:rPr>
        <w:t>in northern Eu</w:t>
      </w:r>
      <w:r w:rsidR="00F07374" w:rsidRPr="00B717F6">
        <w:rPr>
          <w:szCs w:val="24"/>
          <w:lang w:val="en-US"/>
        </w:rPr>
        <w:t>ropean men (Norway and Denmark),</w:t>
      </w:r>
      <w:r w:rsidR="00B03650" w:rsidRPr="00B717F6">
        <w:rPr>
          <w:szCs w:val="24"/>
          <w:lang w:val="en-US"/>
        </w:rPr>
        <w:t xml:space="preserve"> </w:t>
      </w:r>
      <w:r w:rsidR="00C57BEE" w:rsidRPr="00B717F6">
        <w:rPr>
          <w:szCs w:val="24"/>
          <w:lang w:val="en-US"/>
        </w:rPr>
        <w:t xml:space="preserve">southern European men (Portugal) with higher </w:t>
      </w:r>
      <w:r w:rsidR="00683B9B" w:rsidRPr="00B717F6">
        <w:rPr>
          <w:szCs w:val="24"/>
          <w:lang w:val="en-US"/>
        </w:rPr>
        <w:t xml:space="preserve">levels of </w:t>
      </w:r>
      <w:r w:rsidR="00C57BEE" w:rsidRPr="00B717F6">
        <w:rPr>
          <w:szCs w:val="24"/>
          <w:lang w:val="en-US"/>
        </w:rPr>
        <w:t>education</w:t>
      </w:r>
      <w:r w:rsidR="00173234" w:rsidRPr="00B717F6">
        <w:rPr>
          <w:szCs w:val="24"/>
          <w:lang w:val="en-US"/>
        </w:rPr>
        <w:t xml:space="preserve"> were less likely to report</w:t>
      </w:r>
      <w:r w:rsidR="00C57BEE" w:rsidRPr="00B717F6">
        <w:rPr>
          <w:szCs w:val="24"/>
          <w:lang w:val="en-US"/>
        </w:rPr>
        <w:t xml:space="preserve"> </w:t>
      </w:r>
      <w:r w:rsidR="002E6FAE">
        <w:rPr>
          <w:szCs w:val="24"/>
          <w:lang w:val="en-US"/>
        </w:rPr>
        <w:t xml:space="preserve">frequent </w:t>
      </w:r>
      <w:r w:rsidR="00C57BEE" w:rsidRPr="00B717F6">
        <w:rPr>
          <w:szCs w:val="24"/>
          <w:lang w:val="en-US"/>
        </w:rPr>
        <w:t xml:space="preserve">masturbation. </w:t>
      </w:r>
      <w:r w:rsidR="00A024A8" w:rsidRPr="00B717F6">
        <w:rPr>
          <w:szCs w:val="24"/>
          <w:lang w:val="en-US"/>
        </w:rPr>
        <w:t>Being socialized i</w:t>
      </w:r>
      <w:r w:rsidR="005E1188" w:rsidRPr="00B717F6">
        <w:rPr>
          <w:szCs w:val="24"/>
          <w:lang w:val="en-US"/>
        </w:rPr>
        <w:t xml:space="preserve">n an </w:t>
      </w:r>
      <w:r w:rsidR="004C0DFC" w:rsidRPr="00B717F6">
        <w:rPr>
          <w:szCs w:val="24"/>
          <w:lang w:val="en-US"/>
        </w:rPr>
        <w:t>environment influenced by traditional and religious structures</w:t>
      </w:r>
      <w:r w:rsidR="007676EA" w:rsidRPr="00B717F6">
        <w:rPr>
          <w:szCs w:val="24"/>
          <w:lang w:val="en-US"/>
        </w:rPr>
        <w:t xml:space="preserve"> </w:t>
      </w:r>
      <w:r w:rsidR="00FB2471" w:rsidRPr="00B717F6">
        <w:rPr>
          <w:szCs w:val="24"/>
          <w:lang w:val="en-US"/>
        </w:rPr>
        <w:t xml:space="preserve">repressing sex education </w:t>
      </w:r>
      <w:r w:rsidR="00AD0607" w:rsidRPr="00B717F6">
        <w:rPr>
          <w:szCs w:val="24"/>
          <w:lang w:val="en-US"/>
        </w:rPr>
        <w:t xml:space="preserve">(Francoeur &amp; </w:t>
      </w:r>
      <w:proofErr w:type="spellStart"/>
      <w:r w:rsidR="00AD0607" w:rsidRPr="00B717F6">
        <w:rPr>
          <w:szCs w:val="24"/>
          <w:lang w:val="en-US"/>
        </w:rPr>
        <w:t>Noona</w:t>
      </w:r>
      <w:proofErr w:type="spellEnd"/>
      <w:r w:rsidR="00AD0607" w:rsidRPr="00B717F6">
        <w:rPr>
          <w:szCs w:val="24"/>
          <w:lang w:val="en-US"/>
        </w:rPr>
        <w:t>, 2004)</w:t>
      </w:r>
      <w:r w:rsidR="004C0DFC" w:rsidRPr="00B717F6">
        <w:rPr>
          <w:szCs w:val="24"/>
          <w:lang w:val="en-US"/>
        </w:rPr>
        <w:t>,</w:t>
      </w:r>
      <w:r w:rsidR="0061072B" w:rsidRPr="00B717F6">
        <w:rPr>
          <w:szCs w:val="24"/>
          <w:lang w:val="en-US"/>
        </w:rPr>
        <w:t xml:space="preserve"> older </w:t>
      </w:r>
      <w:r w:rsidR="00A024A8" w:rsidRPr="00B717F6">
        <w:rPr>
          <w:szCs w:val="24"/>
          <w:lang w:val="en-US"/>
        </w:rPr>
        <w:t xml:space="preserve">educated </w:t>
      </w:r>
      <w:r w:rsidR="0061072B" w:rsidRPr="00B717F6">
        <w:rPr>
          <w:szCs w:val="24"/>
          <w:lang w:val="en-US"/>
        </w:rPr>
        <w:t xml:space="preserve">Portuguese men may have internalized </w:t>
      </w:r>
      <w:r w:rsidR="003074AC" w:rsidRPr="00B717F6">
        <w:rPr>
          <w:szCs w:val="24"/>
          <w:lang w:val="en-US"/>
        </w:rPr>
        <w:t>more</w:t>
      </w:r>
      <w:r w:rsidR="0061072B" w:rsidRPr="00B717F6">
        <w:rPr>
          <w:szCs w:val="24"/>
          <w:lang w:val="en-US"/>
        </w:rPr>
        <w:t xml:space="preserve"> normative </w:t>
      </w:r>
      <w:r w:rsidR="00A024A8" w:rsidRPr="00B717F6">
        <w:rPr>
          <w:szCs w:val="24"/>
          <w:lang w:val="en-US"/>
        </w:rPr>
        <w:t>constraints inhibiting sexual self-pleasure.</w:t>
      </w:r>
      <w:r w:rsidR="00B06927" w:rsidRPr="00B717F6">
        <w:rPr>
          <w:szCs w:val="24"/>
          <w:lang w:val="en-US"/>
        </w:rPr>
        <w:t xml:space="preserve"> </w:t>
      </w:r>
      <w:r w:rsidR="00683B9B" w:rsidRPr="00B717F6">
        <w:rPr>
          <w:szCs w:val="24"/>
          <w:lang w:val="en-US"/>
        </w:rPr>
        <w:t>In contrast</w:t>
      </w:r>
      <w:r w:rsidR="0083301C" w:rsidRPr="00B717F6">
        <w:rPr>
          <w:szCs w:val="24"/>
          <w:lang w:val="en-US"/>
        </w:rPr>
        <w:t xml:space="preserve">, </w:t>
      </w:r>
      <w:r w:rsidR="00880A7E" w:rsidRPr="00B717F6">
        <w:rPr>
          <w:szCs w:val="24"/>
          <w:lang w:val="en-US"/>
        </w:rPr>
        <w:t xml:space="preserve">among </w:t>
      </w:r>
      <w:r w:rsidR="001D199A" w:rsidRPr="00B717F6">
        <w:rPr>
          <w:szCs w:val="24"/>
          <w:lang w:val="en-US"/>
        </w:rPr>
        <w:t xml:space="preserve">Norwegian and Danish men who were socialized in </w:t>
      </w:r>
      <w:r w:rsidR="009A29CC" w:rsidRPr="00B717F6">
        <w:rPr>
          <w:szCs w:val="24"/>
          <w:lang w:val="en-US"/>
        </w:rPr>
        <w:t xml:space="preserve">the </w:t>
      </w:r>
      <w:r w:rsidR="0083301C" w:rsidRPr="00B717F6">
        <w:rPr>
          <w:szCs w:val="24"/>
          <w:lang w:val="en-US"/>
        </w:rPr>
        <w:t xml:space="preserve">sex-liberal Nordic countries, </w:t>
      </w:r>
      <w:r w:rsidR="001D199A" w:rsidRPr="00B717F6">
        <w:rPr>
          <w:szCs w:val="24"/>
          <w:lang w:val="en-US"/>
        </w:rPr>
        <w:t>with open discourse</w:t>
      </w:r>
      <w:r w:rsidR="009A6306" w:rsidRPr="00B717F6">
        <w:rPr>
          <w:szCs w:val="24"/>
          <w:lang w:val="en-US"/>
        </w:rPr>
        <w:t>s</w:t>
      </w:r>
      <w:r w:rsidR="001D199A" w:rsidRPr="00B717F6">
        <w:rPr>
          <w:szCs w:val="24"/>
          <w:lang w:val="en-US"/>
        </w:rPr>
        <w:t xml:space="preserve"> on sexual issues and </w:t>
      </w:r>
      <w:r w:rsidR="009A6306" w:rsidRPr="00B717F6">
        <w:rPr>
          <w:szCs w:val="24"/>
          <w:lang w:val="en-US"/>
        </w:rPr>
        <w:t>broad</w:t>
      </w:r>
      <w:r w:rsidR="001D199A" w:rsidRPr="00B717F6">
        <w:rPr>
          <w:szCs w:val="24"/>
          <w:lang w:val="en-US"/>
        </w:rPr>
        <w:t xml:space="preserve"> dissemination of sex education, pornography, and sex literature</w:t>
      </w:r>
      <w:r w:rsidR="00AD0607" w:rsidRPr="00B717F6">
        <w:rPr>
          <w:szCs w:val="24"/>
          <w:lang w:val="en-US"/>
        </w:rPr>
        <w:t xml:space="preserve"> (</w:t>
      </w:r>
      <w:r w:rsidR="00120262" w:rsidRPr="00B717F6">
        <w:rPr>
          <w:szCs w:val="24"/>
          <w:lang w:val="en-US"/>
        </w:rPr>
        <w:t xml:space="preserve">Francoeur &amp; </w:t>
      </w:r>
      <w:proofErr w:type="spellStart"/>
      <w:r w:rsidR="00120262" w:rsidRPr="00B717F6">
        <w:rPr>
          <w:szCs w:val="24"/>
          <w:lang w:val="en-US"/>
        </w:rPr>
        <w:t>Noona</w:t>
      </w:r>
      <w:proofErr w:type="spellEnd"/>
      <w:r w:rsidR="00120262" w:rsidRPr="00B717F6">
        <w:rPr>
          <w:szCs w:val="24"/>
          <w:lang w:val="en-US"/>
        </w:rPr>
        <w:t>, 2004</w:t>
      </w:r>
      <w:r w:rsidR="00AD0607" w:rsidRPr="00B717F6">
        <w:rPr>
          <w:szCs w:val="24"/>
          <w:lang w:val="en-US"/>
        </w:rPr>
        <w:t>)</w:t>
      </w:r>
      <w:r w:rsidR="009A6306" w:rsidRPr="00B717F6">
        <w:rPr>
          <w:szCs w:val="24"/>
          <w:lang w:val="en-US"/>
        </w:rPr>
        <w:t xml:space="preserve">, higher education may have </w:t>
      </w:r>
      <w:r w:rsidR="006D7C4A" w:rsidRPr="00B717F6">
        <w:rPr>
          <w:szCs w:val="24"/>
          <w:lang w:val="en-US"/>
        </w:rPr>
        <w:t>shaped masturbation habits by diminishing</w:t>
      </w:r>
      <w:r w:rsidR="009A6306" w:rsidRPr="00B717F6">
        <w:rPr>
          <w:szCs w:val="24"/>
          <w:lang w:val="en-US"/>
        </w:rPr>
        <w:t xml:space="preserve"> </w:t>
      </w:r>
      <w:r w:rsidR="00C85D8E" w:rsidRPr="00B717F6">
        <w:rPr>
          <w:szCs w:val="24"/>
          <w:lang w:val="en-US"/>
        </w:rPr>
        <w:t xml:space="preserve">health-related </w:t>
      </w:r>
      <w:r w:rsidR="009A29CC" w:rsidRPr="00B717F6">
        <w:rPr>
          <w:szCs w:val="24"/>
          <w:lang w:val="en-US"/>
        </w:rPr>
        <w:t xml:space="preserve">fears and guilt about masturbation </w:t>
      </w:r>
      <w:r w:rsidR="00CC618F" w:rsidRPr="00B717F6">
        <w:rPr>
          <w:szCs w:val="24"/>
          <w:lang w:val="en-US"/>
        </w:rPr>
        <w:t>(</w:t>
      </w:r>
      <w:proofErr w:type="spellStart"/>
      <w:r w:rsidR="00CC618F" w:rsidRPr="00B717F6">
        <w:rPr>
          <w:szCs w:val="24"/>
          <w:lang w:val="en-US"/>
        </w:rPr>
        <w:t>Kontula</w:t>
      </w:r>
      <w:proofErr w:type="spellEnd"/>
      <w:r w:rsidR="00CC618F" w:rsidRPr="00B717F6">
        <w:rPr>
          <w:szCs w:val="24"/>
          <w:lang w:val="en-US"/>
        </w:rPr>
        <w:t xml:space="preserve"> &amp; </w:t>
      </w:r>
      <w:proofErr w:type="spellStart"/>
      <w:r w:rsidR="00CC618F" w:rsidRPr="00B717F6">
        <w:rPr>
          <w:szCs w:val="24"/>
          <w:lang w:val="en-US"/>
        </w:rPr>
        <w:t>Haavio-Mannila</w:t>
      </w:r>
      <w:proofErr w:type="spellEnd"/>
      <w:r w:rsidR="00CC618F" w:rsidRPr="00B717F6">
        <w:rPr>
          <w:szCs w:val="24"/>
          <w:lang w:val="en-US"/>
        </w:rPr>
        <w:t>, 2003)</w:t>
      </w:r>
      <w:r w:rsidR="004027A3" w:rsidRPr="00B717F6">
        <w:rPr>
          <w:szCs w:val="24"/>
          <w:lang w:val="en-US"/>
        </w:rPr>
        <w:t>.</w:t>
      </w:r>
      <w:r w:rsidR="004B7091" w:rsidRPr="00B717F6">
        <w:rPr>
          <w:szCs w:val="24"/>
          <w:lang w:val="en-US"/>
        </w:rPr>
        <w:t xml:space="preserve"> </w:t>
      </w:r>
    </w:p>
    <w:p w14:paraId="5A01CC9B" w14:textId="68D3D347" w:rsidR="00683B9B" w:rsidRPr="00B717F6" w:rsidRDefault="00D5737F" w:rsidP="009C0C78">
      <w:pPr>
        <w:rPr>
          <w:szCs w:val="24"/>
          <w:lang w:val="en-US"/>
        </w:rPr>
      </w:pPr>
      <w:r w:rsidRPr="00B717F6">
        <w:rPr>
          <w:szCs w:val="24"/>
          <w:lang w:val="en-US"/>
        </w:rPr>
        <w:t>In terms of health, we observed</w:t>
      </w:r>
      <w:r w:rsidR="00D90255" w:rsidRPr="00B717F6">
        <w:rPr>
          <w:szCs w:val="24"/>
          <w:lang w:val="en-US"/>
        </w:rPr>
        <w:t xml:space="preserve"> </w:t>
      </w:r>
      <w:r w:rsidR="00F83246" w:rsidRPr="00B717F6">
        <w:rPr>
          <w:szCs w:val="24"/>
          <w:lang w:val="en-US"/>
        </w:rPr>
        <w:t>a negative association between self-</w:t>
      </w:r>
      <w:r w:rsidR="00A86342" w:rsidRPr="00B717F6">
        <w:rPr>
          <w:szCs w:val="24"/>
          <w:lang w:val="en-US"/>
        </w:rPr>
        <w:t>estimated</w:t>
      </w:r>
      <w:r w:rsidR="00F83246" w:rsidRPr="00B717F6">
        <w:rPr>
          <w:szCs w:val="24"/>
          <w:lang w:val="en-US"/>
        </w:rPr>
        <w:t xml:space="preserve"> health and reported </w:t>
      </w:r>
      <w:r w:rsidR="00A86342" w:rsidRPr="00B717F6">
        <w:rPr>
          <w:szCs w:val="24"/>
          <w:lang w:val="en-US"/>
        </w:rPr>
        <w:t>masturbation</w:t>
      </w:r>
      <w:r w:rsidR="00F83246" w:rsidRPr="00B717F6">
        <w:rPr>
          <w:szCs w:val="24"/>
          <w:lang w:val="en-US"/>
        </w:rPr>
        <w:t xml:space="preserve"> among older men in Denmark, Belgium</w:t>
      </w:r>
      <w:r w:rsidR="009C6F99">
        <w:rPr>
          <w:szCs w:val="24"/>
          <w:lang w:val="en-US"/>
        </w:rPr>
        <w:t>,</w:t>
      </w:r>
      <w:r w:rsidR="00F83246" w:rsidRPr="00B717F6">
        <w:rPr>
          <w:szCs w:val="24"/>
          <w:lang w:val="en-US"/>
        </w:rPr>
        <w:t xml:space="preserve"> and Portugal. </w:t>
      </w:r>
      <w:r w:rsidR="00B57959" w:rsidRPr="00B717F6">
        <w:rPr>
          <w:szCs w:val="24"/>
          <w:lang w:val="en-US"/>
        </w:rPr>
        <w:t>Previous evidence</w:t>
      </w:r>
      <w:r w:rsidR="00190A00" w:rsidRPr="00B717F6">
        <w:rPr>
          <w:szCs w:val="24"/>
          <w:lang w:val="en-US"/>
        </w:rPr>
        <w:t xml:space="preserve"> on the relationship between </w:t>
      </w:r>
      <w:r w:rsidR="00B57959" w:rsidRPr="00B717F6">
        <w:rPr>
          <w:szCs w:val="24"/>
          <w:lang w:val="en-US"/>
        </w:rPr>
        <w:t xml:space="preserve">general </w:t>
      </w:r>
      <w:r w:rsidR="00190A00" w:rsidRPr="00B717F6">
        <w:rPr>
          <w:szCs w:val="24"/>
          <w:lang w:val="en-US"/>
        </w:rPr>
        <w:t>health an</w:t>
      </w:r>
      <w:r w:rsidR="00804CBC" w:rsidRPr="00B717F6">
        <w:rPr>
          <w:szCs w:val="24"/>
          <w:lang w:val="en-US"/>
        </w:rPr>
        <w:t>d masturbation has</w:t>
      </w:r>
      <w:r w:rsidR="0086491C" w:rsidRPr="00B717F6">
        <w:rPr>
          <w:szCs w:val="24"/>
          <w:lang w:val="en-US"/>
        </w:rPr>
        <w:t xml:space="preserve"> been mixed</w:t>
      </w:r>
      <w:r w:rsidR="00323362" w:rsidRPr="00B717F6">
        <w:rPr>
          <w:szCs w:val="24"/>
          <w:lang w:val="en-US"/>
        </w:rPr>
        <w:t xml:space="preserve"> (</w:t>
      </w:r>
      <w:r w:rsidR="00D33194" w:rsidRPr="00B717F6">
        <w:rPr>
          <w:szCs w:val="24"/>
          <w:lang w:val="en-US"/>
        </w:rPr>
        <w:t xml:space="preserve">Das, 2007; </w:t>
      </w:r>
      <w:r w:rsidR="00C80FBB" w:rsidRPr="00B717F6">
        <w:rPr>
          <w:szCs w:val="24"/>
          <w:lang w:val="en-US"/>
        </w:rPr>
        <w:t xml:space="preserve">Lee et al., 2016; </w:t>
      </w:r>
      <w:r w:rsidR="00323362" w:rsidRPr="00B717F6">
        <w:rPr>
          <w:szCs w:val="24"/>
          <w:lang w:val="en-US"/>
        </w:rPr>
        <w:t>Lindau et al., 2007; Schick et al., 2010)</w:t>
      </w:r>
      <w:r w:rsidR="0086491C" w:rsidRPr="00B717F6">
        <w:rPr>
          <w:szCs w:val="24"/>
          <w:lang w:val="en-US"/>
        </w:rPr>
        <w:t>.</w:t>
      </w:r>
      <w:r w:rsidR="00B74379" w:rsidRPr="00B717F6">
        <w:rPr>
          <w:szCs w:val="24"/>
          <w:lang w:val="en-US"/>
        </w:rPr>
        <w:t xml:space="preserve"> </w:t>
      </w:r>
      <w:r w:rsidR="00A71D90" w:rsidRPr="00B717F6">
        <w:rPr>
          <w:szCs w:val="24"/>
          <w:lang w:val="en-US"/>
        </w:rPr>
        <w:t xml:space="preserve">One </w:t>
      </w:r>
      <w:r w:rsidR="006274CB" w:rsidRPr="00B717F6">
        <w:rPr>
          <w:szCs w:val="24"/>
          <w:lang w:val="en-US"/>
        </w:rPr>
        <w:t>possibility</w:t>
      </w:r>
      <w:r w:rsidR="00750698" w:rsidRPr="00B717F6">
        <w:rPr>
          <w:szCs w:val="24"/>
          <w:lang w:val="en-US"/>
        </w:rPr>
        <w:t xml:space="preserve"> for the inconsistency</w:t>
      </w:r>
      <w:r w:rsidR="006274CB" w:rsidRPr="00B717F6">
        <w:rPr>
          <w:szCs w:val="24"/>
          <w:lang w:val="en-US"/>
        </w:rPr>
        <w:t xml:space="preserve"> is that the </w:t>
      </w:r>
      <w:r w:rsidR="00D64E53" w:rsidRPr="00B717F6">
        <w:rPr>
          <w:szCs w:val="24"/>
          <w:lang w:val="en-US"/>
        </w:rPr>
        <w:t>association</w:t>
      </w:r>
      <w:r w:rsidR="006274CB" w:rsidRPr="00B717F6">
        <w:rPr>
          <w:szCs w:val="24"/>
          <w:lang w:val="en-US"/>
        </w:rPr>
        <w:t xml:space="preserve"> might be </w:t>
      </w:r>
      <w:r w:rsidR="00A71D90" w:rsidRPr="00B717F6">
        <w:rPr>
          <w:szCs w:val="24"/>
          <w:lang w:val="en-US"/>
        </w:rPr>
        <w:t xml:space="preserve">confounded </w:t>
      </w:r>
      <w:r w:rsidR="007B06C9" w:rsidRPr="00B717F6">
        <w:rPr>
          <w:szCs w:val="24"/>
          <w:lang w:val="en-US"/>
        </w:rPr>
        <w:t xml:space="preserve">by </w:t>
      </w:r>
      <w:r w:rsidR="00A71D90" w:rsidRPr="00B717F6">
        <w:rPr>
          <w:szCs w:val="24"/>
          <w:lang w:val="en-US"/>
        </w:rPr>
        <w:t>older men’s sexual</w:t>
      </w:r>
      <w:r w:rsidR="006274CB" w:rsidRPr="00B717F6">
        <w:rPr>
          <w:szCs w:val="24"/>
          <w:lang w:val="en-US"/>
        </w:rPr>
        <w:t xml:space="preserve"> </w:t>
      </w:r>
      <w:r w:rsidR="006D03A3" w:rsidRPr="00B717F6">
        <w:rPr>
          <w:szCs w:val="24"/>
          <w:lang w:val="en-US"/>
        </w:rPr>
        <w:t>difficulties</w:t>
      </w:r>
      <w:r w:rsidR="006274CB" w:rsidRPr="00B717F6">
        <w:rPr>
          <w:szCs w:val="24"/>
          <w:lang w:val="en-US"/>
        </w:rPr>
        <w:t xml:space="preserve"> and</w:t>
      </w:r>
      <w:r w:rsidR="00A71D90" w:rsidRPr="00B717F6">
        <w:rPr>
          <w:szCs w:val="24"/>
          <w:lang w:val="en-US"/>
        </w:rPr>
        <w:t xml:space="preserve"> </w:t>
      </w:r>
      <w:r w:rsidR="007B06C9" w:rsidRPr="00B717F6">
        <w:rPr>
          <w:szCs w:val="24"/>
          <w:lang w:val="en-US"/>
        </w:rPr>
        <w:t xml:space="preserve">sexual </w:t>
      </w:r>
      <w:r w:rsidR="00A71D90" w:rsidRPr="00B717F6">
        <w:rPr>
          <w:szCs w:val="24"/>
          <w:lang w:val="en-US"/>
        </w:rPr>
        <w:t>desire.</w:t>
      </w:r>
      <w:r w:rsidR="00023465" w:rsidRPr="00B717F6">
        <w:rPr>
          <w:szCs w:val="24"/>
          <w:lang w:val="en-US"/>
        </w:rPr>
        <w:t xml:space="preserve"> </w:t>
      </w:r>
      <w:r w:rsidR="00413245" w:rsidRPr="00B717F6">
        <w:rPr>
          <w:szCs w:val="24"/>
          <w:lang w:val="en-US"/>
        </w:rPr>
        <w:t xml:space="preserve">While for some </w:t>
      </w:r>
      <w:r w:rsidR="008943BC" w:rsidRPr="00B717F6">
        <w:rPr>
          <w:szCs w:val="24"/>
          <w:lang w:val="en-US"/>
        </w:rPr>
        <w:t xml:space="preserve">men </w:t>
      </w:r>
      <w:r w:rsidR="00683B9B" w:rsidRPr="00B717F6">
        <w:rPr>
          <w:szCs w:val="24"/>
          <w:lang w:val="en-US"/>
        </w:rPr>
        <w:t xml:space="preserve">poor </w:t>
      </w:r>
      <w:r w:rsidR="00D27831" w:rsidRPr="00B717F6">
        <w:rPr>
          <w:szCs w:val="24"/>
          <w:lang w:val="en-US"/>
        </w:rPr>
        <w:t xml:space="preserve">health may </w:t>
      </w:r>
      <w:r w:rsidR="00880A7E" w:rsidRPr="00B717F6">
        <w:rPr>
          <w:szCs w:val="24"/>
          <w:lang w:val="en-US"/>
        </w:rPr>
        <w:t xml:space="preserve">negatively </w:t>
      </w:r>
      <w:r w:rsidR="00D27831" w:rsidRPr="00B717F6">
        <w:rPr>
          <w:szCs w:val="24"/>
          <w:lang w:val="en-US"/>
        </w:rPr>
        <w:t>affect</w:t>
      </w:r>
      <w:r w:rsidR="00CC2790" w:rsidRPr="00B717F6">
        <w:rPr>
          <w:szCs w:val="24"/>
          <w:lang w:val="en-US"/>
        </w:rPr>
        <w:t xml:space="preserve"> </w:t>
      </w:r>
      <w:r w:rsidR="008943BC" w:rsidRPr="00B717F6">
        <w:rPr>
          <w:szCs w:val="24"/>
          <w:lang w:val="en-US"/>
        </w:rPr>
        <w:t xml:space="preserve">their </w:t>
      </w:r>
      <w:r w:rsidR="003919FD" w:rsidRPr="00B717F6">
        <w:rPr>
          <w:szCs w:val="24"/>
          <w:lang w:val="en-US"/>
        </w:rPr>
        <w:t xml:space="preserve">overall sexual functioning and sexual </w:t>
      </w:r>
      <w:r w:rsidR="008943BC" w:rsidRPr="00B717F6">
        <w:rPr>
          <w:szCs w:val="24"/>
          <w:lang w:val="en-US"/>
        </w:rPr>
        <w:t>interest</w:t>
      </w:r>
      <w:r w:rsidR="00D64E53" w:rsidRPr="00B717F6">
        <w:rPr>
          <w:szCs w:val="24"/>
          <w:lang w:val="en-US"/>
        </w:rPr>
        <w:t xml:space="preserve">, hence </w:t>
      </w:r>
      <w:r w:rsidR="003148CE" w:rsidRPr="00B717F6">
        <w:rPr>
          <w:szCs w:val="24"/>
          <w:lang w:val="en-US"/>
        </w:rPr>
        <w:t>influencing both</w:t>
      </w:r>
      <w:r w:rsidR="00D27831" w:rsidRPr="00B717F6">
        <w:rPr>
          <w:szCs w:val="24"/>
          <w:lang w:val="en-US"/>
        </w:rPr>
        <w:t xml:space="preserve"> partnered and solo</w:t>
      </w:r>
      <w:r w:rsidR="00880A7E" w:rsidRPr="00B717F6">
        <w:rPr>
          <w:szCs w:val="24"/>
          <w:lang w:val="en-US"/>
        </w:rPr>
        <w:t xml:space="preserve"> </w:t>
      </w:r>
      <w:r w:rsidR="00D27831" w:rsidRPr="00B717F6">
        <w:rPr>
          <w:szCs w:val="24"/>
          <w:lang w:val="en-US"/>
        </w:rPr>
        <w:t xml:space="preserve">sex, </w:t>
      </w:r>
      <w:r w:rsidR="003919FD" w:rsidRPr="00B717F6">
        <w:rPr>
          <w:szCs w:val="24"/>
          <w:lang w:val="en-US"/>
        </w:rPr>
        <w:t>others</w:t>
      </w:r>
      <w:r w:rsidR="00D83B58" w:rsidRPr="00B717F6">
        <w:rPr>
          <w:szCs w:val="24"/>
          <w:lang w:val="en-US"/>
        </w:rPr>
        <w:t xml:space="preserve"> with </w:t>
      </w:r>
      <w:r w:rsidR="007B06C9" w:rsidRPr="00B717F6">
        <w:rPr>
          <w:szCs w:val="24"/>
          <w:lang w:val="en-US"/>
        </w:rPr>
        <w:t xml:space="preserve">reduced sexual function </w:t>
      </w:r>
      <w:r w:rsidR="008943BC" w:rsidRPr="00B717F6">
        <w:rPr>
          <w:szCs w:val="24"/>
          <w:lang w:val="en-US"/>
        </w:rPr>
        <w:t xml:space="preserve">but high desire </w:t>
      </w:r>
      <w:r w:rsidR="00D27831" w:rsidRPr="00B717F6">
        <w:rPr>
          <w:szCs w:val="24"/>
          <w:lang w:val="en-US"/>
        </w:rPr>
        <w:t xml:space="preserve">may </w:t>
      </w:r>
      <w:r w:rsidR="00D83B58" w:rsidRPr="00B717F6">
        <w:rPr>
          <w:szCs w:val="24"/>
          <w:lang w:val="en-US"/>
        </w:rPr>
        <w:t xml:space="preserve">replace partnered sex by increased </w:t>
      </w:r>
      <w:r w:rsidR="00D27831" w:rsidRPr="00B717F6">
        <w:rPr>
          <w:szCs w:val="24"/>
          <w:lang w:val="en-US"/>
        </w:rPr>
        <w:t>autoerotic</w:t>
      </w:r>
      <w:r w:rsidR="00413245" w:rsidRPr="00B717F6">
        <w:rPr>
          <w:szCs w:val="24"/>
          <w:lang w:val="en-US"/>
        </w:rPr>
        <w:t xml:space="preserve"> </w:t>
      </w:r>
      <w:r w:rsidR="00D27831" w:rsidRPr="00B717F6">
        <w:rPr>
          <w:szCs w:val="24"/>
          <w:lang w:val="en-US"/>
        </w:rPr>
        <w:t>behavior</w:t>
      </w:r>
      <w:r w:rsidR="00413245" w:rsidRPr="00B717F6">
        <w:rPr>
          <w:szCs w:val="24"/>
          <w:lang w:val="en-US"/>
        </w:rPr>
        <w:t>.</w:t>
      </w:r>
      <w:r w:rsidR="002D365D" w:rsidRPr="00B717F6">
        <w:rPr>
          <w:szCs w:val="24"/>
          <w:lang w:val="en-US"/>
        </w:rPr>
        <w:t xml:space="preserve"> Future research is needed to address this </w:t>
      </w:r>
      <w:r w:rsidR="003148CE" w:rsidRPr="00B717F6">
        <w:rPr>
          <w:szCs w:val="24"/>
          <w:lang w:val="en-US"/>
        </w:rPr>
        <w:t>moderation hypothesis</w:t>
      </w:r>
      <w:r w:rsidR="002D365D" w:rsidRPr="00B717F6">
        <w:rPr>
          <w:szCs w:val="24"/>
          <w:lang w:val="en-US"/>
        </w:rPr>
        <w:t>.</w:t>
      </w:r>
      <w:r w:rsidR="007B5925" w:rsidRPr="00B717F6">
        <w:rPr>
          <w:szCs w:val="24"/>
          <w:lang w:val="en-US"/>
        </w:rPr>
        <w:t xml:space="preserve"> </w:t>
      </w:r>
    </w:p>
    <w:p w14:paraId="648A4F84" w14:textId="27452E18" w:rsidR="00310885" w:rsidRDefault="00683B9B" w:rsidP="00310885">
      <w:pPr>
        <w:rPr>
          <w:szCs w:val="24"/>
          <w:lang w:val="en-US"/>
        </w:rPr>
      </w:pPr>
      <w:r w:rsidRPr="00B717F6">
        <w:rPr>
          <w:szCs w:val="24"/>
          <w:lang w:val="en-US"/>
        </w:rPr>
        <w:t xml:space="preserve">In addition to </w:t>
      </w:r>
      <w:r w:rsidR="007B5925" w:rsidRPr="00B717F6">
        <w:rPr>
          <w:szCs w:val="24"/>
          <w:lang w:val="en-US"/>
        </w:rPr>
        <w:t>self-</w:t>
      </w:r>
      <w:r w:rsidR="00EF5928" w:rsidRPr="00B717F6">
        <w:rPr>
          <w:szCs w:val="24"/>
          <w:lang w:val="en-US"/>
        </w:rPr>
        <w:t>rated</w:t>
      </w:r>
      <w:r w:rsidR="007B5925" w:rsidRPr="00B717F6">
        <w:rPr>
          <w:szCs w:val="24"/>
          <w:lang w:val="en-US"/>
        </w:rPr>
        <w:t xml:space="preserve"> general health</w:t>
      </w:r>
      <w:r w:rsidR="00BA5FE0" w:rsidRPr="00B717F6">
        <w:rPr>
          <w:szCs w:val="24"/>
          <w:lang w:val="en-US"/>
        </w:rPr>
        <w:t>,</w:t>
      </w:r>
      <w:r w:rsidR="007B5925" w:rsidRPr="00B717F6">
        <w:rPr>
          <w:szCs w:val="24"/>
          <w:lang w:val="en-US"/>
        </w:rPr>
        <w:t xml:space="preserve"> we assessed the relationship between negative mood and </w:t>
      </w:r>
      <w:r w:rsidR="00D27831" w:rsidRPr="00B717F6">
        <w:rPr>
          <w:szCs w:val="24"/>
          <w:lang w:val="en-US"/>
        </w:rPr>
        <w:t xml:space="preserve">solitary sexual activity. </w:t>
      </w:r>
      <w:r w:rsidR="007B5925" w:rsidRPr="00B717F6">
        <w:rPr>
          <w:szCs w:val="24"/>
          <w:lang w:val="en-US"/>
        </w:rPr>
        <w:t>Interestingly,</w:t>
      </w:r>
      <w:r w:rsidR="00C0665F" w:rsidRPr="00B717F6">
        <w:rPr>
          <w:szCs w:val="24"/>
          <w:lang w:val="en-US"/>
        </w:rPr>
        <w:t xml:space="preserve"> </w:t>
      </w:r>
      <w:r w:rsidR="00D5737F" w:rsidRPr="00B717F6">
        <w:rPr>
          <w:szCs w:val="24"/>
          <w:lang w:val="en-US"/>
        </w:rPr>
        <w:t>our findings demonstrated a s</w:t>
      </w:r>
      <w:r w:rsidR="002F111F" w:rsidRPr="00B717F6">
        <w:rPr>
          <w:szCs w:val="24"/>
          <w:lang w:val="en-US"/>
        </w:rPr>
        <w:t xml:space="preserve">ignificant </w:t>
      </w:r>
      <w:r w:rsidR="007B5925" w:rsidRPr="00B717F6">
        <w:rPr>
          <w:szCs w:val="24"/>
          <w:lang w:val="en-US"/>
        </w:rPr>
        <w:t>association</w:t>
      </w:r>
      <w:r w:rsidR="002F111F" w:rsidRPr="00B717F6">
        <w:rPr>
          <w:szCs w:val="24"/>
          <w:lang w:val="en-US"/>
        </w:rPr>
        <w:t xml:space="preserve"> between </w:t>
      </w:r>
      <w:r w:rsidR="007A6F0F" w:rsidRPr="00B717F6">
        <w:rPr>
          <w:szCs w:val="24"/>
          <w:lang w:val="en-US"/>
        </w:rPr>
        <w:t>depression</w:t>
      </w:r>
      <w:r w:rsidR="002F111F" w:rsidRPr="00B717F6">
        <w:rPr>
          <w:szCs w:val="24"/>
          <w:lang w:val="en-US"/>
        </w:rPr>
        <w:t xml:space="preserve"> and masturbation </w:t>
      </w:r>
      <w:r w:rsidR="0055415E" w:rsidRPr="00B717F6">
        <w:rPr>
          <w:szCs w:val="24"/>
          <w:lang w:val="en-US"/>
        </w:rPr>
        <w:t xml:space="preserve">among </w:t>
      </w:r>
      <w:r w:rsidR="00310885">
        <w:rPr>
          <w:szCs w:val="24"/>
          <w:lang w:val="en-US"/>
        </w:rPr>
        <w:t xml:space="preserve">Norwegian </w:t>
      </w:r>
      <w:r w:rsidR="00442F79" w:rsidRPr="00B717F6">
        <w:rPr>
          <w:szCs w:val="24"/>
          <w:lang w:val="en-US"/>
        </w:rPr>
        <w:t xml:space="preserve">and Belgian </w:t>
      </w:r>
      <w:r w:rsidR="0055415E" w:rsidRPr="00B717F6">
        <w:rPr>
          <w:szCs w:val="24"/>
          <w:lang w:val="en-US"/>
        </w:rPr>
        <w:t>men; the higher the</w:t>
      </w:r>
      <w:r w:rsidR="002C3E85" w:rsidRPr="00B717F6">
        <w:rPr>
          <w:szCs w:val="24"/>
          <w:lang w:val="en-US"/>
        </w:rPr>
        <w:t xml:space="preserve"> level of</w:t>
      </w:r>
      <w:r w:rsidR="0055415E" w:rsidRPr="00B717F6">
        <w:rPr>
          <w:szCs w:val="24"/>
          <w:lang w:val="en-US"/>
        </w:rPr>
        <w:t xml:space="preserve"> depression, the more likely the reported masturbation. </w:t>
      </w:r>
      <w:r w:rsidR="00C0665F" w:rsidRPr="00B717F6">
        <w:rPr>
          <w:szCs w:val="24"/>
          <w:lang w:val="en-US"/>
        </w:rPr>
        <w:t>Although t</w:t>
      </w:r>
      <w:r w:rsidR="006D43CB" w:rsidRPr="00B717F6">
        <w:rPr>
          <w:szCs w:val="24"/>
          <w:lang w:val="en-US"/>
        </w:rPr>
        <w:t xml:space="preserve">his </w:t>
      </w:r>
      <w:r w:rsidR="00C0665F" w:rsidRPr="00B717F6">
        <w:rPr>
          <w:szCs w:val="24"/>
          <w:lang w:val="en-US"/>
        </w:rPr>
        <w:t xml:space="preserve">finding </w:t>
      </w:r>
      <w:r w:rsidR="00A67670" w:rsidRPr="00B717F6">
        <w:rPr>
          <w:szCs w:val="24"/>
          <w:lang w:val="en-US"/>
        </w:rPr>
        <w:t>seems counterintuitive</w:t>
      </w:r>
      <w:r w:rsidR="002777B3" w:rsidRPr="00B717F6">
        <w:rPr>
          <w:szCs w:val="24"/>
          <w:lang w:val="en-US"/>
        </w:rPr>
        <w:t xml:space="preserve">, </w:t>
      </w:r>
      <w:r w:rsidR="00C0665F" w:rsidRPr="00B717F6">
        <w:rPr>
          <w:szCs w:val="24"/>
          <w:lang w:val="en-US"/>
        </w:rPr>
        <w:t>it is</w:t>
      </w:r>
      <w:r w:rsidR="002777B3" w:rsidRPr="00B717F6">
        <w:rPr>
          <w:szCs w:val="24"/>
          <w:lang w:val="en-US"/>
        </w:rPr>
        <w:t xml:space="preserve"> consistent with previous</w:t>
      </w:r>
      <w:r w:rsidR="002C3E85" w:rsidRPr="00B717F6">
        <w:rPr>
          <w:szCs w:val="24"/>
          <w:lang w:val="en-US"/>
        </w:rPr>
        <w:t xml:space="preserve"> </w:t>
      </w:r>
      <w:r w:rsidR="009C7EC3" w:rsidRPr="00B717F6">
        <w:rPr>
          <w:szCs w:val="24"/>
          <w:lang w:val="en-US"/>
        </w:rPr>
        <w:t>research</w:t>
      </w:r>
      <w:r w:rsidR="002777B3" w:rsidRPr="00B717F6">
        <w:rPr>
          <w:szCs w:val="24"/>
          <w:lang w:val="en-US"/>
        </w:rPr>
        <w:t xml:space="preserve"> </w:t>
      </w:r>
      <w:r w:rsidR="00EB3038" w:rsidRPr="00B717F6">
        <w:rPr>
          <w:szCs w:val="24"/>
          <w:lang w:val="en-US"/>
        </w:rPr>
        <w:t>(</w:t>
      </w:r>
      <w:proofErr w:type="spellStart"/>
      <w:r w:rsidR="00EB3038" w:rsidRPr="00B717F6">
        <w:rPr>
          <w:szCs w:val="24"/>
          <w:lang w:val="en-US"/>
        </w:rPr>
        <w:t>Cyranowski</w:t>
      </w:r>
      <w:proofErr w:type="spellEnd"/>
      <w:r w:rsidR="00EB3038" w:rsidRPr="00B717F6">
        <w:rPr>
          <w:szCs w:val="24"/>
          <w:lang w:val="en-US"/>
        </w:rPr>
        <w:t xml:space="preserve"> et al., 2004; Frohlich &amp; </w:t>
      </w:r>
      <w:proofErr w:type="spellStart"/>
      <w:r w:rsidR="00EB3038" w:rsidRPr="00B717F6">
        <w:rPr>
          <w:szCs w:val="24"/>
          <w:lang w:val="en-US"/>
        </w:rPr>
        <w:t>Meston</w:t>
      </w:r>
      <w:proofErr w:type="spellEnd"/>
      <w:r w:rsidR="00EB3038" w:rsidRPr="00B717F6">
        <w:rPr>
          <w:szCs w:val="24"/>
          <w:lang w:val="en-US"/>
        </w:rPr>
        <w:t>, 2002; Rowland et al., 2020).</w:t>
      </w:r>
      <w:r w:rsidR="0055415E" w:rsidRPr="00B717F6">
        <w:rPr>
          <w:szCs w:val="24"/>
          <w:lang w:val="en-US"/>
        </w:rPr>
        <w:t xml:space="preserve"> </w:t>
      </w:r>
      <w:r w:rsidR="00432825" w:rsidRPr="00B717F6">
        <w:rPr>
          <w:szCs w:val="24"/>
          <w:lang w:val="en-US"/>
        </w:rPr>
        <w:t xml:space="preserve">One assumption has been that when </w:t>
      </w:r>
      <w:r w:rsidR="00432825" w:rsidRPr="00B717F6">
        <w:rPr>
          <w:szCs w:val="24"/>
          <w:lang w:val="en-US"/>
        </w:rPr>
        <w:lastRenderedPageBreak/>
        <w:t xml:space="preserve">feeling depressed increased masturbation might reflect a </w:t>
      </w:r>
      <w:r w:rsidR="00FA5E69" w:rsidRPr="00B717F6">
        <w:rPr>
          <w:szCs w:val="24"/>
          <w:lang w:val="en-US"/>
        </w:rPr>
        <w:t>self-soothing strategy</w:t>
      </w:r>
      <w:r w:rsidR="00432825" w:rsidRPr="00B717F6">
        <w:rPr>
          <w:szCs w:val="24"/>
          <w:lang w:val="en-US"/>
        </w:rPr>
        <w:t xml:space="preserve">, where </w:t>
      </w:r>
      <w:r w:rsidR="003B5933" w:rsidRPr="00B717F6">
        <w:rPr>
          <w:szCs w:val="24"/>
          <w:lang w:val="en-US"/>
        </w:rPr>
        <w:t xml:space="preserve">solo sex </w:t>
      </w:r>
      <w:r w:rsidR="00432825" w:rsidRPr="00B717F6">
        <w:rPr>
          <w:szCs w:val="24"/>
          <w:lang w:val="en-US"/>
        </w:rPr>
        <w:t xml:space="preserve">functions as a </w:t>
      </w:r>
      <w:r w:rsidR="003B5933" w:rsidRPr="00B717F6">
        <w:rPr>
          <w:szCs w:val="24"/>
          <w:lang w:val="en-US"/>
        </w:rPr>
        <w:t>reliable</w:t>
      </w:r>
      <w:r w:rsidR="00432825" w:rsidRPr="00B717F6">
        <w:rPr>
          <w:szCs w:val="24"/>
          <w:lang w:val="en-US"/>
        </w:rPr>
        <w:t xml:space="preserve"> way to </w:t>
      </w:r>
      <w:r w:rsidR="00903446" w:rsidRPr="00B717F6">
        <w:rPr>
          <w:szCs w:val="24"/>
          <w:lang w:val="en-US"/>
        </w:rPr>
        <w:t xml:space="preserve">make oneself </w:t>
      </w:r>
      <w:r w:rsidR="00432825" w:rsidRPr="00B717F6">
        <w:rPr>
          <w:szCs w:val="24"/>
          <w:lang w:val="en-US"/>
        </w:rPr>
        <w:t>feel better</w:t>
      </w:r>
      <w:r w:rsidR="00FA5E69" w:rsidRPr="00B717F6">
        <w:rPr>
          <w:szCs w:val="24"/>
          <w:lang w:val="en-US"/>
        </w:rPr>
        <w:t xml:space="preserve"> (Frohlich &amp; </w:t>
      </w:r>
      <w:proofErr w:type="spellStart"/>
      <w:r w:rsidR="00FA5E69" w:rsidRPr="00B717F6">
        <w:rPr>
          <w:szCs w:val="24"/>
          <w:lang w:val="en-US"/>
        </w:rPr>
        <w:t>Meston</w:t>
      </w:r>
      <w:proofErr w:type="spellEnd"/>
      <w:r w:rsidR="00FA5E69" w:rsidRPr="00B717F6">
        <w:rPr>
          <w:szCs w:val="24"/>
          <w:lang w:val="en-US"/>
        </w:rPr>
        <w:t>, 2002)</w:t>
      </w:r>
      <w:r w:rsidR="00432825" w:rsidRPr="00B717F6">
        <w:rPr>
          <w:szCs w:val="24"/>
          <w:lang w:val="en-US"/>
        </w:rPr>
        <w:t xml:space="preserve">. </w:t>
      </w:r>
      <w:r w:rsidR="00D273B9" w:rsidRPr="00B717F6">
        <w:rPr>
          <w:szCs w:val="24"/>
          <w:lang w:val="en-US"/>
        </w:rPr>
        <w:t xml:space="preserve">Although </w:t>
      </w:r>
      <w:r w:rsidR="003B5933" w:rsidRPr="00B717F6">
        <w:rPr>
          <w:szCs w:val="24"/>
          <w:lang w:val="en-US"/>
        </w:rPr>
        <w:t>self-stimulation</w:t>
      </w:r>
      <w:r w:rsidR="00D273B9" w:rsidRPr="00B717F6">
        <w:rPr>
          <w:szCs w:val="24"/>
          <w:lang w:val="en-US"/>
        </w:rPr>
        <w:t xml:space="preserve"> when feeling depressed </w:t>
      </w:r>
      <w:r w:rsidR="00D432AB" w:rsidRPr="00B717F6">
        <w:rPr>
          <w:szCs w:val="24"/>
          <w:lang w:val="en-US"/>
        </w:rPr>
        <w:t xml:space="preserve">may </w:t>
      </w:r>
      <w:r w:rsidR="00D84B34" w:rsidRPr="00B717F6">
        <w:rPr>
          <w:szCs w:val="24"/>
          <w:lang w:val="en-US"/>
        </w:rPr>
        <w:t xml:space="preserve">be </w:t>
      </w:r>
      <w:r w:rsidR="00D432AB" w:rsidRPr="00B717F6">
        <w:rPr>
          <w:szCs w:val="24"/>
          <w:lang w:val="en-US"/>
        </w:rPr>
        <w:t xml:space="preserve">self-soothing </w:t>
      </w:r>
      <w:r w:rsidR="00653889" w:rsidRPr="00B717F6">
        <w:rPr>
          <w:szCs w:val="24"/>
          <w:lang w:val="en-US"/>
        </w:rPr>
        <w:t>in the short term</w:t>
      </w:r>
      <w:r w:rsidR="00D432AB" w:rsidRPr="00B717F6">
        <w:rPr>
          <w:szCs w:val="24"/>
          <w:lang w:val="en-US"/>
        </w:rPr>
        <w:t xml:space="preserve">, </w:t>
      </w:r>
      <w:r w:rsidR="00D273B9" w:rsidRPr="00B717F6">
        <w:rPr>
          <w:szCs w:val="24"/>
          <w:lang w:val="en-US"/>
        </w:rPr>
        <w:t xml:space="preserve">it </w:t>
      </w:r>
      <w:r w:rsidR="00FA5E69" w:rsidRPr="00B717F6">
        <w:rPr>
          <w:szCs w:val="24"/>
          <w:lang w:val="en-US"/>
        </w:rPr>
        <w:t xml:space="preserve">does not </w:t>
      </w:r>
      <w:r w:rsidR="00D8537D" w:rsidRPr="00B717F6">
        <w:rPr>
          <w:szCs w:val="24"/>
          <w:lang w:val="en-US"/>
        </w:rPr>
        <w:t>necessarily</w:t>
      </w:r>
      <w:r w:rsidR="00FA5E69" w:rsidRPr="00B717F6">
        <w:rPr>
          <w:szCs w:val="24"/>
          <w:lang w:val="en-US"/>
        </w:rPr>
        <w:t xml:space="preserve"> </w:t>
      </w:r>
      <w:r w:rsidR="006D3FBA" w:rsidRPr="00B717F6">
        <w:rPr>
          <w:szCs w:val="24"/>
          <w:lang w:val="en-US"/>
        </w:rPr>
        <w:t>enhance mood as</w:t>
      </w:r>
      <w:r w:rsidR="00FA5E69" w:rsidRPr="00B717F6">
        <w:rPr>
          <w:szCs w:val="24"/>
          <w:lang w:val="en-US"/>
        </w:rPr>
        <w:t xml:space="preserve"> </w:t>
      </w:r>
      <w:r w:rsidR="00EA65FC" w:rsidRPr="00B717F6">
        <w:rPr>
          <w:szCs w:val="24"/>
          <w:lang w:val="en-US"/>
        </w:rPr>
        <w:t>masturbation</w:t>
      </w:r>
      <w:r w:rsidR="00FA5E69" w:rsidRPr="00B717F6">
        <w:rPr>
          <w:szCs w:val="24"/>
          <w:lang w:val="en-US"/>
        </w:rPr>
        <w:t xml:space="preserve"> </w:t>
      </w:r>
      <w:r w:rsidR="00EA65FC" w:rsidRPr="00B717F6">
        <w:rPr>
          <w:szCs w:val="24"/>
          <w:lang w:val="en-US"/>
        </w:rPr>
        <w:t xml:space="preserve">also </w:t>
      </w:r>
      <w:r w:rsidR="00413F7F" w:rsidRPr="00B717F6">
        <w:rPr>
          <w:szCs w:val="24"/>
          <w:lang w:val="en-US"/>
        </w:rPr>
        <w:t xml:space="preserve">seems to reinforce </w:t>
      </w:r>
      <w:r w:rsidR="00FA5E69" w:rsidRPr="00B717F6">
        <w:rPr>
          <w:szCs w:val="24"/>
          <w:lang w:val="en-US"/>
        </w:rPr>
        <w:t>feelings of loneliness</w:t>
      </w:r>
      <w:r w:rsidR="009C6F99">
        <w:rPr>
          <w:szCs w:val="24"/>
          <w:lang w:val="en-US"/>
        </w:rPr>
        <w:t xml:space="preserve"> and isolation (Bancroft </w:t>
      </w:r>
      <w:r w:rsidR="006D3FBA" w:rsidRPr="00B717F6">
        <w:rPr>
          <w:szCs w:val="24"/>
          <w:lang w:val="en-US"/>
        </w:rPr>
        <w:t>et al., 2003)</w:t>
      </w:r>
      <w:r w:rsidR="00FA5E69" w:rsidRPr="00B717F6">
        <w:rPr>
          <w:szCs w:val="24"/>
          <w:lang w:val="en-US"/>
        </w:rPr>
        <w:t xml:space="preserve">. </w:t>
      </w:r>
    </w:p>
    <w:p w14:paraId="6B0538FA" w14:textId="755DC2E3" w:rsidR="005B785E" w:rsidRPr="0025661A" w:rsidRDefault="005B785E" w:rsidP="0025661A">
      <w:pPr>
        <w:rPr>
          <w:szCs w:val="24"/>
          <w:lang w:val="en-US"/>
        </w:rPr>
      </w:pPr>
      <w:r w:rsidRPr="00232794">
        <w:rPr>
          <w:szCs w:val="24"/>
          <w:lang w:val="en-US"/>
        </w:rPr>
        <w:t xml:space="preserve">Finally, regarding relationship status, we </w:t>
      </w:r>
      <w:r w:rsidRPr="00310885">
        <w:rPr>
          <w:szCs w:val="24"/>
          <w:lang w:val="en-US"/>
        </w:rPr>
        <w:t xml:space="preserve">found that women in Norway and Portugal were less likely to report </w:t>
      </w:r>
      <w:r w:rsidR="006A029A">
        <w:rPr>
          <w:szCs w:val="24"/>
          <w:lang w:val="en-US"/>
        </w:rPr>
        <w:t xml:space="preserve">frequent </w:t>
      </w:r>
      <w:r w:rsidRPr="00310885">
        <w:rPr>
          <w:szCs w:val="24"/>
          <w:lang w:val="en-US"/>
        </w:rPr>
        <w:t>masturbation if they were in a current relationship. This finding seems to corroborate results from previous studies among varied age groups (</w:t>
      </w:r>
      <w:proofErr w:type="spellStart"/>
      <w:r w:rsidRPr="00310885">
        <w:rPr>
          <w:szCs w:val="24"/>
          <w:lang w:val="en-US"/>
        </w:rPr>
        <w:t>DeLamater</w:t>
      </w:r>
      <w:proofErr w:type="spellEnd"/>
      <w:r w:rsidRPr="00310885">
        <w:rPr>
          <w:szCs w:val="24"/>
          <w:lang w:val="en-US"/>
        </w:rPr>
        <w:t xml:space="preserve"> &amp; Moorman, 2007; Regnerus et al., 2017; Rowland et al., 2020; Schick et al., 2010). It seems probable that since partnered adults may anticipate the opportunity of having sex with their committed partner, they wish to channel their sexual desire into their sexual relationship and/or do not feel the need for masturbation (Regnerus et al., 2017).  </w:t>
      </w:r>
    </w:p>
    <w:p w14:paraId="1BE63763" w14:textId="65FAE85C" w:rsidR="00E56FC2" w:rsidRPr="00B717F6" w:rsidRDefault="00E56FC2" w:rsidP="009C0C78">
      <w:pPr>
        <w:adjustRightInd w:val="0"/>
        <w:snapToGrid w:val="0"/>
        <w:ind w:firstLine="0"/>
        <w:outlineLvl w:val="1"/>
        <w:rPr>
          <w:b/>
          <w:szCs w:val="24"/>
          <w:lang w:val="en-US"/>
        </w:rPr>
      </w:pPr>
      <w:r w:rsidRPr="00B717F6">
        <w:rPr>
          <w:b/>
          <w:szCs w:val="24"/>
          <w:lang w:val="en-US"/>
        </w:rPr>
        <w:t>Strengths and Limitations</w:t>
      </w:r>
    </w:p>
    <w:p w14:paraId="419EBEE6" w14:textId="772DCF13" w:rsidR="00093C62" w:rsidRPr="00B717F6" w:rsidRDefault="00653889" w:rsidP="007B2BA2">
      <w:pPr>
        <w:rPr>
          <w:szCs w:val="24"/>
          <w:lang w:val="en-US"/>
        </w:rPr>
      </w:pPr>
      <w:r w:rsidRPr="00B717F6">
        <w:rPr>
          <w:szCs w:val="24"/>
          <w:lang w:val="en-US"/>
        </w:rPr>
        <w:t>Our</w:t>
      </w:r>
      <w:r w:rsidR="00C920C2" w:rsidRPr="00B717F6">
        <w:rPr>
          <w:szCs w:val="24"/>
          <w:lang w:val="en-US"/>
        </w:rPr>
        <w:t xml:space="preserve"> survey</w:t>
      </w:r>
      <w:r w:rsidRPr="00B717F6">
        <w:rPr>
          <w:szCs w:val="24"/>
          <w:lang w:val="en-US"/>
        </w:rPr>
        <w:t xml:space="preserve"> had several </w:t>
      </w:r>
      <w:r w:rsidR="00C920C2" w:rsidRPr="00B717F6">
        <w:rPr>
          <w:szCs w:val="24"/>
          <w:lang w:val="en-US"/>
        </w:rPr>
        <w:t xml:space="preserve">strengths, </w:t>
      </w:r>
      <w:r w:rsidRPr="00B717F6">
        <w:rPr>
          <w:szCs w:val="24"/>
          <w:lang w:val="en-US"/>
        </w:rPr>
        <w:t>including the</w:t>
      </w:r>
      <w:r w:rsidR="00C920C2" w:rsidRPr="00B717F6">
        <w:rPr>
          <w:szCs w:val="24"/>
          <w:lang w:val="en-US"/>
        </w:rPr>
        <w:t xml:space="preserve"> large probability</w:t>
      </w:r>
      <w:r w:rsidRPr="00B717F6">
        <w:rPr>
          <w:szCs w:val="24"/>
          <w:lang w:val="en-US"/>
        </w:rPr>
        <w:t>-</w:t>
      </w:r>
      <w:r w:rsidR="00C920C2" w:rsidRPr="00B717F6">
        <w:rPr>
          <w:szCs w:val="24"/>
          <w:lang w:val="en-US"/>
        </w:rPr>
        <w:t xml:space="preserve">based samples and </w:t>
      </w:r>
      <w:r w:rsidR="001A7487" w:rsidRPr="00B717F6">
        <w:rPr>
          <w:szCs w:val="24"/>
          <w:lang w:val="en-US"/>
        </w:rPr>
        <w:t>the use of</w:t>
      </w:r>
      <w:r w:rsidR="002529F9" w:rsidRPr="00B717F6">
        <w:rPr>
          <w:szCs w:val="24"/>
          <w:lang w:val="en-US"/>
        </w:rPr>
        <w:t xml:space="preserve"> </w:t>
      </w:r>
      <w:r w:rsidR="0087729A" w:rsidRPr="00B717F6">
        <w:rPr>
          <w:szCs w:val="24"/>
          <w:lang w:val="en-US"/>
        </w:rPr>
        <w:t>similar</w:t>
      </w:r>
      <w:r w:rsidR="002529F9" w:rsidRPr="00B717F6">
        <w:rPr>
          <w:szCs w:val="24"/>
          <w:lang w:val="en-US"/>
        </w:rPr>
        <w:t xml:space="preserve"> </w:t>
      </w:r>
      <w:r w:rsidR="00C920C2" w:rsidRPr="00B717F6">
        <w:rPr>
          <w:szCs w:val="24"/>
          <w:lang w:val="en-US"/>
        </w:rPr>
        <w:t xml:space="preserve">sampling </w:t>
      </w:r>
      <w:r w:rsidR="002529F9" w:rsidRPr="00B717F6">
        <w:rPr>
          <w:szCs w:val="24"/>
          <w:lang w:val="en-US"/>
        </w:rPr>
        <w:t>method</w:t>
      </w:r>
      <w:r w:rsidR="00606284" w:rsidRPr="00B717F6">
        <w:rPr>
          <w:szCs w:val="24"/>
          <w:lang w:val="en-US"/>
        </w:rPr>
        <w:t>s</w:t>
      </w:r>
      <w:r w:rsidR="008F05DB" w:rsidRPr="00B717F6">
        <w:rPr>
          <w:szCs w:val="24"/>
          <w:lang w:val="en-US"/>
        </w:rPr>
        <w:t xml:space="preserve">, </w:t>
      </w:r>
      <w:r w:rsidR="00606284" w:rsidRPr="00B717F6">
        <w:rPr>
          <w:szCs w:val="24"/>
          <w:lang w:val="en-US"/>
        </w:rPr>
        <w:t>identical measures</w:t>
      </w:r>
      <w:r w:rsidR="009C6F99">
        <w:rPr>
          <w:szCs w:val="24"/>
          <w:lang w:val="en-US"/>
        </w:rPr>
        <w:t>,</w:t>
      </w:r>
      <w:r w:rsidR="00606284" w:rsidRPr="00B717F6">
        <w:rPr>
          <w:szCs w:val="24"/>
          <w:lang w:val="en-US"/>
        </w:rPr>
        <w:t xml:space="preserve"> and</w:t>
      </w:r>
      <w:r w:rsidR="008F05DB" w:rsidRPr="00B717F6">
        <w:rPr>
          <w:szCs w:val="24"/>
          <w:lang w:val="en-US"/>
        </w:rPr>
        <w:t xml:space="preserve"> age cohort</w:t>
      </w:r>
      <w:r w:rsidR="00606284" w:rsidRPr="00B717F6">
        <w:rPr>
          <w:szCs w:val="24"/>
          <w:lang w:val="en-US"/>
        </w:rPr>
        <w:t>s</w:t>
      </w:r>
      <w:r w:rsidR="002529F9" w:rsidRPr="00B717F6">
        <w:rPr>
          <w:szCs w:val="24"/>
          <w:lang w:val="en-US"/>
        </w:rPr>
        <w:t xml:space="preserve"> </w:t>
      </w:r>
      <w:r w:rsidR="00613046" w:rsidRPr="00B717F6">
        <w:rPr>
          <w:szCs w:val="24"/>
          <w:lang w:val="en-US"/>
        </w:rPr>
        <w:t>across</w:t>
      </w:r>
      <w:r w:rsidR="00C920C2" w:rsidRPr="00B717F6">
        <w:rPr>
          <w:szCs w:val="24"/>
          <w:lang w:val="en-US"/>
        </w:rPr>
        <w:t xml:space="preserve"> </w:t>
      </w:r>
      <w:r w:rsidR="00606284" w:rsidRPr="00B717F6">
        <w:rPr>
          <w:szCs w:val="24"/>
          <w:lang w:val="en-US"/>
        </w:rPr>
        <w:t xml:space="preserve">four European </w:t>
      </w:r>
      <w:r w:rsidR="002529F9" w:rsidRPr="00B717F6">
        <w:rPr>
          <w:szCs w:val="24"/>
          <w:lang w:val="en-US"/>
        </w:rPr>
        <w:t>countries</w:t>
      </w:r>
      <w:r w:rsidRPr="00B717F6">
        <w:rPr>
          <w:szCs w:val="24"/>
          <w:lang w:val="en-US"/>
        </w:rPr>
        <w:t xml:space="preserve">. Several </w:t>
      </w:r>
      <w:r w:rsidR="002529F9" w:rsidRPr="00B717F6">
        <w:rPr>
          <w:szCs w:val="24"/>
          <w:lang w:val="en-US"/>
        </w:rPr>
        <w:t>limitations</w:t>
      </w:r>
      <w:r w:rsidRPr="00B717F6">
        <w:rPr>
          <w:szCs w:val="24"/>
          <w:lang w:val="en-US"/>
        </w:rPr>
        <w:t>, however,</w:t>
      </w:r>
      <w:r w:rsidR="002529F9" w:rsidRPr="00B717F6">
        <w:rPr>
          <w:szCs w:val="24"/>
          <w:lang w:val="en-US"/>
        </w:rPr>
        <w:t xml:space="preserve"> should </w:t>
      </w:r>
      <w:r w:rsidRPr="00B717F6">
        <w:rPr>
          <w:szCs w:val="24"/>
          <w:lang w:val="en-US"/>
        </w:rPr>
        <w:t xml:space="preserve">also </w:t>
      </w:r>
      <w:r w:rsidR="002529F9" w:rsidRPr="00B717F6">
        <w:rPr>
          <w:szCs w:val="24"/>
          <w:lang w:val="en-US"/>
        </w:rPr>
        <w:t xml:space="preserve">be </w:t>
      </w:r>
      <w:r w:rsidR="00065331" w:rsidRPr="00B717F6">
        <w:rPr>
          <w:szCs w:val="24"/>
          <w:lang w:val="en-US"/>
        </w:rPr>
        <w:t>acknowledged</w:t>
      </w:r>
      <w:r w:rsidR="002529F9" w:rsidRPr="00B717F6">
        <w:rPr>
          <w:szCs w:val="24"/>
          <w:lang w:val="en-US"/>
        </w:rPr>
        <w:t>.</w:t>
      </w:r>
      <w:r w:rsidR="00AC0D30" w:rsidRPr="00B717F6">
        <w:rPr>
          <w:szCs w:val="24"/>
          <w:lang w:val="en-US"/>
        </w:rPr>
        <w:t xml:space="preserve"> </w:t>
      </w:r>
      <w:r w:rsidR="00A55250" w:rsidRPr="00B717F6">
        <w:rPr>
          <w:szCs w:val="24"/>
          <w:lang w:val="en-US"/>
        </w:rPr>
        <w:t xml:space="preserve">The sample </w:t>
      </w:r>
      <w:r w:rsidR="000F0109" w:rsidRPr="00B717F6">
        <w:rPr>
          <w:szCs w:val="24"/>
          <w:lang w:val="en-US"/>
        </w:rPr>
        <w:t xml:space="preserve">size </w:t>
      </w:r>
      <w:r w:rsidR="00A55250" w:rsidRPr="00B717F6">
        <w:rPr>
          <w:szCs w:val="24"/>
          <w:lang w:val="en-US"/>
        </w:rPr>
        <w:t>in Portugal, as well as the response rate</w:t>
      </w:r>
      <w:r w:rsidRPr="00B717F6">
        <w:rPr>
          <w:szCs w:val="24"/>
          <w:lang w:val="en-US"/>
        </w:rPr>
        <w:t>,</w:t>
      </w:r>
      <w:r w:rsidR="00A55250" w:rsidRPr="00B717F6">
        <w:rPr>
          <w:szCs w:val="24"/>
          <w:lang w:val="en-US"/>
        </w:rPr>
        <w:t xml:space="preserve"> </w:t>
      </w:r>
      <w:r w:rsidR="00880A7E" w:rsidRPr="00B717F6">
        <w:rPr>
          <w:szCs w:val="24"/>
          <w:lang w:val="en-US"/>
        </w:rPr>
        <w:t xml:space="preserve">was </w:t>
      </w:r>
      <w:r w:rsidR="00A55250" w:rsidRPr="00B717F6">
        <w:rPr>
          <w:szCs w:val="24"/>
          <w:lang w:val="en-US"/>
        </w:rPr>
        <w:t xml:space="preserve">much lower than in the other </w:t>
      </w:r>
      <w:r w:rsidR="000F0109" w:rsidRPr="00B717F6">
        <w:rPr>
          <w:szCs w:val="24"/>
          <w:lang w:val="en-US"/>
        </w:rPr>
        <w:t>countries.</w:t>
      </w:r>
      <w:r w:rsidR="00463684" w:rsidRPr="00B717F6">
        <w:rPr>
          <w:szCs w:val="24"/>
          <w:lang w:val="en-US"/>
        </w:rPr>
        <w:t xml:space="preserve"> </w:t>
      </w:r>
      <w:r w:rsidR="000022A0" w:rsidRPr="00B717F6">
        <w:rPr>
          <w:szCs w:val="24"/>
          <w:lang w:val="en-US"/>
        </w:rPr>
        <w:t>Due to a less reliable sampling method, an overrepresentation of urban individuals, and a high refusal rate</w:t>
      </w:r>
      <w:r w:rsidR="00633C83">
        <w:rPr>
          <w:szCs w:val="24"/>
          <w:lang w:val="en-US"/>
        </w:rPr>
        <w:t>,</w:t>
      </w:r>
      <w:r w:rsidR="000022A0" w:rsidRPr="00B717F6">
        <w:rPr>
          <w:szCs w:val="24"/>
          <w:lang w:val="en-US"/>
        </w:rPr>
        <w:t xml:space="preserve"> the selection bias </w:t>
      </w:r>
      <w:r w:rsidR="007606B9">
        <w:rPr>
          <w:szCs w:val="24"/>
          <w:lang w:val="en-US"/>
        </w:rPr>
        <w:t>wa</w:t>
      </w:r>
      <w:r w:rsidR="000022A0" w:rsidRPr="00B717F6">
        <w:rPr>
          <w:szCs w:val="24"/>
          <w:lang w:val="en-US"/>
        </w:rPr>
        <w:t>s possibly most substantial among Portuguese participants (</w:t>
      </w:r>
      <w:proofErr w:type="spellStart"/>
      <w:r w:rsidR="000022A0" w:rsidRPr="00B717F6">
        <w:rPr>
          <w:szCs w:val="24"/>
          <w:lang w:val="en-GB"/>
        </w:rPr>
        <w:t>Boughner</w:t>
      </w:r>
      <w:proofErr w:type="spellEnd"/>
      <w:r w:rsidR="007606B9">
        <w:rPr>
          <w:szCs w:val="24"/>
          <w:lang w:val="en-GB"/>
        </w:rPr>
        <w:t>,</w:t>
      </w:r>
      <w:r w:rsidR="000022A0" w:rsidRPr="00B717F6">
        <w:rPr>
          <w:szCs w:val="24"/>
          <w:lang w:val="en-GB"/>
        </w:rPr>
        <w:t xml:space="preserve"> 2010</w:t>
      </w:r>
      <w:r w:rsidR="000022A0" w:rsidRPr="00B717F6">
        <w:rPr>
          <w:szCs w:val="24"/>
          <w:lang w:val="en-US"/>
        </w:rPr>
        <w:t xml:space="preserve">). Overall, </w:t>
      </w:r>
      <w:r w:rsidR="00463684" w:rsidRPr="00B717F6">
        <w:rPr>
          <w:szCs w:val="24"/>
          <w:lang w:val="en-US"/>
        </w:rPr>
        <w:t>this</w:t>
      </w:r>
      <w:r w:rsidR="000F0109" w:rsidRPr="00B717F6">
        <w:rPr>
          <w:color w:val="4472C4" w:themeColor="accent5"/>
          <w:szCs w:val="24"/>
          <w:lang w:val="en-US"/>
        </w:rPr>
        <w:t xml:space="preserve"> </w:t>
      </w:r>
      <w:r w:rsidR="00613046" w:rsidRPr="00B717F6">
        <w:rPr>
          <w:szCs w:val="24"/>
          <w:lang w:val="en-US"/>
        </w:rPr>
        <w:t>give</w:t>
      </w:r>
      <w:r w:rsidR="00633C83">
        <w:rPr>
          <w:szCs w:val="24"/>
          <w:lang w:val="en-US"/>
        </w:rPr>
        <w:t>s</w:t>
      </w:r>
      <w:r w:rsidR="00613046" w:rsidRPr="00B717F6">
        <w:rPr>
          <w:szCs w:val="24"/>
          <w:lang w:val="en-US"/>
        </w:rPr>
        <w:t xml:space="preserve"> rise to </w:t>
      </w:r>
      <w:r w:rsidR="008E606F" w:rsidRPr="00B717F6">
        <w:rPr>
          <w:szCs w:val="24"/>
          <w:lang w:val="en-US"/>
        </w:rPr>
        <w:t xml:space="preserve">questions </w:t>
      </w:r>
      <w:r w:rsidR="00435D7B" w:rsidRPr="00B717F6">
        <w:rPr>
          <w:szCs w:val="24"/>
          <w:lang w:val="en-US"/>
        </w:rPr>
        <w:t xml:space="preserve">relating </w:t>
      </w:r>
      <w:r w:rsidR="006E3D6C" w:rsidRPr="00B717F6">
        <w:rPr>
          <w:szCs w:val="24"/>
          <w:lang w:val="en-US"/>
        </w:rPr>
        <w:t xml:space="preserve">to the </w:t>
      </w:r>
      <w:r w:rsidR="00606284" w:rsidRPr="00B717F6">
        <w:rPr>
          <w:szCs w:val="24"/>
          <w:lang w:val="en-US"/>
        </w:rPr>
        <w:t xml:space="preserve">Portuguese </w:t>
      </w:r>
      <w:r w:rsidR="00435D7B" w:rsidRPr="00B717F6">
        <w:rPr>
          <w:szCs w:val="24"/>
          <w:lang w:val="en-US"/>
        </w:rPr>
        <w:t>samples’</w:t>
      </w:r>
      <w:r w:rsidR="00613046" w:rsidRPr="00B717F6">
        <w:rPr>
          <w:szCs w:val="24"/>
          <w:lang w:val="en-US"/>
        </w:rPr>
        <w:t xml:space="preserve"> representativeness and </w:t>
      </w:r>
      <w:r w:rsidR="00A55250" w:rsidRPr="00B717F6">
        <w:rPr>
          <w:szCs w:val="24"/>
          <w:lang w:val="en-US"/>
        </w:rPr>
        <w:t xml:space="preserve">its comparability with </w:t>
      </w:r>
      <w:r w:rsidR="000165FD" w:rsidRPr="00B717F6">
        <w:rPr>
          <w:szCs w:val="24"/>
          <w:lang w:val="en-US"/>
        </w:rPr>
        <w:t>the samples</w:t>
      </w:r>
      <w:r w:rsidR="000F0109" w:rsidRPr="00B717F6">
        <w:rPr>
          <w:szCs w:val="24"/>
          <w:lang w:val="en-US"/>
        </w:rPr>
        <w:t xml:space="preserve"> from Norway, Denmark</w:t>
      </w:r>
      <w:r w:rsidR="009C6F99">
        <w:rPr>
          <w:szCs w:val="24"/>
          <w:lang w:val="en-US"/>
        </w:rPr>
        <w:t>,</w:t>
      </w:r>
      <w:r w:rsidR="000F0109" w:rsidRPr="00B717F6">
        <w:rPr>
          <w:szCs w:val="24"/>
          <w:lang w:val="en-US"/>
        </w:rPr>
        <w:t xml:space="preserve"> and </w:t>
      </w:r>
      <w:r w:rsidR="00065331" w:rsidRPr="00B717F6">
        <w:rPr>
          <w:szCs w:val="24"/>
          <w:lang w:val="en-US"/>
        </w:rPr>
        <w:t>Belgium</w:t>
      </w:r>
      <w:r w:rsidR="00245005">
        <w:rPr>
          <w:szCs w:val="24"/>
          <w:lang w:val="en-US"/>
        </w:rPr>
        <w:t>,</w:t>
      </w:r>
      <w:r w:rsidR="00F84C80" w:rsidRPr="00B717F6">
        <w:rPr>
          <w:szCs w:val="24"/>
          <w:lang w:val="en-US"/>
        </w:rPr>
        <w:t xml:space="preserve"> </w:t>
      </w:r>
      <w:r w:rsidR="00633C83">
        <w:rPr>
          <w:szCs w:val="24"/>
          <w:lang w:val="en-US"/>
        </w:rPr>
        <w:t>which</w:t>
      </w:r>
      <w:r w:rsidR="000022A0" w:rsidRPr="00B717F6">
        <w:rPr>
          <w:szCs w:val="24"/>
          <w:lang w:val="en-US"/>
        </w:rPr>
        <w:t xml:space="preserve"> should be taken into consideration when evaluating the study findings. </w:t>
      </w:r>
      <w:r w:rsidR="00880A7E" w:rsidRPr="00B717F6">
        <w:rPr>
          <w:szCs w:val="24"/>
          <w:lang w:val="en-US"/>
        </w:rPr>
        <w:t xml:space="preserve">A second </w:t>
      </w:r>
      <w:r w:rsidR="007F1B4D" w:rsidRPr="00B717F6">
        <w:rPr>
          <w:szCs w:val="24"/>
          <w:lang w:val="en-US"/>
        </w:rPr>
        <w:t>limitation pertain</w:t>
      </w:r>
      <w:r w:rsidR="006E3D6C" w:rsidRPr="00B717F6">
        <w:rPr>
          <w:szCs w:val="24"/>
          <w:lang w:val="en-US"/>
        </w:rPr>
        <w:t>s</w:t>
      </w:r>
      <w:r w:rsidR="007F1B4D" w:rsidRPr="00B717F6">
        <w:rPr>
          <w:szCs w:val="24"/>
          <w:lang w:val="en-US"/>
        </w:rPr>
        <w:t xml:space="preserve"> to </w:t>
      </w:r>
      <w:r w:rsidR="001D783A" w:rsidRPr="00B717F6">
        <w:rPr>
          <w:szCs w:val="24"/>
          <w:lang w:val="en-US"/>
        </w:rPr>
        <w:t xml:space="preserve">the </w:t>
      </w:r>
      <w:r w:rsidR="007F1B4D" w:rsidRPr="00B717F6">
        <w:rPr>
          <w:szCs w:val="24"/>
          <w:lang w:val="en-US"/>
        </w:rPr>
        <w:t xml:space="preserve">item formation. </w:t>
      </w:r>
      <w:r w:rsidR="00B66DEF" w:rsidRPr="00B717F6">
        <w:rPr>
          <w:szCs w:val="24"/>
          <w:lang w:val="en-US"/>
        </w:rPr>
        <w:t xml:space="preserve">In this study, </w:t>
      </w:r>
      <w:r w:rsidR="00F53802" w:rsidRPr="00B717F6">
        <w:rPr>
          <w:szCs w:val="24"/>
          <w:lang w:val="en-US"/>
        </w:rPr>
        <w:t>a</w:t>
      </w:r>
      <w:r w:rsidR="00B66DEF" w:rsidRPr="00B717F6">
        <w:rPr>
          <w:szCs w:val="24"/>
          <w:lang w:val="en-US"/>
        </w:rPr>
        <w:t xml:space="preserve"> pre-existing one-item indicator</w:t>
      </w:r>
      <w:r w:rsidR="00F53802" w:rsidRPr="00B717F6">
        <w:rPr>
          <w:szCs w:val="24"/>
          <w:lang w:val="en-US"/>
        </w:rPr>
        <w:t xml:space="preserve"> was used to measure</w:t>
      </w:r>
      <w:r w:rsidR="00B66DEF" w:rsidRPr="00B717F6">
        <w:rPr>
          <w:szCs w:val="24"/>
          <w:lang w:val="en-US"/>
        </w:rPr>
        <w:t xml:space="preserve"> </w:t>
      </w:r>
      <w:r w:rsidR="00435D7B" w:rsidRPr="00B717F6">
        <w:rPr>
          <w:szCs w:val="24"/>
          <w:lang w:val="en-US"/>
        </w:rPr>
        <w:t xml:space="preserve">reported </w:t>
      </w:r>
      <w:r w:rsidR="00B66DEF" w:rsidRPr="00B717F6">
        <w:rPr>
          <w:szCs w:val="24"/>
          <w:lang w:val="en-US"/>
        </w:rPr>
        <w:t>masturbation</w:t>
      </w:r>
      <w:r w:rsidR="00850FFC" w:rsidRPr="00B717F6">
        <w:rPr>
          <w:szCs w:val="24"/>
          <w:lang w:val="en-US"/>
        </w:rPr>
        <w:t xml:space="preserve"> </w:t>
      </w:r>
      <w:r w:rsidR="006A029A">
        <w:rPr>
          <w:szCs w:val="24"/>
          <w:lang w:val="en-US"/>
        </w:rPr>
        <w:t xml:space="preserve">frequency </w:t>
      </w:r>
      <w:r w:rsidR="00304876" w:rsidRPr="00B717F6">
        <w:rPr>
          <w:szCs w:val="24"/>
          <w:lang w:val="en-US"/>
        </w:rPr>
        <w:t xml:space="preserve">(ELSA; Lee </w:t>
      </w:r>
      <w:r w:rsidR="00F53802" w:rsidRPr="00B717F6">
        <w:rPr>
          <w:szCs w:val="24"/>
          <w:lang w:val="en-US"/>
        </w:rPr>
        <w:t xml:space="preserve">et al., 2016). </w:t>
      </w:r>
      <w:r w:rsidR="00BF32E7" w:rsidRPr="00B717F6">
        <w:rPr>
          <w:szCs w:val="24"/>
          <w:lang w:val="en-US"/>
        </w:rPr>
        <w:t>Because the</w:t>
      </w:r>
      <w:r w:rsidR="00E3774C" w:rsidRPr="00B717F6">
        <w:rPr>
          <w:szCs w:val="24"/>
          <w:lang w:val="en-US"/>
        </w:rPr>
        <w:t xml:space="preserve"> </w:t>
      </w:r>
      <w:r w:rsidR="00BF32E7" w:rsidRPr="00B717F6">
        <w:rPr>
          <w:szCs w:val="24"/>
          <w:lang w:val="en-US"/>
        </w:rPr>
        <w:t>question</w:t>
      </w:r>
      <w:r w:rsidR="00E3774C" w:rsidRPr="00B717F6">
        <w:rPr>
          <w:szCs w:val="24"/>
          <w:lang w:val="en-US"/>
        </w:rPr>
        <w:t xml:space="preserve"> did not specifically </w:t>
      </w:r>
      <w:r w:rsidR="00BF32E7" w:rsidRPr="00B717F6">
        <w:rPr>
          <w:szCs w:val="24"/>
          <w:lang w:val="en-US"/>
        </w:rPr>
        <w:t>refer</w:t>
      </w:r>
      <w:r w:rsidR="00E3774C" w:rsidRPr="00B717F6">
        <w:rPr>
          <w:szCs w:val="24"/>
          <w:lang w:val="en-US"/>
        </w:rPr>
        <w:t xml:space="preserve"> to solo </w:t>
      </w:r>
      <w:r w:rsidR="00FA72FF" w:rsidRPr="00B717F6">
        <w:rPr>
          <w:szCs w:val="24"/>
          <w:lang w:val="en-US"/>
        </w:rPr>
        <w:t>masturbation</w:t>
      </w:r>
      <w:r w:rsidR="00E3774C" w:rsidRPr="00B717F6">
        <w:rPr>
          <w:szCs w:val="24"/>
          <w:lang w:val="en-US"/>
        </w:rPr>
        <w:t xml:space="preserve">, </w:t>
      </w:r>
      <w:r w:rsidR="00880A7E" w:rsidRPr="00B717F6">
        <w:rPr>
          <w:szCs w:val="24"/>
          <w:lang w:val="en-US"/>
        </w:rPr>
        <w:t>we cannot be sure about</w:t>
      </w:r>
      <w:r w:rsidR="00125480" w:rsidRPr="00B717F6">
        <w:rPr>
          <w:szCs w:val="24"/>
          <w:lang w:val="en-US"/>
        </w:rPr>
        <w:t xml:space="preserve"> </w:t>
      </w:r>
      <w:r w:rsidR="00880A7E" w:rsidRPr="00B717F6">
        <w:rPr>
          <w:szCs w:val="24"/>
          <w:lang w:val="en-US"/>
        </w:rPr>
        <w:lastRenderedPageBreak/>
        <w:t>the</w:t>
      </w:r>
      <w:r w:rsidR="00125480" w:rsidRPr="00B717F6">
        <w:rPr>
          <w:szCs w:val="24"/>
          <w:lang w:val="en-US"/>
        </w:rPr>
        <w:t xml:space="preserve"> extent</w:t>
      </w:r>
      <w:r w:rsidR="00880A7E" w:rsidRPr="00B717F6">
        <w:rPr>
          <w:szCs w:val="24"/>
          <w:lang w:val="en-US"/>
        </w:rPr>
        <w:t xml:space="preserve"> to which</w:t>
      </w:r>
      <w:r w:rsidR="00125480" w:rsidRPr="00B717F6">
        <w:rPr>
          <w:szCs w:val="24"/>
          <w:lang w:val="en-US"/>
        </w:rPr>
        <w:t xml:space="preserve"> the results </w:t>
      </w:r>
      <w:r w:rsidR="00880A7E" w:rsidRPr="00B717F6">
        <w:rPr>
          <w:szCs w:val="24"/>
          <w:lang w:val="en-US"/>
        </w:rPr>
        <w:t>reflected</w:t>
      </w:r>
      <w:r w:rsidR="00125480" w:rsidRPr="00B717F6">
        <w:rPr>
          <w:szCs w:val="24"/>
          <w:lang w:val="en-US"/>
        </w:rPr>
        <w:t xml:space="preserve"> only solo </w:t>
      </w:r>
      <w:r w:rsidR="006D2F06" w:rsidRPr="00B717F6">
        <w:rPr>
          <w:szCs w:val="24"/>
          <w:lang w:val="en-US"/>
        </w:rPr>
        <w:t>masturbation</w:t>
      </w:r>
      <w:r w:rsidR="00125480" w:rsidRPr="00B717F6">
        <w:rPr>
          <w:szCs w:val="24"/>
          <w:lang w:val="en-US"/>
        </w:rPr>
        <w:t xml:space="preserve"> or </w:t>
      </w:r>
      <w:r w:rsidR="00880A7E" w:rsidRPr="00B717F6">
        <w:rPr>
          <w:szCs w:val="24"/>
          <w:lang w:val="en-US"/>
        </w:rPr>
        <w:t xml:space="preserve">both </w:t>
      </w:r>
      <w:r w:rsidR="00125480" w:rsidRPr="00B717F6">
        <w:rPr>
          <w:szCs w:val="24"/>
          <w:lang w:val="en-US"/>
        </w:rPr>
        <w:t>partnered and solo masturbation. However, both the wording</w:t>
      </w:r>
      <w:r w:rsidR="006D2F06" w:rsidRPr="00B717F6">
        <w:rPr>
          <w:szCs w:val="24"/>
          <w:lang w:val="en-US"/>
        </w:rPr>
        <w:t xml:space="preserve"> of the item</w:t>
      </w:r>
      <w:r w:rsidR="00125480" w:rsidRPr="00B717F6">
        <w:rPr>
          <w:szCs w:val="24"/>
          <w:lang w:val="en-US"/>
        </w:rPr>
        <w:t xml:space="preserve"> (</w:t>
      </w:r>
      <w:r w:rsidR="00BF32E7" w:rsidRPr="00B717F6">
        <w:rPr>
          <w:szCs w:val="24"/>
          <w:lang w:val="en-US"/>
        </w:rPr>
        <w:t>“</w:t>
      </w:r>
      <w:r w:rsidR="00125480" w:rsidRPr="00B717F6">
        <w:rPr>
          <w:szCs w:val="24"/>
          <w:lang w:val="en-US"/>
        </w:rPr>
        <w:t xml:space="preserve">How often did you masturbate in the past month”) and the context (following a </w:t>
      </w:r>
      <w:r w:rsidR="006D2F06" w:rsidRPr="00B717F6">
        <w:rPr>
          <w:szCs w:val="24"/>
          <w:lang w:val="en-US"/>
        </w:rPr>
        <w:t>question</w:t>
      </w:r>
      <w:r w:rsidR="00125480" w:rsidRPr="00B717F6">
        <w:rPr>
          <w:szCs w:val="24"/>
          <w:lang w:val="en-US"/>
        </w:rPr>
        <w:t xml:space="preserve"> </w:t>
      </w:r>
      <w:r w:rsidR="00960B1E" w:rsidRPr="00B717F6">
        <w:rPr>
          <w:szCs w:val="24"/>
          <w:lang w:val="en-US"/>
        </w:rPr>
        <w:t xml:space="preserve">asking </w:t>
      </w:r>
      <w:r w:rsidR="00125480" w:rsidRPr="00B717F6">
        <w:rPr>
          <w:szCs w:val="24"/>
          <w:lang w:val="en-US"/>
        </w:rPr>
        <w:t>about</w:t>
      </w:r>
      <w:r w:rsidR="00BF32E7" w:rsidRPr="00B717F6">
        <w:rPr>
          <w:szCs w:val="24"/>
          <w:lang w:val="en-US"/>
        </w:rPr>
        <w:t xml:space="preserve"> sexual</w:t>
      </w:r>
      <w:r w:rsidR="00125480" w:rsidRPr="00B717F6">
        <w:rPr>
          <w:szCs w:val="24"/>
          <w:lang w:val="en-US"/>
        </w:rPr>
        <w:t xml:space="preserve"> intercourse </w:t>
      </w:r>
      <w:r w:rsidR="00BF32E7" w:rsidRPr="00B717F6">
        <w:rPr>
          <w:szCs w:val="24"/>
          <w:lang w:val="en-US"/>
        </w:rPr>
        <w:t>frequency</w:t>
      </w:r>
      <w:r w:rsidR="00125480" w:rsidRPr="00B717F6">
        <w:rPr>
          <w:szCs w:val="24"/>
          <w:lang w:val="en-US"/>
        </w:rPr>
        <w:t xml:space="preserve">) </w:t>
      </w:r>
      <w:r w:rsidR="00880A7E" w:rsidRPr="00B717F6">
        <w:rPr>
          <w:szCs w:val="24"/>
          <w:lang w:val="en-US"/>
        </w:rPr>
        <w:t xml:space="preserve">provides </w:t>
      </w:r>
      <w:r w:rsidR="006D2F06" w:rsidRPr="00B717F6">
        <w:rPr>
          <w:szCs w:val="24"/>
          <w:lang w:val="en-US"/>
        </w:rPr>
        <w:t xml:space="preserve">some reassurance that </w:t>
      </w:r>
      <w:r w:rsidR="008B6B64" w:rsidRPr="00B717F6">
        <w:rPr>
          <w:szCs w:val="24"/>
          <w:lang w:val="en-US"/>
        </w:rPr>
        <w:t xml:space="preserve">the </w:t>
      </w:r>
      <w:r w:rsidR="00BF32E7" w:rsidRPr="00B717F6">
        <w:rPr>
          <w:szCs w:val="24"/>
          <w:lang w:val="en-US"/>
        </w:rPr>
        <w:t>p</w:t>
      </w:r>
      <w:r w:rsidR="008B6B64" w:rsidRPr="00B717F6">
        <w:rPr>
          <w:szCs w:val="24"/>
          <w:lang w:val="en-US"/>
        </w:rPr>
        <w:t xml:space="preserve">articipants </w:t>
      </w:r>
      <w:r w:rsidR="006D2F06" w:rsidRPr="00B717F6">
        <w:rPr>
          <w:szCs w:val="24"/>
          <w:lang w:val="en-US"/>
        </w:rPr>
        <w:t xml:space="preserve">interpreted </w:t>
      </w:r>
      <w:r w:rsidR="000B10DA" w:rsidRPr="00B717F6">
        <w:rPr>
          <w:szCs w:val="24"/>
          <w:lang w:val="en-US"/>
        </w:rPr>
        <w:t xml:space="preserve">it </w:t>
      </w:r>
      <w:r w:rsidR="006D2F06" w:rsidRPr="00B717F6">
        <w:rPr>
          <w:szCs w:val="24"/>
          <w:lang w:val="en-US"/>
        </w:rPr>
        <w:t>as a question about solo sexual activity</w:t>
      </w:r>
      <w:r w:rsidR="00846189" w:rsidRPr="00B717F6">
        <w:rPr>
          <w:szCs w:val="24"/>
          <w:lang w:val="en-US"/>
        </w:rPr>
        <w:t>.</w:t>
      </w:r>
      <w:r w:rsidR="00CB59F6" w:rsidRPr="00CB59F6">
        <w:rPr>
          <w:lang w:val="en-US"/>
        </w:rPr>
        <w:t xml:space="preserve"> </w:t>
      </w:r>
      <w:r w:rsidR="00A223FD" w:rsidRPr="00A223FD">
        <w:rPr>
          <w:lang w:val="en-US"/>
        </w:rPr>
        <w:t xml:space="preserve">Further, satisfaction with sexual activity was measured by the question: “How satisfied are you with the current level of sexual activity in your life, in a general way?” Considering the lack of defining sexual activity when asking about participants’ levels of sexual satisfaction, it is likely that participants used divergent definitions when they evaluated their levels of sexual satisfaction (Regnerus et al., 2017). Some might limit sexual activity to solely partnered sex, while others might incorporate solo sexual activities. Yet, a study that investigated the concept of sexual satisfaction among German women, found that most of the variance in satisfaction with sex life in general was explained by sexual satisfaction through intercourse and intercourse frequency </w:t>
      </w:r>
      <w:r w:rsidR="00A223FD">
        <w:rPr>
          <w:lang w:val="en-US"/>
        </w:rPr>
        <w:t>(</w:t>
      </w:r>
      <w:proofErr w:type="spellStart"/>
      <w:r w:rsidR="00A223FD">
        <w:rPr>
          <w:lang w:val="en-US"/>
        </w:rPr>
        <w:t>Philippsohn</w:t>
      </w:r>
      <w:proofErr w:type="spellEnd"/>
      <w:r w:rsidR="00A223FD">
        <w:rPr>
          <w:lang w:val="en-US"/>
        </w:rPr>
        <w:t xml:space="preserve"> &amp; Hartmann, 2009). </w:t>
      </w:r>
      <w:r w:rsidR="007B2BA2" w:rsidRPr="007B2BA2">
        <w:rPr>
          <w:szCs w:val="24"/>
          <w:lang w:val="en-US"/>
        </w:rPr>
        <w:t>Another important limitation was that the survey did not assess the role of pornography use</w:t>
      </w:r>
      <w:r w:rsidR="00DB28C6">
        <w:rPr>
          <w:szCs w:val="24"/>
          <w:lang w:val="en-US"/>
        </w:rPr>
        <w:t>.</w:t>
      </w:r>
      <w:r w:rsidR="007B2BA2">
        <w:rPr>
          <w:szCs w:val="24"/>
          <w:lang w:val="en-US"/>
        </w:rPr>
        <w:t xml:space="preserve"> </w:t>
      </w:r>
      <w:r w:rsidR="00B35CB2" w:rsidRPr="00B717F6">
        <w:rPr>
          <w:szCs w:val="24"/>
          <w:lang w:val="en-US"/>
        </w:rPr>
        <w:t xml:space="preserve">Although </w:t>
      </w:r>
      <w:r w:rsidR="009343F0" w:rsidRPr="00B717F6">
        <w:rPr>
          <w:szCs w:val="24"/>
          <w:lang w:val="en-US"/>
        </w:rPr>
        <w:t xml:space="preserve">our samples might have been biased toward </w:t>
      </w:r>
      <w:r w:rsidR="00960B1E" w:rsidRPr="00B717F6">
        <w:rPr>
          <w:szCs w:val="24"/>
          <w:lang w:val="en-US"/>
        </w:rPr>
        <w:t>individuals</w:t>
      </w:r>
      <w:r w:rsidR="00960B5C" w:rsidRPr="00B717F6">
        <w:rPr>
          <w:szCs w:val="24"/>
          <w:lang w:val="en-US"/>
        </w:rPr>
        <w:t xml:space="preserve"> with </w:t>
      </w:r>
      <w:r w:rsidR="00B35CB2" w:rsidRPr="00B717F6">
        <w:rPr>
          <w:szCs w:val="24"/>
          <w:lang w:val="en-US"/>
        </w:rPr>
        <w:t xml:space="preserve">more liberal and open </w:t>
      </w:r>
      <w:r w:rsidR="00960B5C" w:rsidRPr="00B717F6">
        <w:rPr>
          <w:szCs w:val="24"/>
          <w:lang w:val="en-US"/>
        </w:rPr>
        <w:t xml:space="preserve">views </w:t>
      </w:r>
      <w:r w:rsidR="009343F0" w:rsidRPr="00B717F6">
        <w:rPr>
          <w:szCs w:val="24"/>
          <w:lang w:val="en-US"/>
        </w:rPr>
        <w:t>about</w:t>
      </w:r>
      <w:r w:rsidR="00960B5C" w:rsidRPr="00B717F6">
        <w:rPr>
          <w:szCs w:val="24"/>
          <w:lang w:val="en-US"/>
        </w:rPr>
        <w:t xml:space="preserve"> sexuality (</w:t>
      </w:r>
      <w:proofErr w:type="spellStart"/>
      <w:r w:rsidR="00D770AB" w:rsidRPr="00B717F6">
        <w:rPr>
          <w:szCs w:val="24"/>
          <w:lang w:val="en-US"/>
        </w:rPr>
        <w:t>Boughner</w:t>
      </w:r>
      <w:proofErr w:type="spellEnd"/>
      <w:r w:rsidR="00D770AB" w:rsidRPr="00B717F6">
        <w:rPr>
          <w:szCs w:val="24"/>
          <w:lang w:val="en-US"/>
        </w:rPr>
        <w:t xml:space="preserve">, 2010; Dunne et al. 1997; </w:t>
      </w:r>
      <w:proofErr w:type="spellStart"/>
      <w:r w:rsidR="00D770AB" w:rsidRPr="00B717F6">
        <w:rPr>
          <w:szCs w:val="24"/>
          <w:lang w:val="en-US"/>
        </w:rPr>
        <w:t>Strassberg</w:t>
      </w:r>
      <w:proofErr w:type="spellEnd"/>
      <w:r w:rsidR="00D770AB" w:rsidRPr="00B717F6">
        <w:rPr>
          <w:szCs w:val="24"/>
          <w:lang w:val="en-US"/>
        </w:rPr>
        <w:t xml:space="preserve"> &amp; Lowe, 1995</w:t>
      </w:r>
      <w:r w:rsidR="00960B5C" w:rsidRPr="00B717F6">
        <w:rPr>
          <w:szCs w:val="24"/>
          <w:lang w:val="en-US"/>
        </w:rPr>
        <w:t>), a</w:t>
      </w:r>
      <w:r w:rsidR="001A7487" w:rsidRPr="00B717F6">
        <w:rPr>
          <w:szCs w:val="24"/>
          <w:lang w:val="en-US"/>
        </w:rPr>
        <w:t xml:space="preserve">s </w:t>
      </w:r>
      <w:r w:rsidR="00960B5C" w:rsidRPr="00B717F6">
        <w:rPr>
          <w:szCs w:val="24"/>
          <w:lang w:val="en-US"/>
        </w:rPr>
        <w:t xml:space="preserve">sexual </w:t>
      </w:r>
      <w:r w:rsidR="001A7487" w:rsidRPr="00B717F6">
        <w:rPr>
          <w:szCs w:val="24"/>
          <w:lang w:val="en-US"/>
        </w:rPr>
        <w:t xml:space="preserve">self-stimulation </w:t>
      </w:r>
      <w:r w:rsidR="00960B5C" w:rsidRPr="00B717F6">
        <w:rPr>
          <w:szCs w:val="24"/>
          <w:lang w:val="en-US"/>
        </w:rPr>
        <w:t xml:space="preserve">is a </w:t>
      </w:r>
      <w:r w:rsidR="00B35CB2" w:rsidRPr="00B717F6">
        <w:rPr>
          <w:szCs w:val="24"/>
          <w:lang w:val="en-US"/>
        </w:rPr>
        <w:t>stigmatized</w:t>
      </w:r>
      <w:r w:rsidR="001A7487" w:rsidRPr="00B717F6">
        <w:rPr>
          <w:szCs w:val="24"/>
          <w:lang w:val="en-US"/>
        </w:rPr>
        <w:t xml:space="preserve"> </w:t>
      </w:r>
      <w:r w:rsidR="00960B5C" w:rsidRPr="00B717F6">
        <w:rPr>
          <w:szCs w:val="24"/>
          <w:lang w:val="en-US"/>
        </w:rPr>
        <w:t xml:space="preserve">and sensitive </w:t>
      </w:r>
      <w:r w:rsidR="001A7487" w:rsidRPr="00B717F6">
        <w:rPr>
          <w:szCs w:val="24"/>
          <w:lang w:val="en-US"/>
        </w:rPr>
        <w:t>t</w:t>
      </w:r>
      <w:r w:rsidR="00960B5C" w:rsidRPr="00B717F6">
        <w:rPr>
          <w:szCs w:val="24"/>
          <w:lang w:val="en-US"/>
        </w:rPr>
        <w:t>opic</w:t>
      </w:r>
      <w:r w:rsidR="00606284" w:rsidRPr="00B717F6">
        <w:rPr>
          <w:szCs w:val="24"/>
          <w:lang w:val="en-US"/>
        </w:rPr>
        <w:t xml:space="preserve"> that might </w:t>
      </w:r>
      <w:r w:rsidR="007167E7" w:rsidRPr="00B717F6">
        <w:rPr>
          <w:szCs w:val="24"/>
          <w:lang w:val="en-US"/>
        </w:rPr>
        <w:t xml:space="preserve">be </w:t>
      </w:r>
      <w:r w:rsidR="00ED0B49" w:rsidRPr="00B717F6">
        <w:rPr>
          <w:szCs w:val="24"/>
          <w:lang w:val="en-US"/>
        </w:rPr>
        <w:t>embarrassing</w:t>
      </w:r>
      <w:r w:rsidR="00606284" w:rsidRPr="00B717F6">
        <w:rPr>
          <w:szCs w:val="24"/>
          <w:lang w:val="en-US"/>
        </w:rPr>
        <w:t xml:space="preserve"> to older individuals</w:t>
      </w:r>
      <w:r w:rsidR="00A55250" w:rsidRPr="00B717F6">
        <w:rPr>
          <w:szCs w:val="24"/>
          <w:lang w:val="en-US"/>
        </w:rPr>
        <w:t>, the prevalence of masturbation may</w:t>
      </w:r>
      <w:r w:rsidR="007167E7" w:rsidRPr="00B717F6">
        <w:rPr>
          <w:szCs w:val="24"/>
          <w:lang w:val="en-US"/>
        </w:rPr>
        <w:t xml:space="preserve"> still</w:t>
      </w:r>
      <w:r w:rsidR="00A55250" w:rsidRPr="00B717F6">
        <w:rPr>
          <w:szCs w:val="24"/>
          <w:lang w:val="en-US"/>
        </w:rPr>
        <w:t xml:space="preserve"> have been under-</w:t>
      </w:r>
      <w:r w:rsidR="00065331" w:rsidRPr="00B717F6">
        <w:rPr>
          <w:szCs w:val="24"/>
          <w:lang w:val="en-US"/>
        </w:rPr>
        <w:t>estimated</w:t>
      </w:r>
      <w:r w:rsidR="00700DD6" w:rsidRPr="00B717F6">
        <w:rPr>
          <w:szCs w:val="24"/>
          <w:lang w:val="en-US"/>
        </w:rPr>
        <w:t xml:space="preserve"> due to social desirability</w:t>
      </w:r>
      <w:r w:rsidR="00A55250" w:rsidRPr="00B717F6">
        <w:rPr>
          <w:szCs w:val="24"/>
          <w:lang w:val="en-US"/>
        </w:rPr>
        <w:t>.</w:t>
      </w:r>
      <w:r w:rsidR="00960B5C" w:rsidRPr="00B717F6">
        <w:rPr>
          <w:szCs w:val="24"/>
          <w:lang w:val="en-US"/>
        </w:rPr>
        <w:t xml:space="preserve"> </w:t>
      </w:r>
      <w:r w:rsidR="00B72972" w:rsidRPr="00B717F6">
        <w:rPr>
          <w:szCs w:val="24"/>
          <w:lang w:val="en-US"/>
        </w:rPr>
        <w:t>H</w:t>
      </w:r>
      <w:r w:rsidR="00960B5C" w:rsidRPr="00B717F6">
        <w:rPr>
          <w:szCs w:val="24"/>
          <w:lang w:val="en-US"/>
        </w:rPr>
        <w:t xml:space="preserve">ow </w:t>
      </w:r>
      <w:r w:rsidR="007167E7" w:rsidRPr="00B717F6">
        <w:rPr>
          <w:szCs w:val="24"/>
          <w:lang w:val="en-US"/>
        </w:rPr>
        <w:t>possible</w:t>
      </w:r>
      <w:r w:rsidR="00766A1A" w:rsidRPr="00B717F6">
        <w:rPr>
          <w:szCs w:val="24"/>
          <w:lang w:val="en-US"/>
        </w:rPr>
        <w:t xml:space="preserve"> volunteer bias and</w:t>
      </w:r>
      <w:r w:rsidR="007167E7" w:rsidRPr="00B717F6">
        <w:rPr>
          <w:szCs w:val="24"/>
          <w:lang w:val="en-US"/>
        </w:rPr>
        <w:t xml:space="preserve"> </w:t>
      </w:r>
      <w:r w:rsidR="00ED0B49" w:rsidRPr="00B717F6">
        <w:rPr>
          <w:szCs w:val="24"/>
          <w:lang w:val="en-US"/>
        </w:rPr>
        <w:t xml:space="preserve">social desirability </w:t>
      </w:r>
      <w:r w:rsidR="008B19CE" w:rsidRPr="00B717F6">
        <w:rPr>
          <w:szCs w:val="24"/>
          <w:lang w:val="en-US"/>
        </w:rPr>
        <w:t xml:space="preserve">influenced </w:t>
      </w:r>
      <w:r w:rsidR="00B72972" w:rsidRPr="00B717F6">
        <w:rPr>
          <w:szCs w:val="24"/>
          <w:lang w:val="en-US"/>
        </w:rPr>
        <w:t>the associations is uncertain</w:t>
      </w:r>
      <w:r w:rsidR="007167E7" w:rsidRPr="00B717F6">
        <w:rPr>
          <w:szCs w:val="24"/>
          <w:lang w:val="en-US"/>
        </w:rPr>
        <w:t xml:space="preserve">, but it may restrict the generalizability of </w:t>
      </w:r>
      <w:r w:rsidR="00B72972" w:rsidRPr="00B717F6">
        <w:rPr>
          <w:szCs w:val="24"/>
          <w:lang w:val="en-US"/>
        </w:rPr>
        <w:t>our</w:t>
      </w:r>
      <w:r w:rsidR="007167E7" w:rsidRPr="00B717F6">
        <w:rPr>
          <w:szCs w:val="24"/>
          <w:lang w:val="en-US"/>
        </w:rPr>
        <w:t xml:space="preserve"> findings</w:t>
      </w:r>
      <w:r w:rsidR="00D770AB" w:rsidRPr="00B717F6">
        <w:rPr>
          <w:szCs w:val="24"/>
          <w:lang w:val="en-US"/>
        </w:rPr>
        <w:t xml:space="preserve"> (</w:t>
      </w:r>
      <w:proofErr w:type="spellStart"/>
      <w:r w:rsidR="00D770AB" w:rsidRPr="00B717F6">
        <w:rPr>
          <w:szCs w:val="24"/>
          <w:lang w:val="en-US"/>
        </w:rPr>
        <w:t>Boughner</w:t>
      </w:r>
      <w:proofErr w:type="spellEnd"/>
      <w:r w:rsidR="00D770AB" w:rsidRPr="00B717F6">
        <w:rPr>
          <w:szCs w:val="24"/>
          <w:lang w:val="en-US"/>
        </w:rPr>
        <w:t>, 2010)</w:t>
      </w:r>
      <w:r w:rsidR="00960B5C" w:rsidRPr="00B717F6">
        <w:rPr>
          <w:szCs w:val="24"/>
          <w:lang w:val="en-US"/>
        </w:rPr>
        <w:t>.</w:t>
      </w:r>
      <w:r w:rsidR="00065331" w:rsidRPr="00B717F6">
        <w:rPr>
          <w:szCs w:val="24"/>
          <w:lang w:val="en-US"/>
        </w:rPr>
        <w:t xml:space="preserve"> </w:t>
      </w:r>
      <w:r w:rsidR="000B10DA" w:rsidRPr="00B717F6">
        <w:rPr>
          <w:szCs w:val="24"/>
          <w:lang w:val="en-US"/>
        </w:rPr>
        <w:t>Finally, due to the cross-sectional design</w:t>
      </w:r>
      <w:r w:rsidR="006E3D6C" w:rsidRPr="00B717F6">
        <w:rPr>
          <w:szCs w:val="24"/>
          <w:lang w:val="en-US"/>
        </w:rPr>
        <w:t>,</w:t>
      </w:r>
      <w:r w:rsidR="000B10DA" w:rsidRPr="00B717F6">
        <w:rPr>
          <w:szCs w:val="24"/>
          <w:lang w:val="en-US"/>
        </w:rPr>
        <w:t xml:space="preserve"> conclusion</w:t>
      </w:r>
      <w:r w:rsidR="006E3D6C" w:rsidRPr="00B717F6">
        <w:rPr>
          <w:szCs w:val="24"/>
          <w:lang w:val="en-US"/>
        </w:rPr>
        <w:t>s</w:t>
      </w:r>
      <w:r w:rsidR="000B10DA" w:rsidRPr="00B717F6">
        <w:rPr>
          <w:szCs w:val="24"/>
          <w:lang w:val="en-US"/>
        </w:rPr>
        <w:t xml:space="preserve"> about </w:t>
      </w:r>
      <w:r w:rsidR="00880A7E" w:rsidRPr="00B717F6">
        <w:rPr>
          <w:szCs w:val="24"/>
          <w:lang w:val="en-US"/>
        </w:rPr>
        <w:t xml:space="preserve">possible </w:t>
      </w:r>
      <w:r w:rsidR="00960B5C" w:rsidRPr="00B717F6">
        <w:rPr>
          <w:szCs w:val="24"/>
          <w:lang w:val="en-US"/>
        </w:rPr>
        <w:t>causal</w:t>
      </w:r>
      <w:r w:rsidR="00880A7E" w:rsidRPr="00B717F6">
        <w:rPr>
          <w:szCs w:val="24"/>
          <w:lang w:val="en-US"/>
        </w:rPr>
        <w:t xml:space="preserve"> </w:t>
      </w:r>
      <w:r w:rsidR="000B10DA" w:rsidRPr="00B717F6">
        <w:rPr>
          <w:szCs w:val="24"/>
          <w:lang w:val="en-US"/>
        </w:rPr>
        <w:t>relationship</w:t>
      </w:r>
      <w:r w:rsidR="00880A7E" w:rsidRPr="00B717F6">
        <w:rPr>
          <w:szCs w:val="24"/>
          <w:lang w:val="en-US"/>
        </w:rPr>
        <w:t>s</w:t>
      </w:r>
      <w:r w:rsidR="000B10DA" w:rsidRPr="00B717F6">
        <w:rPr>
          <w:szCs w:val="24"/>
          <w:lang w:val="en-US"/>
        </w:rPr>
        <w:t xml:space="preserve"> are not warranted. </w:t>
      </w:r>
    </w:p>
    <w:p w14:paraId="1908C5B6" w14:textId="4D2D1C64" w:rsidR="001A6252" w:rsidRPr="00B717F6" w:rsidRDefault="001A6252" w:rsidP="009C0C78">
      <w:pPr>
        <w:pStyle w:val="1APA-stil"/>
        <w:rPr>
          <w:szCs w:val="24"/>
        </w:rPr>
      </w:pPr>
      <w:r w:rsidRPr="00B717F6">
        <w:rPr>
          <w:szCs w:val="24"/>
        </w:rPr>
        <w:t>Conclusion</w:t>
      </w:r>
    </w:p>
    <w:p w14:paraId="0B508FB8" w14:textId="77EC2CC5" w:rsidR="00D95420" w:rsidRPr="00B717F6" w:rsidRDefault="00BB1BB1" w:rsidP="009C0C78">
      <w:pPr>
        <w:pStyle w:val="NoSpacing"/>
        <w:spacing w:line="480" w:lineRule="auto"/>
        <w:contextualSpacing/>
        <w:rPr>
          <w:szCs w:val="24"/>
          <w:lang w:val="en-US"/>
        </w:rPr>
      </w:pPr>
      <w:r w:rsidRPr="00B717F6">
        <w:rPr>
          <w:szCs w:val="24"/>
          <w:lang w:val="en-US"/>
        </w:rPr>
        <w:t xml:space="preserve">Previous research on </w:t>
      </w:r>
      <w:r w:rsidR="00E16CAD" w:rsidRPr="00B717F6">
        <w:rPr>
          <w:szCs w:val="24"/>
          <w:lang w:val="en-US"/>
        </w:rPr>
        <w:t>solitary</w:t>
      </w:r>
      <w:r w:rsidR="00687AB5" w:rsidRPr="00B717F6">
        <w:rPr>
          <w:szCs w:val="24"/>
          <w:lang w:val="en-US"/>
        </w:rPr>
        <w:t xml:space="preserve"> sexual activity</w:t>
      </w:r>
      <w:r w:rsidRPr="00B717F6">
        <w:rPr>
          <w:szCs w:val="24"/>
          <w:lang w:val="en-US"/>
        </w:rPr>
        <w:t xml:space="preserve"> </w:t>
      </w:r>
      <w:r w:rsidR="00687AB5" w:rsidRPr="00B717F6">
        <w:rPr>
          <w:szCs w:val="24"/>
          <w:lang w:val="en-US"/>
        </w:rPr>
        <w:t>highlighted the links between cultural</w:t>
      </w:r>
      <w:r w:rsidR="006E3D6C" w:rsidRPr="00B717F6">
        <w:rPr>
          <w:szCs w:val="24"/>
          <w:lang w:val="en-US"/>
        </w:rPr>
        <w:t>-</w:t>
      </w:r>
      <w:r w:rsidR="00687AB5" w:rsidRPr="00B717F6">
        <w:rPr>
          <w:szCs w:val="24"/>
          <w:lang w:val="en-US"/>
        </w:rPr>
        <w:t>dependent sexual socialization processes and masturbation and how these chang</w:t>
      </w:r>
      <w:r w:rsidR="000165FD" w:rsidRPr="00B717F6">
        <w:rPr>
          <w:szCs w:val="24"/>
          <w:lang w:val="en-US"/>
        </w:rPr>
        <w:t>e</w:t>
      </w:r>
      <w:r w:rsidR="00687AB5" w:rsidRPr="00B717F6">
        <w:rPr>
          <w:szCs w:val="24"/>
          <w:lang w:val="en-US"/>
        </w:rPr>
        <w:t xml:space="preserve"> </w:t>
      </w:r>
      <w:r w:rsidR="00880A7E" w:rsidRPr="00B717F6">
        <w:rPr>
          <w:szCs w:val="24"/>
          <w:lang w:val="en-US"/>
        </w:rPr>
        <w:t>across</w:t>
      </w:r>
      <w:r w:rsidR="00687AB5" w:rsidRPr="00B717F6">
        <w:rPr>
          <w:szCs w:val="24"/>
          <w:lang w:val="en-US"/>
        </w:rPr>
        <w:t xml:space="preserve"> different </w:t>
      </w:r>
      <w:r w:rsidR="00687AB5" w:rsidRPr="00B717F6">
        <w:rPr>
          <w:szCs w:val="24"/>
          <w:lang w:val="en-US"/>
        </w:rPr>
        <w:lastRenderedPageBreak/>
        <w:t>generations</w:t>
      </w:r>
      <w:r w:rsidR="00E16CAD" w:rsidRPr="00B717F6">
        <w:rPr>
          <w:szCs w:val="24"/>
          <w:lang w:val="en-US"/>
        </w:rPr>
        <w:t xml:space="preserve"> (</w:t>
      </w:r>
      <w:proofErr w:type="spellStart"/>
      <w:r w:rsidR="00E16CAD" w:rsidRPr="00B717F6">
        <w:rPr>
          <w:szCs w:val="24"/>
          <w:lang w:val="en-US"/>
        </w:rPr>
        <w:t>Kontula</w:t>
      </w:r>
      <w:proofErr w:type="spellEnd"/>
      <w:r w:rsidR="00E16CAD" w:rsidRPr="00B717F6">
        <w:rPr>
          <w:szCs w:val="24"/>
          <w:lang w:val="en-US"/>
        </w:rPr>
        <w:t xml:space="preserve"> &amp; </w:t>
      </w:r>
      <w:proofErr w:type="spellStart"/>
      <w:r w:rsidR="00E16CAD" w:rsidRPr="00B717F6">
        <w:rPr>
          <w:szCs w:val="24"/>
          <w:lang w:val="en-US"/>
        </w:rPr>
        <w:t>Haavio-Mannila</w:t>
      </w:r>
      <w:proofErr w:type="spellEnd"/>
      <w:r w:rsidR="00E16CAD" w:rsidRPr="00B717F6">
        <w:rPr>
          <w:szCs w:val="24"/>
          <w:lang w:val="en-US"/>
        </w:rPr>
        <w:t>, 2003)</w:t>
      </w:r>
      <w:r w:rsidR="00687AB5" w:rsidRPr="00B717F6">
        <w:rPr>
          <w:szCs w:val="24"/>
          <w:lang w:val="en-US"/>
        </w:rPr>
        <w:t xml:space="preserve">. </w:t>
      </w:r>
      <w:r w:rsidR="00E16CAD" w:rsidRPr="00B717F6">
        <w:rPr>
          <w:szCs w:val="24"/>
          <w:lang w:val="en-US"/>
        </w:rPr>
        <w:t>T</w:t>
      </w:r>
      <w:r w:rsidR="006D5BBF" w:rsidRPr="00B717F6">
        <w:rPr>
          <w:szCs w:val="24"/>
          <w:lang w:val="en-US"/>
        </w:rPr>
        <w:t xml:space="preserve">he </w:t>
      </w:r>
      <w:r w:rsidR="006E3D6C" w:rsidRPr="00B717F6">
        <w:rPr>
          <w:szCs w:val="24"/>
          <w:lang w:val="en-US"/>
        </w:rPr>
        <w:t xml:space="preserve">present </w:t>
      </w:r>
      <w:r w:rsidR="006D5BBF" w:rsidRPr="00B717F6">
        <w:rPr>
          <w:szCs w:val="24"/>
          <w:lang w:val="en-US"/>
        </w:rPr>
        <w:t xml:space="preserve">findings </w:t>
      </w:r>
      <w:r w:rsidR="00874249" w:rsidRPr="00B717F6">
        <w:rPr>
          <w:szCs w:val="24"/>
          <w:lang w:val="en-US"/>
        </w:rPr>
        <w:t xml:space="preserve">seem to support the validity </w:t>
      </w:r>
      <w:r w:rsidR="001A6252" w:rsidRPr="00B717F6">
        <w:rPr>
          <w:szCs w:val="24"/>
          <w:lang w:val="en-US"/>
        </w:rPr>
        <w:t xml:space="preserve">of the compensatory </w:t>
      </w:r>
      <w:r w:rsidR="00ED0BF3" w:rsidRPr="00B717F6">
        <w:rPr>
          <w:szCs w:val="24"/>
          <w:lang w:val="en-US"/>
        </w:rPr>
        <w:t>model</w:t>
      </w:r>
      <w:r w:rsidR="006D5BBF" w:rsidRPr="00B717F6">
        <w:rPr>
          <w:szCs w:val="24"/>
          <w:lang w:val="en-US"/>
        </w:rPr>
        <w:t xml:space="preserve"> </w:t>
      </w:r>
      <w:r w:rsidR="00ED0BF3" w:rsidRPr="00B717F6">
        <w:rPr>
          <w:szCs w:val="24"/>
          <w:lang w:val="en-US"/>
        </w:rPr>
        <w:t xml:space="preserve">in contemporary </w:t>
      </w:r>
      <w:r w:rsidR="006D5BBF" w:rsidRPr="00B717F6">
        <w:rPr>
          <w:szCs w:val="24"/>
          <w:lang w:val="en-US"/>
        </w:rPr>
        <w:t xml:space="preserve">older </w:t>
      </w:r>
      <w:r w:rsidR="00ED0BF3" w:rsidRPr="00B717F6">
        <w:rPr>
          <w:szCs w:val="24"/>
          <w:lang w:val="en-US"/>
        </w:rPr>
        <w:t>adults</w:t>
      </w:r>
      <w:r w:rsidR="006D5BBF" w:rsidRPr="00B717F6">
        <w:rPr>
          <w:szCs w:val="24"/>
          <w:lang w:val="en-US"/>
        </w:rPr>
        <w:t xml:space="preserve"> </w:t>
      </w:r>
      <w:r w:rsidR="001A6252" w:rsidRPr="00B717F6">
        <w:rPr>
          <w:szCs w:val="24"/>
          <w:lang w:val="en-US"/>
        </w:rPr>
        <w:t>(</w:t>
      </w:r>
      <w:proofErr w:type="spellStart"/>
      <w:r w:rsidR="001A6252" w:rsidRPr="00B717F6">
        <w:rPr>
          <w:szCs w:val="24"/>
          <w:lang w:val="en-US"/>
        </w:rPr>
        <w:t>Štulhofer</w:t>
      </w:r>
      <w:proofErr w:type="spellEnd"/>
      <w:r w:rsidR="001A6252" w:rsidRPr="00B717F6">
        <w:rPr>
          <w:szCs w:val="24"/>
          <w:lang w:val="en-US"/>
        </w:rPr>
        <w:t xml:space="preserve"> et al., 2018)</w:t>
      </w:r>
      <w:r w:rsidR="00E16CAD" w:rsidRPr="00B717F6">
        <w:rPr>
          <w:szCs w:val="24"/>
          <w:lang w:val="en-US"/>
        </w:rPr>
        <w:t xml:space="preserve">; </w:t>
      </w:r>
      <w:r w:rsidR="00ED0BF3" w:rsidRPr="00B717F6">
        <w:rPr>
          <w:szCs w:val="24"/>
          <w:lang w:val="en-US"/>
        </w:rPr>
        <w:t>aging women and men</w:t>
      </w:r>
      <w:r w:rsidR="001A6252" w:rsidRPr="00B717F6">
        <w:rPr>
          <w:szCs w:val="24"/>
          <w:lang w:val="en-US"/>
        </w:rPr>
        <w:t xml:space="preserve"> </w:t>
      </w:r>
      <w:r w:rsidR="00880A7E" w:rsidRPr="00B717F6">
        <w:rPr>
          <w:szCs w:val="24"/>
          <w:lang w:val="en-US"/>
        </w:rPr>
        <w:t xml:space="preserve">appear to </w:t>
      </w:r>
      <w:r w:rsidR="001A6252" w:rsidRPr="00B717F6">
        <w:rPr>
          <w:szCs w:val="24"/>
          <w:lang w:val="en-US"/>
        </w:rPr>
        <w:t>be less likely to report masturbating if they are content with the</w:t>
      </w:r>
      <w:r w:rsidR="006E3D6C" w:rsidRPr="00B717F6">
        <w:rPr>
          <w:szCs w:val="24"/>
          <w:lang w:val="en-US"/>
        </w:rPr>
        <w:t>ir</w:t>
      </w:r>
      <w:r w:rsidR="001A6252" w:rsidRPr="00B717F6">
        <w:rPr>
          <w:szCs w:val="24"/>
          <w:lang w:val="en-US"/>
        </w:rPr>
        <w:t xml:space="preserve"> </w:t>
      </w:r>
      <w:r w:rsidR="006E3D6C" w:rsidRPr="00B717F6">
        <w:rPr>
          <w:szCs w:val="24"/>
          <w:lang w:val="en-US"/>
        </w:rPr>
        <w:t xml:space="preserve">level </w:t>
      </w:r>
      <w:r w:rsidR="00AF49DF">
        <w:rPr>
          <w:szCs w:val="24"/>
          <w:lang w:val="en-US"/>
        </w:rPr>
        <w:t>of sexual activity</w:t>
      </w:r>
      <w:r w:rsidR="001A6252" w:rsidRPr="00B717F6">
        <w:rPr>
          <w:szCs w:val="24"/>
          <w:lang w:val="en-US"/>
        </w:rPr>
        <w:t xml:space="preserve"> and if they </w:t>
      </w:r>
      <w:r w:rsidR="006E3D6C" w:rsidRPr="00B717F6">
        <w:rPr>
          <w:szCs w:val="24"/>
          <w:lang w:val="en-US"/>
        </w:rPr>
        <w:t xml:space="preserve">disapprove of </w:t>
      </w:r>
      <w:r w:rsidR="001A6252" w:rsidRPr="00B717F6">
        <w:rPr>
          <w:szCs w:val="24"/>
          <w:lang w:val="en-US"/>
        </w:rPr>
        <w:t>sex without love.</w:t>
      </w:r>
      <w:r w:rsidR="006B4CA9" w:rsidRPr="00B717F6">
        <w:rPr>
          <w:szCs w:val="24"/>
          <w:lang w:val="en-US"/>
        </w:rPr>
        <w:t xml:space="preserve"> </w:t>
      </w:r>
      <w:r w:rsidR="006E3D6C" w:rsidRPr="00B717F6">
        <w:rPr>
          <w:szCs w:val="24"/>
          <w:lang w:val="en-US"/>
        </w:rPr>
        <w:t xml:space="preserve">Our </w:t>
      </w:r>
      <w:r w:rsidRPr="00B717F6">
        <w:rPr>
          <w:szCs w:val="24"/>
          <w:lang w:val="en-US"/>
        </w:rPr>
        <w:t>finding</w:t>
      </w:r>
      <w:r w:rsidR="006E3D6C" w:rsidRPr="00B717F6">
        <w:rPr>
          <w:szCs w:val="24"/>
          <w:lang w:val="en-US"/>
        </w:rPr>
        <w:t>s</w:t>
      </w:r>
      <w:r w:rsidR="000E4CFD" w:rsidRPr="00B717F6">
        <w:rPr>
          <w:szCs w:val="24"/>
          <w:lang w:val="en-US"/>
        </w:rPr>
        <w:t xml:space="preserve"> highlight the </w:t>
      </w:r>
      <w:r w:rsidRPr="00B717F6">
        <w:rPr>
          <w:szCs w:val="24"/>
          <w:lang w:val="en-US"/>
        </w:rPr>
        <w:t>importance</w:t>
      </w:r>
      <w:r w:rsidR="000E4CFD" w:rsidRPr="00B717F6">
        <w:rPr>
          <w:szCs w:val="24"/>
          <w:lang w:val="en-US"/>
        </w:rPr>
        <w:t xml:space="preserve"> of positive </w:t>
      </w:r>
      <w:r w:rsidRPr="00B717F6">
        <w:rPr>
          <w:szCs w:val="24"/>
          <w:lang w:val="en-US"/>
        </w:rPr>
        <w:t xml:space="preserve">sexual </w:t>
      </w:r>
      <w:r w:rsidR="000E4CFD" w:rsidRPr="00B717F6">
        <w:rPr>
          <w:szCs w:val="24"/>
          <w:lang w:val="en-US"/>
        </w:rPr>
        <w:t>attitudes</w:t>
      </w:r>
      <w:r w:rsidRPr="00B717F6">
        <w:rPr>
          <w:szCs w:val="24"/>
          <w:lang w:val="en-US"/>
        </w:rPr>
        <w:t xml:space="preserve"> </w:t>
      </w:r>
      <w:r w:rsidR="003054B5" w:rsidRPr="00B717F6">
        <w:rPr>
          <w:szCs w:val="24"/>
          <w:lang w:val="en-US"/>
        </w:rPr>
        <w:t>and</w:t>
      </w:r>
      <w:r w:rsidR="004C17B1" w:rsidRPr="00B717F6">
        <w:rPr>
          <w:szCs w:val="24"/>
          <w:lang w:val="en-US"/>
        </w:rPr>
        <w:t xml:space="preserve"> </w:t>
      </w:r>
      <w:r w:rsidR="003054B5" w:rsidRPr="00B717F6">
        <w:rPr>
          <w:szCs w:val="24"/>
          <w:lang w:val="en-US"/>
        </w:rPr>
        <w:t xml:space="preserve">education </w:t>
      </w:r>
      <w:r w:rsidR="004C17B1" w:rsidRPr="00B717F6">
        <w:rPr>
          <w:szCs w:val="24"/>
          <w:lang w:val="en-US"/>
        </w:rPr>
        <w:t xml:space="preserve">for </w:t>
      </w:r>
      <w:r w:rsidR="006E3D6C" w:rsidRPr="00B717F6">
        <w:rPr>
          <w:szCs w:val="24"/>
          <w:lang w:val="en-US"/>
        </w:rPr>
        <w:t xml:space="preserve">enhancing </w:t>
      </w:r>
      <w:r w:rsidR="004C17B1" w:rsidRPr="00B717F6">
        <w:rPr>
          <w:szCs w:val="24"/>
          <w:lang w:val="en-US"/>
        </w:rPr>
        <w:t>sexual self-gratification in later life</w:t>
      </w:r>
      <w:r w:rsidR="000E4CFD" w:rsidRPr="00B717F6">
        <w:rPr>
          <w:szCs w:val="24"/>
          <w:lang w:val="en-US"/>
        </w:rPr>
        <w:t>.</w:t>
      </w:r>
      <w:r w:rsidR="00D95420" w:rsidRPr="00B717F6">
        <w:rPr>
          <w:szCs w:val="24"/>
          <w:lang w:val="en-US"/>
        </w:rPr>
        <w:t xml:space="preserve"> </w:t>
      </w:r>
      <w:r w:rsidR="003054B5" w:rsidRPr="00B717F6">
        <w:rPr>
          <w:szCs w:val="24"/>
          <w:lang w:val="en-US"/>
        </w:rPr>
        <w:t xml:space="preserve">As </w:t>
      </w:r>
      <w:r w:rsidR="00FF2EC1" w:rsidRPr="00B717F6">
        <w:rPr>
          <w:szCs w:val="24"/>
          <w:lang w:val="en-US"/>
        </w:rPr>
        <w:t>masturbation</w:t>
      </w:r>
      <w:r w:rsidR="003054B5" w:rsidRPr="00B717F6">
        <w:rPr>
          <w:szCs w:val="24"/>
          <w:lang w:val="en-US"/>
        </w:rPr>
        <w:t xml:space="preserve"> is a free, safe</w:t>
      </w:r>
      <w:r w:rsidR="00AF49DF">
        <w:rPr>
          <w:szCs w:val="24"/>
          <w:lang w:val="en-US"/>
        </w:rPr>
        <w:t>,</w:t>
      </w:r>
      <w:r w:rsidR="003054B5" w:rsidRPr="00B717F6">
        <w:rPr>
          <w:szCs w:val="24"/>
          <w:lang w:val="en-US"/>
        </w:rPr>
        <w:t xml:space="preserve"> and independent way to experience sexual pleasure</w:t>
      </w:r>
      <w:r w:rsidR="00FF2EC1" w:rsidRPr="00B717F6">
        <w:rPr>
          <w:szCs w:val="24"/>
          <w:lang w:val="en-US"/>
        </w:rPr>
        <w:t xml:space="preserve">, </w:t>
      </w:r>
      <w:r w:rsidR="003054B5" w:rsidRPr="00B717F6">
        <w:rPr>
          <w:szCs w:val="24"/>
          <w:lang w:val="en-US"/>
        </w:rPr>
        <w:t>it has substantial potential for sexual health promotion in the aging population</w:t>
      </w:r>
      <w:r w:rsidR="00FF2EC1" w:rsidRPr="00B717F6">
        <w:rPr>
          <w:szCs w:val="24"/>
          <w:lang w:val="en-US"/>
        </w:rPr>
        <w:t xml:space="preserve"> (</w:t>
      </w:r>
      <w:proofErr w:type="spellStart"/>
      <w:r w:rsidR="00FF2EC1" w:rsidRPr="00B717F6">
        <w:rPr>
          <w:szCs w:val="24"/>
          <w:lang w:val="en-US"/>
        </w:rPr>
        <w:t>Kontula</w:t>
      </w:r>
      <w:proofErr w:type="spellEnd"/>
      <w:r w:rsidR="00FF2EC1" w:rsidRPr="00B717F6">
        <w:rPr>
          <w:szCs w:val="24"/>
          <w:lang w:val="en-US"/>
        </w:rPr>
        <w:t xml:space="preserve"> &amp; </w:t>
      </w:r>
      <w:proofErr w:type="spellStart"/>
      <w:r w:rsidR="00FF2EC1" w:rsidRPr="00B717F6">
        <w:rPr>
          <w:szCs w:val="24"/>
          <w:lang w:val="en-US"/>
        </w:rPr>
        <w:t>Haavio-Mannila</w:t>
      </w:r>
      <w:proofErr w:type="spellEnd"/>
      <w:r w:rsidR="00FF2EC1" w:rsidRPr="00B717F6">
        <w:rPr>
          <w:szCs w:val="24"/>
          <w:lang w:val="en-US"/>
        </w:rPr>
        <w:t>, 2003)</w:t>
      </w:r>
      <w:r w:rsidR="003054B5" w:rsidRPr="00B717F6">
        <w:rPr>
          <w:szCs w:val="24"/>
          <w:lang w:val="en-US"/>
        </w:rPr>
        <w:t>.</w:t>
      </w:r>
      <w:r w:rsidR="00FF2EC1" w:rsidRPr="00B717F6">
        <w:rPr>
          <w:szCs w:val="24"/>
          <w:lang w:val="en-US"/>
        </w:rPr>
        <w:t xml:space="preserve"> </w:t>
      </w:r>
    </w:p>
    <w:p w14:paraId="3E503A37" w14:textId="29FF3D37" w:rsidR="00092B95" w:rsidRPr="00B717F6" w:rsidRDefault="006E3D6C" w:rsidP="009C0C78">
      <w:pPr>
        <w:pStyle w:val="Heading1"/>
        <w:rPr>
          <w:bCs/>
          <w:color w:val="333333"/>
          <w:szCs w:val="24"/>
          <w:shd w:val="clear" w:color="auto" w:fill="FCFCFC"/>
        </w:rPr>
      </w:pPr>
      <w:r w:rsidRPr="00B717F6">
        <w:rPr>
          <w:szCs w:val="24"/>
        </w:rPr>
        <w:br w:type="page"/>
      </w:r>
      <w:r w:rsidR="00092B95" w:rsidRPr="00B717F6">
        <w:rPr>
          <w:szCs w:val="24"/>
        </w:rPr>
        <w:lastRenderedPageBreak/>
        <w:t>DECLARATIONS</w:t>
      </w:r>
    </w:p>
    <w:p w14:paraId="26D62686" w14:textId="77777777" w:rsidR="00092B95" w:rsidRPr="00092B95" w:rsidRDefault="00092B95" w:rsidP="009C0C78">
      <w:pPr>
        <w:ind w:firstLine="0"/>
        <w:rPr>
          <w:b/>
          <w:szCs w:val="24"/>
          <w:lang w:val="en-US"/>
        </w:rPr>
      </w:pPr>
      <w:r w:rsidRPr="00092B95">
        <w:rPr>
          <w:b/>
          <w:szCs w:val="24"/>
          <w:lang w:val="en-US"/>
        </w:rPr>
        <w:t xml:space="preserve">Funding </w:t>
      </w:r>
      <w:r w:rsidRPr="00092B95">
        <w:rPr>
          <w:szCs w:val="24"/>
          <w:lang w:val="en-US"/>
        </w:rPr>
        <w:t>This research was founded by the Norwegian Research Council under the grant number 250637.</w:t>
      </w:r>
    </w:p>
    <w:p w14:paraId="4A6F3991" w14:textId="77777777" w:rsidR="00092B95" w:rsidRPr="00092B95" w:rsidRDefault="00092B95" w:rsidP="009C0C78">
      <w:pPr>
        <w:ind w:firstLine="0"/>
        <w:jc w:val="both"/>
        <w:outlineLvl w:val="0"/>
        <w:rPr>
          <w:b/>
          <w:szCs w:val="24"/>
          <w:lang w:val="en-US"/>
        </w:rPr>
      </w:pPr>
      <w:r w:rsidRPr="00092B95">
        <w:rPr>
          <w:b/>
          <w:szCs w:val="24"/>
          <w:lang w:val="en-US"/>
        </w:rPr>
        <w:t>Compliance with Ethical Standards</w:t>
      </w:r>
    </w:p>
    <w:p w14:paraId="280053C8" w14:textId="77777777" w:rsidR="00092B95" w:rsidRPr="00092B95" w:rsidRDefault="00092B95" w:rsidP="009C0C78">
      <w:pPr>
        <w:ind w:firstLine="0"/>
        <w:rPr>
          <w:szCs w:val="24"/>
          <w:lang w:val="en-US"/>
        </w:rPr>
      </w:pPr>
      <w:r w:rsidRPr="00092B95">
        <w:rPr>
          <w:b/>
          <w:szCs w:val="24"/>
          <w:lang w:val="en-US"/>
        </w:rPr>
        <w:t>Conflict of interest</w:t>
      </w:r>
      <w:r w:rsidRPr="00092B95">
        <w:rPr>
          <w:szCs w:val="24"/>
          <w:lang w:val="en-US"/>
        </w:rPr>
        <w:t xml:space="preserve"> The authors declare that they have no conflict of interest. </w:t>
      </w:r>
    </w:p>
    <w:p w14:paraId="1D528C66" w14:textId="2F9AF85F" w:rsidR="00687A14" w:rsidRPr="00B717F6" w:rsidRDefault="00092B95" w:rsidP="009C0C78">
      <w:pPr>
        <w:pStyle w:val="1APA-stil"/>
        <w:rPr>
          <w:szCs w:val="24"/>
        </w:rPr>
      </w:pPr>
      <w:r w:rsidRPr="00B717F6">
        <w:rPr>
          <w:szCs w:val="24"/>
        </w:rPr>
        <w:t xml:space="preserve">Ethical Approval </w:t>
      </w:r>
      <w:r w:rsidRPr="00B717F6">
        <w:rPr>
          <w:b w:val="0"/>
          <w:szCs w:val="24"/>
        </w:rPr>
        <w:t>Ethics approval was handled by IPSOS in accordance with European standards. The ethical procedures followed the standards of The European Society for Opinion and Market Research (ESOMAR). These standards require IPSOS to follow national and international rules and guidelines for what is recognized as professional sound market analysis. The rules comprise treatment of confidentiality, respondent anonymity</w:t>
      </w:r>
    </w:p>
    <w:p w14:paraId="34C17F74" w14:textId="77A9C1A1" w:rsidR="0016227B" w:rsidRPr="00B717F6" w:rsidRDefault="00403ED7" w:rsidP="009C0C78">
      <w:pPr>
        <w:pStyle w:val="Heading1"/>
        <w:rPr>
          <w:szCs w:val="24"/>
        </w:rPr>
      </w:pPr>
      <w:r w:rsidRPr="00B717F6">
        <w:rPr>
          <w:szCs w:val="24"/>
        </w:rPr>
        <w:t>REFERENCES</w:t>
      </w:r>
    </w:p>
    <w:p w14:paraId="03AF878E" w14:textId="77777777" w:rsidR="00AC13F2" w:rsidRPr="00B717F6" w:rsidRDefault="00D5756D" w:rsidP="009C0C78">
      <w:pPr>
        <w:spacing w:after="120"/>
        <w:ind w:left="709" w:hanging="709"/>
        <w:rPr>
          <w:szCs w:val="24"/>
          <w:lang w:val="en-US"/>
        </w:rPr>
      </w:pPr>
      <w:r w:rsidRPr="00B717F6">
        <w:rPr>
          <w:szCs w:val="24"/>
          <w:lang w:val="en-US"/>
        </w:rPr>
        <w:t xml:space="preserve">Ayalon, L., Gewirtz-Meydan, A., </w:t>
      </w:r>
      <w:r w:rsidR="00AC13F2" w:rsidRPr="00B717F6">
        <w:rPr>
          <w:szCs w:val="24"/>
          <w:lang w:val="en-US"/>
        </w:rPr>
        <w:t xml:space="preserve">&amp; </w:t>
      </w:r>
      <w:proofErr w:type="spellStart"/>
      <w:r w:rsidRPr="00B717F6">
        <w:rPr>
          <w:szCs w:val="24"/>
          <w:lang w:val="en-US"/>
        </w:rPr>
        <w:t>Levkovich</w:t>
      </w:r>
      <w:proofErr w:type="spellEnd"/>
      <w:r w:rsidRPr="00B717F6">
        <w:rPr>
          <w:szCs w:val="24"/>
          <w:lang w:val="en-US"/>
        </w:rPr>
        <w:t>, I.</w:t>
      </w:r>
      <w:r w:rsidR="00AC13F2" w:rsidRPr="00B717F6">
        <w:rPr>
          <w:szCs w:val="24"/>
          <w:lang w:val="en-US"/>
        </w:rPr>
        <w:t xml:space="preserve"> (2019). Older adults' coping strategies with changes in sexual functioning: Results from qualitative r</w:t>
      </w:r>
      <w:r w:rsidRPr="00B717F6">
        <w:rPr>
          <w:szCs w:val="24"/>
          <w:lang w:val="en-US"/>
        </w:rPr>
        <w:t xml:space="preserve">esearch. </w:t>
      </w:r>
      <w:r w:rsidR="00AC13F2" w:rsidRPr="00B717F6">
        <w:rPr>
          <w:i/>
          <w:szCs w:val="24"/>
          <w:lang w:val="en-US"/>
        </w:rPr>
        <w:t xml:space="preserve">The </w:t>
      </w:r>
      <w:r w:rsidRPr="00B717F6">
        <w:rPr>
          <w:i/>
          <w:szCs w:val="24"/>
          <w:lang w:val="en-US"/>
        </w:rPr>
        <w:t>J</w:t>
      </w:r>
      <w:r w:rsidR="00AC13F2" w:rsidRPr="00B717F6">
        <w:rPr>
          <w:i/>
          <w:szCs w:val="24"/>
          <w:lang w:val="en-US"/>
        </w:rPr>
        <w:t>ournal of</w:t>
      </w:r>
      <w:r w:rsidRPr="00B717F6">
        <w:rPr>
          <w:i/>
          <w:szCs w:val="24"/>
          <w:lang w:val="en-US"/>
        </w:rPr>
        <w:t xml:space="preserve"> Sex</w:t>
      </w:r>
      <w:r w:rsidR="00AC13F2" w:rsidRPr="00B717F6">
        <w:rPr>
          <w:i/>
          <w:szCs w:val="24"/>
          <w:lang w:val="en-US"/>
        </w:rPr>
        <w:t>ual</w:t>
      </w:r>
      <w:r w:rsidRPr="00B717F6">
        <w:rPr>
          <w:i/>
          <w:szCs w:val="24"/>
          <w:lang w:val="en-US"/>
        </w:rPr>
        <w:t xml:space="preserve"> Med</w:t>
      </w:r>
      <w:r w:rsidR="00AC13F2" w:rsidRPr="00B717F6">
        <w:rPr>
          <w:i/>
          <w:szCs w:val="24"/>
          <w:lang w:val="en-US"/>
        </w:rPr>
        <w:t xml:space="preserve">icine, </w:t>
      </w:r>
      <w:r w:rsidRPr="00B717F6">
        <w:rPr>
          <w:i/>
          <w:szCs w:val="24"/>
          <w:lang w:val="en-US"/>
        </w:rPr>
        <w:t>16</w:t>
      </w:r>
      <w:r w:rsidRPr="00B717F6">
        <w:rPr>
          <w:szCs w:val="24"/>
          <w:lang w:val="en-US"/>
        </w:rPr>
        <w:t>(1)</w:t>
      </w:r>
      <w:r w:rsidR="00AC13F2" w:rsidRPr="00B717F6">
        <w:rPr>
          <w:szCs w:val="24"/>
          <w:lang w:val="en-US"/>
        </w:rPr>
        <w:t xml:space="preserve">, </w:t>
      </w:r>
      <w:r w:rsidRPr="00B717F6">
        <w:rPr>
          <w:szCs w:val="24"/>
          <w:lang w:val="en-US"/>
        </w:rPr>
        <w:t>52</w:t>
      </w:r>
      <w:r w:rsidR="00AC13F2" w:rsidRPr="00B717F6">
        <w:rPr>
          <w:szCs w:val="24"/>
          <w:lang w:val="en-US"/>
        </w:rPr>
        <w:t>–</w:t>
      </w:r>
      <w:r w:rsidRPr="00B717F6">
        <w:rPr>
          <w:szCs w:val="24"/>
          <w:lang w:val="en-US"/>
        </w:rPr>
        <w:t xml:space="preserve">60. </w:t>
      </w:r>
      <w:r w:rsidR="00AC13F2" w:rsidRPr="00B717F6">
        <w:rPr>
          <w:szCs w:val="24"/>
          <w:lang w:val="en-US"/>
        </w:rPr>
        <w:t xml:space="preserve">https://doi.org/10.1016/j.jsxm.2018.11.011 </w:t>
      </w:r>
    </w:p>
    <w:p w14:paraId="3A2EB8AB" w14:textId="65DDA929" w:rsidR="00DB3ADA" w:rsidRPr="00B717F6" w:rsidRDefault="00DB3ADA" w:rsidP="009C0C78">
      <w:pPr>
        <w:spacing w:after="120"/>
        <w:ind w:left="709" w:hanging="709"/>
        <w:rPr>
          <w:rFonts w:eastAsiaTheme="minorHAnsi"/>
          <w:color w:val="00B050"/>
          <w:szCs w:val="24"/>
          <w:lang w:val="en-US"/>
        </w:rPr>
      </w:pPr>
      <w:proofErr w:type="spellStart"/>
      <w:r w:rsidRPr="00B717F6">
        <w:rPr>
          <w:szCs w:val="24"/>
          <w:lang w:val="en-US"/>
        </w:rPr>
        <w:t>Baćak</w:t>
      </w:r>
      <w:proofErr w:type="spellEnd"/>
      <w:r w:rsidRPr="00B717F6">
        <w:rPr>
          <w:szCs w:val="24"/>
          <w:lang w:val="en-US"/>
        </w:rPr>
        <w:t xml:space="preserve">, V., &amp; </w:t>
      </w:r>
      <w:proofErr w:type="spellStart"/>
      <w:r w:rsidRPr="00B717F6">
        <w:rPr>
          <w:szCs w:val="24"/>
          <w:lang w:val="en-US"/>
        </w:rPr>
        <w:t>Štulhofer</w:t>
      </w:r>
      <w:proofErr w:type="spellEnd"/>
      <w:r w:rsidRPr="00B717F6">
        <w:rPr>
          <w:szCs w:val="24"/>
          <w:lang w:val="en-US"/>
        </w:rPr>
        <w:t>, A. (2011). Masturbation among sexually active young women in Croatia: Associations with religiosity and pornography u</w:t>
      </w:r>
      <w:r w:rsidR="002445E4" w:rsidRPr="00B717F6">
        <w:rPr>
          <w:szCs w:val="24"/>
          <w:lang w:val="en-US"/>
        </w:rPr>
        <w:t>se.</w:t>
      </w:r>
      <w:r w:rsidRPr="00B717F6">
        <w:rPr>
          <w:szCs w:val="24"/>
          <w:lang w:val="en-US"/>
        </w:rPr>
        <w:t xml:space="preserve"> </w:t>
      </w:r>
      <w:r w:rsidRPr="00B717F6">
        <w:rPr>
          <w:i/>
          <w:szCs w:val="24"/>
          <w:lang w:val="en-US"/>
        </w:rPr>
        <w:t>International Journal of Sexual Health, 23</w:t>
      </w:r>
      <w:r w:rsidR="002445E4" w:rsidRPr="00B717F6">
        <w:rPr>
          <w:szCs w:val="24"/>
          <w:lang w:val="en-US"/>
        </w:rPr>
        <w:t>(</w:t>
      </w:r>
      <w:r w:rsidRPr="00B717F6">
        <w:rPr>
          <w:szCs w:val="24"/>
          <w:lang w:val="en-US"/>
        </w:rPr>
        <w:t>4</w:t>
      </w:r>
      <w:r w:rsidR="002445E4" w:rsidRPr="00B717F6">
        <w:rPr>
          <w:szCs w:val="24"/>
          <w:lang w:val="en-US"/>
        </w:rPr>
        <w:t>)</w:t>
      </w:r>
      <w:r w:rsidRPr="00B717F6">
        <w:rPr>
          <w:szCs w:val="24"/>
          <w:lang w:val="en-US"/>
        </w:rPr>
        <w:t>, 248</w:t>
      </w:r>
      <w:r w:rsidR="002445E4" w:rsidRPr="00B717F6">
        <w:rPr>
          <w:szCs w:val="24"/>
          <w:lang w:val="en-US"/>
        </w:rPr>
        <w:t>–</w:t>
      </w:r>
      <w:r w:rsidRPr="00B717F6">
        <w:rPr>
          <w:szCs w:val="24"/>
          <w:lang w:val="en-US"/>
        </w:rPr>
        <w:t>257</w:t>
      </w:r>
      <w:r w:rsidR="002445E4" w:rsidRPr="00B717F6">
        <w:rPr>
          <w:szCs w:val="24"/>
          <w:lang w:val="en-US"/>
        </w:rPr>
        <w:t xml:space="preserve">. </w:t>
      </w:r>
      <w:r w:rsidRPr="00B717F6">
        <w:rPr>
          <w:szCs w:val="24"/>
          <w:lang w:val="en-US"/>
        </w:rPr>
        <w:t>https://doi.org/10.1080/19317611.2011.611220</w:t>
      </w:r>
    </w:p>
    <w:p w14:paraId="1C329DB8" w14:textId="73D47BC1" w:rsidR="0010575C" w:rsidRPr="00B717F6" w:rsidRDefault="00DB3ADA" w:rsidP="009C0C78">
      <w:pPr>
        <w:spacing w:after="120"/>
        <w:ind w:left="709" w:hanging="709"/>
        <w:rPr>
          <w:rStyle w:val="Emphasis"/>
          <w:bCs/>
          <w:i w:val="0"/>
          <w:iCs w:val="0"/>
          <w:szCs w:val="24"/>
          <w:shd w:val="clear" w:color="auto" w:fill="FFFFFF"/>
          <w:lang w:val="en-US"/>
        </w:rPr>
      </w:pPr>
      <w:proofErr w:type="spellStart"/>
      <w:r w:rsidRPr="00B717F6">
        <w:rPr>
          <w:szCs w:val="24"/>
          <w:lang w:val="en-US"/>
        </w:rPr>
        <w:t>Bajos</w:t>
      </w:r>
      <w:proofErr w:type="spellEnd"/>
      <w:r w:rsidRPr="00B717F6">
        <w:rPr>
          <w:szCs w:val="24"/>
          <w:lang w:val="en-US"/>
        </w:rPr>
        <w:t xml:space="preserve">, N., &amp; </w:t>
      </w:r>
      <w:proofErr w:type="spellStart"/>
      <w:r w:rsidRPr="00B717F6">
        <w:rPr>
          <w:szCs w:val="24"/>
          <w:lang w:val="en-US"/>
        </w:rPr>
        <w:t>Marquet</w:t>
      </w:r>
      <w:proofErr w:type="spellEnd"/>
      <w:r w:rsidRPr="00B717F6">
        <w:rPr>
          <w:szCs w:val="24"/>
          <w:lang w:val="en-US"/>
        </w:rPr>
        <w:t xml:space="preserve">, J. (2000). Research on HIV sexual risk: Social relations-based approach in a cross-cultural perspective. </w:t>
      </w:r>
      <w:r w:rsidRPr="00B717F6">
        <w:rPr>
          <w:i/>
          <w:szCs w:val="24"/>
          <w:lang w:val="en-US"/>
        </w:rPr>
        <w:t>Social Science &amp; Medicine, 50</w:t>
      </w:r>
      <w:r w:rsidRPr="00B717F6">
        <w:rPr>
          <w:szCs w:val="24"/>
          <w:lang w:val="en-US"/>
        </w:rPr>
        <w:t xml:space="preserve">(11), 1533–1546. </w:t>
      </w:r>
      <w:hyperlink r:id="rId9" w:history="1">
        <w:r w:rsidR="0010575C" w:rsidRPr="00B717F6">
          <w:rPr>
            <w:rStyle w:val="Hyperlink"/>
            <w:color w:val="auto"/>
            <w:szCs w:val="24"/>
            <w:u w:val="none"/>
            <w:shd w:val="clear" w:color="auto" w:fill="FFFFFF"/>
            <w:lang w:val="en-US"/>
          </w:rPr>
          <w:t>https://doi.org/</w:t>
        </w:r>
        <w:r w:rsidR="0010575C" w:rsidRPr="00B717F6">
          <w:rPr>
            <w:rStyle w:val="Hyperlink"/>
            <w:bCs/>
            <w:color w:val="auto"/>
            <w:szCs w:val="24"/>
            <w:u w:val="none"/>
            <w:shd w:val="clear" w:color="auto" w:fill="FFFFFF"/>
            <w:lang w:val="en-US"/>
          </w:rPr>
          <w:t>10.1016</w:t>
        </w:r>
        <w:r w:rsidR="0010575C" w:rsidRPr="00B717F6">
          <w:rPr>
            <w:rStyle w:val="Hyperlink"/>
            <w:color w:val="auto"/>
            <w:szCs w:val="24"/>
            <w:u w:val="none"/>
            <w:shd w:val="clear" w:color="auto" w:fill="FFFFFF"/>
            <w:lang w:val="en-US"/>
          </w:rPr>
          <w:t>/</w:t>
        </w:r>
        <w:r w:rsidR="0010575C" w:rsidRPr="00B717F6">
          <w:rPr>
            <w:rStyle w:val="Hyperlink"/>
            <w:bCs/>
            <w:color w:val="auto"/>
            <w:szCs w:val="24"/>
            <w:u w:val="none"/>
            <w:shd w:val="clear" w:color="auto" w:fill="FFFFFF"/>
            <w:lang w:val="en-US"/>
          </w:rPr>
          <w:t>S0277</w:t>
        </w:r>
        <w:r w:rsidR="0010575C" w:rsidRPr="00B717F6">
          <w:rPr>
            <w:rStyle w:val="Hyperlink"/>
            <w:color w:val="auto"/>
            <w:szCs w:val="24"/>
            <w:u w:val="none"/>
            <w:shd w:val="clear" w:color="auto" w:fill="FFFFFF"/>
            <w:lang w:val="en-US"/>
          </w:rPr>
          <w:t>-</w:t>
        </w:r>
        <w:r w:rsidR="0010575C" w:rsidRPr="00B717F6">
          <w:rPr>
            <w:rStyle w:val="Hyperlink"/>
            <w:bCs/>
            <w:color w:val="auto"/>
            <w:szCs w:val="24"/>
            <w:u w:val="none"/>
            <w:shd w:val="clear" w:color="auto" w:fill="FFFFFF"/>
            <w:lang w:val="en-US"/>
          </w:rPr>
          <w:t>9536</w:t>
        </w:r>
        <w:r w:rsidR="0010575C" w:rsidRPr="00B717F6">
          <w:rPr>
            <w:rStyle w:val="Hyperlink"/>
            <w:color w:val="auto"/>
            <w:szCs w:val="24"/>
            <w:u w:val="none"/>
            <w:shd w:val="clear" w:color="auto" w:fill="FFFFFF"/>
            <w:lang w:val="en-US"/>
          </w:rPr>
          <w:t>(</w:t>
        </w:r>
        <w:r w:rsidR="0010575C" w:rsidRPr="00B717F6">
          <w:rPr>
            <w:rStyle w:val="Hyperlink"/>
            <w:bCs/>
            <w:color w:val="auto"/>
            <w:szCs w:val="24"/>
            <w:u w:val="none"/>
            <w:shd w:val="clear" w:color="auto" w:fill="FFFFFF"/>
            <w:lang w:val="en-US"/>
          </w:rPr>
          <w:t>99</w:t>
        </w:r>
        <w:r w:rsidR="0010575C" w:rsidRPr="00B717F6">
          <w:rPr>
            <w:rStyle w:val="Hyperlink"/>
            <w:color w:val="auto"/>
            <w:szCs w:val="24"/>
            <w:u w:val="none"/>
            <w:shd w:val="clear" w:color="auto" w:fill="FFFFFF"/>
            <w:lang w:val="en-US"/>
          </w:rPr>
          <w:t>)</w:t>
        </w:r>
        <w:r w:rsidR="0010575C" w:rsidRPr="00B717F6">
          <w:rPr>
            <w:rStyle w:val="Hyperlink"/>
            <w:bCs/>
            <w:color w:val="auto"/>
            <w:szCs w:val="24"/>
            <w:u w:val="none"/>
            <w:shd w:val="clear" w:color="auto" w:fill="FFFFFF"/>
            <w:lang w:val="en-US"/>
          </w:rPr>
          <w:t>00463-3</w:t>
        </w:r>
      </w:hyperlink>
    </w:p>
    <w:p w14:paraId="050C063E" w14:textId="535505CE" w:rsidR="0010575C" w:rsidRPr="00B717F6" w:rsidRDefault="0010575C" w:rsidP="009C0C78">
      <w:pPr>
        <w:spacing w:after="120"/>
        <w:ind w:left="709" w:hanging="709"/>
        <w:rPr>
          <w:szCs w:val="24"/>
          <w:lang w:val="en-US"/>
        </w:rPr>
      </w:pPr>
      <w:r w:rsidRPr="00B717F6">
        <w:rPr>
          <w:szCs w:val="24"/>
          <w:lang w:val="en-US"/>
        </w:rPr>
        <w:t xml:space="preserve">Bancroft, J., Janssen, E., Strong, D., Carnes, L., </w:t>
      </w:r>
      <w:proofErr w:type="spellStart"/>
      <w:r w:rsidRPr="00B717F6">
        <w:rPr>
          <w:szCs w:val="24"/>
          <w:lang w:val="en-US"/>
        </w:rPr>
        <w:t>Vukadinovic</w:t>
      </w:r>
      <w:proofErr w:type="spellEnd"/>
      <w:r w:rsidRPr="00B717F6">
        <w:rPr>
          <w:szCs w:val="24"/>
          <w:lang w:val="en-US"/>
        </w:rPr>
        <w:t xml:space="preserve">, Z., &amp; Long, J. S. (2003). The relation between mood and sexuality in heterosexual men. </w:t>
      </w:r>
      <w:r w:rsidRPr="00B717F6">
        <w:rPr>
          <w:i/>
          <w:szCs w:val="24"/>
          <w:lang w:val="en-US"/>
        </w:rPr>
        <w:t>Archives of Sexual Behavior, 32</w:t>
      </w:r>
      <w:r w:rsidRPr="00B717F6">
        <w:rPr>
          <w:szCs w:val="24"/>
          <w:lang w:val="en-US"/>
        </w:rPr>
        <w:t xml:space="preserve">(3), 217–230. </w:t>
      </w:r>
      <w:r w:rsidR="00350ADC" w:rsidRPr="00B717F6">
        <w:rPr>
          <w:szCs w:val="24"/>
          <w:lang w:val="en-US"/>
        </w:rPr>
        <w:t>https://doi.org/10.1023/A:1023409516739</w:t>
      </w:r>
    </w:p>
    <w:p w14:paraId="5ED87E75" w14:textId="10BB7234" w:rsidR="00992CD0" w:rsidRPr="00B717F6" w:rsidRDefault="00B77D07" w:rsidP="009C0C78">
      <w:pPr>
        <w:spacing w:after="120"/>
        <w:ind w:left="709" w:hanging="709"/>
        <w:rPr>
          <w:rFonts w:eastAsiaTheme="minorHAnsi"/>
          <w:szCs w:val="24"/>
          <w:lang w:val="en-US"/>
        </w:rPr>
      </w:pPr>
      <w:r w:rsidRPr="00B717F6">
        <w:rPr>
          <w:rFonts w:eastAsiaTheme="minorHAnsi"/>
          <w:szCs w:val="24"/>
          <w:lang w:val="en"/>
        </w:rPr>
        <w:lastRenderedPageBreak/>
        <w:t xml:space="preserve">Bell, S., </w:t>
      </w:r>
      <w:proofErr w:type="spellStart"/>
      <w:r w:rsidRPr="00B717F6">
        <w:rPr>
          <w:rFonts w:eastAsiaTheme="minorHAnsi"/>
          <w:szCs w:val="24"/>
          <w:lang w:val="en"/>
        </w:rPr>
        <w:t>Reissing</w:t>
      </w:r>
      <w:proofErr w:type="spellEnd"/>
      <w:r w:rsidRPr="00B717F6">
        <w:rPr>
          <w:rFonts w:eastAsiaTheme="minorHAnsi"/>
          <w:szCs w:val="24"/>
          <w:lang w:val="en"/>
        </w:rPr>
        <w:t xml:space="preserve">, E. D., Henry, L. A., &amp; </w:t>
      </w:r>
      <w:proofErr w:type="spellStart"/>
      <w:r w:rsidRPr="00B717F6">
        <w:rPr>
          <w:rFonts w:eastAsiaTheme="minorHAnsi"/>
          <w:szCs w:val="24"/>
          <w:lang w:val="en"/>
        </w:rPr>
        <w:t>VanZuylen</w:t>
      </w:r>
      <w:proofErr w:type="spellEnd"/>
      <w:r w:rsidRPr="00B717F6">
        <w:rPr>
          <w:rFonts w:eastAsiaTheme="minorHAnsi"/>
          <w:szCs w:val="24"/>
          <w:lang w:val="en"/>
        </w:rPr>
        <w:t xml:space="preserve">, H. (2017). Sexual activity after 60: A systematic review of associated factors. </w:t>
      </w:r>
      <w:r w:rsidRPr="00B717F6">
        <w:rPr>
          <w:rFonts w:eastAsiaTheme="minorHAnsi"/>
          <w:i/>
          <w:szCs w:val="24"/>
          <w:lang w:val="en-US"/>
        </w:rPr>
        <w:t>Sexual Medicine Reviews, 5</w:t>
      </w:r>
      <w:r w:rsidRPr="00B717F6">
        <w:rPr>
          <w:rFonts w:eastAsiaTheme="minorHAnsi"/>
          <w:szCs w:val="24"/>
          <w:lang w:val="en-US"/>
        </w:rPr>
        <w:t xml:space="preserve">(1), 52–80. </w:t>
      </w:r>
      <w:hyperlink r:id="rId10" w:history="1">
        <w:r w:rsidRPr="00B717F6">
          <w:rPr>
            <w:rFonts w:eastAsiaTheme="minorHAnsi"/>
            <w:szCs w:val="24"/>
            <w:lang w:val="en-US"/>
          </w:rPr>
          <w:t>https://doi.org/10.1016/j.sxmr.2016.03.001</w:t>
        </w:r>
      </w:hyperlink>
    </w:p>
    <w:p w14:paraId="0218ED2A" w14:textId="2B741496" w:rsidR="007458CC" w:rsidRPr="00B717F6" w:rsidRDefault="007458CC" w:rsidP="009C0C78">
      <w:pPr>
        <w:ind w:left="709" w:hanging="709"/>
        <w:rPr>
          <w:szCs w:val="24"/>
          <w:lang w:val="en-US"/>
        </w:rPr>
      </w:pPr>
      <w:proofErr w:type="spellStart"/>
      <w:r w:rsidRPr="00B717F6">
        <w:rPr>
          <w:szCs w:val="24"/>
          <w:lang w:val="en-US"/>
        </w:rPr>
        <w:t>Boughner</w:t>
      </w:r>
      <w:proofErr w:type="spellEnd"/>
      <w:r w:rsidRPr="00B717F6">
        <w:rPr>
          <w:szCs w:val="24"/>
          <w:lang w:val="en-US"/>
        </w:rPr>
        <w:t xml:space="preserve">, R. L. (2010). Volunteer bias. In N. J. Salkind (Ed.), </w:t>
      </w:r>
      <w:r w:rsidRPr="00B717F6">
        <w:rPr>
          <w:i/>
          <w:szCs w:val="24"/>
          <w:lang w:val="en-US"/>
        </w:rPr>
        <w:t>Encyclopedia of research design</w:t>
      </w:r>
      <w:r w:rsidRPr="00B717F6">
        <w:rPr>
          <w:szCs w:val="24"/>
          <w:lang w:val="en-US"/>
        </w:rPr>
        <w:t>. SAGE Publications. https://dx.doi.org/10.4135/9781412961288</w:t>
      </w:r>
    </w:p>
    <w:p w14:paraId="6F7C1F21" w14:textId="55DE3BE4" w:rsidR="00DB3ADA" w:rsidRPr="00B717F6" w:rsidRDefault="00DB3ADA" w:rsidP="009C0C78">
      <w:pPr>
        <w:spacing w:after="120"/>
        <w:ind w:left="709" w:hanging="709"/>
        <w:rPr>
          <w:rFonts w:eastAsiaTheme="minorHAnsi"/>
          <w:szCs w:val="24"/>
          <w:lang w:val="en-US"/>
        </w:rPr>
      </w:pPr>
      <w:proofErr w:type="spellStart"/>
      <w:r w:rsidRPr="00B717F6">
        <w:rPr>
          <w:rFonts w:eastAsiaTheme="minorHAnsi"/>
          <w:szCs w:val="24"/>
          <w:lang w:val="en-US"/>
        </w:rPr>
        <w:t>Bozon</w:t>
      </w:r>
      <w:proofErr w:type="spellEnd"/>
      <w:r w:rsidRPr="00B717F6">
        <w:rPr>
          <w:rFonts w:eastAsiaTheme="minorHAnsi"/>
          <w:szCs w:val="24"/>
          <w:lang w:val="en-US"/>
        </w:rPr>
        <w:t xml:space="preserve">, M., &amp; </w:t>
      </w:r>
      <w:proofErr w:type="spellStart"/>
      <w:r w:rsidRPr="00B717F6">
        <w:rPr>
          <w:rFonts w:eastAsiaTheme="minorHAnsi"/>
          <w:szCs w:val="24"/>
          <w:lang w:val="en-US"/>
        </w:rPr>
        <w:t>Kontula</w:t>
      </w:r>
      <w:proofErr w:type="spellEnd"/>
      <w:r w:rsidRPr="00B717F6">
        <w:rPr>
          <w:rFonts w:eastAsiaTheme="minorHAnsi"/>
          <w:szCs w:val="24"/>
          <w:lang w:val="en-US"/>
        </w:rPr>
        <w:t xml:space="preserve">, O. (1998). Sexual initiation and gender in Europe: A cross-cultural analysis of trends in the twentieth century. In M. Hubert, N. </w:t>
      </w:r>
      <w:proofErr w:type="spellStart"/>
      <w:r w:rsidRPr="00B717F6">
        <w:rPr>
          <w:rFonts w:eastAsiaTheme="minorHAnsi"/>
          <w:szCs w:val="24"/>
          <w:lang w:val="en-US"/>
        </w:rPr>
        <w:t>Bajos</w:t>
      </w:r>
      <w:proofErr w:type="spellEnd"/>
      <w:r w:rsidRPr="00B717F6">
        <w:rPr>
          <w:rFonts w:eastAsiaTheme="minorHAnsi"/>
          <w:szCs w:val="24"/>
          <w:lang w:val="en-US"/>
        </w:rPr>
        <w:t xml:space="preserve">, &amp; T. </w:t>
      </w:r>
      <w:proofErr w:type="spellStart"/>
      <w:r w:rsidRPr="00B717F6">
        <w:rPr>
          <w:rFonts w:eastAsiaTheme="minorHAnsi"/>
          <w:szCs w:val="24"/>
          <w:lang w:val="en-US"/>
        </w:rPr>
        <w:t>Sandfort</w:t>
      </w:r>
      <w:proofErr w:type="spellEnd"/>
      <w:r w:rsidRPr="00B717F6">
        <w:rPr>
          <w:rFonts w:eastAsiaTheme="minorHAnsi"/>
          <w:szCs w:val="24"/>
          <w:lang w:val="en-US"/>
        </w:rPr>
        <w:t xml:space="preserve"> (Eds.), </w:t>
      </w:r>
      <w:r w:rsidRPr="00B717F6">
        <w:rPr>
          <w:rFonts w:eastAsiaTheme="minorHAnsi"/>
          <w:i/>
          <w:szCs w:val="24"/>
          <w:lang w:val="en-US"/>
        </w:rPr>
        <w:t xml:space="preserve">Sexual </w:t>
      </w:r>
      <w:proofErr w:type="spellStart"/>
      <w:r w:rsidRPr="00B717F6">
        <w:rPr>
          <w:rFonts w:eastAsiaTheme="minorHAnsi"/>
          <w:i/>
          <w:szCs w:val="24"/>
          <w:lang w:val="en-US"/>
        </w:rPr>
        <w:t>behaviour</w:t>
      </w:r>
      <w:proofErr w:type="spellEnd"/>
      <w:r w:rsidRPr="00B717F6">
        <w:rPr>
          <w:rFonts w:eastAsiaTheme="minorHAnsi"/>
          <w:i/>
          <w:szCs w:val="24"/>
          <w:lang w:val="en-US"/>
        </w:rPr>
        <w:t xml:space="preserve"> and HIV/AIDS in Europe</w:t>
      </w:r>
      <w:r w:rsidRPr="00B717F6">
        <w:rPr>
          <w:rFonts w:eastAsiaTheme="minorHAnsi"/>
          <w:szCs w:val="24"/>
          <w:lang w:val="en-US"/>
        </w:rPr>
        <w:t xml:space="preserve"> (pp. 37–67). UCL Press</w:t>
      </w:r>
      <w:r w:rsidR="0010575C" w:rsidRPr="00B717F6">
        <w:rPr>
          <w:rFonts w:eastAsiaTheme="minorHAnsi"/>
          <w:szCs w:val="24"/>
          <w:lang w:val="en-US"/>
        </w:rPr>
        <w:t>.</w:t>
      </w:r>
    </w:p>
    <w:p w14:paraId="62E90230" w14:textId="389C1DF3" w:rsidR="00992CD0" w:rsidRPr="00B717F6" w:rsidRDefault="008B6094" w:rsidP="009C0C78">
      <w:pPr>
        <w:ind w:left="709" w:hanging="709"/>
        <w:rPr>
          <w:szCs w:val="24"/>
          <w:lang w:val="en-US"/>
        </w:rPr>
      </w:pPr>
      <w:r w:rsidRPr="00B717F6">
        <w:rPr>
          <w:szCs w:val="24"/>
          <w:lang w:val="en-US"/>
        </w:rPr>
        <w:t>Brody</w:t>
      </w:r>
      <w:r w:rsidR="002445E4" w:rsidRPr="00B717F6">
        <w:rPr>
          <w:szCs w:val="24"/>
          <w:lang w:val="en-US"/>
        </w:rPr>
        <w:t>, S.,</w:t>
      </w:r>
      <w:r w:rsidRPr="00B717F6">
        <w:rPr>
          <w:szCs w:val="24"/>
          <w:lang w:val="en-US"/>
        </w:rPr>
        <w:t xml:space="preserve"> &amp; Costa,</w:t>
      </w:r>
      <w:r w:rsidR="002445E4" w:rsidRPr="00B717F6">
        <w:rPr>
          <w:szCs w:val="24"/>
          <w:lang w:val="en-US"/>
        </w:rPr>
        <w:t xml:space="preserve"> R. M. (</w:t>
      </w:r>
      <w:r w:rsidRPr="00B717F6">
        <w:rPr>
          <w:szCs w:val="24"/>
          <w:lang w:val="en-US"/>
        </w:rPr>
        <w:t>2009</w:t>
      </w:r>
      <w:r w:rsidR="002445E4" w:rsidRPr="00B717F6">
        <w:rPr>
          <w:szCs w:val="24"/>
          <w:lang w:val="en-US"/>
        </w:rPr>
        <w:t xml:space="preserve">). </w:t>
      </w:r>
      <w:r w:rsidR="002445E4" w:rsidRPr="00B717F6">
        <w:rPr>
          <w:bCs/>
          <w:szCs w:val="24"/>
          <w:lang w:val="en-US"/>
        </w:rPr>
        <w:t>Satisfaction (sexual, life, relationship, and mental health) is associated directly with penile–vaginal intercourse, but inversely with other sexual behavior frequencies.</w:t>
      </w:r>
      <w:r w:rsidR="00481EB9" w:rsidRPr="00B717F6">
        <w:rPr>
          <w:szCs w:val="24"/>
          <w:lang w:val="en-US"/>
        </w:rPr>
        <w:t xml:space="preserve"> </w:t>
      </w:r>
      <w:r w:rsidR="00481EB9" w:rsidRPr="00B717F6">
        <w:rPr>
          <w:i/>
          <w:szCs w:val="24"/>
          <w:lang w:val="en-US"/>
        </w:rPr>
        <w:t xml:space="preserve">The Journal of Sexual Medicine, </w:t>
      </w:r>
      <w:r w:rsidR="00481EB9" w:rsidRPr="00B717F6">
        <w:rPr>
          <w:bCs/>
          <w:i/>
          <w:szCs w:val="24"/>
          <w:lang w:val="en-US"/>
        </w:rPr>
        <w:t>6</w:t>
      </w:r>
      <w:r w:rsidR="00481EB9" w:rsidRPr="00B717F6">
        <w:rPr>
          <w:bCs/>
          <w:szCs w:val="24"/>
          <w:lang w:val="en-US"/>
        </w:rPr>
        <w:t xml:space="preserve">(7), 1947–1954. </w:t>
      </w:r>
      <w:r w:rsidR="002445E4" w:rsidRPr="00B717F6">
        <w:rPr>
          <w:szCs w:val="24"/>
          <w:lang w:val="en-US"/>
        </w:rPr>
        <w:t>https://doi.org/10.1111/j.1743-6109.2009.01303.x</w:t>
      </w:r>
    </w:p>
    <w:p w14:paraId="46169DFE" w14:textId="77777777" w:rsidR="008A1A1D" w:rsidRDefault="00CC59BC" w:rsidP="009C0C78">
      <w:pPr>
        <w:spacing w:after="200"/>
        <w:ind w:left="851" w:hanging="851"/>
        <w:rPr>
          <w:szCs w:val="24"/>
          <w:lang w:val="en-US"/>
        </w:rPr>
      </w:pPr>
      <w:proofErr w:type="spellStart"/>
      <w:r w:rsidRPr="00B717F6">
        <w:rPr>
          <w:szCs w:val="24"/>
          <w:lang w:val="en-US"/>
        </w:rPr>
        <w:t>Carvalheira</w:t>
      </w:r>
      <w:proofErr w:type="spellEnd"/>
      <w:r w:rsidRPr="00B717F6">
        <w:rPr>
          <w:szCs w:val="24"/>
          <w:lang w:val="en-US"/>
        </w:rPr>
        <w:t xml:space="preserve">, A., &amp; Leal, I. (2013). Masturbation among women: Associated factors and sexual response in a Portuguese community sample. </w:t>
      </w:r>
      <w:r w:rsidRPr="00B717F6">
        <w:rPr>
          <w:i/>
          <w:szCs w:val="24"/>
          <w:lang w:val="en-US"/>
        </w:rPr>
        <w:t>Journal of Sex &amp; Marital Therapy, 39</w:t>
      </w:r>
      <w:r w:rsidRPr="00B717F6">
        <w:rPr>
          <w:szCs w:val="24"/>
          <w:lang w:val="en-US"/>
        </w:rPr>
        <w:t xml:space="preserve">(4), 347–367. </w:t>
      </w:r>
      <w:hyperlink r:id="rId11" w:history="1">
        <w:r w:rsidR="004D363A" w:rsidRPr="003C6586">
          <w:rPr>
            <w:rStyle w:val="Hyperlink"/>
            <w:szCs w:val="24"/>
            <w:lang w:val="en-US"/>
          </w:rPr>
          <w:t>https://doi.org/10.1080/0092623X.2011.628440</w:t>
        </w:r>
      </w:hyperlink>
    </w:p>
    <w:p w14:paraId="00CF2B41" w14:textId="5826083B" w:rsidR="00223518" w:rsidRPr="00B717F6" w:rsidRDefault="00CC59BC" w:rsidP="009C0C78">
      <w:pPr>
        <w:spacing w:after="200"/>
        <w:ind w:left="851" w:hanging="851"/>
        <w:rPr>
          <w:szCs w:val="24"/>
          <w:lang w:val="en-US"/>
        </w:rPr>
      </w:pPr>
      <w:r w:rsidRPr="00B717F6">
        <w:rPr>
          <w:szCs w:val="24"/>
          <w:lang w:val="en-US"/>
        </w:rPr>
        <w:t xml:space="preserve">Coleman, E. (2003). Masturbation as a means of achieving sexual health. </w:t>
      </w:r>
      <w:r w:rsidRPr="00B717F6">
        <w:rPr>
          <w:i/>
          <w:szCs w:val="24"/>
          <w:lang w:val="en-US"/>
        </w:rPr>
        <w:t xml:space="preserve">Journal of Psychology &amp; </w:t>
      </w:r>
      <w:r w:rsidR="00223518" w:rsidRPr="00B717F6">
        <w:rPr>
          <w:i/>
          <w:szCs w:val="24"/>
          <w:lang w:val="en-US"/>
        </w:rPr>
        <w:t>Human Sexuality, 14</w:t>
      </w:r>
      <w:r w:rsidR="00223518" w:rsidRPr="00B717F6">
        <w:rPr>
          <w:szCs w:val="24"/>
          <w:lang w:val="en-US"/>
        </w:rPr>
        <w:t xml:space="preserve">(2–3), 5–16. </w:t>
      </w:r>
      <w:hyperlink r:id="rId12" w:history="1">
        <w:r w:rsidR="00223518" w:rsidRPr="00B717F6">
          <w:rPr>
            <w:rStyle w:val="Hyperlink"/>
            <w:color w:val="auto"/>
            <w:szCs w:val="24"/>
            <w:u w:val="none"/>
            <w:lang w:val="en-US"/>
          </w:rPr>
          <w:t>https://doi.org/10.1300/J056v14n02_02</w:t>
        </w:r>
      </w:hyperlink>
    </w:p>
    <w:p w14:paraId="37FA29FE" w14:textId="77777777" w:rsidR="00350ADC" w:rsidRPr="00B717F6" w:rsidRDefault="00B77D07" w:rsidP="009C0C78">
      <w:pPr>
        <w:spacing w:after="200"/>
        <w:ind w:left="851" w:hanging="851"/>
        <w:rPr>
          <w:rFonts w:eastAsiaTheme="minorHAnsi"/>
          <w:szCs w:val="24"/>
          <w:lang w:val="en-US"/>
        </w:rPr>
      </w:pPr>
      <w:r w:rsidRPr="00B717F6">
        <w:rPr>
          <w:rFonts w:eastAsia="Times New Roman"/>
          <w:szCs w:val="24"/>
          <w:lang w:val="en-US" w:eastAsia="zh-CN"/>
        </w:rPr>
        <w:t xml:space="preserve">Corona, G., Lee, D. M., Forti, G., O’Connor, D. B., Maggi, M., O’Neill, T. W., Pendleton, N., </w:t>
      </w:r>
      <w:proofErr w:type="spellStart"/>
      <w:r w:rsidRPr="00B717F6">
        <w:rPr>
          <w:rFonts w:eastAsia="Times New Roman"/>
          <w:szCs w:val="24"/>
          <w:lang w:val="en-US" w:eastAsia="zh-CN"/>
        </w:rPr>
        <w:t>Bartfai</w:t>
      </w:r>
      <w:proofErr w:type="spellEnd"/>
      <w:r w:rsidRPr="00B717F6">
        <w:rPr>
          <w:rFonts w:eastAsia="Times New Roman"/>
          <w:szCs w:val="24"/>
          <w:lang w:val="en-US" w:eastAsia="zh-CN"/>
        </w:rPr>
        <w:t xml:space="preserve">, G., Boonen, S., </w:t>
      </w:r>
      <w:proofErr w:type="spellStart"/>
      <w:r w:rsidRPr="00B717F6">
        <w:rPr>
          <w:rFonts w:eastAsia="Times New Roman"/>
          <w:szCs w:val="24"/>
          <w:lang w:val="en-US" w:eastAsia="zh-CN"/>
        </w:rPr>
        <w:t>Casanueva</w:t>
      </w:r>
      <w:proofErr w:type="spellEnd"/>
      <w:r w:rsidRPr="00B717F6">
        <w:rPr>
          <w:rFonts w:eastAsia="Times New Roman"/>
          <w:szCs w:val="24"/>
          <w:lang w:val="en-US" w:eastAsia="zh-CN"/>
        </w:rPr>
        <w:t xml:space="preserve">, F. F., Finn, J. D., </w:t>
      </w:r>
      <w:proofErr w:type="spellStart"/>
      <w:r w:rsidRPr="00B717F6">
        <w:rPr>
          <w:rFonts w:eastAsia="Times New Roman"/>
          <w:szCs w:val="24"/>
          <w:lang w:val="en-US" w:eastAsia="zh-CN"/>
        </w:rPr>
        <w:t>Giwercman</w:t>
      </w:r>
      <w:proofErr w:type="spellEnd"/>
      <w:r w:rsidRPr="00B717F6">
        <w:rPr>
          <w:rFonts w:eastAsia="Times New Roman"/>
          <w:szCs w:val="24"/>
          <w:lang w:val="en-US" w:eastAsia="zh-CN"/>
        </w:rPr>
        <w:t xml:space="preserve">, A., Han, T. S., </w:t>
      </w:r>
      <w:proofErr w:type="spellStart"/>
      <w:r w:rsidRPr="00B717F6">
        <w:rPr>
          <w:rFonts w:eastAsia="Times New Roman"/>
          <w:szCs w:val="24"/>
          <w:lang w:val="en-US" w:eastAsia="zh-CN"/>
        </w:rPr>
        <w:t>Huhtaniemi</w:t>
      </w:r>
      <w:proofErr w:type="spellEnd"/>
      <w:r w:rsidRPr="00B717F6">
        <w:rPr>
          <w:rFonts w:eastAsia="Times New Roman"/>
          <w:szCs w:val="24"/>
          <w:lang w:val="en-US" w:eastAsia="zh-CN"/>
        </w:rPr>
        <w:t xml:space="preserve">, I. T., Kula, K., Lean, M. E. J., </w:t>
      </w:r>
      <w:proofErr w:type="spellStart"/>
      <w:r w:rsidRPr="00B717F6">
        <w:rPr>
          <w:rFonts w:eastAsia="Times New Roman"/>
          <w:szCs w:val="24"/>
          <w:lang w:val="en-US" w:eastAsia="zh-CN"/>
        </w:rPr>
        <w:t>Punab</w:t>
      </w:r>
      <w:proofErr w:type="spellEnd"/>
      <w:r w:rsidRPr="00B717F6">
        <w:rPr>
          <w:rFonts w:eastAsia="Times New Roman"/>
          <w:szCs w:val="24"/>
          <w:lang w:val="en-US" w:eastAsia="zh-CN"/>
        </w:rPr>
        <w:t xml:space="preserve">, M., </w:t>
      </w:r>
      <w:proofErr w:type="spellStart"/>
      <w:r w:rsidRPr="00B717F6">
        <w:rPr>
          <w:rFonts w:eastAsia="Times New Roman"/>
          <w:szCs w:val="24"/>
          <w:lang w:val="en-US" w:eastAsia="zh-CN"/>
        </w:rPr>
        <w:t>Silman</w:t>
      </w:r>
      <w:proofErr w:type="spellEnd"/>
      <w:r w:rsidRPr="00B717F6">
        <w:rPr>
          <w:rFonts w:eastAsia="Times New Roman"/>
          <w:szCs w:val="24"/>
          <w:lang w:val="en-US" w:eastAsia="zh-CN"/>
        </w:rPr>
        <w:t xml:space="preserve">, A. J., </w:t>
      </w:r>
      <w:proofErr w:type="spellStart"/>
      <w:r w:rsidRPr="00B717F6">
        <w:rPr>
          <w:rFonts w:eastAsia="Times New Roman"/>
          <w:szCs w:val="24"/>
          <w:lang w:val="en-US" w:eastAsia="zh-CN"/>
        </w:rPr>
        <w:t>Vanderschueren</w:t>
      </w:r>
      <w:proofErr w:type="spellEnd"/>
      <w:r w:rsidRPr="00B717F6">
        <w:rPr>
          <w:rFonts w:eastAsia="Times New Roman"/>
          <w:szCs w:val="24"/>
          <w:lang w:val="en-US" w:eastAsia="zh-CN"/>
        </w:rPr>
        <w:t xml:space="preserve">, D., Wu, F. C. W., &amp; The </w:t>
      </w:r>
      <w:proofErr w:type="spellStart"/>
      <w:r w:rsidRPr="00B717F6">
        <w:rPr>
          <w:rFonts w:eastAsia="Times New Roman"/>
          <w:szCs w:val="24"/>
          <w:lang w:val="en-US" w:eastAsia="zh-CN"/>
        </w:rPr>
        <w:t>Emas</w:t>
      </w:r>
      <w:proofErr w:type="spellEnd"/>
      <w:r w:rsidRPr="00B717F6">
        <w:rPr>
          <w:rFonts w:eastAsia="Times New Roman"/>
          <w:szCs w:val="24"/>
          <w:lang w:val="en-US" w:eastAsia="zh-CN"/>
        </w:rPr>
        <w:t xml:space="preserve"> Study Group. (2010). Age-related changes in general and sexual health in middle-aged and older men:</w:t>
      </w:r>
      <w:r w:rsidR="00AF650A" w:rsidRPr="00B717F6">
        <w:rPr>
          <w:rFonts w:eastAsia="Times New Roman"/>
          <w:szCs w:val="24"/>
          <w:lang w:val="en-US" w:eastAsia="zh-CN"/>
        </w:rPr>
        <w:t xml:space="preserve"> Results from the European Male Ageing S</w:t>
      </w:r>
      <w:r w:rsidRPr="00B717F6">
        <w:rPr>
          <w:rFonts w:eastAsia="Times New Roman"/>
          <w:szCs w:val="24"/>
          <w:lang w:val="en-US" w:eastAsia="zh-CN"/>
        </w:rPr>
        <w:t xml:space="preserve">tudy (EMAS). </w:t>
      </w:r>
      <w:r w:rsidRPr="00B717F6">
        <w:rPr>
          <w:rFonts w:eastAsia="Times New Roman"/>
          <w:i/>
          <w:szCs w:val="24"/>
          <w:lang w:val="en-US" w:eastAsia="zh-CN"/>
        </w:rPr>
        <w:t>The Journal of Sexual Medicine, 7</w:t>
      </w:r>
      <w:r w:rsidRPr="00B717F6">
        <w:rPr>
          <w:rFonts w:eastAsia="Times New Roman"/>
          <w:szCs w:val="24"/>
          <w:lang w:val="en-US" w:eastAsia="zh-CN"/>
        </w:rPr>
        <w:t xml:space="preserve">(4), 1362–1380. </w:t>
      </w:r>
      <w:hyperlink r:id="rId13" w:history="1">
        <w:r w:rsidRPr="00B717F6">
          <w:rPr>
            <w:rFonts w:eastAsia="Times New Roman"/>
            <w:szCs w:val="24"/>
            <w:lang w:val="en-US" w:eastAsia="zh-CN"/>
          </w:rPr>
          <w:t>https://doi.org/10.1111/j.1743-6109.2009.01601.x</w:t>
        </w:r>
      </w:hyperlink>
      <w:r w:rsidRPr="00B717F6">
        <w:rPr>
          <w:rFonts w:eastAsiaTheme="minorHAnsi"/>
          <w:szCs w:val="24"/>
          <w:lang w:val="en-US"/>
        </w:rPr>
        <w:t xml:space="preserve"> </w:t>
      </w:r>
    </w:p>
    <w:p w14:paraId="415A80CD" w14:textId="1F72FE03" w:rsidR="00350ADC" w:rsidRPr="00B717F6" w:rsidRDefault="00350ADC" w:rsidP="009C0C78">
      <w:pPr>
        <w:spacing w:after="200"/>
        <w:ind w:left="851" w:hanging="851"/>
        <w:rPr>
          <w:color w:val="00B050"/>
          <w:szCs w:val="24"/>
          <w:lang w:val="en-US"/>
        </w:rPr>
      </w:pPr>
      <w:proofErr w:type="spellStart"/>
      <w:r w:rsidRPr="00B717F6">
        <w:rPr>
          <w:szCs w:val="24"/>
          <w:lang w:val="en-US"/>
        </w:rPr>
        <w:lastRenderedPageBreak/>
        <w:t>Cyranowski</w:t>
      </w:r>
      <w:proofErr w:type="spellEnd"/>
      <w:r w:rsidRPr="00B717F6">
        <w:rPr>
          <w:szCs w:val="24"/>
          <w:lang w:val="en-US"/>
        </w:rPr>
        <w:t xml:space="preserve">, J. M., </w:t>
      </w:r>
      <w:proofErr w:type="spellStart"/>
      <w:r w:rsidRPr="00B717F6">
        <w:rPr>
          <w:szCs w:val="24"/>
          <w:lang w:val="en-US"/>
        </w:rPr>
        <w:t>Bromberger</w:t>
      </w:r>
      <w:proofErr w:type="spellEnd"/>
      <w:r w:rsidRPr="00B717F6">
        <w:rPr>
          <w:szCs w:val="24"/>
          <w:lang w:val="en-US"/>
        </w:rPr>
        <w:t xml:space="preserve">, J., </w:t>
      </w:r>
      <w:proofErr w:type="spellStart"/>
      <w:r w:rsidRPr="00B717F6">
        <w:rPr>
          <w:szCs w:val="24"/>
          <w:lang w:val="en-US"/>
        </w:rPr>
        <w:t>Youk</w:t>
      </w:r>
      <w:proofErr w:type="spellEnd"/>
      <w:r w:rsidRPr="00B717F6">
        <w:rPr>
          <w:szCs w:val="24"/>
          <w:lang w:val="en-US"/>
        </w:rPr>
        <w:t>, A., Matthews, K., Kravitz, H. M.,</w:t>
      </w:r>
      <w:r w:rsidR="00217A6C" w:rsidRPr="00B717F6">
        <w:rPr>
          <w:szCs w:val="24"/>
          <w:lang w:val="en-US"/>
        </w:rPr>
        <w:t xml:space="preserve"> &amp; Powell, L. H. (2004).</w:t>
      </w:r>
      <w:r w:rsidRPr="00B717F6">
        <w:rPr>
          <w:szCs w:val="24"/>
          <w:lang w:val="en-US"/>
        </w:rPr>
        <w:t> </w:t>
      </w:r>
      <w:r w:rsidR="00217A6C" w:rsidRPr="00B717F6">
        <w:rPr>
          <w:szCs w:val="24"/>
          <w:lang w:val="en-US"/>
        </w:rPr>
        <w:t>Lifetime depression history and sexual f</w:t>
      </w:r>
      <w:r w:rsidRPr="00B717F6">
        <w:rPr>
          <w:szCs w:val="24"/>
          <w:lang w:val="en-US"/>
        </w:rPr>
        <w:t>unction i</w:t>
      </w:r>
      <w:r w:rsidR="00217A6C" w:rsidRPr="00B717F6">
        <w:rPr>
          <w:szCs w:val="24"/>
          <w:lang w:val="en-US"/>
        </w:rPr>
        <w:t>n women at m</w:t>
      </w:r>
      <w:r w:rsidRPr="00B717F6">
        <w:rPr>
          <w:szCs w:val="24"/>
          <w:lang w:val="en-US"/>
        </w:rPr>
        <w:t>idlife. </w:t>
      </w:r>
      <w:r w:rsidR="00217A6C" w:rsidRPr="00B717F6">
        <w:rPr>
          <w:i/>
          <w:iCs/>
          <w:szCs w:val="24"/>
          <w:lang w:val="en-US"/>
        </w:rPr>
        <w:t>Archives of Sexual Behavior,</w:t>
      </w:r>
      <w:r w:rsidRPr="00B717F6">
        <w:rPr>
          <w:i/>
          <w:szCs w:val="24"/>
          <w:lang w:val="en-US"/>
        </w:rPr>
        <w:t> </w:t>
      </w:r>
      <w:r w:rsidRPr="00B717F6">
        <w:rPr>
          <w:bCs/>
          <w:i/>
          <w:szCs w:val="24"/>
          <w:lang w:val="en-US"/>
        </w:rPr>
        <w:t>33</w:t>
      </w:r>
      <w:r w:rsidR="00217A6C" w:rsidRPr="00B717F6">
        <w:rPr>
          <w:bCs/>
          <w:szCs w:val="24"/>
          <w:lang w:val="en-US"/>
        </w:rPr>
        <w:t>(6)</w:t>
      </w:r>
      <w:r w:rsidRPr="00B717F6">
        <w:rPr>
          <w:bCs/>
          <w:szCs w:val="24"/>
          <w:lang w:val="en-US"/>
        </w:rPr>
        <w:t>,</w:t>
      </w:r>
      <w:r w:rsidRPr="00B717F6">
        <w:rPr>
          <w:b/>
          <w:bCs/>
          <w:szCs w:val="24"/>
          <w:lang w:val="en-US"/>
        </w:rPr>
        <w:t> </w:t>
      </w:r>
      <w:r w:rsidRPr="00B717F6">
        <w:rPr>
          <w:szCs w:val="24"/>
          <w:lang w:val="en-US"/>
        </w:rPr>
        <w:t>539–548</w:t>
      </w:r>
      <w:r w:rsidR="00217A6C" w:rsidRPr="00B717F6">
        <w:rPr>
          <w:szCs w:val="24"/>
          <w:lang w:val="en-US"/>
        </w:rPr>
        <w:t>.</w:t>
      </w:r>
      <w:r w:rsidRPr="00B717F6">
        <w:rPr>
          <w:szCs w:val="24"/>
          <w:lang w:val="en-US"/>
        </w:rPr>
        <w:t xml:space="preserve"> https://doi.org/10.1023/B:ASEB.0000044738.84813.3b</w:t>
      </w:r>
    </w:p>
    <w:p w14:paraId="7EB28453" w14:textId="38635D4F" w:rsidR="00802E11" w:rsidRPr="00B717F6" w:rsidRDefault="00802E11" w:rsidP="009C0C78">
      <w:pPr>
        <w:spacing w:after="200"/>
        <w:ind w:left="851" w:hanging="851"/>
        <w:rPr>
          <w:rFonts w:eastAsiaTheme="minorHAnsi"/>
          <w:szCs w:val="24"/>
          <w:lang w:val="en-US"/>
        </w:rPr>
      </w:pPr>
      <w:r w:rsidRPr="00B717F6">
        <w:rPr>
          <w:szCs w:val="24"/>
          <w:lang w:val="en-US"/>
        </w:rPr>
        <w:t xml:space="preserve">Das, A. (2007). Masturbation in the United States. </w:t>
      </w:r>
      <w:r w:rsidRPr="00B717F6">
        <w:rPr>
          <w:i/>
          <w:szCs w:val="24"/>
          <w:lang w:val="en-US"/>
        </w:rPr>
        <w:t>Journal of Sex &amp; Marital Therapy, 33</w:t>
      </w:r>
      <w:r w:rsidRPr="00B717F6">
        <w:rPr>
          <w:szCs w:val="24"/>
          <w:lang w:val="en-US"/>
        </w:rPr>
        <w:t xml:space="preserve">(4), 301–317. </w:t>
      </w:r>
      <w:r w:rsidR="00A17675" w:rsidRPr="00B717F6">
        <w:rPr>
          <w:szCs w:val="24"/>
          <w:lang w:val="en-US"/>
        </w:rPr>
        <w:t>https://doi.org/10.1080/00926230701385514</w:t>
      </w:r>
    </w:p>
    <w:p w14:paraId="79852359" w14:textId="1BC662E7" w:rsidR="00802E11" w:rsidRPr="00B717F6" w:rsidRDefault="00802E11" w:rsidP="009C0C78">
      <w:pPr>
        <w:spacing w:after="200"/>
        <w:ind w:left="851" w:hanging="851"/>
        <w:rPr>
          <w:rFonts w:eastAsiaTheme="minorHAnsi"/>
          <w:szCs w:val="24"/>
          <w:lang w:val="en-US"/>
        </w:rPr>
      </w:pPr>
      <w:r w:rsidRPr="00B717F6">
        <w:rPr>
          <w:szCs w:val="24"/>
          <w:lang w:val="en-US"/>
        </w:rPr>
        <w:t xml:space="preserve">Das, A., Parish, W. L., &amp; </w:t>
      </w:r>
      <w:proofErr w:type="spellStart"/>
      <w:r w:rsidRPr="00B717F6">
        <w:rPr>
          <w:szCs w:val="24"/>
          <w:lang w:val="en-US"/>
        </w:rPr>
        <w:t>Laumann</w:t>
      </w:r>
      <w:proofErr w:type="spellEnd"/>
      <w:r w:rsidRPr="00B717F6">
        <w:rPr>
          <w:szCs w:val="24"/>
          <w:lang w:val="en-US"/>
        </w:rPr>
        <w:t xml:space="preserve">, E. O. (2009). Masturbation in urban China. </w:t>
      </w:r>
      <w:r w:rsidRPr="00B717F6">
        <w:rPr>
          <w:i/>
          <w:szCs w:val="24"/>
          <w:lang w:val="en-US"/>
        </w:rPr>
        <w:t>Archives of Sexual Behavior, 38</w:t>
      </w:r>
      <w:r w:rsidRPr="00B717F6">
        <w:rPr>
          <w:szCs w:val="24"/>
          <w:lang w:val="en-US"/>
        </w:rPr>
        <w:t xml:space="preserve">(1), 108–120. </w:t>
      </w:r>
      <w:r w:rsidR="00217A6C" w:rsidRPr="00B717F6">
        <w:rPr>
          <w:szCs w:val="24"/>
          <w:lang w:val="en-US"/>
        </w:rPr>
        <w:t>https://doi.org/</w:t>
      </w:r>
      <w:r w:rsidRPr="00B717F6">
        <w:rPr>
          <w:szCs w:val="24"/>
          <w:lang w:val="en-US"/>
        </w:rPr>
        <w:t>10.1007/s10508-007-9222-z</w:t>
      </w:r>
    </w:p>
    <w:p w14:paraId="173D1DD7" w14:textId="4D579480" w:rsidR="00C865F2" w:rsidRPr="00B717F6" w:rsidRDefault="00802E11" w:rsidP="009C0C78">
      <w:pPr>
        <w:spacing w:after="200"/>
        <w:ind w:left="851" w:hanging="851"/>
        <w:rPr>
          <w:rFonts w:eastAsiaTheme="minorHAnsi"/>
          <w:szCs w:val="24"/>
          <w:lang w:val="en-US"/>
        </w:rPr>
      </w:pPr>
      <w:r w:rsidRPr="00B717F6">
        <w:rPr>
          <w:szCs w:val="24"/>
          <w:lang w:val="en-US"/>
        </w:rPr>
        <w:t xml:space="preserve">Dekker, A., &amp; Schmidt, G. (2003). Patterns of masturbatory </w:t>
      </w:r>
      <w:proofErr w:type="spellStart"/>
      <w:r w:rsidRPr="00B717F6">
        <w:rPr>
          <w:szCs w:val="24"/>
          <w:lang w:val="en-US"/>
        </w:rPr>
        <w:t>behaviour</w:t>
      </w:r>
      <w:proofErr w:type="spellEnd"/>
      <w:r w:rsidRPr="00B717F6">
        <w:rPr>
          <w:szCs w:val="24"/>
          <w:lang w:val="en-US"/>
        </w:rPr>
        <w:t xml:space="preserve">: Changes between the sixties and the nineties. </w:t>
      </w:r>
      <w:r w:rsidRPr="00B717F6">
        <w:rPr>
          <w:i/>
          <w:szCs w:val="24"/>
          <w:lang w:val="en-US"/>
        </w:rPr>
        <w:t>Journal of Psychology and Human Sexuality, 14</w:t>
      </w:r>
      <w:r w:rsidR="00217A6C" w:rsidRPr="00B717F6">
        <w:rPr>
          <w:szCs w:val="24"/>
          <w:lang w:val="en-US"/>
        </w:rPr>
        <w:t>(2-3)</w:t>
      </w:r>
      <w:r w:rsidRPr="00B717F6">
        <w:rPr>
          <w:szCs w:val="24"/>
          <w:lang w:val="en-US"/>
        </w:rPr>
        <w:t xml:space="preserve">, 35–48. </w:t>
      </w:r>
      <w:hyperlink r:id="rId14" w:history="1">
        <w:r w:rsidR="00C865F2" w:rsidRPr="00B717F6">
          <w:rPr>
            <w:rStyle w:val="Hyperlink"/>
            <w:color w:val="auto"/>
            <w:szCs w:val="24"/>
            <w:u w:val="none"/>
            <w:lang w:val="en-US"/>
          </w:rPr>
          <w:t>https://doi.org/10.1300/J056v14n02_04</w:t>
        </w:r>
      </w:hyperlink>
    </w:p>
    <w:p w14:paraId="121C3C46" w14:textId="40140B82" w:rsidR="00C865F2" w:rsidRPr="00B717F6" w:rsidRDefault="00B77D07" w:rsidP="009C0C78">
      <w:pPr>
        <w:spacing w:after="200"/>
        <w:ind w:left="851" w:hanging="851"/>
        <w:rPr>
          <w:rFonts w:eastAsia="Times New Roman"/>
          <w:szCs w:val="24"/>
          <w:lang w:val="en-US" w:eastAsia="zh-CN"/>
        </w:rPr>
      </w:pPr>
      <w:proofErr w:type="spellStart"/>
      <w:r w:rsidRPr="00B717F6">
        <w:rPr>
          <w:rFonts w:eastAsia="Times New Roman"/>
          <w:szCs w:val="24"/>
          <w:lang w:val="en-US" w:eastAsia="zh-CN"/>
        </w:rPr>
        <w:t>DeLamater</w:t>
      </w:r>
      <w:proofErr w:type="spellEnd"/>
      <w:r w:rsidRPr="00B717F6">
        <w:rPr>
          <w:rFonts w:eastAsia="Times New Roman"/>
          <w:szCs w:val="24"/>
          <w:lang w:val="en-US" w:eastAsia="zh-CN"/>
        </w:rPr>
        <w:t xml:space="preserve">, J. (2012). Sexual expression in later life: A review and synthesis. </w:t>
      </w:r>
      <w:r w:rsidRPr="00B717F6">
        <w:rPr>
          <w:rFonts w:eastAsia="Times New Roman"/>
          <w:i/>
          <w:szCs w:val="24"/>
          <w:lang w:val="en-US" w:eastAsia="zh-CN"/>
        </w:rPr>
        <w:t>The Journal of Sex Research, 49</w:t>
      </w:r>
      <w:r w:rsidRPr="00B717F6">
        <w:rPr>
          <w:rFonts w:eastAsia="Times New Roman"/>
          <w:szCs w:val="24"/>
          <w:lang w:val="en-US" w:eastAsia="zh-CN"/>
        </w:rPr>
        <w:t xml:space="preserve">(2-3), 125–141. </w:t>
      </w:r>
      <w:hyperlink r:id="rId15" w:history="1">
        <w:r w:rsidR="00C865F2" w:rsidRPr="00B717F6">
          <w:rPr>
            <w:rStyle w:val="Hyperlink"/>
            <w:rFonts w:eastAsia="Times New Roman"/>
            <w:color w:val="auto"/>
            <w:szCs w:val="24"/>
            <w:u w:val="none"/>
            <w:lang w:val="en-US" w:eastAsia="zh-CN"/>
          </w:rPr>
          <w:t>https://doi.org/10.1080/00224499.2011.603168</w:t>
        </w:r>
      </w:hyperlink>
    </w:p>
    <w:p w14:paraId="4F603795" w14:textId="673242D5" w:rsidR="008E43E9" w:rsidRPr="00B717F6" w:rsidRDefault="008E43E9" w:rsidP="009C0C78">
      <w:pPr>
        <w:spacing w:after="200"/>
        <w:ind w:left="851" w:hanging="851"/>
        <w:rPr>
          <w:rStyle w:val="Hyperlink"/>
          <w:rFonts w:eastAsiaTheme="minorHAnsi"/>
          <w:color w:val="auto"/>
          <w:szCs w:val="24"/>
          <w:u w:val="none"/>
          <w:lang w:val="en-US"/>
        </w:rPr>
      </w:pPr>
      <w:proofErr w:type="spellStart"/>
      <w:r w:rsidRPr="00B717F6">
        <w:rPr>
          <w:szCs w:val="24"/>
          <w:lang w:val="en-US"/>
        </w:rPr>
        <w:t>DeLamater</w:t>
      </w:r>
      <w:proofErr w:type="spellEnd"/>
      <w:r w:rsidRPr="00B717F6">
        <w:rPr>
          <w:szCs w:val="24"/>
          <w:lang w:val="en-US"/>
        </w:rPr>
        <w:t xml:space="preserve">, J., &amp; Moorman, S. M. (2007). Sexual behavior in later life. </w:t>
      </w:r>
      <w:r w:rsidRPr="00B717F6">
        <w:rPr>
          <w:i/>
          <w:szCs w:val="24"/>
          <w:lang w:val="en-US"/>
        </w:rPr>
        <w:t>Journal of Aging and Health, 19</w:t>
      </w:r>
      <w:r w:rsidRPr="00B717F6">
        <w:rPr>
          <w:szCs w:val="24"/>
          <w:lang w:val="en-US"/>
        </w:rPr>
        <w:t>(6), 921–945.</w:t>
      </w:r>
      <w:r w:rsidR="00133180" w:rsidRPr="00B717F6">
        <w:fldChar w:fldCharType="begin"/>
      </w:r>
      <w:r w:rsidR="00133180" w:rsidRPr="00B717F6">
        <w:rPr>
          <w:szCs w:val="24"/>
          <w:lang w:val="en-US"/>
        </w:rPr>
        <w:instrText xml:space="preserve"> "https://doi.org/10.1177/0898264307308342" </w:instrText>
      </w:r>
      <w:r w:rsidR="00133180" w:rsidRPr="00B717F6">
        <w:fldChar w:fldCharType="separate"/>
      </w:r>
      <w:r w:rsidR="0016227B" w:rsidRPr="00B717F6">
        <w:rPr>
          <w:rStyle w:val="Hyperlink"/>
          <w:color w:val="auto"/>
          <w:szCs w:val="24"/>
          <w:u w:val="none"/>
          <w:lang w:val="en-US"/>
        </w:rPr>
        <w:t>https://doi.org/10.1177/0898264307308342</w:t>
      </w:r>
      <w:r w:rsidR="00133180" w:rsidRPr="00B717F6">
        <w:rPr>
          <w:rStyle w:val="Hyperlink"/>
          <w:color w:val="auto"/>
          <w:szCs w:val="24"/>
          <w:u w:val="none"/>
          <w:lang w:val="en-US"/>
        </w:rPr>
        <w:fldChar w:fldCharType="end"/>
      </w:r>
    </w:p>
    <w:p w14:paraId="2BFBAE12" w14:textId="075D85AD" w:rsidR="007458CC" w:rsidRPr="00B717F6" w:rsidRDefault="007458CC" w:rsidP="009C0C78">
      <w:pPr>
        <w:ind w:left="709" w:hanging="709"/>
        <w:rPr>
          <w:szCs w:val="24"/>
          <w:lang w:val="en-US"/>
        </w:rPr>
      </w:pPr>
      <w:r w:rsidRPr="00B717F6">
        <w:rPr>
          <w:szCs w:val="24"/>
          <w:lang w:val="en-US"/>
        </w:rPr>
        <w:t xml:space="preserve">Dunne, M. P., Martin, N. G., Bailey, J. M., Heath, A. C., </w:t>
      </w:r>
      <w:proofErr w:type="spellStart"/>
      <w:r w:rsidRPr="00B717F6">
        <w:rPr>
          <w:szCs w:val="24"/>
          <w:lang w:val="en-US"/>
        </w:rPr>
        <w:t>Bucholz</w:t>
      </w:r>
      <w:proofErr w:type="spellEnd"/>
      <w:r w:rsidRPr="00B717F6">
        <w:rPr>
          <w:szCs w:val="24"/>
          <w:lang w:val="en-US"/>
        </w:rPr>
        <w:t xml:space="preserve">, K. K., Madden, P. A., &amp; Statham, D. J. (1997). Participation bias in a sexuality survey: Psychological and </w:t>
      </w:r>
      <w:proofErr w:type="spellStart"/>
      <w:r w:rsidRPr="00B717F6">
        <w:rPr>
          <w:szCs w:val="24"/>
          <w:lang w:val="en-US"/>
        </w:rPr>
        <w:t>behavioural</w:t>
      </w:r>
      <w:proofErr w:type="spellEnd"/>
      <w:r w:rsidRPr="00B717F6">
        <w:rPr>
          <w:szCs w:val="24"/>
          <w:lang w:val="en-US"/>
        </w:rPr>
        <w:t xml:space="preserve"> characteristics of responders and non-responders. </w:t>
      </w:r>
      <w:r w:rsidRPr="00B717F6">
        <w:rPr>
          <w:i/>
          <w:szCs w:val="24"/>
          <w:lang w:val="en-US"/>
        </w:rPr>
        <w:t>International Journal of Epidemiology, 26</w:t>
      </w:r>
      <w:r w:rsidRPr="00B717F6">
        <w:rPr>
          <w:szCs w:val="24"/>
          <w:lang w:val="en-US"/>
        </w:rPr>
        <w:t>(4), 844–854. https://doi.org/10.1093/ije/26.4.844</w:t>
      </w:r>
    </w:p>
    <w:p w14:paraId="23EC475F" w14:textId="007612BB" w:rsidR="0016227B" w:rsidRPr="00B717F6" w:rsidRDefault="0016227B" w:rsidP="009C0C78">
      <w:pPr>
        <w:pStyle w:val="NoSpacing"/>
        <w:spacing w:line="480" w:lineRule="auto"/>
        <w:ind w:left="709" w:hanging="709"/>
        <w:contextualSpacing/>
        <w:rPr>
          <w:szCs w:val="24"/>
          <w:lang w:val="en-US"/>
        </w:rPr>
      </w:pPr>
      <w:r w:rsidRPr="00B717F6">
        <w:rPr>
          <w:szCs w:val="24"/>
          <w:lang w:val="en-US"/>
        </w:rPr>
        <w:t>European Institute for Gender Equality. (2017). Gender Equality Index 2017: Measuring gender equality in the European Union 2005-2015 - report. https://doi.org/10.2839/251500</w:t>
      </w:r>
    </w:p>
    <w:p w14:paraId="3F783BF5" w14:textId="77777777" w:rsidR="00B77D07" w:rsidRPr="00B717F6" w:rsidRDefault="00B77D07" w:rsidP="009C0C78">
      <w:pPr>
        <w:spacing w:after="120"/>
        <w:ind w:left="709" w:hanging="709"/>
        <w:rPr>
          <w:rFonts w:eastAsiaTheme="minorHAnsi"/>
          <w:szCs w:val="24"/>
          <w:lang w:val="en-US"/>
        </w:rPr>
      </w:pPr>
      <w:proofErr w:type="spellStart"/>
      <w:r w:rsidRPr="00B717F6">
        <w:rPr>
          <w:rFonts w:eastAsiaTheme="minorHAnsi"/>
          <w:szCs w:val="24"/>
          <w:lang w:val="en-US"/>
        </w:rPr>
        <w:t>Fileborn</w:t>
      </w:r>
      <w:proofErr w:type="spellEnd"/>
      <w:r w:rsidRPr="00B717F6">
        <w:rPr>
          <w:rFonts w:eastAsiaTheme="minorHAnsi"/>
          <w:szCs w:val="24"/>
          <w:lang w:val="en-US"/>
        </w:rPr>
        <w:t xml:space="preserve">, B., </w:t>
      </w:r>
      <w:proofErr w:type="spellStart"/>
      <w:r w:rsidRPr="00B717F6">
        <w:rPr>
          <w:rFonts w:eastAsiaTheme="minorHAnsi"/>
          <w:szCs w:val="24"/>
          <w:lang w:val="en-US"/>
        </w:rPr>
        <w:t>Hinchliff</w:t>
      </w:r>
      <w:proofErr w:type="spellEnd"/>
      <w:r w:rsidRPr="00B717F6">
        <w:rPr>
          <w:rFonts w:eastAsiaTheme="minorHAnsi"/>
          <w:szCs w:val="24"/>
          <w:lang w:val="en-US"/>
        </w:rPr>
        <w:t xml:space="preserve">, S., Lyons, A., Heywood, W., </w:t>
      </w:r>
      <w:proofErr w:type="spellStart"/>
      <w:r w:rsidRPr="00B717F6">
        <w:rPr>
          <w:rFonts w:eastAsiaTheme="minorHAnsi"/>
          <w:szCs w:val="24"/>
          <w:lang w:val="en-US"/>
        </w:rPr>
        <w:t>Minichiello</w:t>
      </w:r>
      <w:proofErr w:type="spellEnd"/>
      <w:r w:rsidRPr="00B717F6">
        <w:rPr>
          <w:rFonts w:eastAsiaTheme="minorHAnsi"/>
          <w:szCs w:val="24"/>
          <w:lang w:val="en-US"/>
        </w:rPr>
        <w:t xml:space="preserve">, V., Brown, G., Malta, S., Barrett, C, &amp; </w:t>
      </w:r>
      <w:proofErr w:type="spellStart"/>
      <w:r w:rsidRPr="00B717F6">
        <w:rPr>
          <w:rFonts w:eastAsiaTheme="minorHAnsi"/>
          <w:szCs w:val="24"/>
          <w:lang w:val="en-US"/>
        </w:rPr>
        <w:t>Crameri</w:t>
      </w:r>
      <w:proofErr w:type="spellEnd"/>
      <w:r w:rsidRPr="00B717F6">
        <w:rPr>
          <w:rFonts w:eastAsiaTheme="minorHAnsi"/>
          <w:szCs w:val="24"/>
          <w:lang w:val="en-US"/>
        </w:rPr>
        <w:t xml:space="preserve">, P. (2017). The importance of sex and the meaning of sex and sexual pleasure for men aged 60 and older who engage in heterosexual relationships: </w:t>
      </w:r>
      <w:r w:rsidRPr="00B717F6">
        <w:rPr>
          <w:rFonts w:eastAsiaTheme="minorHAnsi"/>
          <w:szCs w:val="24"/>
          <w:lang w:val="en-US"/>
        </w:rPr>
        <w:lastRenderedPageBreak/>
        <w:t xml:space="preserve">Findings from a qualitative interview study. </w:t>
      </w:r>
      <w:r w:rsidRPr="00B717F6">
        <w:rPr>
          <w:rFonts w:eastAsiaTheme="minorHAnsi"/>
          <w:i/>
          <w:iCs/>
          <w:szCs w:val="24"/>
          <w:lang w:val="en-US"/>
        </w:rPr>
        <w:t>Archives of Sexual Behavior,</w:t>
      </w:r>
      <w:r w:rsidRPr="00B717F6">
        <w:rPr>
          <w:rFonts w:eastAsiaTheme="minorHAnsi"/>
          <w:szCs w:val="24"/>
          <w:lang w:val="en-US"/>
        </w:rPr>
        <w:t xml:space="preserve"> </w:t>
      </w:r>
      <w:r w:rsidRPr="00B717F6">
        <w:rPr>
          <w:rFonts w:eastAsiaTheme="minorHAnsi"/>
          <w:i/>
          <w:iCs/>
          <w:szCs w:val="24"/>
          <w:lang w:val="en-US"/>
        </w:rPr>
        <w:t>46</w:t>
      </w:r>
      <w:r w:rsidRPr="00B717F6">
        <w:rPr>
          <w:rFonts w:eastAsiaTheme="minorHAnsi"/>
          <w:szCs w:val="24"/>
          <w:lang w:val="en-US"/>
        </w:rPr>
        <w:t xml:space="preserve">(7), 2097–2110. </w:t>
      </w:r>
      <w:hyperlink r:id="rId16" w:history="1">
        <w:r w:rsidRPr="00B717F6">
          <w:rPr>
            <w:rFonts w:eastAsiaTheme="minorHAnsi"/>
            <w:szCs w:val="24"/>
            <w:lang w:val="en-US"/>
          </w:rPr>
          <w:t>https://doi.org/10.1007/s10508-016-0918-9</w:t>
        </w:r>
      </w:hyperlink>
    </w:p>
    <w:p w14:paraId="35C8B6E9" w14:textId="77E2DB82" w:rsidR="00B77D07" w:rsidRPr="00B717F6" w:rsidRDefault="00B77D07" w:rsidP="009C0C78">
      <w:pPr>
        <w:ind w:left="709" w:hanging="709"/>
        <w:rPr>
          <w:szCs w:val="24"/>
          <w:lang w:val="en"/>
        </w:rPr>
      </w:pPr>
      <w:r w:rsidRPr="00B717F6">
        <w:rPr>
          <w:szCs w:val="24"/>
          <w:lang w:val="en-US"/>
        </w:rPr>
        <w:t xml:space="preserve">Fischer, N., </w:t>
      </w:r>
      <w:proofErr w:type="spellStart"/>
      <w:r w:rsidRPr="00B717F6">
        <w:rPr>
          <w:szCs w:val="24"/>
          <w:lang w:val="en-US"/>
        </w:rPr>
        <w:t>Træen</w:t>
      </w:r>
      <w:proofErr w:type="spellEnd"/>
      <w:r w:rsidRPr="00B717F6">
        <w:rPr>
          <w:szCs w:val="24"/>
          <w:lang w:val="en-US"/>
        </w:rPr>
        <w:t xml:space="preserve">, B., &amp; </w:t>
      </w:r>
      <w:proofErr w:type="spellStart"/>
      <w:r w:rsidRPr="00B717F6">
        <w:rPr>
          <w:szCs w:val="24"/>
          <w:lang w:val="en-US"/>
        </w:rPr>
        <w:t>Hald</w:t>
      </w:r>
      <w:proofErr w:type="spellEnd"/>
      <w:r w:rsidRPr="00B717F6">
        <w:rPr>
          <w:szCs w:val="24"/>
          <w:lang w:val="en-US"/>
        </w:rPr>
        <w:t xml:space="preserve">, G. M. (2018). Predicting partnered sexual activity among older adults in four European countries: The role of attitudes, health, and relationship factors. </w:t>
      </w:r>
      <w:r w:rsidRPr="00B717F6">
        <w:rPr>
          <w:i/>
          <w:iCs/>
          <w:szCs w:val="24"/>
          <w:lang w:val="en-US"/>
        </w:rPr>
        <w:t xml:space="preserve">Sexual and Relationship Therapy, </w:t>
      </w:r>
      <w:r w:rsidR="00C865F2" w:rsidRPr="00B717F6">
        <w:rPr>
          <w:szCs w:val="24"/>
          <w:lang w:val="en-US"/>
        </w:rPr>
        <w:t>1–19. https://doi.org/10.1080/14681994.2018.1468560</w:t>
      </w:r>
    </w:p>
    <w:p w14:paraId="4E4B8F4A" w14:textId="5EF35FB0" w:rsidR="00802E11" w:rsidRPr="00B717F6" w:rsidRDefault="008E43E9" w:rsidP="009C0C78">
      <w:pPr>
        <w:pStyle w:val="NoSpacing"/>
        <w:spacing w:line="480" w:lineRule="auto"/>
        <w:ind w:left="709" w:hanging="709"/>
        <w:contextualSpacing/>
        <w:rPr>
          <w:szCs w:val="24"/>
          <w:lang w:val="en-US"/>
        </w:rPr>
      </w:pPr>
      <w:r w:rsidRPr="00B717F6">
        <w:rPr>
          <w:szCs w:val="24"/>
          <w:lang w:val="en-US"/>
        </w:rPr>
        <w:t>Francoeur, R. T., &amp; Noonan, R. J. (2004). The continuum complete international encyclopedia of sexuality. Continuum.</w:t>
      </w:r>
    </w:p>
    <w:p w14:paraId="307E6E7D" w14:textId="144CE5CB" w:rsidR="00C865F2" w:rsidRPr="00B717F6" w:rsidRDefault="00C865F2" w:rsidP="009C0C78">
      <w:pPr>
        <w:pStyle w:val="NoSpacing"/>
        <w:spacing w:line="480" w:lineRule="auto"/>
        <w:ind w:left="709" w:hanging="709"/>
        <w:contextualSpacing/>
        <w:rPr>
          <w:szCs w:val="24"/>
          <w:lang w:val="en-US"/>
        </w:rPr>
      </w:pPr>
      <w:r w:rsidRPr="00B717F6">
        <w:rPr>
          <w:szCs w:val="24"/>
          <w:lang w:val="en-US"/>
        </w:rPr>
        <w:t xml:space="preserve">Frohlich, P., &amp; </w:t>
      </w:r>
      <w:proofErr w:type="spellStart"/>
      <w:r w:rsidRPr="00B717F6">
        <w:rPr>
          <w:szCs w:val="24"/>
          <w:lang w:val="en-US"/>
        </w:rPr>
        <w:t>Meston</w:t>
      </w:r>
      <w:proofErr w:type="spellEnd"/>
      <w:r w:rsidRPr="00B717F6">
        <w:rPr>
          <w:szCs w:val="24"/>
          <w:lang w:val="en-US"/>
        </w:rPr>
        <w:t xml:space="preserve">, C. (2002). Sexual functioning and self‐reported depressive symptoms among college women. </w:t>
      </w:r>
      <w:r w:rsidRPr="00B717F6">
        <w:rPr>
          <w:i/>
          <w:szCs w:val="24"/>
          <w:lang w:val="en-US"/>
        </w:rPr>
        <w:t>Journal of Sex Research, 39</w:t>
      </w:r>
      <w:r w:rsidRPr="00B717F6">
        <w:rPr>
          <w:szCs w:val="24"/>
          <w:lang w:val="en-US"/>
        </w:rPr>
        <w:t xml:space="preserve">(4), 321–325. </w:t>
      </w:r>
      <w:hyperlink r:id="rId17" w:history="1">
        <w:r w:rsidR="00514745" w:rsidRPr="00B717F6">
          <w:rPr>
            <w:rStyle w:val="Hyperlink"/>
            <w:color w:val="auto"/>
            <w:szCs w:val="24"/>
            <w:u w:val="none"/>
            <w:lang w:val="en-US"/>
          </w:rPr>
          <w:t>https://doi.org/10.1080/00224490209552156</w:t>
        </w:r>
      </w:hyperlink>
    </w:p>
    <w:p w14:paraId="6CF0D1B2" w14:textId="447BAA2B" w:rsidR="00514745" w:rsidRPr="00B717F6" w:rsidRDefault="00514745" w:rsidP="009C0C78">
      <w:pPr>
        <w:ind w:left="709" w:hanging="709"/>
        <w:rPr>
          <w:szCs w:val="24"/>
          <w:lang w:val="en-US"/>
        </w:rPr>
      </w:pPr>
      <w:r w:rsidRPr="00B717F6">
        <w:rPr>
          <w:szCs w:val="24"/>
          <w:lang w:val="en-US"/>
        </w:rPr>
        <w:t xml:space="preserve">Gagnon, J. H., &amp; Simon, W. (2005). </w:t>
      </w:r>
      <w:r w:rsidRPr="00B717F6">
        <w:rPr>
          <w:i/>
          <w:szCs w:val="24"/>
          <w:lang w:val="en-US"/>
        </w:rPr>
        <w:t xml:space="preserve">Sexual conduct: The social sources of human sexuality </w:t>
      </w:r>
      <w:r w:rsidRPr="00B717F6">
        <w:rPr>
          <w:szCs w:val="24"/>
          <w:lang w:val="en-US"/>
        </w:rPr>
        <w:t xml:space="preserve">(Second Edition). </w:t>
      </w:r>
      <w:proofErr w:type="spellStart"/>
      <w:r w:rsidRPr="00B717F6">
        <w:rPr>
          <w:szCs w:val="24"/>
          <w:lang w:val="en-US"/>
        </w:rPr>
        <w:t>AldineTransaction</w:t>
      </w:r>
      <w:proofErr w:type="spellEnd"/>
      <w:r w:rsidRPr="00B717F6">
        <w:rPr>
          <w:szCs w:val="24"/>
          <w:lang w:val="en-US"/>
        </w:rPr>
        <w:t>.</w:t>
      </w:r>
    </w:p>
    <w:p w14:paraId="43DFB07B" w14:textId="77777777" w:rsidR="00942651" w:rsidRPr="00B717F6" w:rsidRDefault="00802E11" w:rsidP="009C0C78">
      <w:pPr>
        <w:pStyle w:val="NoSpacing"/>
        <w:spacing w:line="480" w:lineRule="auto"/>
        <w:ind w:left="709" w:hanging="709"/>
        <w:contextualSpacing/>
        <w:rPr>
          <w:szCs w:val="24"/>
          <w:lang w:val="en-US"/>
        </w:rPr>
      </w:pPr>
      <w:proofErr w:type="spellStart"/>
      <w:r w:rsidRPr="00B717F6">
        <w:rPr>
          <w:szCs w:val="24"/>
          <w:lang w:val="en-US"/>
        </w:rPr>
        <w:t>Gerressu</w:t>
      </w:r>
      <w:proofErr w:type="spellEnd"/>
      <w:r w:rsidRPr="00B717F6">
        <w:rPr>
          <w:szCs w:val="24"/>
          <w:lang w:val="en-US"/>
        </w:rPr>
        <w:t xml:space="preserve">, M., Mercer, C. H., Graham, C. A., </w:t>
      </w:r>
      <w:proofErr w:type="spellStart"/>
      <w:r w:rsidRPr="00B717F6">
        <w:rPr>
          <w:szCs w:val="24"/>
          <w:lang w:val="en-US"/>
        </w:rPr>
        <w:t>Wellings</w:t>
      </w:r>
      <w:proofErr w:type="spellEnd"/>
      <w:r w:rsidRPr="00B717F6">
        <w:rPr>
          <w:szCs w:val="24"/>
          <w:lang w:val="en-US"/>
        </w:rPr>
        <w:t>, K., &amp; Johnso</w:t>
      </w:r>
      <w:r w:rsidR="00A17675" w:rsidRPr="00B717F6">
        <w:rPr>
          <w:szCs w:val="24"/>
          <w:lang w:val="en-US"/>
        </w:rPr>
        <w:t>n, A. M. (2008). Prevalence of m</w:t>
      </w:r>
      <w:r w:rsidRPr="00B717F6">
        <w:rPr>
          <w:szCs w:val="24"/>
          <w:lang w:val="en-US"/>
        </w:rPr>
        <w:t xml:space="preserve">asturbation and associated factors in a British national probability survey. </w:t>
      </w:r>
      <w:r w:rsidRPr="00B717F6">
        <w:rPr>
          <w:i/>
          <w:szCs w:val="24"/>
          <w:lang w:val="en-US"/>
        </w:rPr>
        <w:t>Archives of Sexual Behavior, 37</w:t>
      </w:r>
      <w:r w:rsidR="00942651" w:rsidRPr="00B717F6">
        <w:rPr>
          <w:szCs w:val="24"/>
          <w:lang w:val="en-US"/>
        </w:rPr>
        <w:t>(2)</w:t>
      </w:r>
      <w:r w:rsidRPr="00B717F6">
        <w:rPr>
          <w:szCs w:val="24"/>
          <w:lang w:val="en-US"/>
        </w:rPr>
        <w:t xml:space="preserve">, 266–278. </w:t>
      </w:r>
      <w:r w:rsidR="00942651" w:rsidRPr="00B717F6">
        <w:rPr>
          <w:szCs w:val="24"/>
          <w:lang w:val="en-US"/>
        </w:rPr>
        <w:t xml:space="preserve">https://doi.org/10.1007/s10508-006-9123-6 </w:t>
      </w:r>
    </w:p>
    <w:p w14:paraId="701DDDFC" w14:textId="6D006997" w:rsidR="00B77D07" w:rsidRPr="00B717F6" w:rsidRDefault="000230B2" w:rsidP="009C0C78">
      <w:pPr>
        <w:pStyle w:val="NoSpacing"/>
        <w:spacing w:line="480" w:lineRule="auto"/>
        <w:ind w:left="709" w:hanging="709"/>
        <w:contextualSpacing/>
        <w:rPr>
          <w:szCs w:val="24"/>
          <w:lang w:val="en-US" w:eastAsia="zh-CN"/>
        </w:rPr>
      </w:pPr>
      <w:proofErr w:type="spellStart"/>
      <w:r w:rsidRPr="00B717F6">
        <w:rPr>
          <w:szCs w:val="24"/>
          <w:lang w:val="en-US" w:eastAsia="zh-CN"/>
        </w:rPr>
        <w:t>Hald</w:t>
      </w:r>
      <w:proofErr w:type="spellEnd"/>
      <w:r w:rsidRPr="00B717F6">
        <w:rPr>
          <w:szCs w:val="24"/>
          <w:lang w:val="en-US" w:eastAsia="zh-CN"/>
        </w:rPr>
        <w:t>, G. M. (2007). Gender differences in behavioral, situational, and interpersonal patterns of pornography c</w:t>
      </w:r>
      <w:r w:rsidR="00B77D07" w:rsidRPr="00B717F6">
        <w:rPr>
          <w:szCs w:val="24"/>
          <w:lang w:val="en-US" w:eastAsia="zh-CN"/>
        </w:rPr>
        <w:t xml:space="preserve">onsumption. In S. Knudsen, L. </w:t>
      </w:r>
      <w:proofErr w:type="spellStart"/>
      <w:r w:rsidR="00B77D07" w:rsidRPr="00B717F6">
        <w:rPr>
          <w:szCs w:val="24"/>
          <w:lang w:val="en-US" w:eastAsia="zh-CN"/>
        </w:rPr>
        <w:t>Löfgren-Mårtenson</w:t>
      </w:r>
      <w:proofErr w:type="spellEnd"/>
      <w:r w:rsidR="00B77D07" w:rsidRPr="00B717F6">
        <w:rPr>
          <w:szCs w:val="24"/>
          <w:lang w:val="en-US" w:eastAsia="zh-CN"/>
        </w:rPr>
        <w:t xml:space="preserve">, &amp; S. A. </w:t>
      </w:r>
      <w:proofErr w:type="spellStart"/>
      <w:r w:rsidR="00B77D07" w:rsidRPr="00B717F6">
        <w:rPr>
          <w:szCs w:val="24"/>
          <w:lang w:val="en-US" w:eastAsia="zh-CN"/>
        </w:rPr>
        <w:t>Månsson</w:t>
      </w:r>
      <w:proofErr w:type="spellEnd"/>
      <w:r w:rsidR="00B77D07" w:rsidRPr="00B717F6">
        <w:rPr>
          <w:szCs w:val="24"/>
          <w:lang w:val="en-US" w:eastAsia="zh-CN"/>
        </w:rPr>
        <w:t xml:space="preserve"> (</w:t>
      </w:r>
      <w:r w:rsidRPr="00B717F6">
        <w:rPr>
          <w:szCs w:val="24"/>
          <w:lang w:val="en-US" w:eastAsia="zh-CN"/>
        </w:rPr>
        <w:t>Eds.),</w:t>
      </w:r>
      <w:r w:rsidR="00B77D07" w:rsidRPr="00B717F6">
        <w:rPr>
          <w:szCs w:val="24"/>
          <w:lang w:val="en-US" w:eastAsia="zh-CN"/>
        </w:rPr>
        <w:t xml:space="preserve"> </w:t>
      </w:r>
      <w:r w:rsidR="00B77D07" w:rsidRPr="00B717F6">
        <w:rPr>
          <w:i/>
          <w:szCs w:val="24"/>
          <w:lang w:val="en-US" w:eastAsia="zh-CN"/>
        </w:rPr>
        <w:t>Generation P - Youth, gender and pornography</w:t>
      </w:r>
      <w:r w:rsidR="00B77D07" w:rsidRPr="00B717F6">
        <w:rPr>
          <w:szCs w:val="24"/>
          <w:lang w:val="en-US" w:eastAsia="zh-CN"/>
        </w:rPr>
        <w:t xml:space="preserve"> </w:t>
      </w:r>
      <w:r w:rsidRPr="00B717F6">
        <w:rPr>
          <w:szCs w:val="24"/>
          <w:lang w:val="en-US" w:eastAsia="zh-CN"/>
        </w:rPr>
        <w:t>(</w:t>
      </w:r>
      <w:r w:rsidR="00B77D07" w:rsidRPr="00B717F6">
        <w:rPr>
          <w:szCs w:val="24"/>
          <w:lang w:val="en-US" w:eastAsia="zh-CN"/>
        </w:rPr>
        <w:t>pp. 118</w:t>
      </w:r>
      <w:r w:rsidRPr="00B717F6">
        <w:rPr>
          <w:szCs w:val="24"/>
          <w:lang w:val="en-US" w:eastAsia="zh-CN"/>
        </w:rPr>
        <w:t>–</w:t>
      </w:r>
      <w:r w:rsidR="00B77D07" w:rsidRPr="00B717F6">
        <w:rPr>
          <w:szCs w:val="24"/>
          <w:lang w:val="en-US" w:eastAsia="zh-CN"/>
        </w:rPr>
        <w:t>133</w:t>
      </w:r>
      <w:r w:rsidRPr="00B717F6">
        <w:rPr>
          <w:szCs w:val="24"/>
          <w:lang w:val="en-US" w:eastAsia="zh-CN"/>
        </w:rPr>
        <w:t>)</w:t>
      </w:r>
      <w:r w:rsidR="00B77D07" w:rsidRPr="00B717F6">
        <w:rPr>
          <w:szCs w:val="24"/>
          <w:lang w:val="en-US" w:eastAsia="zh-CN"/>
        </w:rPr>
        <w:t>. Danish School of Education Press.</w:t>
      </w:r>
    </w:p>
    <w:p w14:paraId="44DA087A" w14:textId="77777777" w:rsidR="00B77D07" w:rsidRPr="00B717F6" w:rsidRDefault="00B77D07" w:rsidP="009C0C78">
      <w:pPr>
        <w:spacing w:after="120"/>
        <w:ind w:left="709" w:hanging="709"/>
        <w:rPr>
          <w:rFonts w:eastAsiaTheme="minorHAnsi"/>
          <w:szCs w:val="24"/>
          <w:lang w:val="en-US"/>
        </w:rPr>
      </w:pPr>
      <w:proofErr w:type="spellStart"/>
      <w:r w:rsidRPr="00B717F6">
        <w:rPr>
          <w:rFonts w:eastAsiaTheme="minorHAnsi"/>
          <w:szCs w:val="24"/>
          <w:lang w:val="en-US"/>
        </w:rPr>
        <w:t>Hinchliff</w:t>
      </w:r>
      <w:proofErr w:type="spellEnd"/>
      <w:r w:rsidRPr="00B717F6">
        <w:rPr>
          <w:rFonts w:eastAsiaTheme="minorHAnsi"/>
          <w:szCs w:val="24"/>
          <w:lang w:val="en-US"/>
        </w:rPr>
        <w:t xml:space="preserve">, S., &amp; Gott, M. (2004). Intimacy, commitment, and adaptation: Sexual relationships within long-term marriages. </w:t>
      </w:r>
      <w:r w:rsidRPr="00B717F6">
        <w:rPr>
          <w:rFonts w:eastAsiaTheme="minorHAnsi"/>
          <w:i/>
          <w:iCs/>
          <w:szCs w:val="24"/>
          <w:lang w:val="en-US"/>
        </w:rPr>
        <w:t>Journal of Social and Personal Relationships,</w:t>
      </w:r>
      <w:r w:rsidRPr="00B717F6">
        <w:rPr>
          <w:rFonts w:eastAsiaTheme="minorHAnsi"/>
          <w:szCs w:val="24"/>
          <w:lang w:val="en-US"/>
        </w:rPr>
        <w:t xml:space="preserve"> </w:t>
      </w:r>
      <w:r w:rsidRPr="00B717F6">
        <w:rPr>
          <w:rFonts w:eastAsiaTheme="minorHAnsi"/>
          <w:i/>
          <w:szCs w:val="24"/>
          <w:lang w:val="en-US"/>
        </w:rPr>
        <w:t>21</w:t>
      </w:r>
      <w:r w:rsidRPr="00B717F6">
        <w:rPr>
          <w:rFonts w:eastAsiaTheme="minorHAnsi"/>
          <w:szCs w:val="24"/>
          <w:lang w:val="en-US"/>
        </w:rPr>
        <w:t xml:space="preserve">(5), 595–609. </w:t>
      </w:r>
      <w:hyperlink r:id="rId18" w:history="1">
        <w:r w:rsidRPr="00B717F6">
          <w:rPr>
            <w:rFonts w:eastAsiaTheme="minorHAnsi"/>
            <w:szCs w:val="24"/>
            <w:lang w:val="en-US"/>
          </w:rPr>
          <w:t>https://doi.org/10.1177/0265407504045889</w:t>
        </w:r>
      </w:hyperlink>
    </w:p>
    <w:p w14:paraId="083517B4" w14:textId="2E75E67D" w:rsidR="00481EB9" w:rsidRDefault="00B77D07" w:rsidP="009C0C78">
      <w:pPr>
        <w:ind w:left="709" w:hanging="709"/>
        <w:rPr>
          <w:szCs w:val="24"/>
          <w:lang w:val="en-US"/>
        </w:rPr>
      </w:pPr>
      <w:proofErr w:type="spellStart"/>
      <w:r w:rsidRPr="00B717F6">
        <w:rPr>
          <w:szCs w:val="24"/>
          <w:lang w:val="en-US"/>
        </w:rPr>
        <w:lastRenderedPageBreak/>
        <w:t>Hinchliff</w:t>
      </w:r>
      <w:proofErr w:type="spellEnd"/>
      <w:r w:rsidRPr="00B717F6">
        <w:rPr>
          <w:szCs w:val="24"/>
          <w:lang w:val="en-US"/>
        </w:rPr>
        <w:t xml:space="preserve">, S., Tetley, J., Lee, D., &amp; </w:t>
      </w:r>
      <w:proofErr w:type="spellStart"/>
      <w:r w:rsidRPr="00B717F6">
        <w:rPr>
          <w:szCs w:val="24"/>
          <w:lang w:val="en-US"/>
        </w:rPr>
        <w:t>Nazroo</w:t>
      </w:r>
      <w:proofErr w:type="spellEnd"/>
      <w:r w:rsidRPr="00B717F6">
        <w:rPr>
          <w:szCs w:val="24"/>
          <w:lang w:val="en-US"/>
        </w:rPr>
        <w:t xml:space="preserve">, J. (2018). Older adults’ experiences of sexual difficulties: Qualitative findings from the English Longitudinal Study on Ageing (Elsa). </w:t>
      </w:r>
      <w:r w:rsidRPr="00B717F6">
        <w:rPr>
          <w:i/>
          <w:szCs w:val="24"/>
          <w:lang w:val="en-US"/>
        </w:rPr>
        <w:t>Journal of Sex Research, 55</w:t>
      </w:r>
      <w:r w:rsidRPr="00B717F6">
        <w:rPr>
          <w:szCs w:val="24"/>
          <w:lang w:val="en-US"/>
        </w:rPr>
        <w:t xml:space="preserve">(2), 152–163. </w:t>
      </w:r>
      <w:hyperlink r:id="rId19" w:history="1">
        <w:r w:rsidRPr="00B717F6">
          <w:rPr>
            <w:szCs w:val="24"/>
            <w:lang w:val="en-US"/>
          </w:rPr>
          <w:t>https://doi.org/10.1080/00224499.2016.1269308</w:t>
        </w:r>
      </w:hyperlink>
    </w:p>
    <w:p w14:paraId="7C180AE5" w14:textId="0D8170A6" w:rsidR="00142ABA" w:rsidRPr="00142ABA" w:rsidRDefault="00142ABA" w:rsidP="00142ABA">
      <w:pPr>
        <w:ind w:left="709" w:hanging="709"/>
        <w:rPr>
          <w:szCs w:val="24"/>
          <w:lang w:val="en-US"/>
        </w:rPr>
      </w:pPr>
      <w:r w:rsidRPr="003B7465">
        <w:rPr>
          <w:szCs w:val="24"/>
          <w:lang w:val="en-US"/>
        </w:rPr>
        <w:t>Hogarth, H.,</w:t>
      </w:r>
      <w:r>
        <w:rPr>
          <w:szCs w:val="24"/>
          <w:lang w:val="en-US"/>
        </w:rPr>
        <w:t xml:space="preserve"> </w:t>
      </w:r>
      <w:r w:rsidRPr="003B7465">
        <w:rPr>
          <w:szCs w:val="24"/>
          <w:lang w:val="en-US"/>
        </w:rPr>
        <w:t xml:space="preserve">&amp; Ingham, R. (2009). Masturbation among young women and associations with sexual health: An exploratory study. </w:t>
      </w:r>
      <w:r w:rsidRPr="003B7465">
        <w:rPr>
          <w:i/>
          <w:szCs w:val="24"/>
          <w:lang w:val="en-US"/>
        </w:rPr>
        <w:t>Journal of sex Research, 46</w:t>
      </w:r>
      <w:r w:rsidRPr="003B7465">
        <w:rPr>
          <w:szCs w:val="24"/>
          <w:lang w:val="en-US"/>
        </w:rPr>
        <w:t>(6), 558–567. https://doi.org/10.1080/00224490902878993</w:t>
      </w:r>
    </w:p>
    <w:p w14:paraId="160A7B9A" w14:textId="7D40510D" w:rsidR="00B77D07" w:rsidRPr="00B717F6" w:rsidRDefault="00481EB9" w:rsidP="009C0C78">
      <w:pPr>
        <w:ind w:left="709" w:hanging="709"/>
        <w:rPr>
          <w:szCs w:val="24"/>
          <w:lang w:val="en-US"/>
        </w:rPr>
      </w:pPr>
      <w:r w:rsidRPr="00B717F6">
        <w:rPr>
          <w:szCs w:val="24"/>
          <w:lang w:val="en-US"/>
        </w:rPr>
        <w:t>Howard, J. R., O'Neill, S., &amp; Travers, C. (2006). Factors affecting sexual</w:t>
      </w:r>
      <w:r w:rsidR="00942651" w:rsidRPr="00B717F6">
        <w:rPr>
          <w:szCs w:val="24"/>
          <w:lang w:val="en-US"/>
        </w:rPr>
        <w:t>ity in older Australian women: S</w:t>
      </w:r>
      <w:r w:rsidRPr="00B717F6">
        <w:rPr>
          <w:szCs w:val="24"/>
          <w:lang w:val="en-US"/>
        </w:rPr>
        <w:t xml:space="preserve">exual interest, sexual arousal, relationships and sexual distress in older Australian women. </w:t>
      </w:r>
      <w:r w:rsidRPr="00B717F6">
        <w:rPr>
          <w:i/>
          <w:szCs w:val="24"/>
          <w:lang w:val="en-US"/>
        </w:rPr>
        <w:t>Climacteric, 9</w:t>
      </w:r>
      <w:r w:rsidRPr="00B717F6">
        <w:rPr>
          <w:szCs w:val="24"/>
          <w:lang w:val="en-US"/>
        </w:rPr>
        <w:t>(5), 355–367. http://dx.doi.org/10.1080/13697130600961870</w:t>
      </w:r>
    </w:p>
    <w:p w14:paraId="5D10AD09" w14:textId="5321AF9D" w:rsidR="00CC59BC" w:rsidRDefault="00B77D07" w:rsidP="009C0C78">
      <w:pPr>
        <w:ind w:left="709" w:hanging="709"/>
        <w:rPr>
          <w:szCs w:val="24"/>
          <w:lang w:val="en-US"/>
        </w:rPr>
      </w:pPr>
      <w:proofErr w:type="spellStart"/>
      <w:r w:rsidRPr="00B717F6">
        <w:rPr>
          <w:szCs w:val="24"/>
          <w:lang w:val="en-US"/>
        </w:rPr>
        <w:t>Iveniuk</w:t>
      </w:r>
      <w:proofErr w:type="spellEnd"/>
      <w:r w:rsidRPr="00B717F6">
        <w:rPr>
          <w:szCs w:val="24"/>
          <w:lang w:val="en-US"/>
        </w:rPr>
        <w:t xml:space="preserve">, J., &amp; Waite, L. (2018). The psychosocial sources of sexual interest in older couples. </w:t>
      </w:r>
      <w:r w:rsidRPr="00B717F6">
        <w:rPr>
          <w:i/>
          <w:iCs/>
          <w:szCs w:val="24"/>
          <w:lang w:val="en-US"/>
        </w:rPr>
        <w:t>Journal of Social and Personal Relationships,</w:t>
      </w:r>
      <w:r w:rsidRPr="00B717F6">
        <w:rPr>
          <w:szCs w:val="24"/>
          <w:lang w:val="en-US"/>
        </w:rPr>
        <w:t xml:space="preserve"> </w:t>
      </w:r>
      <w:r w:rsidRPr="00B717F6">
        <w:rPr>
          <w:i/>
          <w:iCs/>
          <w:szCs w:val="24"/>
          <w:lang w:val="en-US"/>
        </w:rPr>
        <w:t>35</w:t>
      </w:r>
      <w:r w:rsidRPr="00B717F6">
        <w:rPr>
          <w:szCs w:val="24"/>
          <w:lang w:val="en-US"/>
        </w:rPr>
        <w:t xml:space="preserve">(4), 615–631. </w:t>
      </w:r>
      <w:hyperlink r:id="rId20" w:history="1">
        <w:r w:rsidR="00142ABA" w:rsidRPr="003C6586">
          <w:rPr>
            <w:rStyle w:val="Hyperlink"/>
            <w:szCs w:val="24"/>
            <w:lang w:val="en-US"/>
          </w:rPr>
          <w:t>https://doi.org/10.1177/0265407517754148</w:t>
        </w:r>
      </w:hyperlink>
    </w:p>
    <w:p w14:paraId="5ABC7DDD" w14:textId="0C1750C8" w:rsidR="00142ABA" w:rsidRPr="00142ABA" w:rsidRDefault="00142ABA" w:rsidP="00142ABA">
      <w:pPr>
        <w:ind w:left="709" w:hanging="709"/>
        <w:rPr>
          <w:szCs w:val="24"/>
          <w:lang w:val="en-US"/>
        </w:rPr>
      </w:pPr>
      <w:proofErr w:type="spellStart"/>
      <w:r w:rsidRPr="00142ABA">
        <w:rPr>
          <w:lang w:val="en-US"/>
        </w:rPr>
        <w:t>Kaestle</w:t>
      </w:r>
      <w:proofErr w:type="spellEnd"/>
      <w:r w:rsidRPr="00142ABA">
        <w:rPr>
          <w:lang w:val="en-US"/>
        </w:rPr>
        <w:t xml:space="preserve">, C. E., &amp; Allen, K. R. (2011). The role of masturbation in healthy sexual development: Perceptions of young adults. </w:t>
      </w:r>
      <w:r w:rsidRPr="00142ABA">
        <w:rPr>
          <w:i/>
          <w:szCs w:val="24"/>
          <w:lang w:val="en-US"/>
        </w:rPr>
        <w:t>Archives of Sexual Behavior</w:t>
      </w:r>
      <w:r w:rsidRPr="00142ABA">
        <w:rPr>
          <w:lang w:val="en-US"/>
        </w:rPr>
        <w:t>, 40, 983–994. https://doi.org/10.1007/s10508-010-9722-0</w:t>
      </w:r>
    </w:p>
    <w:p w14:paraId="1F5C7F22" w14:textId="77777777" w:rsidR="00CC59BC" w:rsidRPr="00B717F6" w:rsidRDefault="0016227B" w:rsidP="009C0C78">
      <w:pPr>
        <w:pStyle w:val="NoSpacing"/>
        <w:spacing w:line="480" w:lineRule="auto"/>
        <w:ind w:left="709" w:hanging="709"/>
        <w:contextualSpacing/>
        <w:rPr>
          <w:szCs w:val="24"/>
          <w:lang w:val="en"/>
        </w:rPr>
      </w:pPr>
      <w:r w:rsidRPr="00B717F6">
        <w:rPr>
          <w:szCs w:val="24"/>
          <w:lang w:val="en-US"/>
        </w:rPr>
        <w:t>Katz-Wise, S. L., &amp; Hyde, J. S. (2014). </w:t>
      </w:r>
      <w:r w:rsidRPr="00B717F6">
        <w:rPr>
          <w:iCs/>
          <w:szCs w:val="24"/>
          <w:lang w:val="en-US"/>
        </w:rPr>
        <w:t>Sexuality and gender: The interplay</w:t>
      </w:r>
      <w:r w:rsidRPr="00B717F6">
        <w:rPr>
          <w:i/>
          <w:iCs/>
          <w:szCs w:val="24"/>
          <w:lang w:val="en-US"/>
        </w:rPr>
        <w:t>.</w:t>
      </w:r>
      <w:r w:rsidRPr="00B717F6">
        <w:rPr>
          <w:szCs w:val="24"/>
          <w:lang w:val="en-US"/>
        </w:rPr>
        <w:t xml:space="preserve"> In D. L. Tolman, L. M. Diamond, J. A. </w:t>
      </w:r>
      <w:proofErr w:type="spellStart"/>
      <w:r w:rsidRPr="00B717F6">
        <w:rPr>
          <w:szCs w:val="24"/>
          <w:lang w:val="en-US"/>
        </w:rPr>
        <w:t>Bauermeister</w:t>
      </w:r>
      <w:proofErr w:type="spellEnd"/>
      <w:r w:rsidRPr="00B717F6">
        <w:rPr>
          <w:szCs w:val="24"/>
          <w:lang w:val="en-US"/>
        </w:rPr>
        <w:t xml:space="preserve">, W. H. George, J. G. </w:t>
      </w:r>
      <w:proofErr w:type="spellStart"/>
      <w:r w:rsidRPr="00B717F6">
        <w:rPr>
          <w:szCs w:val="24"/>
          <w:lang w:val="en-US"/>
        </w:rPr>
        <w:t>Pfaus</w:t>
      </w:r>
      <w:proofErr w:type="spellEnd"/>
      <w:r w:rsidRPr="00B717F6">
        <w:rPr>
          <w:szCs w:val="24"/>
          <w:lang w:val="en-US"/>
        </w:rPr>
        <w:t>, &amp; L. M. Ward (Eds.), </w:t>
      </w:r>
      <w:r w:rsidRPr="00B717F6">
        <w:rPr>
          <w:i/>
          <w:iCs/>
          <w:szCs w:val="24"/>
          <w:lang w:val="en-US"/>
        </w:rPr>
        <w:t xml:space="preserve"> APA handbook of sexuality and psychology, Vol. 1. Person-based approaches</w:t>
      </w:r>
      <w:r w:rsidRPr="00B717F6">
        <w:rPr>
          <w:szCs w:val="24"/>
          <w:lang w:val="en-US"/>
        </w:rPr>
        <w:t> (pp. 29–62). American Psychological Association. </w:t>
      </w:r>
      <w:hyperlink r:id="rId21" w:tgtFrame="_blank" w:history="1">
        <w:r w:rsidRPr="00B717F6">
          <w:rPr>
            <w:rStyle w:val="Hyperlink"/>
            <w:szCs w:val="24"/>
            <w:lang w:val="en-US"/>
          </w:rPr>
          <w:t>https://doi.org/10.1037/14193-002</w:t>
        </w:r>
      </w:hyperlink>
    </w:p>
    <w:p w14:paraId="15CD59A3" w14:textId="136440C0" w:rsidR="00CC59BC" w:rsidRPr="00B717F6" w:rsidRDefault="00CC59BC" w:rsidP="009C0C78">
      <w:pPr>
        <w:pStyle w:val="NoSpacing"/>
        <w:spacing w:line="480" w:lineRule="auto"/>
        <w:ind w:left="709" w:hanging="709"/>
        <w:contextualSpacing/>
        <w:rPr>
          <w:szCs w:val="24"/>
          <w:lang w:val="en"/>
        </w:rPr>
      </w:pPr>
      <w:proofErr w:type="spellStart"/>
      <w:r w:rsidRPr="00B717F6">
        <w:rPr>
          <w:szCs w:val="24"/>
        </w:rPr>
        <w:t>Kontula</w:t>
      </w:r>
      <w:proofErr w:type="spellEnd"/>
      <w:r w:rsidRPr="00B717F6">
        <w:rPr>
          <w:szCs w:val="24"/>
        </w:rPr>
        <w:t xml:space="preserve">, O., &amp; </w:t>
      </w:r>
      <w:proofErr w:type="spellStart"/>
      <w:r w:rsidRPr="00B717F6">
        <w:rPr>
          <w:szCs w:val="24"/>
        </w:rPr>
        <w:t>Haavio-Mannila</w:t>
      </w:r>
      <w:proofErr w:type="spellEnd"/>
      <w:r w:rsidRPr="00B717F6">
        <w:rPr>
          <w:szCs w:val="24"/>
        </w:rPr>
        <w:t xml:space="preserve">, E. (2003). </w:t>
      </w:r>
      <w:r w:rsidRPr="00B717F6">
        <w:rPr>
          <w:szCs w:val="24"/>
          <w:lang w:val="en-US"/>
        </w:rPr>
        <w:t xml:space="preserve">Masturbation in a generational perspective. </w:t>
      </w:r>
      <w:r w:rsidRPr="00B717F6">
        <w:rPr>
          <w:i/>
          <w:szCs w:val="24"/>
          <w:lang w:val="en-US"/>
        </w:rPr>
        <w:t>Journal of Psychology and Human Sexuality, 14</w:t>
      </w:r>
      <w:r w:rsidR="00942651" w:rsidRPr="00B717F6">
        <w:rPr>
          <w:szCs w:val="24"/>
          <w:lang w:val="en-US"/>
        </w:rPr>
        <w:t>(2-3)</w:t>
      </w:r>
      <w:r w:rsidRPr="00B717F6">
        <w:rPr>
          <w:szCs w:val="24"/>
          <w:lang w:val="en-US"/>
        </w:rPr>
        <w:t xml:space="preserve">, 49–83. </w:t>
      </w:r>
      <w:r w:rsidR="00942651" w:rsidRPr="00B717F6">
        <w:rPr>
          <w:szCs w:val="24"/>
          <w:lang w:val="en-US"/>
        </w:rPr>
        <w:t>https://doi.org/10.1300/J056v14n02_05</w:t>
      </w:r>
    </w:p>
    <w:p w14:paraId="2ED9CBAF" w14:textId="048EEA11" w:rsidR="00F11FE5" w:rsidRPr="00B717F6" w:rsidRDefault="00B77D07" w:rsidP="009C0C78">
      <w:pPr>
        <w:ind w:left="709" w:hanging="709"/>
        <w:rPr>
          <w:szCs w:val="24"/>
          <w:lang w:val="en-US"/>
        </w:rPr>
      </w:pPr>
      <w:proofErr w:type="spellStart"/>
      <w:r w:rsidRPr="00B717F6">
        <w:rPr>
          <w:szCs w:val="24"/>
        </w:rPr>
        <w:lastRenderedPageBreak/>
        <w:t>Kontula</w:t>
      </w:r>
      <w:proofErr w:type="spellEnd"/>
      <w:r w:rsidRPr="00B717F6">
        <w:rPr>
          <w:szCs w:val="24"/>
        </w:rPr>
        <w:t xml:space="preserve">, O., &amp; </w:t>
      </w:r>
      <w:proofErr w:type="spellStart"/>
      <w:r w:rsidRPr="00B717F6">
        <w:rPr>
          <w:szCs w:val="24"/>
        </w:rPr>
        <w:t>Haavio-Mannila</w:t>
      </w:r>
      <w:proofErr w:type="spellEnd"/>
      <w:r w:rsidRPr="00B717F6">
        <w:rPr>
          <w:szCs w:val="24"/>
        </w:rPr>
        <w:t xml:space="preserve">, E. (2009). </w:t>
      </w:r>
      <w:r w:rsidRPr="00B717F6">
        <w:rPr>
          <w:szCs w:val="24"/>
          <w:lang w:val="en-US"/>
        </w:rPr>
        <w:t xml:space="preserve">The impact of aging on human sexual activity and sexual desire. </w:t>
      </w:r>
      <w:r w:rsidRPr="00B717F6">
        <w:rPr>
          <w:i/>
          <w:szCs w:val="24"/>
          <w:lang w:val="en-US"/>
        </w:rPr>
        <w:t>Journal of Sex Research, 46</w:t>
      </w:r>
      <w:r w:rsidRPr="00B717F6">
        <w:rPr>
          <w:szCs w:val="24"/>
          <w:lang w:val="en-US"/>
        </w:rPr>
        <w:t xml:space="preserve">(1), 46–56. </w:t>
      </w:r>
      <w:hyperlink r:id="rId22" w:history="1">
        <w:r w:rsidR="00F11FE5" w:rsidRPr="00B717F6">
          <w:rPr>
            <w:rStyle w:val="Hyperlink"/>
            <w:szCs w:val="24"/>
            <w:lang w:val="en-US"/>
          </w:rPr>
          <w:t>https://www.jstor.org/stable/20620398</w:t>
        </w:r>
      </w:hyperlink>
    </w:p>
    <w:p w14:paraId="2E25D9CE" w14:textId="3769E2D7" w:rsidR="004C1A3D" w:rsidRPr="00B717F6" w:rsidRDefault="008B6094" w:rsidP="009C0C78">
      <w:pPr>
        <w:ind w:left="709" w:hanging="709"/>
        <w:rPr>
          <w:szCs w:val="24"/>
          <w:lang w:val="en-US"/>
        </w:rPr>
      </w:pPr>
      <w:proofErr w:type="spellStart"/>
      <w:r w:rsidRPr="00B717F6">
        <w:rPr>
          <w:szCs w:val="24"/>
          <w:lang w:val="en-US"/>
        </w:rPr>
        <w:t>Långström</w:t>
      </w:r>
      <w:proofErr w:type="spellEnd"/>
      <w:r w:rsidR="00CC59BC" w:rsidRPr="00B717F6">
        <w:rPr>
          <w:szCs w:val="24"/>
          <w:lang w:val="en-US"/>
        </w:rPr>
        <w:t>, N., &amp; Hanson, K. (2006). High rates of sexual behav</w:t>
      </w:r>
      <w:r w:rsidR="004C1A3D" w:rsidRPr="00B717F6">
        <w:rPr>
          <w:szCs w:val="24"/>
          <w:lang w:val="en-US"/>
        </w:rPr>
        <w:t>ior in the general population: C</w:t>
      </w:r>
      <w:r w:rsidR="00CC59BC" w:rsidRPr="00B717F6">
        <w:rPr>
          <w:szCs w:val="24"/>
          <w:lang w:val="en-US"/>
        </w:rPr>
        <w:t xml:space="preserve">orrelated and predictors. </w:t>
      </w:r>
      <w:r w:rsidR="00CC59BC" w:rsidRPr="00B717F6">
        <w:rPr>
          <w:i/>
          <w:szCs w:val="24"/>
          <w:lang w:val="en-US"/>
        </w:rPr>
        <w:t>Archives of Sexual Behavior, 35</w:t>
      </w:r>
      <w:r w:rsidR="00CC59BC" w:rsidRPr="00B717F6">
        <w:rPr>
          <w:szCs w:val="24"/>
          <w:lang w:val="en-US"/>
        </w:rPr>
        <w:t xml:space="preserve">(1), 35–52. </w:t>
      </w:r>
      <w:r w:rsidR="004C1A3D" w:rsidRPr="00B717F6">
        <w:rPr>
          <w:szCs w:val="24"/>
          <w:lang w:val="en-US"/>
        </w:rPr>
        <w:t xml:space="preserve">https://doi.org/10.1007/s10508-006-8993-y </w:t>
      </w:r>
    </w:p>
    <w:p w14:paraId="47E94DE5" w14:textId="7B5605B5" w:rsidR="00304876" w:rsidRPr="00B717F6" w:rsidRDefault="00304876" w:rsidP="009C0C78">
      <w:pPr>
        <w:ind w:left="709" w:hanging="709"/>
        <w:rPr>
          <w:szCs w:val="24"/>
          <w:lang w:val="en-US"/>
        </w:rPr>
      </w:pPr>
      <w:r w:rsidRPr="00B717F6">
        <w:rPr>
          <w:szCs w:val="24"/>
          <w:lang w:val="en-US"/>
        </w:rPr>
        <w:t xml:space="preserve">Lee, D. M., </w:t>
      </w:r>
      <w:proofErr w:type="spellStart"/>
      <w:r w:rsidRPr="00B717F6">
        <w:rPr>
          <w:szCs w:val="24"/>
          <w:lang w:val="en-US"/>
        </w:rPr>
        <w:t>Nazroo</w:t>
      </w:r>
      <w:proofErr w:type="spellEnd"/>
      <w:r w:rsidRPr="00B717F6">
        <w:rPr>
          <w:szCs w:val="24"/>
          <w:lang w:val="en-US"/>
        </w:rPr>
        <w:t xml:space="preserve">, J., O'Connor, D. B., Blake, M., &amp; Pendleton, N. (2016). Sexual health and well-being among older men and women in England: Findings from the English Longitudinal Study of Ageing. </w:t>
      </w:r>
      <w:r w:rsidRPr="00B717F6">
        <w:rPr>
          <w:i/>
          <w:szCs w:val="24"/>
          <w:lang w:val="en-US"/>
        </w:rPr>
        <w:t>Archives of Sexual Behavior, 45</w:t>
      </w:r>
      <w:r w:rsidRPr="00B717F6">
        <w:rPr>
          <w:szCs w:val="24"/>
          <w:lang w:val="en-US"/>
        </w:rPr>
        <w:t>(1), 133–44. https://doi.org/10.1007/s10508-014-0465-1</w:t>
      </w:r>
    </w:p>
    <w:p w14:paraId="691E6BBF" w14:textId="77777777" w:rsidR="004C1A3D" w:rsidRPr="00B717F6" w:rsidRDefault="00F81479" w:rsidP="009C0C78">
      <w:pPr>
        <w:ind w:left="709" w:hanging="709"/>
        <w:rPr>
          <w:szCs w:val="24"/>
          <w:lang w:val="en"/>
        </w:rPr>
      </w:pPr>
      <w:r w:rsidRPr="00B717F6">
        <w:rPr>
          <w:szCs w:val="24"/>
          <w:lang w:val="en-US"/>
        </w:rPr>
        <w:t xml:space="preserve">Lindau, S. T., Schumm, L. P., </w:t>
      </w:r>
      <w:proofErr w:type="spellStart"/>
      <w:r w:rsidRPr="00B717F6">
        <w:rPr>
          <w:szCs w:val="24"/>
          <w:lang w:val="en-US"/>
        </w:rPr>
        <w:t>Laumann</w:t>
      </w:r>
      <w:proofErr w:type="spellEnd"/>
      <w:r w:rsidRPr="00B717F6">
        <w:rPr>
          <w:szCs w:val="24"/>
          <w:lang w:val="en-US"/>
        </w:rPr>
        <w:t xml:space="preserve">, E. O., </w:t>
      </w:r>
      <w:r w:rsidRPr="00B717F6">
        <w:rPr>
          <w:szCs w:val="24"/>
          <w:lang w:val="en"/>
        </w:rPr>
        <w:t xml:space="preserve">Levinson, W., </w:t>
      </w:r>
      <w:proofErr w:type="spellStart"/>
      <w:r w:rsidRPr="00B717F6">
        <w:rPr>
          <w:szCs w:val="24"/>
          <w:lang w:val="en"/>
        </w:rPr>
        <w:t>O'Muircheartaigh</w:t>
      </w:r>
      <w:proofErr w:type="spellEnd"/>
      <w:r w:rsidRPr="00B717F6">
        <w:rPr>
          <w:szCs w:val="24"/>
          <w:lang w:val="en"/>
        </w:rPr>
        <w:t>, C. A., &amp; Waite, L. J. (2007). A study of sexuality and health among older adults in the United States.</w:t>
      </w:r>
      <w:r w:rsidRPr="00B717F6">
        <w:rPr>
          <w:i/>
          <w:iCs/>
          <w:szCs w:val="24"/>
          <w:lang w:val="en"/>
        </w:rPr>
        <w:t xml:space="preserve"> The New England Journal of Medicine, 357</w:t>
      </w:r>
      <w:r w:rsidRPr="00B717F6">
        <w:rPr>
          <w:szCs w:val="24"/>
          <w:lang w:val="en"/>
        </w:rPr>
        <w:t xml:space="preserve">(8), 762–774. </w:t>
      </w:r>
      <w:hyperlink r:id="rId23" w:history="1">
        <w:r w:rsidR="00D207C2" w:rsidRPr="00B717F6">
          <w:rPr>
            <w:rStyle w:val="Hyperlink"/>
            <w:szCs w:val="24"/>
            <w:lang w:val="en-US"/>
          </w:rPr>
          <w:t>http://dx.doi.org/10.1056/NEJMoa067423</w:t>
        </w:r>
      </w:hyperlink>
    </w:p>
    <w:p w14:paraId="4D32B244" w14:textId="2818D6C0" w:rsidR="004C1A3D" w:rsidRPr="00B717F6" w:rsidRDefault="004C1A3D" w:rsidP="009C0C78">
      <w:pPr>
        <w:ind w:left="709" w:hanging="709"/>
        <w:rPr>
          <w:szCs w:val="24"/>
          <w:lang w:val="en-US"/>
        </w:rPr>
      </w:pPr>
      <w:r w:rsidRPr="00B717F6">
        <w:rPr>
          <w:szCs w:val="24"/>
          <w:lang w:val="en-US"/>
        </w:rPr>
        <w:t>Masters, N. T., Casey, E.</w:t>
      </w:r>
      <w:r w:rsidR="00056D87" w:rsidRPr="00B717F6">
        <w:rPr>
          <w:szCs w:val="24"/>
          <w:lang w:val="en-US"/>
        </w:rPr>
        <w:t xml:space="preserve">, Wells, E. A., </w:t>
      </w:r>
      <w:r w:rsidRPr="00B717F6">
        <w:rPr>
          <w:szCs w:val="24"/>
          <w:lang w:val="en-US"/>
        </w:rPr>
        <w:t>&amp;</w:t>
      </w:r>
      <w:r w:rsidR="00056D87" w:rsidRPr="00B717F6">
        <w:rPr>
          <w:szCs w:val="24"/>
          <w:lang w:val="en-US"/>
        </w:rPr>
        <w:t xml:space="preserve"> Morrison, D. M. </w:t>
      </w:r>
      <w:r w:rsidRPr="00B717F6">
        <w:rPr>
          <w:szCs w:val="24"/>
          <w:lang w:val="en-US"/>
        </w:rPr>
        <w:t>(2013)</w:t>
      </w:r>
      <w:r w:rsidR="00056D87" w:rsidRPr="00B717F6">
        <w:rPr>
          <w:szCs w:val="24"/>
          <w:lang w:val="en-US"/>
        </w:rPr>
        <w:t>. Sexual s</w:t>
      </w:r>
      <w:r w:rsidRPr="00B717F6">
        <w:rPr>
          <w:szCs w:val="24"/>
          <w:lang w:val="en-US"/>
        </w:rPr>
        <w:t xml:space="preserve">cripts among </w:t>
      </w:r>
      <w:r w:rsidR="00056D87" w:rsidRPr="00B717F6">
        <w:rPr>
          <w:szCs w:val="24"/>
          <w:lang w:val="en-US"/>
        </w:rPr>
        <w:t>young heterosexually active men and women: Continuity and change.</w:t>
      </w:r>
      <w:r w:rsidRPr="00B717F6">
        <w:rPr>
          <w:szCs w:val="24"/>
          <w:lang w:val="en-US"/>
        </w:rPr>
        <w:t xml:space="preserve"> </w:t>
      </w:r>
      <w:r w:rsidRPr="00B717F6">
        <w:rPr>
          <w:i/>
          <w:szCs w:val="24"/>
          <w:lang w:val="en-US"/>
        </w:rPr>
        <w:t>J</w:t>
      </w:r>
      <w:r w:rsidR="00056D87" w:rsidRPr="00B717F6">
        <w:rPr>
          <w:i/>
          <w:szCs w:val="24"/>
          <w:lang w:val="en-US"/>
        </w:rPr>
        <w:t>ournal of Sex Research, 50</w:t>
      </w:r>
      <w:r w:rsidR="00056D87" w:rsidRPr="00B717F6">
        <w:rPr>
          <w:szCs w:val="24"/>
          <w:lang w:val="en-US"/>
        </w:rPr>
        <w:t>(</w:t>
      </w:r>
      <w:r w:rsidRPr="00B717F6">
        <w:rPr>
          <w:szCs w:val="24"/>
          <w:lang w:val="en-US"/>
        </w:rPr>
        <w:t>5</w:t>
      </w:r>
      <w:r w:rsidR="00056D87" w:rsidRPr="00B717F6">
        <w:rPr>
          <w:szCs w:val="24"/>
          <w:lang w:val="en-US"/>
        </w:rPr>
        <w:t>)</w:t>
      </w:r>
      <w:r w:rsidRPr="00B717F6">
        <w:rPr>
          <w:szCs w:val="24"/>
          <w:lang w:val="en-US"/>
        </w:rPr>
        <w:t>, 409</w:t>
      </w:r>
      <w:r w:rsidR="00056D87" w:rsidRPr="00B717F6">
        <w:rPr>
          <w:szCs w:val="24"/>
          <w:lang w:val="en-US"/>
        </w:rPr>
        <w:t xml:space="preserve">–420. </w:t>
      </w:r>
      <w:r w:rsidRPr="00B717F6">
        <w:rPr>
          <w:szCs w:val="24"/>
          <w:lang w:val="en-US"/>
        </w:rPr>
        <w:t>https://doi.org/10.1080/00224499.2012.661102</w:t>
      </w:r>
    </w:p>
    <w:p w14:paraId="7FBCF740" w14:textId="77777777" w:rsidR="00AE06DB" w:rsidRPr="00B717F6" w:rsidRDefault="00E526B2" w:rsidP="009C0C78">
      <w:pPr>
        <w:ind w:left="851" w:hanging="851"/>
        <w:rPr>
          <w:rStyle w:val="Hyperlink"/>
          <w:color w:val="auto"/>
          <w:szCs w:val="24"/>
          <w:u w:val="none"/>
        </w:rPr>
      </w:pPr>
      <w:r w:rsidRPr="00B717F6">
        <w:rPr>
          <w:szCs w:val="24"/>
          <w:lang w:val="en-US"/>
        </w:rPr>
        <w:t xml:space="preserve">Mercer, C. H., </w:t>
      </w:r>
      <w:proofErr w:type="spellStart"/>
      <w:r w:rsidRPr="00B717F6">
        <w:rPr>
          <w:szCs w:val="24"/>
          <w:lang w:val="en-US"/>
        </w:rPr>
        <w:t>Tanton</w:t>
      </w:r>
      <w:proofErr w:type="spellEnd"/>
      <w:r w:rsidRPr="00B717F6">
        <w:rPr>
          <w:szCs w:val="24"/>
          <w:lang w:val="en-US"/>
        </w:rPr>
        <w:t xml:space="preserve">, C., </w:t>
      </w:r>
      <w:proofErr w:type="spellStart"/>
      <w:r w:rsidRPr="00B717F6">
        <w:rPr>
          <w:szCs w:val="24"/>
          <w:lang w:val="en-US"/>
        </w:rPr>
        <w:t>Prah</w:t>
      </w:r>
      <w:proofErr w:type="spellEnd"/>
      <w:r w:rsidRPr="00B717F6">
        <w:rPr>
          <w:szCs w:val="24"/>
          <w:lang w:val="en-US"/>
        </w:rPr>
        <w:t xml:space="preserve">, P., </w:t>
      </w:r>
      <w:proofErr w:type="spellStart"/>
      <w:r w:rsidRPr="00B717F6">
        <w:rPr>
          <w:szCs w:val="24"/>
          <w:lang w:val="en-US"/>
        </w:rPr>
        <w:t>Erens</w:t>
      </w:r>
      <w:proofErr w:type="spellEnd"/>
      <w:r w:rsidRPr="00B717F6">
        <w:rPr>
          <w:szCs w:val="24"/>
          <w:lang w:val="en-US"/>
        </w:rPr>
        <w:t xml:space="preserve">, B., Sonnenberg, P., Clifton, S., </w:t>
      </w:r>
      <w:proofErr w:type="spellStart"/>
      <w:r w:rsidRPr="00B717F6">
        <w:rPr>
          <w:szCs w:val="24"/>
          <w:lang w:val="en-US"/>
        </w:rPr>
        <w:t>Macdowall</w:t>
      </w:r>
      <w:proofErr w:type="spellEnd"/>
      <w:r w:rsidRPr="00B717F6">
        <w:rPr>
          <w:szCs w:val="24"/>
          <w:lang w:val="en-US"/>
        </w:rPr>
        <w:t xml:space="preserve">, W., Lewis, R., Field, N., Datta, J., </w:t>
      </w:r>
      <w:proofErr w:type="spellStart"/>
      <w:r w:rsidRPr="00B717F6">
        <w:rPr>
          <w:szCs w:val="24"/>
          <w:lang w:val="en-US"/>
        </w:rPr>
        <w:t>Copas</w:t>
      </w:r>
      <w:proofErr w:type="spellEnd"/>
      <w:r w:rsidRPr="00B717F6">
        <w:rPr>
          <w:szCs w:val="24"/>
          <w:lang w:val="en-US"/>
        </w:rPr>
        <w:t xml:space="preserve">, A. J., Phelps, A., </w:t>
      </w:r>
      <w:proofErr w:type="spellStart"/>
      <w:r w:rsidRPr="00B717F6">
        <w:rPr>
          <w:szCs w:val="24"/>
          <w:lang w:val="en-US"/>
        </w:rPr>
        <w:t>Wellings</w:t>
      </w:r>
      <w:proofErr w:type="spellEnd"/>
      <w:r w:rsidRPr="00B717F6">
        <w:rPr>
          <w:szCs w:val="24"/>
          <w:lang w:val="en-US"/>
        </w:rPr>
        <w:t xml:space="preserve">, K., &amp; Johnson, A.M. (2013). Changes in sexual attitudes and lifestyles in Britain through </w:t>
      </w:r>
      <w:r w:rsidR="00B17A04" w:rsidRPr="00B717F6">
        <w:rPr>
          <w:szCs w:val="24"/>
          <w:lang w:val="en-US"/>
        </w:rPr>
        <w:t>the life course and over time: F</w:t>
      </w:r>
      <w:r w:rsidRPr="00B717F6">
        <w:rPr>
          <w:szCs w:val="24"/>
          <w:lang w:val="en-US"/>
        </w:rPr>
        <w:t>indings from the National Surveys of Sexual Attitudes and Lifestyles (</w:t>
      </w:r>
      <w:proofErr w:type="spellStart"/>
      <w:r w:rsidRPr="00B717F6">
        <w:rPr>
          <w:szCs w:val="24"/>
          <w:lang w:val="en-US"/>
        </w:rPr>
        <w:t>Natsal</w:t>
      </w:r>
      <w:proofErr w:type="spellEnd"/>
      <w:r w:rsidRPr="00B717F6">
        <w:rPr>
          <w:szCs w:val="24"/>
          <w:lang w:val="en-US"/>
        </w:rPr>
        <w:t>). </w:t>
      </w:r>
      <w:proofErr w:type="spellStart"/>
      <w:r w:rsidRPr="00B717F6">
        <w:rPr>
          <w:i/>
          <w:iCs/>
          <w:szCs w:val="24"/>
        </w:rPr>
        <w:t>Lancet</w:t>
      </w:r>
      <w:proofErr w:type="spellEnd"/>
      <w:r w:rsidRPr="00B717F6">
        <w:rPr>
          <w:szCs w:val="24"/>
        </w:rPr>
        <w:t xml:space="preserve">, 382(9907), 1781–1794. </w:t>
      </w:r>
      <w:hyperlink r:id="rId24" w:history="1">
        <w:r w:rsidRPr="00B717F6">
          <w:rPr>
            <w:rStyle w:val="Hyperlink"/>
            <w:color w:val="auto"/>
            <w:szCs w:val="24"/>
            <w:u w:val="none"/>
          </w:rPr>
          <w:t>https://doi.org/10.1016/S0140-6736(13)62035-8</w:t>
        </w:r>
      </w:hyperlink>
    </w:p>
    <w:p w14:paraId="5EA5B53B" w14:textId="470E0404" w:rsidR="00056D87" w:rsidRPr="00B717F6" w:rsidRDefault="00056D87" w:rsidP="009C0C78">
      <w:pPr>
        <w:ind w:left="851" w:hanging="851"/>
        <w:rPr>
          <w:szCs w:val="24"/>
          <w:lang w:val="en-US"/>
        </w:rPr>
      </w:pPr>
      <w:r w:rsidRPr="00B717F6">
        <w:rPr>
          <w:szCs w:val="24"/>
        </w:rPr>
        <w:t xml:space="preserve">Oliver, M. B., &amp; Hyde, J. S. (1993). </w:t>
      </w:r>
      <w:r w:rsidRPr="00B717F6">
        <w:rPr>
          <w:szCs w:val="24"/>
          <w:lang w:val="en-US"/>
        </w:rPr>
        <w:t xml:space="preserve">Gender differences in sexuality: A meta-analysis. </w:t>
      </w:r>
      <w:r w:rsidRPr="00B717F6">
        <w:rPr>
          <w:i/>
          <w:szCs w:val="24"/>
          <w:lang w:val="en-US"/>
        </w:rPr>
        <w:t>Psychological Bulletin, 114</w:t>
      </w:r>
      <w:r w:rsidRPr="00B717F6">
        <w:rPr>
          <w:szCs w:val="24"/>
          <w:lang w:val="en-US"/>
        </w:rPr>
        <w:t xml:space="preserve">(1), 29–51. </w:t>
      </w:r>
      <w:r w:rsidR="00AE06DB" w:rsidRPr="00B717F6">
        <w:rPr>
          <w:szCs w:val="24"/>
          <w:lang w:val="en-US"/>
        </w:rPr>
        <w:t>https://doi.org/10.1037/0033-2909.114.1.29</w:t>
      </w:r>
    </w:p>
    <w:p w14:paraId="7E84BDFC" w14:textId="3194A6F8" w:rsidR="00E526B2" w:rsidRPr="00B717F6" w:rsidRDefault="00481EB9" w:rsidP="009C0C78">
      <w:pPr>
        <w:ind w:left="851" w:hanging="851"/>
        <w:rPr>
          <w:szCs w:val="24"/>
          <w:lang w:val="en-US"/>
        </w:rPr>
      </w:pPr>
      <w:proofErr w:type="spellStart"/>
      <w:r w:rsidRPr="00B717F6">
        <w:rPr>
          <w:szCs w:val="24"/>
          <w:lang w:val="en-US"/>
        </w:rPr>
        <w:lastRenderedPageBreak/>
        <w:t>Onar</w:t>
      </w:r>
      <w:proofErr w:type="spellEnd"/>
      <w:r w:rsidRPr="00B717F6">
        <w:rPr>
          <w:szCs w:val="24"/>
          <w:lang w:val="en-US"/>
        </w:rPr>
        <w:t>, D. K.</w:t>
      </w:r>
      <w:r w:rsidR="00793AD9" w:rsidRPr="00B717F6">
        <w:rPr>
          <w:szCs w:val="24"/>
          <w:lang w:val="en-US"/>
        </w:rPr>
        <w:t>,</w:t>
      </w:r>
      <w:r w:rsidRPr="00B717F6">
        <w:rPr>
          <w:szCs w:val="24"/>
          <w:lang w:val="en-US"/>
        </w:rPr>
        <w:t xml:space="preserve"> Armstrong</w:t>
      </w:r>
      <w:r w:rsidR="00793AD9" w:rsidRPr="00B717F6">
        <w:rPr>
          <w:szCs w:val="24"/>
          <w:lang w:val="en-US"/>
        </w:rPr>
        <w:t>, H.,</w:t>
      </w:r>
      <w:r w:rsidRPr="00B717F6">
        <w:rPr>
          <w:szCs w:val="24"/>
          <w:lang w:val="en-US"/>
        </w:rPr>
        <w:t xml:space="preserve"> &amp; </w:t>
      </w:r>
      <w:r w:rsidR="00793AD9" w:rsidRPr="00B717F6">
        <w:rPr>
          <w:szCs w:val="24"/>
          <w:lang w:val="en-US"/>
        </w:rPr>
        <w:t>Graham, C. A. (2020). What does research tell us about women’s experiences, motives and perceptions of masturbation within a relationship c</w:t>
      </w:r>
      <w:r w:rsidRPr="00B717F6">
        <w:rPr>
          <w:szCs w:val="24"/>
          <w:lang w:val="en-US"/>
        </w:rPr>
        <w:t>ontext?</w:t>
      </w:r>
      <w:r w:rsidR="00793AD9" w:rsidRPr="00B717F6">
        <w:rPr>
          <w:szCs w:val="24"/>
          <w:lang w:val="en-US"/>
        </w:rPr>
        <w:t xml:space="preserve"> A systematic review of qualitative s</w:t>
      </w:r>
      <w:r w:rsidRPr="00B717F6">
        <w:rPr>
          <w:szCs w:val="24"/>
          <w:lang w:val="en-US"/>
        </w:rPr>
        <w:t>tudies</w:t>
      </w:r>
      <w:r w:rsidR="00793AD9" w:rsidRPr="00B717F6">
        <w:rPr>
          <w:szCs w:val="24"/>
          <w:lang w:val="en-US"/>
        </w:rPr>
        <w:t>.</w:t>
      </w:r>
      <w:r w:rsidRPr="00B717F6">
        <w:rPr>
          <w:szCs w:val="24"/>
          <w:lang w:val="en-US"/>
        </w:rPr>
        <w:t xml:space="preserve"> </w:t>
      </w:r>
      <w:r w:rsidRPr="00B717F6">
        <w:rPr>
          <w:i/>
          <w:szCs w:val="24"/>
          <w:lang w:val="en-US"/>
        </w:rPr>
        <w:t>Journal of Sex &amp; Marital Therapy</w:t>
      </w:r>
      <w:r w:rsidR="00793AD9" w:rsidRPr="00B717F6">
        <w:rPr>
          <w:szCs w:val="24"/>
          <w:lang w:val="en-US"/>
        </w:rPr>
        <w:t>, 1–34.</w:t>
      </w:r>
      <w:r w:rsidRPr="00B717F6">
        <w:rPr>
          <w:szCs w:val="24"/>
          <w:lang w:val="en-US"/>
        </w:rPr>
        <w:t xml:space="preserve"> https://doi.org/10.1080/0092623X.2020.1781722</w:t>
      </w:r>
    </w:p>
    <w:p w14:paraId="5591AD1C" w14:textId="77777777" w:rsidR="00514745" w:rsidRPr="00B717F6" w:rsidRDefault="00B77D07" w:rsidP="009C0C78">
      <w:pPr>
        <w:spacing w:after="120"/>
        <w:ind w:left="709" w:hanging="709"/>
        <w:rPr>
          <w:szCs w:val="24"/>
          <w:lang w:val="en-US"/>
        </w:rPr>
      </w:pPr>
      <w:r w:rsidRPr="00B717F6">
        <w:rPr>
          <w:rFonts w:eastAsiaTheme="minorHAnsi"/>
          <w:szCs w:val="24"/>
          <w:lang w:val="es-ES"/>
        </w:rPr>
        <w:t>Palacios-</w:t>
      </w:r>
      <w:proofErr w:type="spellStart"/>
      <w:r w:rsidRPr="00B717F6">
        <w:rPr>
          <w:rFonts w:eastAsiaTheme="minorHAnsi"/>
          <w:szCs w:val="24"/>
          <w:lang w:val="es-ES"/>
        </w:rPr>
        <w:t>Ceña</w:t>
      </w:r>
      <w:proofErr w:type="spellEnd"/>
      <w:r w:rsidRPr="00B717F6">
        <w:rPr>
          <w:rFonts w:eastAsiaTheme="minorHAnsi"/>
          <w:szCs w:val="24"/>
          <w:lang w:val="es-ES"/>
        </w:rPr>
        <w:t xml:space="preserve">, D., Carrasco-Garrido, P., Hernández-Barrera, V., Alonso-Blanco, C., Jiménez-García, R., &amp; Fernández-de-las-Peñas, C. (2012). </w:t>
      </w:r>
      <w:r w:rsidRPr="00B717F6">
        <w:rPr>
          <w:rFonts w:eastAsiaTheme="minorHAnsi"/>
          <w:szCs w:val="24"/>
          <w:lang w:val="en"/>
        </w:rPr>
        <w:t xml:space="preserve">Sexual behaviors among older adults in Spain: Results from a population-based national sexual health survey. </w:t>
      </w:r>
      <w:r w:rsidRPr="00B717F6">
        <w:rPr>
          <w:rFonts w:eastAsiaTheme="minorHAnsi"/>
          <w:i/>
          <w:szCs w:val="24"/>
          <w:lang w:val="en"/>
        </w:rPr>
        <w:t>The Journal of Sexual Medicine, 9</w:t>
      </w:r>
      <w:r w:rsidRPr="00B717F6">
        <w:rPr>
          <w:rFonts w:eastAsiaTheme="minorHAnsi"/>
          <w:szCs w:val="24"/>
          <w:lang w:val="en"/>
        </w:rPr>
        <w:t xml:space="preserve">(1), 121–129. </w:t>
      </w:r>
      <w:hyperlink r:id="rId25" w:history="1">
        <w:r w:rsidRPr="00B717F6">
          <w:rPr>
            <w:szCs w:val="24"/>
            <w:lang w:val="en"/>
          </w:rPr>
          <w:t>https://doi-org.ezproxy.uio.no/10.1111/j.1743-6109.2011.02511.x</w:t>
        </w:r>
      </w:hyperlink>
      <w:r w:rsidR="00514745" w:rsidRPr="00B717F6">
        <w:rPr>
          <w:szCs w:val="24"/>
          <w:lang w:val="en-US"/>
        </w:rPr>
        <w:t xml:space="preserve"> </w:t>
      </w:r>
    </w:p>
    <w:p w14:paraId="63AD886D" w14:textId="77777777" w:rsidR="00642AB1" w:rsidRDefault="00514745" w:rsidP="009C0C78">
      <w:pPr>
        <w:spacing w:after="120"/>
        <w:ind w:left="709" w:hanging="709"/>
        <w:rPr>
          <w:szCs w:val="24"/>
          <w:lang w:val="en-US"/>
        </w:rPr>
      </w:pPr>
      <w:proofErr w:type="spellStart"/>
      <w:r w:rsidRPr="00B717F6">
        <w:rPr>
          <w:szCs w:val="24"/>
          <w:lang w:val="en-US"/>
        </w:rPr>
        <w:t>Papaharitou</w:t>
      </w:r>
      <w:proofErr w:type="spellEnd"/>
      <w:r w:rsidRPr="00B717F6">
        <w:rPr>
          <w:szCs w:val="24"/>
          <w:lang w:val="en-US"/>
        </w:rPr>
        <w:t xml:space="preserve">, S., </w:t>
      </w:r>
      <w:proofErr w:type="spellStart"/>
      <w:r w:rsidRPr="00B717F6">
        <w:rPr>
          <w:szCs w:val="24"/>
          <w:lang w:val="en-US"/>
        </w:rPr>
        <w:t>Nakopolou</w:t>
      </w:r>
      <w:proofErr w:type="spellEnd"/>
      <w:r w:rsidRPr="00B717F6">
        <w:rPr>
          <w:szCs w:val="24"/>
          <w:lang w:val="en-US"/>
        </w:rPr>
        <w:t xml:space="preserve">, E., Kirana, P., </w:t>
      </w:r>
      <w:proofErr w:type="spellStart"/>
      <w:r w:rsidRPr="00B717F6">
        <w:rPr>
          <w:szCs w:val="24"/>
          <w:lang w:val="en-US"/>
        </w:rPr>
        <w:t>Giaglis</w:t>
      </w:r>
      <w:proofErr w:type="spellEnd"/>
      <w:r w:rsidRPr="00B717F6">
        <w:rPr>
          <w:szCs w:val="24"/>
          <w:lang w:val="en-US"/>
        </w:rPr>
        <w:t xml:space="preserve">, G., </w:t>
      </w:r>
      <w:proofErr w:type="spellStart"/>
      <w:r w:rsidRPr="00B717F6">
        <w:rPr>
          <w:szCs w:val="24"/>
          <w:lang w:val="en-US"/>
        </w:rPr>
        <w:t>Moraitou</w:t>
      </w:r>
      <w:proofErr w:type="spellEnd"/>
      <w:r w:rsidRPr="00B717F6">
        <w:rPr>
          <w:szCs w:val="24"/>
          <w:lang w:val="en-US"/>
        </w:rPr>
        <w:t xml:space="preserve">, M., &amp; </w:t>
      </w:r>
      <w:proofErr w:type="spellStart"/>
      <w:r w:rsidRPr="00B717F6">
        <w:rPr>
          <w:szCs w:val="24"/>
          <w:lang w:val="en-US"/>
        </w:rPr>
        <w:t>Hatzichristou</w:t>
      </w:r>
      <w:proofErr w:type="spellEnd"/>
      <w:r w:rsidRPr="00B717F6">
        <w:rPr>
          <w:szCs w:val="24"/>
          <w:lang w:val="en-US"/>
        </w:rPr>
        <w:t xml:space="preserve">, D. (2008). Factors associated with sexuality in later life: An exploratory study in a group of Greek married older adults. </w:t>
      </w:r>
      <w:r w:rsidRPr="00B717F6">
        <w:rPr>
          <w:i/>
          <w:szCs w:val="24"/>
          <w:lang w:val="en-US"/>
        </w:rPr>
        <w:t>Archives Gerontology and Geriatrics, 46</w:t>
      </w:r>
      <w:r w:rsidR="00642AB1">
        <w:rPr>
          <w:szCs w:val="24"/>
          <w:lang w:val="en-US"/>
        </w:rPr>
        <w:t>(2), 191–201.</w:t>
      </w:r>
    </w:p>
    <w:p w14:paraId="16035CED" w14:textId="028BC063" w:rsidR="00AD5985" w:rsidRPr="00642AB1" w:rsidRDefault="00AD5985" w:rsidP="00642AB1">
      <w:pPr>
        <w:spacing w:after="120"/>
        <w:ind w:left="709" w:hanging="709"/>
        <w:rPr>
          <w:szCs w:val="24"/>
          <w:lang w:val="en-US"/>
        </w:rPr>
      </w:pPr>
      <w:proofErr w:type="spellStart"/>
      <w:r w:rsidRPr="00AD5985">
        <w:rPr>
          <w:szCs w:val="24"/>
          <w:lang w:val="en-US"/>
        </w:rPr>
        <w:t>Philippsohn</w:t>
      </w:r>
      <w:proofErr w:type="spellEnd"/>
      <w:r w:rsidRPr="00AD5985">
        <w:rPr>
          <w:szCs w:val="24"/>
          <w:lang w:val="en-US"/>
        </w:rPr>
        <w:t xml:space="preserve">, S., &amp; Hartmann, U. (2009). Determinants of sexual satisfaction in a sample of German women. </w:t>
      </w:r>
      <w:r w:rsidRPr="00642AB1">
        <w:rPr>
          <w:i/>
          <w:szCs w:val="24"/>
          <w:lang w:val="en-US"/>
        </w:rPr>
        <w:t>Journal of Sexual Medicine, 6</w:t>
      </w:r>
      <w:r w:rsidRPr="00AD5985">
        <w:rPr>
          <w:szCs w:val="24"/>
          <w:lang w:val="en-US"/>
        </w:rPr>
        <w:t xml:space="preserve">(4), 1001–1010. https://doi.org/10.1111/j.1743-6109.2008.00989.x </w:t>
      </w:r>
      <w:hyperlink r:id="rId26" w:history="1">
        <w:r w:rsidRPr="00B26C29">
          <w:rPr>
            <w:rStyle w:val="Hyperlink"/>
            <w:szCs w:val="24"/>
            <w:lang w:val="en-US"/>
          </w:rPr>
          <w:t>https://doi.org/10.1016/j.archger.2007.03.008</w:t>
        </w:r>
      </w:hyperlink>
    </w:p>
    <w:p w14:paraId="2C76F52D" w14:textId="0C20035E" w:rsidR="00AE06DB" w:rsidRPr="00B717F6" w:rsidRDefault="00AE06DB" w:rsidP="009C0C78">
      <w:pPr>
        <w:spacing w:after="120"/>
        <w:ind w:left="709" w:hanging="709"/>
        <w:rPr>
          <w:color w:val="00B050"/>
          <w:szCs w:val="24"/>
          <w:lang w:val="en"/>
        </w:rPr>
      </w:pPr>
      <w:r w:rsidRPr="00B717F6">
        <w:rPr>
          <w:szCs w:val="24"/>
          <w:lang w:val="en-US"/>
        </w:rPr>
        <w:t xml:space="preserve">Pinkerton, S. D., Bogart, L. M., Cecil, H., &amp; Abramson, P. R. (2003). Factors associated with masturbation in a collegiate sample. </w:t>
      </w:r>
      <w:r w:rsidRPr="00B717F6">
        <w:rPr>
          <w:i/>
          <w:szCs w:val="24"/>
          <w:lang w:val="en-US"/>
        </w:rPr>
        <w:t>Journal of Psychology &amp; Human Sexuality, 14</w:t>
      </w:r>
      <w:r w:rsidRPr="00B717F6">
        <w:rPr>
          <w:szCs w:val="24"/>
          <w:lang w:val="en-US"/>
        </w:rPr>
        <w:t>(2-3), 103–121. https://doi.org/10.1300/J056v14n02_07</w:t>
      </w:r>
    </w:p>
    <w:p w14:paraId="448B3A42" w14:textId="10170F37" w:rsidR="00652579" w:rsidRPr="00B717F6" w:rsidRDefault="00CC59BC" w:rsidP="009C0C78">
      <w:pPr>
        <w:spacing w:after="120"/>
        <w:ind w:left="709" w:hanging="709"/>
        <w:rPr>
          <w:szCs w:val="24"/>
          <w:lang w:val="en-US"/>
        </w:rPr>
      </w:pPr>
      <w:r w:rsidRPr="00B717F6">
        <w:rPr>
          <w:szCs w:val="24"/>
          <w:lang w:val="en-US"/>
        </w:rPr>
        <w:t xml:space="preserve">Regnerus, M., Price, J., &amp; Gordon, D. (2017). Masturbation and partnered sex: Substitutes or complements?. </w:t>
      </w:r>
      <w:r w:rsidRPr="00B717F6">
        <w:rPr>
          <w:i/>
          <w:szCs w:val="24"/>
          <w:lang w:val="en-US"/>
        </w:rPr>
        <w:t>Archives of Sexual Behavior, 46</w:t>
      </w:r>
      <w:r w:rsidRPr="00B717F6">
        <w:rPr>
          <w:szCs w:val="24"/>
          <w:lang w:val="en-US"/>
        </w:rPr>
        <w:t xml:space="preserve">(7), 2111–2121. </w:t>
      </w:r>
      <w:r w:rsidR="003555D1" w:rsidRPr="00B717F6">
        <w:rPr>
          <w:szCs w:val="24"/>
          <w:lang w:val="en-US"/>
        </w:rPr>
        <w:t>https://doi.org/</w:t>
      </w:r>
      <w:r w:rsidRPr="00B717F6">
        <w:rPr>
          <w:szCs w:val="24"/>
          <w:lang w:val="en-US"/>
        </w:rPr>
        <w:t>10.1007/s10508-017-0975-8</w:t>
      </w:r>
    </w:p>
    <w:p w14:paraId="33A68F53" w14:textId="201864F4" w:rsidR="00652579" w:rsidRPr="00B717F6" w:rsidRDefault="00652579" w:rsidP="009C0C78">
      <w:pPr>
        <w:spacing w:after="120"/>
        <w:ind w:left="709" w:hanging="709"/>
        <w:rPr>
          <w:szCs w:val="24"/>
          <w:lang w:val="en"/>
        </w:rPr>
      </w:pPr>
      <w:proofErr w:type="spellStart"/>
      <w:r w:rsidRPr="00B717F6">
        <w:rPr>
          <w:szCs w:val="24"/>
          <w:lang w:val="en"/>
        </w:rPr>
        <w:t>Richters</w:t>
      </w:r>
      <w:proofErr w:type="spellEnd"/>
      <w:r w:rsidRPr="00B717F6">
        <w:rPr>
          <w:szCs w:val="24"/>
          <w:lang w:val="en"/>
        </w:rPr>
        <w:t xml:space="preserve">, J., de Visser, R. O., Badcock, P. B., Smith, A. M., </w:t>
      </w:r>
      <w:proofErr w:type="spellStart"/>
      <w:r w:rsidRPr="00B717F6">
        <w:rPr>
          <w:szCs w:val="24"/>
          <w:lang w:val="en"/>
        </w:rPr>
        <w:t>Rissel</w:t>
      </w:r>
      <w:proofErr w:type="spellEnd"/>
      <w:r w:rsidRPr="00B717F6">
        <w:rPr>
          <w:szCs w:val="24"/>
          <w:lang w:val="en"/>
        </w:rPr>
        <w:t xml:space="preserve">, C., Simpson, J. M., &amp; </w:t>
      </w:r>
      <w:proofErr w:type="spellStart"/>
      <w:r w:rsidRPr="00B717F6">
        <w:rPr>
          <w:szCs w:val="24"/>
          <w:lang w:val="en"/>
        </w:rPr>
        <w:t>Grulich</w:t>
      </w:r>
      <w:proofErr w:type="spellEnd"/>
      <w:r w:rsidRPr="00B717F6">
        <w:rPr>
          <w:szCs w:val="24"/>
          <w:lang w:val="en"/>
        </w:rPr>
        <w:t xml:space="preserve">, A. E. (2014). </w:t>
      </w:r>
      <w:r w:rsidRPr="00B717F6">
        <w:rPr>
          <w:szCs w:val="24"/>
          <w:lang w:val="en-US"/>
        </w:rPr>
        <w:t xml:space="preserve">Masturbation, paying for sex, and other sexual activities: The </w:t>
      </w:r>
      <w:r w:rsidRPr="00B717F6">
        <w:rPr>
          <w:szCs w:val="24"/>
          <w:lang w:val="en-US"/>
        </w:rPr>
        <w:lastRenderedPageBreak/>
        <w:t xml:space="preserve">Second Australian Study of Health and Relationships. </w:t>
      </w:r>
      <w:r w:rsidRPr="00B717F6">
        <w:rPr>
          <w:i/>
          <w:szCs w:val="24"/>
          <w:lang w:val="en-US"/>
        </w:rPr>
        <w:t>Sexual Health, 11</w:t>
      </w:r>
      <w:r w:rsidRPr="00B717F6">
        <w:rPr>
          <w:szCs w:val="24"/>
          <w:lang w:val="en-US"/>
        </w:rPr>
        <w:t xml:space="preserve">(5), 461–471. </w:t>
      </w:r>
      <w:r w:rsidR="003555D1" w:rsidRPr="00B717F6">
        <w:rPr>
          <w:szCs w:val="24"/>
          <w:lang w:val="en-US"/>
        </w:rPr>
        <w:t>https://doi.org/10.1071/SH14116</w:t>
      </w:r>
    </w:p>
    <w:p w14:paraId="20EEDBA2" w14:textId="750864AD" w:rsidR="00652579" w:rsidRPr="00B717F6" w:rsidRDefault="00B77D07" w:rsidP="009C0C78">
      <w:pPr>
        <w:ind w:left="709" w:hanging="709"/>
        <w:rPr>
          <w:szCs w:val="24"/>
          <w:lang w:val="en-US"/>
        </w:rPr>
      </w:pPr>
      <w:r w:rsidRPr="00B717F6">
        <w:rPr>
          <w:szCs w:val="24"/>
          <w:lang w:val="en-US"/>
        </w:rPr>
        <w:t>Rosen, R., Heiman, J., Long, J., Fisher, W., &amp; Sand, M. (2016). Men with sexual problems and the</w:t>
      </w:r>
      <w:r w:rsidR="003555D1" w:rsidRPr="00B717F6">
        <w:rPr>
          <w:szCs w:val="24"/>
          <w:lang w:val="en-US"/>
        </w:rPr>
        <w:t>ir partners: Findings from the International Survey of R</w:t>
      </w:r>
      <w:r w:rsidRPr="00B717F6">
        <w:rPr>
          <w:szCs w:val="24"/>
          <w:lang w:val="en-US"/>
        </w:rPr>
        <w:t xml:space="preserve">elationships. </w:t>
      </w:r>
      <w:r w:rsidRPr="00B717F6">
        <w:rPr>
          <w:i/>
          <w:iCs/>
          <w:szCs w:val="24"/>
          <w:lang w:val="en-US"/>
        </w:rPr>
        <w:t>Archives of Sexual Behavior,</w:t>
      </w:r>
      <w:r w:rsidRPr="00B717F6">
        <w:rPr>
          <w:szCs w:val="24"/>
          <w:lang w:val="en-US"/>
        </w:rPr>
        <w:t xml:space="preserve"> </w:t>
      </w:r>
      <w:r w:rsidRPr="00B717F6">
        <w:rPr>
          <w:i/>
          <w:iCs/>
          <w:szCs w:val="24"/>
          <w:lang w:val="en-US"/>
        </w:rPr>
        <w:t>45</w:t>
      </w:r>
      <w:r w:rsidRPr="00B717F6">
        <w:rPr>
          <w:szCs w:val="24"/>
          <w:lang w:val="en-US"/>
        </w:rPr>
        <w:t xml:space="preserve">(1), 159–173. </w:t>
      </w:r>
      <w:r w:rsidR="003555D1" w:rsidRPr="00B717F6">
        <w:rPr>
          <w:szCs w:val="24"/>
          <w:lang w:val="en-US"/>
        </w:rPr>
        <w:t>https://doi.org/</w:t>
      </w:r>
      <w:r w:rsidRPr="00B717F6">
        <w:rPr>
          <w:szCs w:val="24"/>
          <w:lang w:val="en-US"/>
        </w:rPr>
        <w:t>10.1007/s10508-015-0568-3</w:t>
      </w:r>
    </w:p>
    <w:p w14:paraId="4E8E9C7F" w14:textId="5B4320A3" w:rsidR="00652579" w:rsidRPr="00B717F6" w:rsidRDefault="00652579" w:rsidP="009C0C78">
      <w:pPr>
        <w:ind w:left="709" w:hanging="709"/>
        <w:rPr>
          <w:szCs w:val="24"/>
          <w:lang w:val="en-US"/>
        </w:rPr>
      </w:pPr>
      <w:r w:rsidRPr="00B717F6">
        <w:rPr>
          <w:szCs w:val="24"/>
          <w:lang w:val="en-US"/>
        </w:rPr>
        <w:t xml:space="preserve">Rowland, D. L., </w:t>
      </w:r>
      <w:proofErr w:type="spellStart"/>
      <w:r w:rsidRPr="00B717F6">
        <w:rPr>
          <w:szCs w:val="24"/>
          <w:lang w:val="en-US"/>
        </w:rPr>
        <w:t>Kolba</w:t>
      </w:r>
      <w:proofErr w:type="spellEnd"/>
      <w:r w:rsidRPr="00B717F6">
        <w:rPr>
          <w:szCs w:val="24"/>
          <w:lang w:val="en-US"/>
        </w:rPr>
        <w:t xml:space="preserve">, T. N., </w:t>
      </w:r>
      <w:proofErr w:type="spellStart"/>
      <w:r w:rsidRPr="00B717F6">
        <w:rPr>
          <w:szCs w:val="24"/>
          <w:lang w:val="en-US"/>
        </w:rPr>
        <w:t>McNabney</w:t>
      </w:r>
      <w:proofErr w:type="spellEnd"/>
      <w:r w:rsidRPr="00B717F6">
        <w:rPr>
          <w:szCs w:val="24"/>
          <w:lang w:val="en-US"/>
        </w:rPr>
        <w:t xml:space="preserve">, S. M., Uribe, D., &amp; </w:t>
      </w:r>
      <w:proofErr w:type="spellStart"/>
      <w:r w:rsidRPr="00B717F6">
        <w:rPr>
          <w:szCs w:val="24"/>
          <w:lang w:val="en-US"/>
        </w:rPr>
        <w:t>Hevesi</w:t>
      </w:r>
      <w:proofErr w:type="spellEnd"/>
      <w:r w:rsidRPr="00B717F6">
        <w:rPr>
          <w:szCs w:val="24"/>
          <w:lang w:val="en-US"/>
        </w:rPr>
        <w:t xml:space="preserve">, K. (2020). Why and how women masturbate, and the relationship to orgasmic response. </w:t>
      </w:r>
      <w:r w:rsidRPr="00B717F6">
        <w:rPr>
          <w:i/>
          <w:szCs w:val="24"/>
          <w:lang w:val="en-US"/>
        </w:rPr>
        <w:t>Journal of Sex &amp; Marital Therapy, 46</w:t>
      </w:r>
      <w:r w:rsidRPr="00B717F6">
        <w:rPr>
          <w:szCs w:val="24"/>
          <w:lang w:val="en-US"/>
        </w:rPr>
        <w:t xml:space="preserve">(4), 361–376. </w:t>
      </w:r>
      <w:r w:rsidR="00A60099" w:rsidRPr="00B717F6">
        <w:rPr>
          <w:szCs w:val="24"/>
          <w:lang w:val="en-US"/>
        </w:rPr>
        <w:t>https://doi.org/10.1080/0092623X.2020.1717700</w:t>
      </w:r>
    </w:p>
    <w:p w14:paraId="3686F752" w14:textId="77777777" w:rsidR="00442051" w:rsidRPr="00B717F6" w:rsidRDefault="00B77D07" w:rsidP="009C0C78">
      <w:pPr>
        <w:spacing w:after="120"/>
        <w:ind w:left="709" w:hanging="709"/>
        <w:rPr>
          <w:szCs w:val="24"/>
          <w:lang w:val="en-US"/>
        </w:rPr>
      </w:pPr>
      <w:r w:rsidRPr="00B717F6">
        <w:rPr>
          <w:rFonts w:eastAsiaTheme="minorHAnsi"/>
          <w:szCs w:val="24"/>
          <w:lang w:val="en-US"/>
        </w:rPr>
        <w:t xml:space="preserve">Schick, V., </w:t>
      </w:r>
      <w:proofErr w:type="spellStart"/>
      <w:r w:rsidRPr="00B717F6">
        <w:rPr>
          <w:rFonts w:eastAsiaTheme="minorHAnsi"/>
          <w:szCs w:val="24"/>
          <w:lang w:val="en-US"/>
        </w:rPr>
        <w:t>Herbenick</w:t>
      </w:r>
      <w:proofErr w:type="spellEnd"/>
      <w:r w:rsidRPr="00B717F6">
        <w:rPr>
          <w:rFonts w:eastAsiaTheme="minorHAnsi"/>
          <w:szCs w:val="24"/>
          <w:lang w:val="en-US"/>
        </w:rPr>
        <w:t xml:space="preserve">, D., Reece, M., Sanders, S. A., Dodge, B., </w:t>
      </w:r>
      <w:proofErr w:type="spellStart"/>
      <w:r w:rsidRPr="00B717F6">
        <w:rPr>
          <w:rFonts w:eastAsiaTheme="minorHAnsi"/>
          <w:szCs w:val="24"/>
          <w:lang w:val="en-US"/>
        </w:rPr>
        <w:t>Middlestadt</w:t>
      </w:r>
      <w:proofErr w:type="spellEnd"/>
      <w:r w:rsidRPr="00B717F6">
        <w:rPr>
          <w:rFonts w:eastAsiaTheme="minorHAnsi"/>
          <w:szCs w:val="24"/>
          <w:lang w:val="en-US"/>
        </w:rPr>
        <w:t xml:space="preserve">, S. E., &amp; Fortenberry, J. D. (2010). Sexual behaviors, condom use, and sexual health of Americans over 50: Implications for sexual health promotion for older adults. </w:t>
      </w:r>
      <w:r w:rsidRPr="00B717F6">
        <w:rPr>
          <w:rFonts w:eastAsiaTheme="minorHAnsi"/>
          <w:i/>
          <w:szCs w:val="24"/>
          <w:lang w:val="en-US"/>
        </w:rPr>
        <w:t>The Journal of Sexual Medicine, 7</w:t>
      </w:r>
      <w:r w:rsidRPr="00B717F6">
        <w:rPr>
          <w:rFonts w:eastAsiaTheme="minorHAnsi"/>
          <w:szCs w:val="24"/>
          <w:lang w:val="en-US"/>
        </w:rPr>
        <w:t xml:space="preserve">(1), 315–329. </w:t>
      </w:r>
      <w:hyperlink r:id="rId27" w:history="1">
        <w:r w:rsidRPr="00B717F6">
          <w:rPr>
            <w:szCs w:val="24"/>
            <w:lang w:val="en-US"/>
          </w:rPr>
          <w:t>https://doi.org/10.1111/j.1743-6109.2010.02013.x</w:t>
        </w:r>
      </w:hyperlink>
    </w:p>
    <w:p w14:paraId="0D97FE01" w14:textId="4B4CA8B6" w:rsidR="00A82970" w:rsidRPr="00B717F6" w:rsidRDefault="00442051" w:rsidP="009C0C78">
      <w:pPr>
        <w:spacing w:after="120"/>
        <w:ind w:left="709" w:hanging="709"/>
        <w:rPr>
          <w:szCs w:val="24"/>
          <w:lang w:val="en-US"/>
        </w:rPr>
      </w:pPr>
      <w:proofErr w:type="spellStart"/>
      <w:r w:rsidRPr="00B717F6">
        <w:rPr>
          <w:szCs w:val="24"/>
          <w:lang w:val="en-US"/>
        </w:rPr>
        <w:t>Søgaard</w:t>
      </w:r>
      <w:proofErr w:type="spellEnd"/>
      <w:r w:rsidR="003555D1" w:rsidRPr="00B717F6">
        <w:rPr>
          <w:szCs w:val="24"/>
          <w:lang w:val="en-US"/>
        </w:rPr>
        <w:t>,</w:t>
      </w:r>
      <w:r w:rsidRPr="00B717F6">
        <w:rPr>
          <w:szCs w:val="24"/>
          <w:lang w:val="en-US"/>
        </w:rPr>
        <w:t xml:space="preserve"> H</w:t>
      </w:r>
      <w:r w:rsidR="003555D1" w:rsidRPr="00B717F6">
        <w:rPr>
          <w:szCs w:val="24"/>
          <w:lang w:val="en-US"/>
        </w:rPr>
        <w:t xml:space="preserve">. </w:t>
      </w:r>
      <w:r w:rsidRPr="00B717F6">
        <w:rPr>
          <w:szCs w:val="24"/>
          <w:lang w:val="en-US"/>
        </w:rPr>
        <w:t>J</w:t>
      </w:r>
      <w:r w:rsidR="003555D1" w:rsidRPr="00B717F6">
        <w:rPr>
          <w:szCs w:val="24"/>
          <w:lang w:val="en-US"/>
        </w:rPr>
        <w:t>.</w:t>
      </w:r>
      <w:r w:rsidRPr="00B717F6">
        <w:rPr>
          <w:szCs w:val="24"/>
          <w:lang w:val="en-US"/>
        </w:rPr>
        <w:t xml:space="preserve">, </w:t>
      </w:r>
      <w:r w:rsidR="003555D1" w:rsidRPr="00B717F6">
        <w:rPr>
          <w:szCs w:val="24"/>
          <w:lang w:val="en-US"/>
        </w:rPr>
        <w:t xml:space="preserve">&amp; </w:t>
      </w:r>
      <w:proofErr w:type="spellStart"/>
      <w:r w:rsidRPr="00B717F6">
        <w:rPr>
          <w:szCs w:val="24"/>
          <w:lang w:val="en-US"/>
        </w:rPr>
        <w:t>Bech</w:t>
      </w:r>
      <w:proofErr w:type="spellEnd"/>
      <w:r w:rsidR="003555D1" w:rsidRPr="00B717F6">
        <w:rPr>
          <w:szCs w:val="24"/>
          <w:lang w:val="en-US"/>
        </w:rPr>
        <w:t>,</w:t>
      </w:r>
      <w:r w:rsidRPr="00B717F6">
        <w:rPr>
          <w:szCs w:val="24"/>
          <w:lang w:val="en-US"/>
        </w:rPr>
        <w:t xml:space="preserve"> P.</w:t>
      </w:r>
      <w:r w:rsidR="003555D1" w:rsidRPr="00B717F6">
        <w:rPr>
          <w:szCs w:val="24"/>
          <w:lang w:val="en-US"/>
        </w:rPr>
        <w:t xml:space="preserve"> (2009).</w:t>
      </w:r>
      <w:r w:rsidRPr="00B717F6">
        <w:rPr>
          <w:szCs w:val="24"/>
          <w:lang w:val="en-US"/>
        </w:rPr>
        <w:t xml:space="preserve"> Psychometric analysis of Common Mental </w:t>
      </w:r>
      <w:proofErr w:type="spellStart"/>
      <w:r w:rsidRPr="00B717F6">
        <w:rPr>
          <w:szCs w:val="24"/>
          <w:lang w:val="en-US"/>
        </w:rPr>
        <w:t>Disorderse</w:t>
      </w:r>
      <w:proofErr w:type="spellEnd"/>
      <w:r w:rsidR="003555D1" w:rsidRPr="00B717F6">
        <w:rPr>
          <w:szCs w:val="24"/>
          <w:lang w:val="en-US"/>
        </w:rPr>
        <w:t xml:space="preserve"> </w:t>
      </w:r>
      <w:r w:rsidRPr="00B717F6">
        <w:rPr>
          <w:szCs w:val="24"/>
          <w:lang w:val="en-US"/>
        </w:rPr>
        <w:t xml:space="preserve">Screening Questionnaire (CMD-SQ) in long-term sickness absence. </w:t>
      </w:r>
      <w:r w:rsidR="00A82970" w:rsidRPr="00B717F6">
        <w:rPr>
          <w:i/>
          <w:szCs w:val="24"/>
          <w:lang w:val="en-US"/>
        </w:rPr>
        <w:t>Scandinavian Journal of Public Health,</w:t>
      </w:r>
      <w:r w:rsidRPr="00B717F6">
        <w:rPr>
          <w:i/>
          <w:szCs w:val="24"/>
          <w:lang w:val="en-US"/>
        </w:rPr>
        <w:t xml:space="preserve"> 37</w:t>
      </w:r>
      <w:r w:rsidR="00A82970" w:rsidRPr="00B717F6">
        <w:rPr>
          <w:szCs w:val="24"/>
          <w:lang w:val="en-US"/>
        </w:rPr>
        <w:t xml:space="preserve">(8), </w:t>
      </w:r>
      <w:r w:rsidRPr="00B717F6">
        <w:rPr>
          <w:szCs w:val="24"/>
          <w:lang w:val="en-US"/>
        </w:rPr>
        <w:t>855</w:t>
      </w:r>
      <w:r w:rsidR="00A82970" w:rsidRPr="00B717F6">
        <w:rPr>
          <w:szCs w:val="24"/>
          <w:lang w:val="en-US"/>
        </w:rPr>
        <w:t>–</w:t>
      </w:r>
      <w:r w:rsidRPr="00B717F6">
        <w:rPr>
          <w:szCs w:val="24"/>
          <w:lang w:val="en-US"/>
        </w:rPr>
        <w:t>863.</w:t>
      </w:r>
      <w:r w:rsidR="003555D1" w:rsidRPr="00B717F6">
        <w:rPr>
          <w:szCs w:val="24"/>
          <w:lang w:val="en-US"/>
        </w:rPr>
        <w:t xml:space="preserve"> </w:t>
      </w:r>
      <w:hyperlink r:id="rId28" w:history="1">
        <w:r w:rsidR="00A82970" w:rsidRPr="00B717F6">
          <w:rPr>
            <w:rStyle w:val="Hyperlink"/>
            <w:color w:val="auto"/>
            <w:szCs w:val="24"/>
            <w:u w:val="none"/>
            <w:lang w:val="en-US"/>
          </w:rPr>
          <w:t>https://doi.org/10.1177/1403494809344653</w:t>
        </w:r>
      </w:hyperlink>
    </w:p>
    <w:p w14:paraId="3B3B7621" w14:textId="2E9B0EEA" w:rsidR="007458CC" w:rsidRPr="00B717F6" w:rsidRDefault="007458CC" w:rsidP="009C0C78">
      <w:pPr>
        <w:spacing w:after="120"/>
        <w:ind w:left="709" w:hanging="709"/>
        <w:rPr>
          <w:szCs w:val="24"/>
          <w:lang w:val="en-US"/>
        </w:rPr>
      </w:pPr>
      <w:proofErr w:type="spellStart"/>
      <w:r w:rsidRPr="00B717F6">
        <w:rPr>
          <w:szCs w:val="24"/>
          <w:lang w:val="en-US"/>
        </w:rPr>
        <w:t>Strassberg</w:t>
      </w:r>
      <w:proofErr w:type="spellEnd"/>
      <w:r w:rsidRPr="00B717F6">
        <w:rPr>
          <w:szCs w:val="24"/>
          <w:lang w:val="en-US"/>
        </w:rPr>
        <w:t xml:space="preserve">, D. S., &amp; Lowe, K. (1995). Volunteer bias in sexuality research. </w:t>
      </w:r>
      <w:r w:rsidRPr="00B717F6">
        <w:rPr>
          <w:i/>
          <w:szCs w:val="24"/>
          <w:lang w:val="en-US"/>
        </w:rPr>
        <w:t>Archives of Sexual Behavior, 24</w:t>
      </w:r>
      <w:r w:rsidRPr="00B717F6">
        <w:rPr>
          <w:szCs w:val="24"/>
          <w:lang w:val="en-US"/>
        </w:rPr>
        <w:t>(4), 369–382. https://doi.org/10.1007/BF01541853</w:t>
      </w:r>
    </w:p>
    <w:p w14:paraId="1C7732FE" w14:textId="77777777" w:rsidR="00A82970" w:rsidRPr="00B717F6" w:rsidRDefault="00B77D07" w:rsidP="009C0C78">
      <w:pPr>
        <w:ind w:left="709" w:hanging="709"/>
        <w:rPr>
          <w:szCs w:val="24"/>
          <w:lang w:val="en-US"/>
        </w:rPr>
      </w:pPr>
      <w:proofErr w:type="spellStart"/>
      <w:r w:rsidRPr="00B717F6">
        <w:rPr>
          <w:szCs w:val="24"/>
          <w:lang w:val="en-US"/>
        </w:rPr>
        <w:t>Stroope</w:t>
      </w:r>
      <w:proofErr w:type="spellEnd"/>
      <w:r w:rsidRPr="00B717F6">
        <w:rPr>
          <w:szCs w:val="24"/>
          <w:lang w:val="en-US"/>
        </w:rPr>
        <w:t xml:space="preserve">, S., McFarland, M. J., &amp; </w:t>
      </w:r>
      <w:proofErr w:type="spellStart"/>
      <w:r w:rsidRPr="00B717F6">
        <w:rPr>
          <w:szCs w:val="24"/>
          <w:lang w:val="en-US"/>
        </w:rPr>
        <w:t>Uecker</w:t>
      </w:r>
      <w:proofErr w:type="spellEnd"/>
      <w:r w:rsidRPr="00B717F6">
        <w:rPr>
          <w:szCs w:val="24"/>
          <w:lang w:val="en-US"/>
        </w:rPr>
        <w:t xml:space="preserve">, J. E. (2015). Marital characteristics and the sexual relationships of U.S. older adults: An analysis of national social life, health, and aging project data. </w:t>
      </w:r>
      <w:r w:rsidR="00A82970" w:rsidRPr="00B717F6">
        <w:rPr>
          <w:i/>
          <w:szCs w:val="24"/>
          <w:lang w:val="en-US"/>
        </w:rPr>
        <w:t>Archives of Sexual Behavior</w:t>
      </w:r>
      <w:r w:rsidRPr="00B717F6">
        <w:rPr>
          <w:i/>
          <w:szCs w:val="24"/>
          <w:lang w:val="en-US"/>
        </w:rPr>
        <w:t>, 44</w:t>
      </w:r>
      <w:r w:rsidR="00A82970" w:rsidRPr="00B717F6">
        <w:rPr>
          <w:szCs w:val="24"/>
          <w:lang w:val="en-US"/>
        </w:rPr>
        <w:t>, 233–</w:t>
      </w:r>
      <w:r w:rsidRPr="00B717F6">
        <w:rPr>
          <w:szCs w:val="24"/>
          <w:lang w:val="en-US"/>
        </w:rPr>
        <w:t xml:space="preserve">247. </w:t>
      </w:r>
      <w:r w:rsidR="00A82970" w:rsidRPr="00B717F6">
        <w:rPr>
          <w:szCs w:val="24"/>
          <w:lang w:val="en-US"/>
        </w:rPr>
        <w:t xml:space="preserve">https://doi.org/10.1007/s10508-014-0379-y </w:t>
      </w:r>
    </w:p>
    <w:p w14:paraId="0C4369B6" w14:textId="6F1E15F6" w:rsidR="00A82970" w:rsidRPr="00B717F6" w:rsidRDefault="00A82970" w:rsidP="009C0C78">
      <w:pPr>
        <w:pStyle w:val="NoSpacing"/>
        <w:spacing w:line="480" w:lineRule="auto"/>
        <w:ind w:left="709" w:hanging="709"/>
        <w:contextualSpacing/>
        <w:rPr>
          <w:szCs w:val="24"/>
          <w:lang w:val="en-US"/>
        </w:rPr>
      </w:pPr>
      <w:proofErr w:type="spellStart"/>
      <w:r w:rsidRPr="00B717F6">
        <w:rPr>
          <w:szCs w:val="24"/>
          <w:lang w:val="en-US"/>
        </w:rPr>
        <w:t>Štulhofer</w:t>
      </w:r>
      <w:proofErr w:type="spellEnd"/>
      <w:r w:rsidRPr="00B717F6">
        <w:rPr>
          <w:szCs w:val="24"/>
          <w:lang w:val="en-US"/>
        </w:rPr>
        <w:t xml:space="preserve">, A., </w:t>
      </w:r>
      <w:proofErr w:type="spellStart"/>
      <w:r w:rsidRPr="00B717F6">
        <w:rPr>
          <w:szCs w:val="24"/>
          <w:lang w:val="en-US"/>
        </w:rPr>
        <w:t>Jurin</w:t>
      </w:r>
      <w:proofErr w:type="spellEnd"/>
      <w:r w:rsidRPr="00B717F6">
        <w:rPr>
          <w:szCs w:val="24"/>
          <w:lang w:val="en-US"/>
        </w:rPr>
        <w:t xml:space="preserve">, T., Graham, C., </w:t>
      </w:r>
      <w:proofErr w:type="spellStart"/>
      <w:r w:rsidRPr="00B717F6">
        <w:rPr>
          <w:szCs w:val="24"/>
          <w:lang w:val="en-US"/>
        </w:rPr>
        <w:t>Enzlin</w:t>
      </w:r>
      <w:proofErr w:type="spellEnd"/>
      <w:r w:rsidRPr="00B717F6">
        <w:rPr>
          <w:szCs w:val="24"/>
          <w:lang w:val="en-US"/>
        </w:rPr>
        <w:t xml:space="preserve">, P., &amp; </w:t>
      </w:r>
      <w:proofErr w:type="spellStart"/>
      <w:r w:rsidRPr="00B717F6">
        <w:rPr>
          <w:szCs w:val="24"/>
          <w:lang w:val="en-US"/>
        </w:rPr>
        <w:t>Træen</w:t>
      </w:r>
      <w:proofErr w:type="spellEnd"/>
      <w:r w:rsidRPr="00B717F6">
        <w:rPr>
          <w:szCs w:val="24"/>
          <w:lang w:val="en-US"/>
        </w:rPr>
        <w:t xml:space="preserve">, B. (2018). Sexual wellbeing in older men and women: Construction and validation of a multi-dimensional measure of </w:t>
      </w:r>
      <w:r w:rsidRPr="00B717F6">
        <w:rPr>
          <w:szCs w:val="24"/>
          <w:lang w:val="en-US"/>
        </w:rPr>
        <w:lastRenderedPageBreak/>
        <w:t xml:space="preserve">four European countries. </w:t>
      </w:r>
      <w:r w:rsidRPr="00B717F6">
        <w:rPr>
          <w:i/>
          <w:szCs w:val="24"/>
          <w:lang w:val="en-US"/>
        </w:rPr>
        <w:t>Journal of Happiness Studies,</w:t>
      </w:r>
      <w:r w:rsidRPr="00B717F6">
        <w:rPr>
          <w:bCs/>
          <w:i/>
          <w:szCs w:val="24"/>
          <w:lang w:val="en-US"/>
        </w:rPr>
        <w:t xml:space="preserve"> 20</w:t>
      </w:r>
      <w:r w:rsidRPr="00B717F6">
        <w:rPr>
          <w:bCs/>
          <w:szCs w:val="24"/>
          <w:lang w:val="en-US"/>
        </w:rPr>
        <w:t>, </w:t>
      </w:r>
      <w:r w:rsidRPr="00B717F6">
        <w:rPr>
          <w:szCs w:val="24"/>
          <w:lang w:val="en-US"/>
        </w:rPr>
        <w:t xml:space="preserve">2329–2350 </w:t>
      </w:r>
      <w:hyperlink r:id="rId29" w:history="1">
        <w:r w:rsidRPr="00B717F6">
          <w:rPr>
            <w:rStyle w:val="Hyperlink"/>
            <w:color w:val="auto"/>
            <w:szCs w:val="24"/>
            <w:u w:val="none"/>
            <w:lang w:val="en-US"/>
          </w:rPr>
          <w:t>https://doi.org/10.1007/s10902-018-0049-1</w:t>
        </w:r>
      </w:hyperlink>
    </w:p>
    <w:p w14:paraId="2B276189" w14:textId="6499A7CC" w:rsidR="000C0661" w:rsidRPr="00B717F6" w:rsidRDefault="000C0661" w:rsidP="009C0C78">
      <w:pPr>
        <w:ind w:left="709" w:hanging="709"/>
        <w:rPr>
          <w:szCs w:val="24"/>
          <w:lang w:val="en-US"/>
        </w:rPr>
      </w:pPr>
      <w:proofErr w:type="spellStart"/>
      <w:r w:rsidRPr="00B717F6">
        <w:rPr>
          <w:szCs w:val="24"/>
          <w:lang w:val="en-US"/>
        </w:rPr>
        <w:t>Træen</w:t>
      </w:r>
      <w:proofErr w:type="spellEnd"/>
      <w:r w:rsidRPr="00B717F6">
        <w:rPr>
          <w:szCs w:val="24"/>
          <w:lang w:val="en-US"/>
        </w:rPr>
        <w:t xml:space="preserve">, B., &amp; </w:t>
      </w:r>
      <w:proofErr w:type="spellStart"/>
      <w:r w:rsidRPr="00B717F6">
        <w:rPr>
          <w:szCs w:val="24"/>
          <w:lang w:val="en-US"/>
        </w:rPr>
        <w:t>Kvalem</w:t>
      </w:r>
      <w:proofErr w:type="spellEnd"/>
      <w:r w:rsidRPr="00B717F6">
        <w:rPr>
          <w:szCs w:val="24"/>
          <w:lang w:val="en-US"/>
        </w:rPr>
        <w:t xml:space="preserve">, I. (1996). Sexual socialization and motives for intercourse among Norwegian adolescents. </w:t>
      </w:r>
      <w:r w:rsidRPr="00B717F6">
        <w:rPr>
          <w:i/>
          <w:szCs w:val="24"/>
          <w:lang w:val="en-US"/>
        </w:rPr>
        <w:t>Archives of Sexual Behavior, 25</w:t>
      </w:r>
      <w:r w:rsidRPr="00B717F6">
        <w:rPr>
          <w:szCs w:val="24"/>
          <w:lang w:val="en-US"/>
        </w:rPr>
        <w:t>(3), 289–302. https://doi-org.ezproxy.uio.no/10.1007/BF02438166</w:t>
      </w:r>
    </w:p>
    <w:p w14:paraId="00CE02CA" w14:textId="77777777" w:rsidR="00E26151" w:rsidRPr="00B717F6" w:rsidRDefault="00E26151" w:rsidP="009C0C78">
      <w:pPr>
        <w:pStyle w:val="NoSpacing"/>
        <w:spacing w:line="480" w:lineRule="auto"/>
        <w:contextualSpacing/>
        <w:rPr>
          <w:rFonts w:eastAsiaTheme="minorHAnsi"/>
          <w:szCs w:val="24"/>
        </w:rPr>
      </w:pPr>
      <w:proofErr w:type="spellStart"/>
      <w:r w:rsidRPr="00B717F6">
        <w:rPr>
          <w:rFonts w:eastAsiaTheme="minorHAnsi"/>
          <w:szCs w:val="24"/>
          <w:lang w:val="en-US"/>
        </w:rPr>
        <w:t>Træen</w:t>
      </w:r>
      <w:proofErr w:type="spellEnd"/>
      <w:r w:rsidRPr="00B717F6">
        <w:rPr>
          <w:rFonts w:eastAsiaTheme="minorHAnsi"/>
          <w:szCs w:val="24"/>
          <w:lang w:val="en-US"/>
        </w:rPr>
        <w:t xml:space="preserve">, B., &amp; Lewin, B. (2008). </w:t>
      </w:r>
      <w:r w:rsidRPr="00B717F6">
        <w:rPr>
          <w:rFonts w:eastAsiaTheme="minorHAnsi"/>
          <w:i/>
          <w:szCs w:val="24"/>
          <w:lang w:val="en-US"/>
        </w:rPr>
        <w:t>Sexology in context.</w:t>
      </w:r>
      <w:r w:rsidRPr="00B717F6">
        <w:rPr>
          <w:rFonts w:eastAsiaTheme="minorHAnsi"/>
          <w:szCs w:val="24"/>
          <w:lang w:val="en-US"/>
        </w:rPr>
        <w:t xml:space="preserve"> </w:t>
      </w:r>
      <w:r w:rsidRPr="00B717F6">
        <w:rPr>
          <w:rFonts w:eastAsiaTheme="minorHAnsi"/>
          <w:szCs w:val="24"/>
        </w:rPr>
        <w:t>Universitetsforlaget AS</w:t>
      </w:r>
    </w:p>
    <w:p w14:paraId="1381FE80" w14:textId="77777777" w:rsidR="00C33AD2" w:rsidRPr="00B717F6" w:rsidRDefault="00B77D07" w:rsidP="009C0C78">
      <w:pPr>
        <w:spacing w:after="120"/>
        <w:ind w:left="709" w:hanging="709"/>
        <w:rPr>
          <w:szCs w:val="24"/>
          <w:lang w:val="en-US"/>
        </w:rPr>
      </w:pPr>
      <w:r w:rsidRPr="00B717F6">
        <w:rPr>
          <w:szCs w:val="24"/>
        </w:rPr>
        <w:t xml:space="preserve">Træen, B., </w:t>
      </w:r>
      <w:proofErr w:type="spellStart"/>
      <w:r w:rsidR="00514745" w:rsidRPr="00B717F6">
        <w:rPr>
          <w:szCs w:val="24"/>
        </w:rPr>
        <w:t>Štulhofer</w:t>
      </w:r>
      <w:proofErr w:type="spellEnd"/>
      <w:r w:rsidRPr="00B717F6">
        <w:rPr>
          <w:szCs w:val="24"/>
        </w:rPr>
        <w:t xml:space="preserve">, A., Janssen, E., </w:t>
      </w:r>
      <w:proofErr w:type="spellStart"/>
      <w:r w:rsidRPr="00B717F6">
        <w:rPr>
          <w:szCs w:val="24"/>
        </w:rPr>
        <w:t>Carvalheira</w:t>
      </w:r>
      <w:proofErr w:type="spellEnd"/>
      <w:r w:rsidRPr="00B717F6">
        <w:rPr>
          <w:szCs w:val="24"/>
        </w:rPr>
        <w:t xml:space="preserve">, A. A., Hald, G. M., Lange, T., &amp; Graham, C. (2019). </w:t>
      </w:r>
      <w:r w:rsidRPr="00B717F6">
        <w:rPr>
          <w:szCs w:val="24"/>
          <w:lang w:val="en-US"/>
        </w:rPr>
        <w:t xml:space="preserve">Sexual activity and sexual satisfaction among older adults in four European countries. </w:t>
      </w:r>
      <w:r w:rsidRPr="00B717F6">
        <w:rPr>
          <w:i/>
          <w:szCs w:val="24"/>
          <w:lang w:val="en-US"/>
        </w:rPr>
        <w:t>Archives of Sexual Behavior, 48</w:t>
      </w:r>
      <w:r w:rsidRPr="00B717F6">
        <w:rPr>
          <w:szCs w:val="24"/>
          <w:lang w:val="en-US"/>
        </w:rPr>
        <w:t xml:space="preserve">(3), 815–829. </w:t>
      </w:r>
      <w:hyperlink r:id="rId30" w:history="1">
        <w:r w:rsidRPr="00B717F6">
          <w:rPr>
            <w:szCs w:val="24"/>
            <w:lang w:val="en-US"/>
          </w:rPr>
          <w:t>https://doi.org/10.1007/s10508-018-1256-x</w:t>
        </w:r>
      </w:hyperlink>
    </w:p>
    <w:p w14:paraId="570F69CA" w14:textId="33711010" w:rsidR="00C33AD2" w:rsidRPr="00B717F6" w:rsidRDefault="00C33AD2" w:rsidP="009C0C78">
      <w:pPr>
        <w:spacing w:after="120"/>
        <w:ind w:left="709" w:hanging="709"/>
        <w:rPr>
          <w:szCs w:val="24"/>
          <w:lang w:val="en-US"/>
        </w:rPr>
      </w:pPr>
      <w:proofErr w:type="spellStart"/>
      <w:r w:rsidRPr="00B717F6">
        <w:rPr>
          <w:szCs w:val="24"/>
          <w:lang w:val="en-US"/>
        </w:rPr>
        <w:t>Velten</w:t>
      </w:r>
      <w:proofErr w:type="spellEnd"/>
      <w:r w:rsidRPr="00B717F6">
        <w:rPr>
          <w:szCs w:val="24"/>
          <w:lang w:val="en-US"/>
        </w:rPr>
        <w:t xml:space="preserve">, J., &amp; </w:t>
      </w:r>
      <w:proofErr w:type="spellStart"/>
      <w:r w:rsidRPr="00B717F6">
        <w:rPr>
          <w:szCs w:val="24"/>
          <w:lang w:val="en-US"/>
        </w:rPr>
        <w:t>Margraf</w:t>
      </w:r>
      <w:proofErr w:type="spellEnd"/>
      <w:r w:rsidRPr="00B717F6">
        <w:rPr>
          <w:szCs w:val="24"/>
          <w:lang w:val="en-US"/>
        </w:rPr>
        <w:t xml:space="preserve">, J. (2017). Satisfaction guaranteed? How individual, partner, and relationship factors impact sexual satisfaction within partnerships. </w:t>
      </w:r>
      <w:proofErr w:type="spellStart"/>
      <w:r w:rsidRPr="00B717F6">
        <w:rPr>
          <w:i/>
          <w:szCs w:val="24"/>
          <w:lang w:val="en-US"/>
        </w:rPr>
        <w:t>PLoS</w:t>
      </w:r>
      <w:proofErr w:type="spellEnd"/>
      <w:r w:rsidRPr="00B717F6">
        <w:rPr>
          <w:i/>
          <w:szCs w:val="24"/>
          <w:lang w:val="en-US"/>
        </w:rPr>
        <w:t xml:space="preserve"> ONE, 12</w:t>
      </w:r>
      <w:r w:rsidRPr="00B717F6">
        <w:rPr>
          <w:szCs w:val="24"/>
          <w:lang w:val="en-US"/>
        </w:rPr>
        <w:t>(2), e0172855. https://doi.org/10.1371/ journal.pone.0172855.</w:t>
      </w:r>
    </w:p>
    <w:p w14:paraId="7FA2D151" w14:textId="77777777" w:rsidR="0016227B" w:rsidRPr="0016227B" w:rsidRDefault="0016227B" w:rsidP="009C0C78">
      <w:pPr>
        <w:ind w:left="709" w:hanging="709"/>
        <w:rPr>
          <w:lang w:val="en-US"/>
        </w:rPr>
      </w:pPr>
      <w:r w:rsidRPr="00B717F6">
        <w:rPr>
          <w:szCs w:val="24"/>
          <w:lang w:val="en-US"/>
        </w:rPr>
        <w:t xml:space="preserve">World Economic Forum. (2017). </w:t>
      </w:r>
      <w:r w:rsidRPr="00B717F6">
        <w:rPr>
          <w:i/>
          <w:szCs w:val="24"/>
          <w:lang w:val="en-US"/>
        </w:rPr>
        <w:t>The Global Gender Gap Report 2017 Insight Report</w:t>
      </w:r>
      <w:r w:rsidRPr="00B717F6">
        <w:rPr>
          <w:szCs w:val="24"/>
          <w:lang w:val="en-US"/>
        </w:rPr>
        <w:t>. http://www3.weforum.org/docs/WEF_GGGR</w:t>
      </w:r>
      <w:r w:rsidRPr="0016227B">
        <w:rPr>
          <w:lang w:val="en-US"/>
        </w:rPr>
        <w:t>_2017.pdf</w:t>
      </w:r>
    </w:p>
    <w:p w14:paraId="725612AF" w14:textId="77777777" w:rsidR="001D3504" w:rsidRPr="00B77D07" w:rsidRDefault="001D3504" w:rsidP="00B77D07">
      <w:pPr>
        <w:spacing w:line="360" w:lineRule="auto"/>
        <w:ind w:left="709" w:hanging="709"/>
        <w:rPr>
          <w:szCs w:val="24"/>
          <w:lang w:val="en-US"/>
        </w:rPr>
        <w:sectPr w:rsidR="001D3504" w:rsidRPr="00B77D07" w:rsidSect="00E3303D">
          <w:headerReference w:type="default" r:id="rId31"/>
          <w:footerReference w:type="default" r:id="rId32"/>
          <w:pgSz w:w="11906" w:h="16838" w:code="9"/>
          <w:pgMar w:top="1440" w:right="1440" w:bottom="1440" w:left="1440" w:header="709" w:footer="709" w:gutter="0"/>
          <w:cols w:space="708"/>
          <w:titlePg/>
          <w:docGrid w:linePitch="360"/>
        </w:sectPr>
      </w:pPr>
    </w:p>
    <w:tbl>
      <w:tblPr>
        <w:tblStyle w:val="Style11"/>
        <w:tblpPr w:leftFromText="180" w:rightFromText="180" w:vertAnchor="page" w:horzAnchor="margin" w:tblpY="2440"/>
        <w:tblW w:w="10915" w:type="dxa"/>
        <w:tblBorders>
          <w:top w:val="none" w:sz="0" w:space="0" w:color="auto"/>
          <w:bottom w:val="none" w:sz="0" w:space="0" w:color="auto"/>
        </w:tblBorders>
        <w:tblLayout w:type="fixed"/>
        <w:tblLook w:val="04A0" w:firstRow="1" w:lastRow="0" w:firstColumn="1" w:lastColumn="0" w:noHBand="0" w:noVBand="1"/>
      </w:tblPr>
      <w:tblGrid>
        <w:gridCol w:w="1559"/>
        <w:gridCol w:w="1134"/>
        <w:gridCol w:w="993"/>
        <w:gridCol w:w="992"/>
        <w:gridCol w:w="992"/>
        <w:gridCol w:w="992"/>
        <w:gridCol w:w="284"/>
        <w:gridCol w:w="992"/>
        <w:gridCol w:w="992"/>
        <w:gridCol w:w="993"/>
        <w:gridCol w:w="992"/>
      </w:tblGrid>
      <w:tr w:rsidR="001D3504" w:rsidRPr="00B77D07" w14:paraId="49AF1F0E" w14:textId="77777777" w:rsidTr="00B717F6">
        <w:tc>
          <w:tcPr>
            <w:tcW w:w="1559" w:type="dxa"/>
            <w:tcBorders>
              <w:top w:val="single" w:sz="4" w:space="0" w:color="auto"/>
            </w:tcBorders>
          </w:tcPr>
          <w:p w14:paraId="7F9DB4A5" w14:textId="77777777" w:rsidR="001D3504" w:rsidRPr="00B77D07" w:rsidRDefault="001D3504" w:rsidP="00B717F6">
            <w:pPr>
              <w:spacing w:line="360" w:lineRule="auto"/>
              <w:ind w:firstLine="0"/>
              <w:rPr>
                <w:sz w:val="20"/>
                <w:szCs w:val="20"/>
                <w:lang w:val="en-US"/>
              </w:rPr>
            </w:pPr>
          </w:p>
        </w:tc>
        <w:tc>
          <w:tcPr>
            <w:tcW w:w="1134" w:type="dxa"/>
            <w:tcBorders>
              <w:top w:val="single" w:sz="4" w:space="0" w:color="auto"/>
            </w:tcBorders>
          </w:tcPr>
          <w:p w14:paraId="60280BEF" w14:textId="77777777" w:rsidR="001D3504" w:rsidRPr="00B77D07" w:rsidRDefault="001D3504" w:rsidP="00B717F6">
            <w:pPr>
              <w:spacing w:line="360" w:lineRule="auto"/>
              <w:ind w:firstLine="0"/>
              <w:jc w:val="center"/>
              <w:rPr>
                <w:sz w:val="20"/>
                <w:szCs w:val="20"/>
                <w:lang w:val="en-US"/>
              </w:rPr>
            </w:pPr>
          </w:p>
        </w:tc>
        <w:tc>
          <w:tcPr>
            <w:tcW w:w="3969" w:type="dxa"/>
            <w:gridSpan w:val="4"/>
            <w:tcBorders>
              <w:top w:val="single" w:sz="4" w:space="0" w:color="auto"/>
              <w:bottom w:val="single" w:sz="4" w:space="0" w:color="auto"/>
            </w:tcBorders>
          </w:tcPr>
          <w:p w14:paraId="7B5EC289" w14:textId="77777777" w:rsidR="001D3504" w:rsidRPr="00B77D07" w:rsidRDefault="001D3504" w:rsidP="00B717F6">
            <w:pPr>
              <w:spacing w:line="360" w:lineRule="auto"/>
              <w:ind w:firstLine="0"/>
              <w:jc w:val="center"/>
              <w:rPr>
                <w:b/>
                <w:sz w:val="20"/>
                <w:szCs w:val="20"/>
              </w:rPr>
            </w:pPr>
            <w:r w:rsidRPr="00B77D07">
              <w:rPr>
                <w:b/>
                <w:sz w:val="20"/>
                <w:szCs w:val="20"/>
              </w:rPr>
              <w:t xml:space="preserve">Men  </w:t>
            </w:r>
          </w:p>
        </w:tc>
        <w:tc>
          <w:tcPr>
            <w:tcW w:w="284" w:type="dxa"/>
            <w:tcBorders>
              <w:top w:val="single" w:sz="4" w:space="0" w:color="auto"/>
            </w:tcBorders>
          </w:tcPr>
          <w:p w14:paraId="7D5A057D" w14:textId="77777777" w:rsidR="001D3504" w:rsidRPr="00B77D07" w:rsidRDefault="001D3504" w:rsidP="00B717F6">
            <w:pPr>
              <w:spacing w:line="360" w:lineRule="auto"/>
              <w:ind w:firstLine="0"/>
              <w:jc w:val="center"/>
              <w:rPr>
                <w:sz w:val="20"/>
                <w:szCs w:val="20"/>
              </w:rPr>
            </w:pPr>
          </w:p>
        </w:tc>
        <w:tc>
          <w:tcPr>
            <w:tcW w:w="3969" w:type="dxa"/>
            <w:gridSpan w:val="4"/>
            <w:tcBorders>
              <w:top w:val="single" w:sz="4" w:space="0" w:color="auto"/>
              <w:bottom w:val="single" w:sz="4" w:space="0" w:color="auto"/>
            </w:tcBorders>
          </w:tcPr>
          <w:p w14:paraId="01919934" w14:textId="77777777" w:rsidR="001D3504" w:rsidRPr="00B77D07" w:rsidRDefault="001D3504" w:rsidP="00B717F6">
            <w:pPr>
              <w:spacing w:line="360" w:lineRule="auto"/>
              <w:ind w:firstLine="0"/>
              <w:jc w:val="center"/>
              <w:rPr>
                <w:b/>
                <w:sz w:val="20"/>
                <w:szCs w:val="20"/>
              </w:rPr>
            </w:pPr>
            <w:proofErr w:type="spellStart"/>
            <w:r w:rsidRPr="00B77D07">
              <w:rPr>
                <w:b/>
                <w:sz w:val="20"/>
                <w:szCs w:val="20"/>
              </w:rPr>
              <w:t>Women</w:t>
            </w:r>
            <w:proofErr w:type="spellEnd"/>
            <w:r w:rsidRPr="00B77D07">
              <w:rPr>
                <w:b/>
                <w:sz w:val="20"/>
                <w:szCs w:val="20"/>
              </w:rPr>
              <w:t xml:space="preserve"> </w:t>
            </w:r>
          </w:p>
        </w:tc>
      </w:tr>
      <w:tr w:rsidR="001D3504" w:rsidRPr="00B77D07" w14:paraId="5C453CB2" w14:textId="77777777" w:rsidTr="00B717F6">
        <w:tc>
          <w:tcPr>
            <w:tcW w:w="1559" w:type="dxa"/>
          </w:tcPr>
          <w:p w14:paraId="5E473AA5" w14:textId="77777777" w:rsidR="001D3504" w:rsidRPr="00B77D07" w:rsidRDefault="001D3504" w:rsidP="00B717F6">
            <w:pPr>
              <w:spacing w:line="360" w:lineRule="auto"/>
              <w:ind w:firstLine="0"/>
              <w:rPr>
                <w:sz w:val="20"/>
                <w:szCs w:val="20"/>
              </w:rPr>
            </w:pPr>
          </w:p>
        </w:tc>
        <w:tc>
          <w:tcPr>
            <w:tcW w:w="1134" w:type="dxa"/>
            <w:tcBorders>
              <w:bottom w:val="single" w:sz="4" w:space="0" w:color="auto"/>
            </w:tcBorders>
          </w:tcPr>
          <w:p w14:paraId="6DA1BA15" w14:textId="77777777" w:rsidR="001D3504" w:rsidRPr="00B77D07" w:rsidRDefault="001D3504" w:rsidP="00B717F6">
            <w:pPr>
              <w:spacing w:line="360" w:lineRule="auto"/>
              <w:ind w:firstLine="0"/>
              <w:jc w:val="center"/>
              <w:rPr>
                <w:sz w:val="20"/>
                <w:szCs w:val="20"/>
              </w:rPr>
            </w:pPr>
          </w:p>
        </w:tc>
        <w:tc>
          <w:tcPr>
            <w:tcW w:w="993" w:type="dxa"/>
            <w:tcBorders>
              <w:bottom w:val="single" w:sz="4" w:space="0" w:color="auto"/>
            </w:tcBorders>
          </w:tcPr>
          <w:p w14:paraId="706CB847" w14:textId="77777777" w:rsidR="001D3504" w:rsidRPr="00B77D07" w:rsidRDefault="001D3504" w:rsidP="00B717F6">
            <w:pPr>
              <w:spacing w:line="360" w:lineRule="auto"/>
              <w:ind w:firstLine="0"/>
              <w:jc w:val="center"/>
              <w:rPr>
                <w:sz w:val="20"/>
                <w:szCs w:val="20"/>
              </w:rPr>
            </w:pPr>
            <w:r w:rsidRPr="00B77D07">
              <w:rPr>
                <w:sz w:val="20"/>
                <w:szCs w:val="20"/>
              </w:rPr>
              <w:t>Norway</w:t>
            </w:r>
          </w:p>
          <w:p w14:paraId="15E6775A" w14:textId="77777777" w:rsidR="001D3504" w:rsidRPr="00B77D07" w:rsidRDefault="001D3504" w:rsidP="00B717F6">
            <w:pPr>
              <w:spacing w:line="360" w:lineRule="auto"/>
              <w:ind w:firstLine="0"/>
              <w:jc w:val="center"/>
              <w:rPr>
                <w:sz w:val="20"/>
                <w:szCs w:val="20"/>
              </w:rPr>
            </w:pPr>
            <w:r w:rsidRPr="00B77D07">
              <w:rPr>
                <w:sz w:val="20"/>
                <w:szCs w:val="20"/>
              </w:rPr>
              <w:t xml:space="preserve"> %</w:t>
            </w:r>
          </w:p>
        </w:tc>
        <w:tc>
          <w:tcPr>
            <w:tcW w:w="992" w:type="dxa"/>
            <w:tcBorders>
              <w:bottom w:val="single" w:sz="4" w:space="0" w:color="auto"/>
            </w:tcBorders>
          </w:tcPr>
          <w:p w14:paraId="457D7F67" w14:textId="77777777" w:rsidR="001D3504" w:rsidRPr="00B77D07" w:rsidRDefault="001D3504" w:rsidP="00B717F6">
            <w:pPr>
              <w:spacing w:line="360" w:lineRule="auto"/>
              <w:ind w:firstLine="0"/>
              <w:jc w:val="center"/>
              <w:rPr>
                <w:sz w:val="20"/>
                <w:szCs w:val="20"/>
              </w:rPr>
            </w:pPr>
            <w:proofErr w:type="spellStart"/>
            <w:r w:rsidRPr="00B77D07">
              <w:rPr>
                <w:sz w:val="20"/>
                <w:szCs w:val="20"/>
              </w:rPr>
              <w:t>Denmark</w:t>
            </w:r>
            <w:proofErr w:type="spellEnd"/>
            <w:r w:rsidRPr="00B77D07">
              <w:rPr>
                <w:sz w:val="20"/>
                <w:szCs w:val="20"/>
              </w:rPr>
              <w:t>%</w:t>
            </w:r>
          </w:p>
        </w:tc>
        <w:tc>
          <w:tcPr>
            <w:tcW w:w="992" w:type="dxa"/>
            <w:tcBorders>
              <w:bottom w:val="single" w:sz="4" w:space="0" w:color="auto"/>
            </w:tcBorders>
          </w:tcPr>
          <w:p w14:paraId="7A8D65BC" w14:textId="77777777" w:rsidR="001D3504" w:rsidRPr="00B77D07" w:rsidRDefault="001D3504" w:rsidP="00B717F6">
            <w:pPr>
              <w:spacing w:line="360" w:lineRule="auto"/>
              <w:ind w:firstLine="0"/>
              <w:jc w:val="center"/>
              <w:rPr>
                <w:sz w:val="20"/>
                <w:szCs w:val="20"/>
              </w:rPr>
            </w:pPr>
            <w:proofErr w:type="spellStart"/>
            <w:r w:rsidRPr="00B77D07">
              <w:rPr>
                <w:sz w:val="20"/>
                <w:szCs w:val="20"/>
              </w:rPr>
              <w:t>Belgium</w:t>
            </w:r>
            <w:proofErr w:type="spellEnd"/>
          </w:p>
          <w:p w14:paraId="1D84DCE7" w14:textId="77777777" w:rsidR="001D3504" w:rsidRPr="00B77D07" w:rsidRDefault="001D3504" w:rsidP="00B717F6">
            <w:pPr>
              <w:spacing w:line="360" w:lineRule="auto"/>
              <w:ind w:firstLine="0"/>
              <w:jc w:val="center"/>
              <w:rPr>
                <w:sz w:val="20"/>
                <w:szCs w:val="20"/>
              </w:rPr>
            </w:pPr>
            <w:r w:rsidRPr="00B77D07">
              <w:rPr>
                <w:sz w:val="20"/>
                <w:szCs w:val="20"/>
              </w:rPr>
              <w:t>%</w:t>
            </w:r>
          </w:p>
        </w:tc>
        <w:tc>
          <w:tcPr>
            <w:tcW w:w="992" w:type="dxa"/>
            <w:tcBorders>
              <w:bottom w:val="single" w:sz="4" w:space="0" w:color="auto"/>
            </w:tcBorders>
          </w:tcPr>
          <w:p w14:paraId="0D1B4A49" w14:textId="77777777" w:rsidR="001D3504" w:rsidRPr="00B77D07" w:rsidRDefault="001D3504" w:rsidP="00B717F6">
            <w:pPr>
              <w:spacing w:line="360" w:lineRule="auto"/>
              <w:ind w:firstLine="0"/>
              <w:jc w:val="center"/>
              <w:rPr>
                <w:sz w:val="20"/>
                <w:szCs w:val="20"/>
              </w:rPr>
            </w:pPr>
            <w:r w:rsidRPr="00B77D07">
              <w:rPr>
                <w:sz w:val="20"/>
                <w:szCs w:val="20"/>
              </w:rPr>
              <w:t>Portugal%</w:t>
            </w:r>
          </w:p>
        </w:tc>
        <w:tc>
          <w:tcPr>
            <w:tcW w:w="284" w:type="dxa"/>
          </w:tcPr>
          <w:p w14:paraId="6AFD871E" w14:textId="77777777" w:rsidR="001D3504" w:rsidRPr="00B77D07" w:rsidRDefault="001D3504" w:rsidP="00B717F6">
            <w:pPr>
              <w:spacing w:line="360" w:lineRule="auto"/>
              <w:ind w:firstLine="0"/>
              <w:jc w:val="center"/>
              <w:rPr>
                <w:sz w:val="20"/>
                <w:szCs w:val="20"/>
              </w:rPr>
            </w:pPr>
          </w:p>
        </w:tc>
        <w:tc>
          <w:tcPr>
            <w:tcW w:w="992" w:type="dxa"/>
            <w:tcBorders>
              <w:bottom w:val="single" w:sz="4" w:space="0" w:color="auto"/>
            </w:tcBorders>
          </w:tcPr>
          <w:p w14:paraId="1B35775F" w14:textId="77777777" w:rsidR="001D3504" w:rsidRPr="00B77D07" w:rsidRDefault="001D3504" w:rsidP="00B717F6">
            <w:pPr>
              <w:spacing w:line="360" w:lineRule="auto"/>
              <w:ind w:firstLine="0"/>
              <w:jc w:val="center"/>
              <w:rPr>
                <w:sz w:val="20"/>
                <w:szCs w:val="20"/>
              </w:rPr>
            </w:pPr>
            <w:r w:rsidRPr="00B77D07">
              <w:rPr>
                <w:sz w:val="20"/>
                <w:szCs w:val="20"/>
              </w:rPr>
              <w:t xml:space="preserve">Norway </w:t>
            </w:r>
          </w:p>
          <w:p w14:paraId="6D313985" w14:textId="77777777" w:rsidR="001D3504" w:rsidRPr="00B77D07" w:rsidRDefault="001D3504" w:rsidP="00B717F6">
            <w:pPr>
              <w:spacing w:line="360" w:lineRule="auto"/>
              <w:ind w:firstLine="0"/>
              <w:jc w:val="center"/>
              <w:rPr>
                <w:sz w:val="20"/>
                <w:szCs w:val="20"/>
              </w:rPr>
            </w:pPr>
            <w:r w:rsidRPr="00B77D07">
              <w:rPr>
                <w:sz w:val="20"/>
                <w:szCs w:val="20"/>
              </w:rPr>
              <w:t>%</w:t>
            </w:r>
          </w:p>
        </w:tc>
        <w:tc>
          <w:tcPr>
            <w:tcW w:w="992" w:type="dxa"/>
            <w:tcBorders>
              <w:bottom w:val="single" w:sz="4" w:space="0" w:color="auto"/>
            </w:tcBorders>
          </w:tcPr>
          <w:p w14:paraId="1478A47F" w14:textId="77777777" w:rsidR="001D3504" w:rsidRPr="00B77D07" w:rsidRDefault="001D3504" w:rsidP="00B717F6">
            <w:pPr>
              <w:spacing w:line="360" w:lineRule="auto"/>
              <w:ind w:firstLine="0"/>
              <w:jc w:val="center"/>
              <w:rPr>
                <w:sz w:val="20"/>
                <w:szCs w:val="20"/>
              </w:rPr>
            </w:pPr>
            <w:proofErr w:type="spellStart"/>
            <w:r w:rsidRPr="00B77D07">
              <w:rPr>
                <w:sz w:val="20"/>
                <w:szCs w:val="20"/>
              </w:rPr>
              <w:t>Denmark</w:t>
            </w:r>
            <w:proofErr w:type="spellEnd"/>
            <w:r w:rsidRPr="00B77D07">
              <w:rPr>
                <w:sz w:val="20"/>
                <w:szCs w:val="20"/>
              </w:rPr>
              <w:t>%</w:t>
            </w:r>
          </w:p>
        </w:tc>
        <w:tc>
          <w:tcPr>
            <w:tcW w:w="993" w:type="dxa"/>
            <w:tcBorders>
              <w:bottom w:val="single" w:sz="4" w:space="0" w:color="auto"/>
            </w:tcBorders>
          </w:tcPr>
          <w:p w14:paraId="734B554E" w14:textId="77777777" w:rsidR="001D3504" w:rsidRPr="00B77D07" w:rsidRDefault="001D3504" w:rsidP="00B717F6">
            <w:pPr>
              <w:spacing w:line="360" w:lineRule="auto"/>
              <w:ind w:firstLine="0"/>
              <w:jc w:val="center"/>
              <w:rPr>
                <w:sz w:val="20"/>
                <w:szCs w:val="20"/>
              </w:rPr>
            </w:pPr>
            <w:proofErr w:type="spellStart"/>
            <w:r w:rsidRPr="00B77D07">
              <w:rPr>
                <w:sz w:val="20"/>
                <w:szCs w:val="20"/>
              </w:rPr>
              <w:t>Belgium</w:t>
            </w:r>
            <w:proofErr w:type="spellEnd"/>
          </w:p>
          <w:p w14:paraId="2C1481E1" w14:textId="77777777" w:rsidR="001D3504" w:rsidRPr="00B77D07" w:rsidRDefault="001D3504" w:rsidP="00B717F6">
            <w:pPr>
              <w:spacing w:line="360" w:lineRule="auto"/>
              <w:ind w:firstLine="0"/>
              <w:jc w:val="center"/>
              <w:rPr>
                <w:sz w:val="20"/>
                <w:szCs w:val="20"/>
              </w:rPr>
            </w:pPr>
            <w:r w:rsidRPr="00B77D07">
              <w:rPr>
                <w:sz w:val="20"/>
                <w:szCs w:val="20"/>
              </w:rPr>
              <w:t>%</w:t>
            </w:r>
          </w:p>
        </w:tc>
        <w:tc>
          <w:tcPr>
            <w:tcW w:w="992" w:type="dxa"/>
            <w:tcBorders>
              <w:bottom w:val="single" w:sz="4" w:space="0" w:color="auto"/>
            </w:tcBorders>
          </w:tcPr>
          <w:p w14:paraId="29C767FC" w14:textId="77777777" w:rsidR="001D3504" w:rsidRPr="00B77D07" w:rsidRDefault="001D3504" w:rsidP="00B717F6">
            <w:pPr>
              <w:spacing w:line="360" w:lineRule="auto"/>
              <w:ind w:firstLine="0"/>
              <w:jc w:val="center"/>
              <w:rPr>
                <w:sz w:val="20"/>
                <w:szCs w:val="20"/>
              </w:rPr>
            </w:pPr>
            <w:r w:rsidRPr="00B77D07">
              <w:rPr>
                <w:sz w:val="20"/>
                <w:szCs w:val="20"/>
              </w:rPr>
              <w:t>Portugal</w:t>
            </w:r>
          </w:p>
          <w:p w14:paraId="61ED00D1" w14:textId="77777777" w:rsidR="001D3504" w:rsidRPr="00B77D07" w:rsidRDefault="001D3504" w:rsidP="00B717F6">
            <w:pPr>
              <w:spacing w:line="360" w:lineRule="auto"/>
              <w:ind w:firstLine="0"/>
              <w:jc w:val="center"/>
              <w:rPr>
                <w:sz w:val="20"/>
                <w:szCs w:val="20"/>
              </w:rPr>
            </w:pPr>
            <w:r w:rsidRPr="00B77D07">
              <w:rPr>
                <w:sz w:val="20"/>
                <w:szCs w:val="20"/>
              </w:rPr>
              <w:t>%</w:t>
            </w:r>
          </w:p>
        </w:tc>
      </w:tr>
      <w:tr w:rsidR="001D3504" w:rsidRPr="00B77D07" w14:paraId="69CDE5C0" w14:textId="77777777" w:rsidTr="00B717F6">
        <w:tc>
          <w:tcPr>
            <w:tcW w:w="1559" w:type="dxa"/>
          </w:tcPr>
          <w:p w14:paraId="673672A5" w14:textId="77777777" w:rsidR="001D3504" w:rsidRPr="00B77D07" w:rsidRDefault="001D3504" w:rsidP="00B717F6">
            <w:pPr>
              <w:spacing w:line="360" w:lineRule="auto"/>
              <w:ind w:firstLine="0"/>
              <w:rPr>
                <w:sz w:val="20"/>
                <w:szCs w:val="20"/>
                <w:lang w:val="en-US"/>
              </w:rPr>
            </w:pPr>
            <w:r w:rsidRPr="00B77D07">
              <w:rPr>
                <w:sz w:val="20"/>
                <w:szCs w:val="20"/>
                <w:lang w:val="en-US"/>
              </w:rPr>
              <w:t xml:space="preserve">Age </w:t>
            </w:r>
          </w:p>
        </w:tc>
        <w:tc>
          <w:tcPr>
            <w:tcW w:w="1134" w:type="dxa"/>
            <w:tcBorders>
              <w:top w:val="single" w:sz="4" w:space="0" w:color="auto"/>
            </w:tcBorders>
          </w:tcPr>
          <w:p w14:paraId="2ED9190E" w14:textId="77777777" w:rsidR="001D3504" w:rsidRPr="00B77D07" w:rsidRDefault="001D3504" w:rsidP="00B717F6">
            <w:pPr>
              <w:spacing w:line="360" w:lineRule="auto"/>
              <w:ind w:firstLine="0"/>
              <w:rPr>
                <w:sz w:val="20"/>
                <w:szCs w:val="20"/>
                <w:lang w:val="en-US"/>
              </w:rPr>
            </w:pPr>
          </w:p>
        </w:tc>
        <w:tc>
          <w:tcPr>
            <w:tcW w:w="993" w:type="dxa"/>
            <w:tcBorders>
              <w:top w:val="single" w:sz="4" w:space="0" w:color="auto"/>
            </w:tcBorders>
            <w:vAlign w:val="center"/>
          </w:tcPr>
          <w:p w14:paraId="59A30441" w14:textId="77777777" w:rsidR="001D3504" w:rsidRPr="00B77D07" w:rsidRDefault="001D3504" w:rsidP="00B717F6">
            <w:pPr>
              <w:spacing w:line="360" w:lineRule="auto"/>
              <w:ind w:firstLine="0"/>
              <w:jc w:val="center"/>
              <w:rPr>
                <w:sz w:val="20"/>
                <w:szCs w:val="20"/>
                <w:lang w:val="en-US"/>
              </w:rPr>
            </w:pPr>
          </w:p>
        </w:tc>
        <w:tc>
          <w:tcPr>
            <w:tcW w:w="992" w:type="dxa"/>
            <w:tcBorders>
              <w:top w:val="single" w:sz="4" w:space="0" w:color="auto"/>
            </w:tcBorders>
            <w:vAlign w:val="center"/>
          </w:tcPr>
          <w:p w14:paraId="5DE7071B" w14:textId="77777777" w:rsidR="001D3504" w:rsidRPr="00B77D07" w:rsidRDefault="001D3504" w:rsidP="00B717F6">
            <w:pPr>
              <w:spacing w:line="360" w:lineRule="auto"/>
              <w:ind w:firstLine="0"/>
              <w:jc w:val="center"/>
              <w:rPr>
                <w:sz w:val="20"/>
                <w:szCs w:val="20"/>
                <w:highlight w:val="yellow"/>
                <w:lang w:val="en-US"/>
              </w:rPr>
            </w:pPr>
          </w:p>
        </w:tc>
        <w:tc>
          <w:tcPr>
            <w:tcW w:w="992" w:type="dxa"/>
            <w:tcBorders>
              <w:top w:val="single" w:sz="4" w:space="0" w:color="auto"/>
            </w:tcBorders>
            <w:vAlign w:val="center"/>
          </w:tcPr>
          <w:p w14:paraId="03087A51" w14:textId="77777777" w:rsidR="001D3504" w:rsidRPr="00B77D07" w:rsidRDefault="001D3504" w:rsidP="00B717F6">
            <w:pPr>
              <w:spacing w:line="360" w:lineRule="auto"/>
              <w:ind w:firstLine="0"/>
              <w:jc w:val="center"/>
              <w:rPr>
                <w:sz w:val="20"/>
                <w:szCs w:val="20"/>
                <w:lang w:val="en-US"/>
              </w:rPr>
            </w:pPr>
          </w:p>
        </w:tc>
        <w:tc>
          <w:tcPr>
            <w:tcW w:w="992" w:type="dxa"/>
            <w:tcBorders>
              <w:top w:val="single" w:sz="4" w:space="0" w:color="auto"/>
            </w:tcBorders>
            <w:vAlign w:val="center"/>
          </w:tcPr>
          <w:p w14:paraId="7749314A" w14:textId="77777777" w:rsidR="001D3504" w:rsidRPr="00B77D07" w:rsidRDefault="001D3504" w:rsidP="00B717F6">
            <w:pPr>
              <w:spacing w:line="360" w:lineRule="auto"/>
              <w:ind w:firstLine="0"/>
              <w:jc w:val="center"/>
              <w:rPr>
                <w:sz w:val="20"/>
                <w:szCs w:val="20"/>
                <w:lang w:val="en-US"/>
              </w:rPr>
            </w:pPr>
          </w:p>
        </w:tc>
        <w:tc>
          <w:tcPr>
            <w:tcW w:w="284" w:type="dxa"/>
            <w:vAlign w:val="center"/>
          </w:tcPr>
          <w:p w14:paraId="4DF4E91B" w14:textId="77777777" w:rsidR="001D3504" w:rsidRPr="00B77D07" w:rsidRDefault="001D3504" w:rsidP="00B717F6">
            <w:pPr>
              <w:spacing w:line="360" w:lineRule="auto"/>
              <w:ind w:firstLine="0"/>
              <w:jc w:val="center"/>
              <w:rPr>
                <w:sz w:val="20"/>
                <w:szCs w:val="20"/>
                <w:highlight w:val="yellow"/>
                <w:lang w:val="en-US"/>
              </w:rPr>
            </w:pPr>
          </w:p>
        </w:tc>
        <w:tc>
          <w:tcPr>
            <w:tcW w:w="992" w:type="dxa"/>
            <w:tcBorders>
              <w:top w:val="single" w:sz="4" w:space="0" w:color="auto"/>
            </w:tcBorders>
            <w:vAlign w:val="center"/>
          </w:tcPr>
          <w:p w14:paraId="479FA014" w14:textId="77777777" w:rsidR="001D3504" w:rsidRPr="00B77D07" w:rsidRDefault="001D3504" w:rsidP="00B717F6">
            <w:pPr>
              <w:spacing w:line="360" w:lineRule="auto"/>
              <w:ind w:firstLine="0"/>
              <w:jc w:val="center"/>
              <w:rPr>
                <w:sz w:val="20"/>
                <w:szCs w:val="20"/>
                <w:lang w:val="en-US"/>
              </w:rPr>
            </w:pPr>
          </w:p>
        </w:tc>
        <w:tc>
          <w:tcPr>
            <w:tcW w:w="992" w:type="dxa"/>
            <w:tcBorders>
              <w:top w:val="single" w:sz="4" w:space="0" w:color="auto"/>
            </w:tcBorders>
            <w:vAlign w:val="center"/>
          </w:tcPr>
          <w:p w14:paraId="51CCEEFD" w14:textId="77777777" w:rsidR="001D3504" w:rsidRPr="00B77D07" w:rsidRDefault="001D3504" w:rsidP="00B717F6">
            <w:pPr>
              <w:spacing w:line="360" w:lineRule="auto"/>
              <w:ind w:firstLine="0"/>
              <w:jc w:val="center"/>
              <w:rPr>
                <w:sz w:val="20"/>
                <w:szCs w:val="20"/>
                <w:lang w:val="en-US"/>
              </w:rPr>
            </w:pPr>
          </w:p>
        </w:tc>
        <w:tc>
          <w:tcPr>
            <w:tcW w:w="993" w:type="dxa"/>
            <w:tcBorders>
              <w:top w:val="single" w:sz="4" w:space="0" w:color="auto"/>
            </w:tcBorders>
            <w:vAlign w:val="center"/>
          </w:tcPr>
          <w:p w14:paraId="3DF943F1" w14:textId="77777777" w:rsidR="001D3504" w:rsidRPr="00B77D07" w:rsidRDefault="001D3504" w:rsidP="00B717F6">
            <w:pPr>
              <w:spacing w:line="360" w:lineRule="auto"/>
              <w:ind w:firstLine="0"/>
              <w:jc w:val="center"/>
              <w:rPr>
                <w:sz w:val="20"/>
                <w:szCs w:val="20"/>
                <w:lang w:val="en-US"/>
              </w:rPr>
            </w:pPr>
          </w:p>
        </w:tc>
        <w:tc>
          <w:tcPr>
            <w:tcW w:w="992" w:type="dxa"/>
            <w:tcBorders>
              <w:top w:val="single" w:sz="4" w:space="0" w:color="auto"/>
            </w:tcBorders>
            <w:vAlign w:val="center"/>
          </w:tcPr>
          <w:p w14:paraId="1EB03AD6" w14:textId="77777777" w:rsidR="001D3504" w:rsidRPr="00B77D07" w:rsidRDefault="001D3504" w:rsidP="00B717F6">
            <w:pPr>
              <w:spacing w:line="360" w:lineRule="auto"/>
              <w:ind w:firstLine="0"/>
              <w:jc w:val="center"/>
              <w:rPr>
                <w:sz w:val="20"/>
                <w:szCs w:val="20"/>
                <w:lang w:val="en-US"/>
              </w:rPr>
            </w:pPr>
          </w:p>
        </w:tc>
      </w:tr>
      <w:tr w:rsidR="001D3504" w:rsidRPr="00B77D07" w14:paraId="313D6CEA" w14:textId="77777777" w:rsidTr="00B717F6">
        <w:tc>
          <w:tcPr>
            <w:tcW w:w="1559" w:type="dxa"/>
          </w:tcPr>
          <w:p w14:paraId="1AF3F7EE" w14:textId="77777777" w:rsidR="001D3504" w:rsidRPr="00B77D07" w:rsidRDefault="001D3504" w:rsidP="00B717F6">
            <w:pPr>
              <w:spacing w:line="360" w:lineRule="auto"/>
              <w:ind w:firstLine="0"/>
              <w:rPr>
                <w:sz w:val="20"/>
                <w:szCs w:val="20"/>
                <w:lang w:val="en-US"/>
              </w:rPr>
            </w:pPr>
          </w:p>
        </w:tc>
        <w:tc>
          <w:tcPr>
            <w:tcW w:w="1134" w:type="dxa"/>
          </w:tcPr>
          <w:p w14:paraId="1C7B1EA2" w14:textId="77777777" w:rsidR="001D3504" w:rsidRPr="00B77D07" w:rsidRDefault="001D3504" w:rsidP="00B717F6">
            <w:pPr>
              <w:spacing w:line="360" w:lineRule="auto"/>
              <w:ind w:firstLine="0"/>
              <w:jc w:val="both"/>
              <w:rPr>
                <w:sz w:val="20"/>
                <w:szCs w:val="20"/>
                <w:lang w:val="en-US"/>
              </w:rPr>
            </w:pPr>
            <w:r w:rsidRPr="00B77D07">
              <w:rPr>
                <w:rFonts w:eastAsiaTheme="minorEastAsia"/>
                <w:sz w:val="20"/>
                <w:szCs w:val="20"/>
                <w:lang w:val="en-US" w:eastAsia="zh-CN"/>
              </w:rPr>
              <w:t>60-64</w:t>
            </w:r>
          </w:p>
        </w:tc>
        <w:tc>
          <w:tcPr>
            <w:tcW w:w="993" w:type="dxa"/>
            <w:vAlign w:val="center"/>
          </w:tcPr>
          <w:p w14:paraId="3A52F708"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35.8</w:t>
            </w:r>
          </w:p>
        </w:tc>
        <w:tc>
          <w:tcPr>
            <w:tcW w:w="992" w:type="dxa"/>
            <w:vAlign w:val="center"/>
          </w:tcPr>
          <w:p w14:paraId="1BDBC101"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27.1</w:t>
            </w:r>
          </w:p>
        </w:tc>
        <w:tc>
          <w:tcPr>
            <w:tcW w:w="992" w:type="dxa"/>
            <w:vAlign w:val="center"/>
          </w:tcPr>
          <w:p w14:paraId="588807B2"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28.6</w:t>
            </w:r>
          </w:p>
        </w:tc>
        <w:tc>
          <w:tcPr>
            <w:tcW w:w="992" w:type="dxa"/>
            <w:vAlign w:val="center"/>
          </w:tcPr>
          <w:p w14:paraId="759C2AAD"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36.3</w:t>
            </w:r>
          </w:p>
        </w:tc>
        <w:tc>
          <w:tcPr>
            <w:tcW w:w="284" w:type="dxa"/>
            <w:vAlign w:val="center"/>
          </w:tcPr>
          <w:p w14:paraId="031E2816" w14:textId="77777777" w:rsidR="001D3504" w:rsidRPr="00B77D07" w:rsidRDefault="001D3504" w:rsidP="00B717F6">
            <w:pPr>
              <w:spacing w:line="360" w:lineRule="auto"/>
              <w:ind w:firstLine="0"/>
              <w:jc w:val="center"/>
              <w:rPr>
                <w:sz w:val="20"/>
                <w:szCs w:val="20"/>
                <w:highlight w:val="yellow"/>
                <w:lang w:val="en-US"/>
              </w:rPr>
            </w:pPr>
          </w:p>
        </w:tc>
        <w:tc>
          <w:tcPr>
            <w:tcW w:w="992" w:type="dxa"/>
            <w:vAlign w:val="center"/>
          </w:tcPr>
          <w:p w14:paraId="36F48393"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35.5</w:t>
            </w:r>
          </w:p>
        </w:tc>
        <w:tc>
          <w:tcPr>
            <w:tcW w:w="992" w:type="dxa"/>
            <w:vAlign w:val="center"/>
          </w:tcPr>
          <w:p w14:paraId="5D685EFE"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28.2</w:t>
            </w:r>
          </w:p>
        </w:tc>
        <w:tc>
          <w:tcPr>
            <w:tcW w:w="993" w:type="dxa"/>
            <w:vAlign w:val="center"/>
          </w:tcPr>
          <w:p w14:paraId="081116C9"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38.2</w:t>
            </w:r>
          </w:p>
        </w:tc>
        <w:tc>
          <w:tcPr>
            <w:tcW w:w="992" w:type="dxa"/>
            <w:vAlign w:val="center"/>
          </w:tcPr>
          <w:p w14:paraId="12A3CEB3"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34.7</w:t>
            </w:r>
          </w:p>
        </w:tc>
      </w:tr>
      <w:tr w:rsidR="001D3504" w:rsidRPr="00B77D07" w14:paraId="32481EDA" w14:textId="77777777" w:rsidTr="00B717F6">
        <w:tc>
          <w:tcPr>
            <w:tcW w:w="1559" w:type="dxa"/>
          </w:tcPr>
          <w:p w14:paraId="1C881637" w14:textId="77777777" w:rsidR="001D3504" w:rsidRPr="00B77D07" w:rsidRDefault="001D3504" w:rsidP="00B717F6">
            <w:pPr>
              <w:spacing w:line="360" w:lineRule="auto"/>
              <w:ind w:firstLine="0"/>
              <w:rPr>
                <w:sz w:val="20"/>
                <w:szCs w:val="20"/>
                <w:lang w:val="en-US"/>
              </w:rPr>
            </w:pPr>
          </w:p>
        </w:tc>
        <w:tc>
          <w:tcPr>
            <w:tcW w:w="1134" w:type="dxa"/>
          </w:tcPr>
          <w:p w14:paraId="2BC90137" w14:textId="77777777" w:rsidR="001D3504" w:rsidRPr="00B77D07" w:rsidRDefault="001D3504" w:rsidP="00B717F6">
            <w:pPr>
              <w:spacing w:line="360" w:lineRule="auto"/>
              <w:ind w:firstLine="0"/>
              <w:jc w:val="both"/>
              <w:rPr>
                <w:sz w:val="20"/>
                <w:szCs w:val="20"/>
                <w:lang w:val="en-US"/>
              </w:rPr>
            </w:pPr>
            <w:r w:rsidRPr="00B77D07">
              <w:rPr>
                <w:rFonts w:eastAsiaTheme="minorEastAsia"/>
                <w:sz w:val="20"/>
                <w:szCs w:val="20"/>
                <w:lang w:val="en-US" w:eastAsia="zh-CN"/>
              </w:rPr>
              <w:t>65-69</w:t>
            </w:r>
          </w:p>
        </w:tc>
        <w:tc>
          <w:tcPr>
            <w:tcW w:w="993" w:type="dxa"/>
            <w:vAlign w:val="center"/>
          </w:tcPr>
          <w:p w14:paraId="59406E86"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34.8</w:t>
            </w:r>
          </w:p>
        </w:tc>
        <w:tc>
          <w:tcPr>
            <w:tcW w:w="992" w:type="dxa"/>
            <w:vAlign w:val="center"/>
          </w:tcPr>
          <w:p w14:paraId="17DCF8D4"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31.7</w:t>
            </w:r>
          </w:p>
        </w:tc>
        <w:tc>
          <w:tcPr>
            <w:tcW w:w="992" w:type="dxa"/>
            <w:vAlign w:val="center"/>
          </w:tcPr>
          <w:p w14:paraId="134290F2"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37.5</w:t>
            </w:r>
          </w:p>
        </w:tc>
        <w:tc>
          <w:tcPr>
            <w:tcW w:w="992" w:type="dxa"/>
            <w:vAlign w:val="center"/>
          </w:tcPr>
          <w:p w14:paraId="7BBF42AA"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35.0</w:t>
            </w:r>
          </w:p>
        </w:tc>
        <w:tc>
          <w:tcPr>
            <w:tcW w:w="284" w:type="dxa"/>
            <w:vAlign w:val="center"/>
          </w:tcPr>
          <w:p w14:paraId="736D8125" w14:textId="77777777" w:rsidR="001D3504" w:rsidRPr="00B77D07" w:rsidRDefault="001D3504" w:rsidP="00B717F6">
            <w:pPr>
              <w:spacing w:line="360" w:lineRule="auto"/>
              <w:ind w:firstLine="0"/>
              <w:jc w:val="center"/>
              <w:rPr>
                <w:sz w:val="20"/>
                <w:szCs w:val="20"/>
                <w:highlight w:val="yellow"/>
                <w:lang w:val="en-US"/>
              </w:rPr>
            </w:pPr>
          </w:p>
        </w:tc>
        <w:tc>
          <w:tcPr>
            <w:tcW w:w="992" w:type="dxa"/>
            <w:vAlign w:val="center"/>
          </w:tcPr>
          <w:p w14:paraId="4B005F5A"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34.0</w:t>
            </w:r>
          </w:p>
        </w:tc>
        <w:tc>
          <w:tcPr>
            <w:tcW w:w="992" w:type="dxa"/>
            <w:vAlign w:val="center"/>
          </w:tcPr>
          <w:p w14:paraId="6856E3B9"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31.8</w:t>
            </w:r>
          </w:p>
        </w:tc>
        <w:tc>
          <w:tcPr>
            <w:tcW w:w="993" w:type="dxa"/>
            <w:vAlign w:val="center"/>
          </w:tcPr>
          <w:p w14:paraId="686B1CDA"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33.7</w:t>
            </w:r>
          </w:p>
        </w:tc>
        <w:tc>
          <w:tcPr>
            <w:tcW w:w="992" w:type="dxa"/>
            <w:vAlign w:val="center"/>
          </w:tcPr>
          <w:p w14:paraId="703EBF91"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36.0</w:t>
            </w:r>
          </w:p>
        </w:tc>
      </w:tr>
      <w:tr w:rsidR="001D3504" w:rsidRPr="00B77D07" w14:paraId="3D1E77FF" w14:textId="77777777" w:rsidTr="00B717F6">
        <w:tc>
          <w:tcPr>
            <w:tcW w:w="1559" w:type="dxa"/>
          </w:tcPr>
          <w:p w14:paraId="13D470BB" w14:textId="77777777" w:rsidR="001D3504" w:rsidRPr="00B77D07" w:rsidRDefault="001D3504" w:rsidP="00B717F6">
            <w:pPr>
              <w:spacing w:line="360" w:lineRule="auto"/>
              <w:ind w:firstLine="0"/>
              <w:rPr>
                <w:sz w:val="20"/>
                <w:szCs w:val="20"/>
                <w:lang w:val="en-US"/>
              </w:rPr>
            </w:pPr>
          </w:p>
        </w:tc>
        <w:tc>
          <w:tcPr>
            <w:tcW w:w="1134" w:type="dxa"/>
            <w:tcBorders>
              <w:bottom w:val="single" w:sz="4" w:space="0" w:color="auto"/>
            </w:tcBorders>
          </w:tcPr>
          <w:p w14:paraId="57F5801D" w14:textId="77777777" w:rsidR="001D3504" w:rsidRPr="00B77D07" w:rsidRDefault="001D3504" w:rsidP="00B717F6">
            <w:pPr>
              <w:spacing w:line="360" w:lineRule="auto"/>
              <w:ind w:firstLine="0"/>
              <w:jc w:val="both"/>
              <w:rPr>
                <w:sz w:val="20"/>
                <w:szCs w:val="20"/>
                <w:lang w:val="en-US"/>
              </w:rPr>
            </w:pPr>
            <w:r w:rsidRPr="00B77D07">
              <w:rPr>
                <w:rFonts w:eastAsiaTheme="minorEastAsia"/>
                <w:sz w:val="20"/>
                <w:szCs w:val="20"/>
                <w:lang w:val="en-US" w:eastAsia="zh-CN"/>
              </w:rPr>
              <w:t>70-75</w:t>
            </w:r>
          </w:p>
        </w:tc>
        <w:tc>
          <w:tcPr>
            <w:tcW w:w="993" w:type="dxa"/>
            <w:tcBorders>
              <w:bottom w:val="single" w:sz="4" w:space="0" w:color="auto"/>
            </w:tcBorders>
            <w:vAlign w:val="center"/>
          </w:tcPr>
          <w:p w14:paraId="0040ABA3"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29.5</w:t>
            </w:r>
          </w:p>
        </w:tc>
        <w:tc>
          <w:tcPr>
            <w:tcW w:w="992" w:type="dxa"/>
            <w:tcBorders>
              <w:bottom w:val="single" w:sz="4" w:space="0" w:color="auto"/>
            </w:tcBorders>
            <w:vAlign w:val="center"/>
          </w:tcPr>
          <w:p w14:paraId="4C052A30"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41.1</w:t>
            </w:r>
          </w:p>
        </w:tc>
        <w:tc>
          <w:tcPr>
            <w:tcW w:w="992" w:type="dxa"/>
            <w:tcBorders>
              <w:bottom w:val="single" w:sz="4" w:space="0" w:color="auto"/>
            </w:tcBorders>
            <w:vAlign w:val="center"/>
          </w:tcPr>
          <w:p w14:paraId="7D304016"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33.9</w:t>
            </w:r>
          </w:p>
        </w:tc>
        <w:tc>
          <w:tcPr>
            <w:tcW w:w="992" w:type="dxa"/>
            <w:tcBorders>
              <w:bottom w:val="single" w:sz="4" w:space="0" w:color="auto"/>
            </w:tcBorders>
            <w:vAlign w:val="center"/>
          </w:tcPr>
          <w:p w14:paraId="3F17939D"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28.8</w:t>
            </w:r>
          </w:p>
        </w:tc>
        <w:tc>
          <w:tcPr>
            <w:tcW w:w="284" w:type="dxa"/>
            <w:vAlign w:val="center"/>
          </w:tcPr>
          <w:p w14:paraId="0686BF30" w14:textId="77777777" w:rsidR="001D3504" w:rsidRPr="00B77D07" w:rsidRDefault="001D3504" w:rsidP="00B717F6">
            <w:pPr>
              <w:spacing w:line="360" w:lineRule="auto"/>
              <w:ind w:firstLine="0"/>
              <w:jc w:val="center"/>
              <w:rPr>
                <w:sz w:val="20"/>
                <w:szCs w:val="20"/>
                <w:highlight w:val="yellow"/>
                <w:lang w:val="en-US"/>
              </w:rPr>
            </w:pPr>
          </w:p>
        </w:tc>
        <w:tc>
          <w:tcPr>
            <w:tcW w:w="992" w:type="dxa"/>
            <w:tcBorders>
              <w:bottom w:val="single" w:sz="4" w:space="0" w:color="auto"/>
            </w:tcBorders>
            <w:vAlign w:val="center"/>
          </w:tcPr>
          <w:p w14:paraId="7A613D0C"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30.5</w:t>
            </w:r>
          </w:p>
        </w:tc>
        <w:tc>
          <w:tcPr>
            <w:tcW w:w="992" w:type="dxa"/>
            <w:tcBorders>
              <w:bottom w:val="single" w:sz="4" w:space="0" w:color="auto"/>
            </w:tcBorders>
            <w:vAlign w:val="center"/>
          </w:tcPr>
          <w:p w14:paraId="7F6FE06E"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40.1</w:t>
            </w:r>
          </w:p>
        </w:tc>
        <w:tc>
          <w:tcPr>
            <w:tcW w:w="993" w:type="dxa"/>
            <w:tcBorders>
              <w:bottom w:val="single" w:sz="4" w:space="0" w:color="auto"/>
            </w:tcBorders>
            <w:vAlign w:val="center"/>
          </w:tcPr>
          <w:p w14:paraId="0201CB89"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28.1</w:t>
            </w:r>
          </w:p>
        </w:tc>
        <w:tc>
          <w:tcPr>
            <w:tcW w:w="992" w:type="dxa"/>
            <w:tcBorders>
              <w:bottom w:val="single" w:sz="4" w:space="0" w:color="auto"/>
            </w:tcBorders>
            <w:vAlign w:val="center"/>
          </w:tcPr>
          <w:p w14:paraId="19E9E5B8"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29.3</w:t>
            </w:r>
          </w:p>
        </w:tc>
      </w:tr>
      <w:tr w:rsidR="001D3504" w:rsidRPr="00B77D07" w14:paraId="252A4859" w14:textId="77777777" w:rsidTr="00B717F6">
        <w:tc>
          <w:tcPr>
            <w:tcW w:w="1559" w:type="dxa"/>
          </w:tcPr>
          <w:p w14:paraId="54EE4C4D" w14:textId="77777777" w:rsidR="001D3504" w:rsidRPr="00B77D07" w:rsidRDefault="001D3504" w:rsidP="00B717F6">
            <w:pPr>
              <w:spacing w:line="360" w:lineRule="auto"/>
              <w:ind w:firstLine="0"/>
              <w:rPr>
                <w:sz w:val="20"/>
                <w:szCs w:val="20"/>
                <w:lang w:val="en-US"/>
              </w:rPr>
            </w:pPr>
          </w:p>
        </w:tc>
        <w:tc>
          <w:tcPr>
            <w:tcW w:w="1134" w:type="dxa"/>
            <w:tcBorders>
              <w:top w:val="single" w:sz="4" w:space="0" w:color="auto"/>
            </w:tcBorders>
          </w:tcPr>
          <w:p w14:paraId="54F1F792" w14:textId="77777777" w:rsidR="001D3504" w:rsidRPr="00B77D07" w:rsidRDefault="001D3504" w:rsidP="00B717F6">
            <w:pPr>
              <w:spacing w:line="360" w:lineRule="auto"/>
              <w:ind w:firstLine="0"/>
              <w:jc w:val="both"/>
              <w:rPr>
                <w:rFonts w:eastAsiaTheme="minorEastAsia"/>
                <w:sz w:val="20"/>
                <w:szCs w:val="20"/>
                <w:lang w:val="en-US" w:eastAsia="zh-CN"/>
              </w:rPr>
            </w:pPr>
            <w:r w:rsidRPr="00B77D07">
              <w:rPr>
                <w:rFonts w:eastAsiaTheme="minorEastAsia"/>
                <w:i/>
                <w:sz w:val="20"/>
                <w:szCs w:val="20"/>
                <w:lang w:val="en-US" w:eastAsia="zh-CN"/>
              </w:rPr>
              <w:t>n</w:t>
            </w:r>
            <w:r w:rsidRPr="00B77D07">
              <w:rPr>
                <w:rFonts w:eastAsiaTheme="minorEastAsia"/>
                <w:sz w:val="20"/>
                <w:szCs w:val="20"/>
                <w:lang w:val="en-US" w:eastAsia="zh-CN"/>
              </w:rPr>
              <w:t xml:space="preserve"> =</w:t>
            </w:r>
          </w:p>
        </w:tc>
        <w:tc>
          <w:tcPr>
            <w:tcW w:w="993" w:type="dxa"/>
            <w:tcBorders>
              <w:top w:val="single" w:sz="4" w:space="0" w:color="auto"/>
            </w:tcBorders>
            <w:vAlign w:val="center"/>
          </w:tcPr>
          <w:p w14:paraId="61B36E75"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634</w:t>
            </w:r>
          </w:p>
        </w:tc>
        <w:tc>
          <w:tcPr>
            <w:tcW w:w="992" w:type="dxa"/>
            <w:tcBorders>
              <w:top w:val="single" w:sz="4" w:space="0" w:color="auto"/>
            </w:tcBorders>
            <w:vAlign w:val="center"/>
          </w:tcPr>
          <w:p w14:paraId="3BA17737"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524</w:t>
            </w:r>
          </w:p>
        </w:tc>
        <w:tc>
          <w:tcPr>
            <w:tcW w:w="992" w:type="dxa"/>
            <w:tcBorders>
              <w:top w:val="single" w:sz="4" w:space="0" w:color="auto"/>
            </w:tcBorders>
            <w:vAlign w:val="center"/>
          </w:tcPr>
          <w:p w14:paraId="3C67445C"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485</w:t>
            </w:r>
          </w:p>
        </w:tc>
        <w:tc>
          <w:tcPr>
            <w:tcW w:w="992" w:type="dxa"/>
            <w:tcBorders>
              <w:top w:val="single" w:sz="4" w:space="0" w:color="auto"/>
            </w:tcBorders>
            <w:vAlign w:val="center"/>
          </w:tcPr>
          <w:p w14:paraId="60B64CEB"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232</w:t>
            </w:r>
          </w:p>
        </w:tc>
        <w:tc>
          <w:tcPr>
            <w:tcW w:w="284" w:type="dxa"/>
            <w:vAlign w:val="center"/>
          </w:tcPr>
          <w:p w14:paraId="4CB1C8DC" w14:textId="77777777" w:rsidR="001D3504" w:rsidRPr="00B77D07" w:rsidRDefault="001D3504" w:rsidP="00B717F6">
            <w:pPr>
              <w:spacing w:line="360" w:lineRule="auto"/>
              <w:ind w:firstLine="0"/>
              <w:jc w:val="center"/>
              <w:rPr>
                <w:sz w:val="20"/>
                <w:szCs w:val="20"/>
                <w:highlight w:val="yellow"/>
                <w:lang w:val="en-US"/>
              </w:rPr>
            </w:pPr>
          </w:p>
        </w:tc>
        <w:tc>
          <w:tcPr>
            <w:tcW w:w="992" w:type="dxa"/>
            <w:tcBorders>
              <w:top w:val="single" w:sz="4" w:space="0" w:color="auto"/>
            </w:tcBorders>
            <w:vAlign w:val="center"/>
          </w:tcPr>
          <w:p w14:paraId="5B737291"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636</w:t>
            </w:r>
          </w:p>
        </w:tc>
        <w:tc>
          <w:tcPr>
            <w:tcW w:w="992" w:type="dxa"/>
            <w:tcBorders>
              <w:top w:val="single" w:sz="4" w:space="0" w:color="auto"/>
            </w:tcBorders>
            <w:vAlign w:val="center"/>
          </w:tcPr>
          <w:p w14:paraId="76FF0BED"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521</w:t>
            </w:r>
          </w:p>
        </w:tc>
        <w:tc>
          <w:tcPr>
            <w:tcW w:w="993" w:type="dxa"/>
            <w:tcBorders>
              <w:top w:val="single" w:sz="4" w:space="0" w:color="auto"/>
            </w:tcBorders>
            <w:vAlign w:val="center"/>
          </w:tcPr>
          <w:p w14:paraId="3179687A"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505</w:t>
            </w:r>
          </w:p>
        </w:tc>
        <w:tc>
          <w:tcPr>
            <w:tcW w:w="992" w:type="dxa"/>
            <w:tcBorders>
              <w:top w:val="single" w:sz="4" w:space="0" w:color="auto"/>
            </w:tcBorders>
            <w:vAlign w:val="center"/>
          </w:tcPr>
          <w:p w14:paraId="19A9E105"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277</w:t>
            </w:r>
          </w:p>
        </w:tc>
      </w:tr>
      <w:tr w:rsidR="001D3504" w:rsidRPr="00B77D07" w14:paraId="05900560" w14:textId="77777777" w:rsidTr="00B717F6">
        <w:tc>
          <w:tcPr>
            <w:tcW w:w="1559" w:type="dxa"/>
          </w:tcPr>
          <w:p w14:paraId="62263567" w14:textId="77777777" w:rsidR="001D3504" w:rsidRPr="00B77D07" w:rsidRDefault="001D3504" w:rsidP="00B717F6">
            <w:pPr>
              <w:spacing w:line="360" w:lineRule="auto"/>
              <w:ind w:firstLine="0"/>
              <w:rPr>
                <w:sz w:val="20"/>
                <w:szCs w:val="20"/>
                <w:lang w:val="en-US"/>
              </w:rPr>
            </w:pPr>
            <w:r w:rsidRPr="00B77D07">
              <w:rPr>
                <w:rFonts w:eastAsiaTheme="minorEastAsia"/>
                <w:sz w:val="20"/>
                <w:szCs w:val="20"/>
                <w:lang w:val="en-US" w:eastAsia="zh-CN"/>
              </w:rPr>
              <w:t>Education</w:t>
            </w:r>
          </w:p>
        </w:tc>
        <w:tc>
          <w:tcPr>
            <w:tcW w:w="1134" w:type="dxa"/>
          </w:tcPr>
          <w:p w14:paraId="6EDB9DA9" w14:textId="77777777" w:rsidR="001D3504" w:rsidRPr="00B77D07" w:rsidRDefault="001D3504" w:rsidP="00B717F6">
            <w:pPr>
              <w:spacing w:line="360" w:lineRule="auto"/>
              <w:ind w:firstLine="0"/>
              <w:jc w:val="both"/>
              <w:rPr>
                <w:sz w:val="20"/>
                <w:szCs w:val="20"/>
                <w:lang w:val="en-US"/>
              </w:rPr>
            </w:pPr>
          </w:p>
        </w:tc>
        <w:tc>
          <w:tcPr>
            <w:tcW w:w="993" w:type="dxa"/>
            <w:vAlign w:val="center"/>
          </w:tcPr>
          <w:p w14:paraId="7A3C5626" w14:textId="77777777" w:rsidR="001D3504" w:rsidRPr="00B77D07" w:rsidRDefault="001D3504" w:rsidP="00B717F6">
            <w:pPr>
              <w:spacing w:line="360" w:lineRule="auto"/>
              <w:ind w:firstLine="0"/>
              <w:jc w:val="center"/>
              <w:rPr>
                <w:sz w:val="20"/>
                <w:szCs w:val="20"/>
                <w:lang w:val="en-US"/>
              </w:rPr>
            </w:pPr>
          </w:p>
        </w:tc>
        <w:tc>
          <w:tcPr>
            <w:tcW w:w="992" w:type="dxa"/>
            <w:vAlign w:val="center"/>
          </w:tcPr>
          <w:p w14:paraId="77C1F673" w14:textId="77777777" w:rsidR="001D3504" w:rsidRPr="00B77D07" w:rsidRDefault="001D3504" w:rsidP="00B717F6">
            <w:pPr>
              <w:spacing w:line="360" w:lineRule="auto"/>
              <w:ind w:firstLine="0"/>
              <w:jc w:val="center"/>
              <w:rPr>
                <w:sz w:val="20"/>
                <w:szCs w:val="20"/>
                <w:lang w:val="en-US"/>
              </w:rPr>
            </w:pPr>
          </w:p>
        </w:tc>
        <w:tc>
          <w:tcPr>
            <w:tcW w:w="992" w:type="dxa"/>
            <w:vAlign w:val="center"/>
          </w:tcPr>
          <w:p w14:paraId="67188359" w14:textId="77777777" w:rsidR="001D3504" w:rsidRPr="00B77D07" w:rsidRDefault="001D3504" w:rsidP="00B717F6">
            <w:pPr>
              <w:spacing w:line="360" w:lineRule="auto"/>
              <w:ind w:firstLine="0"/>
              <w:jc w:val="center"/>
              <w:rPr>
                <w:sz w:val="20"/>
                <w:szCs w:val="20"/>
                <w:lang w:val="en-US"/>
              </w:rPr>
            </w:pPr>
          </w:p>
        </w:tc>
        <w:tc>
          <w:tcPr>
            <w:tcW w:w="992" w:type="dxa"/>
            <w:vAlign w:val="center"/>
          </w:tcPr>
          <w:p w14:paraId="3273EAFD" w14:textId="77777777" w:rsidR="001D3504" w:rsidRPr="00B77D07" w:rsidRDefault="001D3504" w:rsidP="00B717F6">
            <w:pPr>
              <w:spacing w:line="360" w:lineRule="auto"/>
              <w:ind w:firstLine="0"/>
              <w:jc w:val="center"/>
              <w:rPr>
                <w:sz w:val="20"/>
                <w:szCs w:val="20"/>
                <w:lang w:val="en-US"/>
              </w:rPr>
            </w:pPr>
          </w:p>
        </w:tc>
        <w:tc>
          <w:tcPr>
            <w:tcW w:w="284" w:type="dxa"/>
            <w:vAlign w:val="center"/>
          </w:tcPr>
          <w:p w14:paraId="240AB6D7" w14:textId="77777777" w:rsidR="001D3504" w:rsidRPr="00B77D07" w:rsidRDefault="001D3504" w:rsidP="00B717F6">
            <w:pPr>
              <w:spacing w:line="360" w:lineRule="auto"/>
              <w:ind w:firstLine="0"/>
              <w:jc w:val="center"/>
              <w:rPr>
                <w:sz w:val="20"/>
                <w:szCs w:val="20"/>
                <w:highlight w:val="yellow"/>
                <w:lang w:val="en-US"/>
              </w:rPr>
            </w:pPr>
          </w:p>
        </w:tc>
        <w:tc>
          <w:tcPr>
            <w:tcW w:w="992" w:type="dxa"/>
            <w:vAlign w:val="center"/>
          </w:tcPr>
          <w:p w14:paraId="4A152228" w14:textId="77777777" w:rsidR="001D3504" w:rsidRPr="00B77D07" w:rsidRDefault="001D3504" w:rsidP="00B717F6">
            <w:pPr>
              <w:spacing w:line="360" w:lineRule="auto"/>
              <w:ind w:firstLine="0"/>
              <w:jc w:val="center"/>
              <w:rPr>
                <w:sz w:val="20"/>
                <w:szCs w:val="20"/>
                <w:lang w:val="en-US"/>
              </w:rPr>
            </w:pPr>
          </w:p>
        </w:tc>
        <w:tc>
          <w:tcPr>
            <w:tcW w:w="992" w:type="dxa"/>
            <w:vAlign w:val="center"/>
          </w:tcPr>
          <w:p w14:paraId="27CC4062" w14:textId="77777777" w:rsidR="001D3504" w:rsidRPr="00B77D07" w:rsidRDefault="001D3504" w:rsidP="00B717F6">
            <w:pPr>
              <w:spacing w:line="360" w:lineRule="auto"/>
              <w:ind w:firstLine="0"/>
              <w:jc w:val="center"/>
              <w:rPr>
                <w:sz w:val="20"/>
                <w:szCs w:val="20"/>
                <w:lang w:val="en-US"/>
              </w:rPr>
            </w:pPr>
          </w:p>
        </w:tc>
        <w:tc>
          <w:tcPr>
            <w:tcW w:w="993" w:type="dxa"/>
            <w:vAlign w:val="center"/>
          </w:tcPr>
          <w:p w14:paraId="61CEBFFF" w14:textId="77777777" w:rsidR="001D3504" w:rsidRPr="00B77D07" w:rsidRDefault="001D3504" w:rsidP="00B717F6">
            <w:pPr>
              <w:spacing w:line="360" w:lineRule="auto"/>
              <w:ind w:firstLine="0"/>
              <w:jc w:val="center"/>
              <w:rPr>
                <w:sz w:val="20"/>
                <w:szCs w:val="20"/>
                <w:lang w:val="en-US"/>
              </w:rPr>
            </w:pPr>
          </w:p>
        </w:tc>
        <w:tc>
          <w:tcPr>
            <w:tcW w:w="992" w:type="dxa"/>
            <w:vAlign w:val="center"/>
          </w:tcPr>
          <w:p w14:paraId="53A89604" w14:textId="77777777" w:rsidR="001D3504" w:rsidRPr="00B77D07" w:rsidRDefault="001D3504" w:rsidP="00B717F6">
            <w:pPr>
              <w:spacing w:line="360" w:lineRule="auto"/>
              <w:ind w:firstLine="0"/>
              <w:jc w:val="center"/>
              <w:rPr>
                <w:sz w:val="20"/>
                <w:szCs w:val="20"/>
                <w:lang w:val="en-US"/>
              </w:rPr>
            </w:pPr>
          </w:p>
        </w:tc>
      </w:tr>
      <w:tr w:rsidR="001D3504" w:rsidRPr="00B77D07" w14:paraId="26585341" w14:textId="77777777" w:rsidTr="00B717F6">
        <w:tc>
          <w:tcPr>
            <w:tcW w:w="1559" w:type="dxa"/>
          </w:tcPr>
          <w:p w14:paraId="012AF943" w14:textId="77777777" w:rsidR="001D3504" w:rsidRPr="00B77D07" w:rsidRDefault="001D3504" w:rsidP="00B717F6">
            <w:pPr>
              <w:spacing w:line="360" w:lineRule="auto"/>
              <w:ind w:firstLine="0"/>
              <w:rPr>
                <w:sz w:val="20"/>
                <w:szCs w:val="20"/>
                <w:lang w:val="en-US"/>
              </w:rPr>
            </w:pPr>
          </w:p>
        </w:tc>
        <w:tc>
          <w:tcPr>
            <w:tcW w:w="1134" w:type="dxa"/>
          </w:tcPr>
          <w:p w14:paraId="68A93A75" w14:textId="77777777" w:rsidR="001D3504" w:rsidRPr="00B77D07" w:rsidRDefault="001D3504" w:rsidP="00B717F6">
            <w:pPr>
              <w:spacing w:line="360" w:lineRule="auto"/>
              <w:ind w:firstLine="0"/>
              <w:jc w:val="both"/>
              <w:rPr>
                <w:sz w:val="20"/>
                <w:szCs w:val="20"/>
                <w:lang w:val="en-US"/>
              </w:rPr>
            </w:pPr>
            <w:r w:rsidRPr="00B77D07">
              <w:rPr>
                <w:sz w:val="20"/>
                <w:szCs w:val="20"/>
                <w:lang w:val="en-US"/>
              </w:rPr>
              <w:t>Primary</w:t>
            </w:r>
          </w:p>
        </w:tc>
        <w:tc>
          <w:tcPr>
            <w:tcW w:w="993" w:type="dxa"/>
            <w:vAlign w:val="center"/>
          </w:tcPr>
          <w:p w14:paraId="3F348068"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10.6</w:t>
            </w:r>
          </w:p>
        </w:tc>
        <w:tc>
          <w:tcPr>
            <w:tcW w:w="992" w:type="dxa"/>
            <w:vAlign w:val="center"/>
          </w:tcPr>
          <w:p w14:paraId="5C2EFC48"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28.6</w:t>
            </w:r>
          </w:p>
        </w:tc>
        <w:tc>
          <w:tcPr>
            <w:tcW w:w="992" w:type="dxa"/>
            <w:vAlign w:val="center"/>
          </w:tcPr>
          <w:p w14:paraId="11914295"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11.2</w:t>
            </w:r>
          </w:p>
        </w:tc>
        <w:tc>
          <w:tcPr>
            <w:tcW w:w="992" w:type="dxa"/>
            <w:vAlign w:val="center"/>
          </w:tcPr>
          <w:p w14:paraId="0CB3FB3D"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34.6</w:t>
            </w:r>
          </w:p>
        </w:tc>
        <w:tc>
          <w:tcPr>
            <w:tcW w:w="284" w:type="dxa"/>
            <w:vAlign w:val="center"/>
          </w:tcPr>
          <w:p w14:paraId="6FBA13F8" w14:textId="77777777" w:rsidR="001D3504" w:rsidRPr="00B77D07" w:rsidRDefault="001D3504" w:rsidP="00B717F6">
            <w:pPr>
              <w:spacing w:line="360" w:lineRule="auto"/>
              <w:ind w:firstLine="0"/>
              <w:jc w:val="center"/>
              <w:rPr>
                <w:sz w:val="20"/>
                <w:szCs w:val="20"/>
                <w:highlight w:val="yellow"/>
                <w:lang w:val="en-US"/>
              </w:rPr>
            </w:pPr>
          </w:p>
        </w:tc>
        <w:tc>
          <w:tcPr>
            <w:tcW w:w="992" w:type="dxa"/>
            <w:vAlign w:val="center"/>
          </w:tcPr>
          <w:p w14:paraId="509D15DE"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9.4</w:t>
            </w:r>
          </w:p>
        </w:tc>
        <w:tc>
          <w:tcPr>
            <w:tcW w:w="992" w:type="dxa"/>
            <w:vAlign w:val="center"/>
          </w:tcPr>
          <w:p w14:paraId="355CBA65"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26.4</w:t>
            </w:r>
          </w:p>
        </w:tc>
        <w:tc>
          <w:tcPr>
            <w:tcW w:w="993" w:type="dxa"/>
            <w:vAlign w:val="center"/>
          </w:tcPr>
          <w:p w14:paraId="416778E0"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13.1</w:t>
            </w:r>
          </w:p>
        </w:tc>
        <w:tc>
          <w:tcPr>
            <w:tcW w:w="992" w:type="dxa"/>
            <w:vAlign w:val="center"/>
          </w:tcPr>
          <w:p w14:paraId="39950E74"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42.4</w:t>
            </w:r>
          </w:p>
        </w:tc>
      </w:tr>
      <w:tr w:rsidR="001D3504" w:rsidRPr="00B77D07" w14:paraId="6F0ACEEF" w14:textId="77777777" w:rsidTr="00B717F6">
        <w:tc>
          <w:tcPr>
            <w:tcW w:w="1559" w:type="dxa"/>
          </w:tcPr>
          <w:p w14:paraId="257EB9A9" w14:textId="77777777" w:rsidR="001D3504" w:rsidRPr="00B77D07" w:rsidRDefault="001D3504" w:rsidP="00B717F6">
            <w:pPr>
              <w:spacing w:line="360" w:lineRule="auto"/>
              <w:ind w:firstLine="0"/>
              <w:rPr>
                <w:sz w:val="20"/>
                <w:szCs w:val="20"/>
                <w:lang w:val="en-US"/>
              </w:rPr>
            </w:pPr>
          </w:p>
        </w:tc>
        <w:tc>
          <w:tcPr>
            <w:tcW w:w="1134" w:type="dxa"/>
          </w:tcPr>
          <w:p w14:paraId="09A54218" w14:textId="77777777" w:rsidR="001D3504" w:rsidRPr="00B77D07" w:rsidRDefault="001D3504" w:rsidP="00B717F6">
            <w:pPr>
              <w:spacing w:line="360" w:lineRule="auto"/>
              <w:ind w:firstLine="0"/>
              <w:jc w:val="both"/>
              <w:rPr>
                <w:sz w:val="20"/>
                <w:szCs w:val="20"/>
                <w:lang w:val="en-US"/>
              </w:rPr>
            </w:pPr>
            <w:r w:rsidRPr="00B77D07">
              <w:rPr>
                <w:sz w:val="20"/>
                <w:szCs w:val="20"/>
                <w:lang w:val="en-US"/>
              </w:rPr>
              <w:t>Secondary</w:t>
            </w:r>
          </w:p>
        </w:tc>
        <w:tc>
          <w:tcPr>
            <w:tcW w:w="993" w:type="dxa"/>
            <w:vAlign w:val="center"/>
          </w:tcPr>
          <w:p w14:paraId="23E540F4"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33.3</w:t>
            </w:r>
          </w:p>
        </w:tc>
        <w:tc>
          <w:tcPr>
            <w:tcW w:w="992" w:type="dxa"/>
            <w:vAlign w:val="center"/>
          </w:tcPr>
          <w:p w14:paraId="2CF986E4"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36.3</w:t>
            </w:r>
          </w:p>
        </w:tc>
        <w:tc>
          <w:tcPr>
            <w:tcW w:w="992" w:type="dxa"/>
            <w:vAlign w:val="center"/>
          </w:tcPr>
          <w:p w14:paraId="7BB89FC8"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49.3</w:t>
            </w:r>
          </w:p>
        </w:tc>
        <w:tc>
          <w:tcPr>
            <w:tcW w:w="992" w:type="dxa"/>
            <w:vAlign w:val="center"/>
          </w:tcPr>
          <w:p w14:paraId="74D6BC61"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46.9</w:t>
            </w:r>
          </w:p>
        </w:tc>
        <w:tc>
          <w:tcPr>
            <w:tcW w:w="284" w:type="dxa"/>
            <w:vAlign w:val="center"/>
          </w:tcPr>
          <w:p w14:paraId="6D05D7D6" w14:textId="77777777" w:rsidR="001D3504" w:rsidRPr="00B77D07" w:rsidRDefault="001D3504" w:rsidP="00B717F6">
            <w:pPr>
              <w:spacing w:line="360" w:lineRule="auto"/>
              <w:ind w:firstLine="0"/>
              <w:jc w:val="center"/>
              <w:rPr>
                <w:sz w:val="20"/>
                <w:szCs w:val="20"/>
                <w:highlight w:val="yellow"/>
                <w:lang w:val="en-US"/>
              </w:rPr>
            </w:pPr>
          </w:p>
        </w:tc>
        <w:tc>
          <w:tcPr>
            <w:tcW w:w="992" w:type="dxa"/>
            <w:vAlign w:val="center"/>
          </w:tcPr>
          <w:p w14:paraId="14361DAA"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40.6</w:t>
            </w:r>
          </w:p>
        </w:tc>
        <w:tc>
          <w:tcPr>
            <w:tcW w:w="992" w:type="dxa"/>
            <w:vAlign w:val="center"/>
          </w:tcPr>
          <w:p w14:paraId="7B1CAC0A"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38.8</w:t>
            </w:r>
          </w:p>
        </w:tc>
        <w:tc>
          <w:tcPr>
            <w:tcW w:w="993" w:type="dxa"/>
            <w:vAlign w:val="center"/>
          </w:tcPr>
          <w:p w14:paraId="1600FF0F"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53.2</w:t>
            </w:r>
          </w:p>
        </w:tc>
        <w:tc>
          <w:tcPr>
            <w:tcW w:w="992" w:type="dxa"/>
            <w:vAlign w:val="center"/>
          </w:tcPr>
          <w:p w14:paraId="3F45AD01"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41.8</w:t>
            </w:r>
          </w:p>
        </w:tc>
      </w:tr>
      <w:tr w:rsidR="001D3504" w:rsidRPr="00B77D07" w14:paraId="5AE80381" w14:textId="77777777" w:rsidTr="00B717F6">
        <w:tc>
          <w:tcPr>
            <w:tcW w:w="1559" w:type="dxa"/>
          </w:tcPr>
          <w:p w14:paraId="0CB1A349" w14:textId="77777777" w:rsidR="001D3504" w:rsidRPr="00B77D07" w:rsidRDefault="001D3504" w:rsidP="00B717F6">
            <w:pPr>
              <w:spacing w:line="360" w:lineRule="auto"/>
              <w:ind w:firstLine="0"/>
              <w:rPr>
                <w:sz w:val="20"/>
                <w:szCs w:val="20"/>
                <w:lang w:val="en-US"/>
              </w:rPr>
            </w:pPr>
          </w:p>
        </w:tc>
        <w:tc>
          <w:tcPr>
            <w:tcW w:w="1134" w:type="dxa"/>
            <w:tcBorders>
              <w:bottom w:val="single" w:sz="4" w:space="0" w:color="auto"/>
            </w:tcBorders>
          </w:tcPr>
          <w:p w14:paraId="15D1CFC2" w14:textId="77777777" w:rsidR="001D3504" w:rsidRPr="00B77D07" w:rsidRDefault="001D3504" w:rsidP="00B717F6">
            <w:pPr>
              <w:spacing w:line="360" w:lineRule="auto"/>
              <w:ind w:firstLine="0"/>
              <w:jc w:val="both"/>
              <w:rPr>
                <w:sz w:val="20"/>
                <w:szCs w:val="20"/>
                <w:lang w:val="en-US"/>
              </w:rPr>
            </w:pPr>
            <w:r w:rsidRPr="00B77D07">
              <w:rPr>
                <w:sz w:val="20"/>
                <w:szCs w:val="20"/>
                <w:lang w:val="en-US"/>
              </w:rPr>
              <w:t>Tertiary</w:t>
            </w:r>
          </w:p>
        </w:tc>
        <w:tc>
          <w:tcPr>
            <w:tcW w:w="993" w:type="dxa"/>
            <w:tcBorders>
              <w:bottom w:val="single" w:sz="4" w:space="0" w:color="auto"/>
            </w:tcBorders>
            <w:vAlign w:val="center"/>
          </w:tcPr>
          <w:p w14:paraId="2D1C0DB5"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56.1</w:t>
            </w:r>
          </w:p>
        </w:tc>
        <w:tc>
          <w:tcPr>
            <w:tcW w:w="992" w:type="dxa"/>
            <w:tcBorders>
              <w:bottom w:val="single" w:sz="4" w:space="0" w:color="auto"/>
            </w:tcBorders>
            <w:vAlign w:val="center"/>
          </w:tcPr>
          <w:p w14:paraId="2846B67E"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35.0</w:t>
            </w:r>
          </w:p>
        </w:tc>
        <w:tc>
          <w:tcPr>
            <w:tcW w:w="992" w:type="dxa"/>
            <w:tcBorders>
              <w:bottom w:val="single" w:sz="4" w:space="0" w:color="auto"/>
            </w:tcBorders>
            <w:vAlign w:val="center"/>
          </w:tcPr>
          <w:p w14:paraId="3BD3BC2B"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39.5</w:t>
            </w:r>
          </w:p>
        </w:tc>
        <w:tc>
          <w:tcPr>
            <w:tcW w:w="992" w:type="dxa"/>
            <w:tcBorders>
              <w:bottom w:val="single" w:sz="4" w:space="0" w:color="auto"/>
            </w:tcBorders>
            <w:vAlign w:val="center"/>
          </w:tcPr>
          <w:p w14:paraId="44E68088"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18.5</w:t>
            </w:r>
          </w:p>
        </w:tc>
        <w:tc>
          <w:tcPr>
            <w:tcW w:w="284" w:type="dxa"/>
            <w:vAlign w:val="center"/>
          </w:tcPr>
          <w:p w14:paraId="59DDC31D" w14:textId="77777777" w:rsidR="001D3504" w:rsidRPr="00B77D07" w:rsidRDefault="001D3504" w:rsidP="00B717F6">
            <w:pPr>
              <w:spacing w:line="360" w:lineRule="auto"/>
              <w:ind w:firstLine="0"/>
              <w:jc w:val="center"/>
              <w:rPr>
                <w:sz w:val="20"/>
                <w:szCs w:val="20"/>
                <w:highlight w:val="yellow"/>
                <w:lang w:val="en-US"/>
              </w:rPr>
            </w:pPr>
          </w:p>
        </w:tc>
        <w:tc>
          <w:tcPr>
            <w:tcW w:w="992" w:type="dxa"/>
            <w:tcBorders>
              <w:bottom w:val="single" w:sz="4" w:space="0" w:color="auto"/>
            </w:tcBorders>
            <w:vAlign w:val="center"/>
          </w:tcPr>
          <w:p w14:paraId="2B9303FB"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50.1</w:t>
            </w:r>
          </w:p>
        </w:tc>
        <w:tc>
          <w:tcPr>
            <w:tcW w:w="992" w:type="dxa"/>
            <w:tcBorders>
              <w:bottom w:val="single" w:sz="4" w:space="0" w:color="auto"/>
            </w:tcBorders>
            <w:vAlign w:val="center"/>
          </w:tcPr>
          <w:p w14:paraId="420C82DC"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34.8</w:t>
            </w:r>
          </w:p>
        </w:tc>
        <w:tc>
          <w:tcPr>
            <w:tcW w:w="993" w:type="dxa"/>
            <w:tcBorders>
              <w:bottom w:val="single" w:sz="4" w:space="0" w:color="auto"/>
            </w:tcBorders>
            <w:vAlign w:val="center"/>
          </w:tcPr>
          <w:p w14:paraId="7505011E"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33.7</w:t>
            </w:r>
          </w:p>
        </w:tc>
        <w:tc>
          <w:tcPr>
            <w:tcW w:w="992" w:type="dxa"/>
            <w:tcBorders>
              <w:bottom w:val="single" w:sz="4" w:space="0" w:color="auto"/>
            </w:tcBorders>
            <w:vAlign w:val="center"/>
          </w:tcPr>
          <w:p w14:paraId="5C08DBE0"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15.8</w:t>
            </w:r>
          </w:p>
        </w:tc>
      </w:tr>
      <w:tr w:rsidR="001D3504" w:rsidRPr="00B77D07" w14:paraId="47F2DE65" w14:textId="77777777" w:rsidTr="00B717F6">
        <w:tc>
          <w:tcPr>
            <w:tcW w:w="1559" w:type="dxa"/>
          </w:tcPr>
          <w:p w14:paraId="11DB519E" w14:textId="77777777" w:rsidR="001D3504" w:rsidRPr="00B77D07" w:rsidRDefault="001D3504" w:rsidP="00B717F6">
            <w:pPr>
              <w:spacing w:line="360" w:lineRule="auto"/>
              <w:ind w:firstLine="0"/>
              <w:rPr>
                <w:sz w:val="20"/>
                <w:szCs w:val="20"/>
                <w:lang w:val="en-US"/>
              </w:rPr>
            </w:pPr>
          </w:p>
        </w:tc>
        <w:tc>
          <w:tcPr>
            <w:tcW w:w="1134" w:type="dxa"/>
            <w:tcBorders>
              <w:top w:val="single" w:sz="4" w:space="0" w:color="auto"/>
            </w:tcBorders>
          </w:tcPr>
          <w:p w14:paraId="25D6E780" w14:textId="77777777" w:rsidR="001D3504" w:rsidRPr="00B77D07" w:rsidRDefault="001D3504" w:rsidP="00B717F6">
            <w:pPr>
              <w:spacing w:line="360" w:lineRule="auto"/>
              <w:ind w:firstLine="0"/>
              <w:jc w:val="both"/>
              <w:rPr>
                <w:sz w:val="20"/>
                <w:szCs w:val="20"/>
                <w:lang w:val="en-US"/>
              </w:rPr>
            </w:pPr>
            <w:r w:rsidRPr="00B77D07">
              <w:rPr>
                <w:i/>
                <w:sz w:val="20"/>
                <w:szCs w:val="20"/>
                <w:lang w:val="en-US"/>
              </w:rPr>
              <w:t>n</w:t>
            </w:r>
            <w:r w:rsidRPr="00B77D07">
              <w:rPr>
                <w:sz w:val="20"/>
                <w:szCs w:val="20"/>
                <w:lang w:val="en-US"/>
              </w:rPr>
              <w:t xml:space="preserve"> =</w:t>
            </w:r>
          </w:p>
        </w:tc>
        <w:tc>
          <w:tcPr>
            <w:tcW w:w="993" w:type="dxa"/>
            <w:tcBorders>
              <w:top w:val="single" w:sz="4" w:space="0" w:color="auto"/>
            </w:tcBorders>
            <w:vAlign w:val="center"/>
          </w:tcPr>
          <w:p w14:paraId="407BEFD1"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634</w:t>
            </w:r>
          </w:p>
        </w:tc>
        <w:tc>
          <w:tcPr>
            <w:tcW w:w="992" w:type="dxa"/>
            <w:tcBorders>
              <w:top w:val="single" w:sz="4" w:space="0" w:color="auto"/>
            </w:tcBorders>
            <w:vAlign w:val="center"/>
          </w:tcPr>
          <w:p w14:paraId="6DAC085A"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519</w:t>
            </w:r>
          </w:p>
        </w:tc>
        <w:tc>
          <w:tcPr>
            <w:tcW w:w="992" w:type="dxa"/>
            <w:tcBorders>
              <w:top w:val="single" w:sz="4" w:space="0" w:color="auto"/>
            </w:tcBorders>
            <w:vAlign w:val="center"/>
          </w:tcPr>
          <w:p w14:paraId="7BC96651"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485</w:t>
            </w:r>
          </w:p>
        </w:tc>
        <w:tc>
          <w:tcPr>
            <w:tcW w:w="992" w:type="dxa"/>
            <w:tcBorders>
              <w:top w:val="single" w:sz="4" w:space="0" w:color="auto"/>
            </w:tcBorders>
            <w:vAlign w:val="center"/>
          </w:tcPr>
          <w:p w14:paraId="78673AEB"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232</w:t>
            </w:r>
          </w:p>
        </w:tc>
        <w:tc>
          <w:tcPr>
            <w:tcW w:w="284" w:type="dxa"/>
            <w:vAlign w:val="center"/>
          </w:tcPr>
          <w:p w14:paraId="2B4C2F33" w14:textId="77777777" w:rsidR="001D3504" w:rsidRPr="00B77D07" w:rsidRDefault="001D3504" w:rsidP="00B717F6">
            <w:pPr>
              <w:spacing w:line="360" w:lineRule="auto"/>
              <w:ind w:firstLine="0"/>
              <w:jc w:val="center"/>
              <w:rPr>
                <w:sz w:val="20"/>
                <w:szCs w:val="20"/>
                <w:highlight w:val="yellow"/>
                <w:lang w:val="en-US"/>
              </w:rPr>
            </w:pPr>
          </w:p>
        </w:tc>
        <w:tc>
          <w:tcPr>
            <w:tcW w:w="992" w:type="dxa"/>
            <w:tcBorders>
              <w:top w:val="single" w:sz="4" w:space="0" w:color="auto"/>
            </w:tcBorders>
            <w:vAlign w:val="center"/>
          </w:tcPr>
          <w:p w14:paraId="24BB8BAC"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634</w:t>
            </w:r>
          </w:p>
        </w:tc>
        <w:tc>
          <w:tcPr>
            <w:tcW w:w="992" w:type="dxa"/>
            <w:tcBorders>
              <w:top w:val="single" w:sz="4" w:space="0" w:color="auto"/>
            </w:tcBorders>
            <w:vAlign w:val="center"/>
          </w:tcPr>
          <w:p w14:paraId="49EA1EA6"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519</w:t>
            </w:r>
          </w:p>
        </w:tc>
        <w:tc>
          <w:tcPr>
            <w:tcW w:w="993" w:type="dxa"/>
            <w:tcBorders>
              <w:top w:val="single" w:sz="4" w:space="0" w:color="auto"/>
            </w:tcBorders>
            <w:vAlign w:val="center"/>
          </w:tcPr>
          <w:p w14:paraId="35A6A5FD"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498</w:t>
            </w:r>
          </w:p>
        </w:tc>
        <w:tc>
          <w:tcPr>
            <w:tcW w:w="992" w:type="dxa"/>
            <w:tcBorders>
              <w:top w:val="single" w:sz="4" w:space="0" w:color="auto"/>
            </w:tcBorders>
            <w:vAlign w:val="center"/>
          </w:tcPr>
          <w:p w14:paraId="553AB306"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273</w:t>
            </w:r>
          </w:p>
        </w:tc>
      </w:tr>
      <w:tr w:rsidR="001D3504" w:rsidRPr="00B77D07" w14:paraId="2C961F14" w14:textId="77777777" w:rsidTr="00B717F6">
        <w:tc>
          <w:tcPr>
            <w:tcW w:w="1559" w:type="dxa"/>
          </w:tcPr>
          <w:p w14:paraId="4B4AB423" w14:textId="77777777" w:rsidR="001D3504" w:rsidRPr="00B77D07" w:rsidRDefault="001D3504" w:rsidP="00B717F6">
            <w:pPr>
              <w:spacing w:line="360" w:lineRule="auto"/>
              <w:ind w:firstLine="0"/>
              <w:rPr>
                <w:sz w:val="20"/>
                <w:szCs w:val="20"/>
                <w:lang w:val="en-US"/>
              </w:rPr>
            </w:pPr>
          </w:p>
        </w:tc>
        <w:tc>
          <w:tcPr>
            <w:tcW w:w="1134" w:type="dxa"/>
          </w:tcPr>
          <w:p w14:paraId="0BED8EB1" w14:textId="77777777" w:rsidR="001D3504" w:rsidRPr="00B77D07" w:rsidRDefault="001D3504" w:rsidP="00B717F6">
            <w:pPr>
              <w:spacing w:line="360" w:lineRule="auto"/>
              <w:ind w:firstLine="0"/>
              <w:jc w:val="both"/>
              <w:rPr>
                <w:sz w:val="20"/>
                <w:szCs w:val="20"/>
                <w:lang w:val="en-US"/>
              </w:rPr>
            </w:pPr>
          </w:p>
        </w:tc>
        <w:tc>
          <w:tcPr>
            <w:tcW w:w="993" w:type="dxa"/>
            <w:vAlign w:val="center"/>
          </w:tcPr>
          <w:p w14:paraId="3387C5F6" w14:textId="77777777" w:rsidR="001D3504" w:rsidRPr="00B77D07" w:rsidRDefault="001D3504" w:rsidP="00B717F6">
            <w:pPr>
              <w:spacing w:line="360" w:lineRule="auto"/>
              <w:ind w:firstLine="0"/>
              <w:jc w:val="center"/>
              <w:rPr>
                <w:sz w:val="20"/>
                <w:szCs w:val="20"/>
                <w:lang w:val="en-US"/>
              </w:rPr>
            </w:pPr>
          </w:p>
        </w:tc>
        <w:tc>
          <w:tcPr>
            <w:tcW w:w="992" w:type="dxa"/>
            <w:vAlign w:val="center"/>
          </w:tcPr>
          <w:p w14:paraId="7AC247E7" w14:textId="77777777" w:rsidR="001D3504" w:rsidRPr="00B77D07" w:rsidRDefault="001D3504" w:rsidP="00B717F6">
            <w:pPr>
              <w:spacing w:line="360" w:lineRule="auto"/>
              <w:ind w:firstLine="0"/>
              <w:jc w:val="center"/>
              <w:rPr>
                <w:sz w:val="20"/>
                <w:szCs w:val="20"/>
                <w:lang w:val="en-US"/>
              </w:rPr>
            </w:pPr>
          </w:p>
        </w:tc>
        <w:tc>
          <w:tcPr>
            <w:tcW w:w="992" w:type="dxa"/>
            <w:vAlign w:val="center"/>
          </w:tcPr>
          <w:p w14:paraId="0A4D6B72" w14:textId="77777777" w:rsidR="001D3504" w:rsidRPr="00B77D07" w:rsidRDefault="001D3504" w:rsidP="00B717F6">
            <w:pPr>
              <w:spacing w:line="360" w:lineRule="auto"/>
              <w:ind w:firstLine="0"/>
              <w:jc w:val="center"/>
              <w:rPr>
                <w:sz w:val="20"/>
                <w:szCs w:val="20"/>
                <w:lang w:val="en-US"/>
              </w:rPr>
            </w:pPr>
          </w:p>
        </w:tc>
        <w:tc>
          <w:tcPr>
            <w:tcW w:w="992" w:type="dxa"/>
            <w:vAlign w:val="center"/>
          </w:tcPr>
          <w:p w14:paraId="571FB813" w14:textId="77777777" w:rsidR="001D3504" w:rsidRPr="00B77D07" w:rsidRDefault="001D3504" w:rsidP="00B717F6">
            <w:pPr>
              <w:spacing w:line="360" w:lineRule="auto"/>
              <w:ind w:firstLine="0"/>
              <w:jc w:val="center"/>
              <w:rPr>
                <w:sz w:val="20"/>
                <w:szCs w:val="20"/>
                <w:lang w:val="en-US"/>
              </w:rPr>
            </w:pPr>
          </w:p>
        </w:tc>
        <w:tc>
          <w:tcPr>
            <w:tcW w:w="284" w:type="dxa"/>
            <w:vAlign w:val="center"/>
          </w:tcPr>
          <w:p w14:paraId="76E58B90" w14:textId="77777777" w:rsidR="001D3504" w:rsidRPr="00B77D07" w:rsidRDefault="001D3504" w:rsidP="00B717F6">
            <w:pPr>
              <w:spacing w:line="360" w:lineRule="auto"/>
              <w:ind w:firstLine="0"/>
              <w:jc w:val="center"/>
              <w:rPr>
                <w:sz w:val="20"/>
                <w:szCs w:val="20"/>
                <w:highlight w:val="yellow"/>
                <w:lang w:val="en-US"/>
              </w:rPr>
            </w:pPr>
          </w:p>
        </w:tc>
        <w:tc>
          <w:tcPr>
            <w:tcW w:w="992" w:type="dxa"/>
            <w:vAlign w:val="center"/>
          </w:tcPr>
          <w:p w14:paraId="5F280B45" w14:textId="77777777" w:rsidR="001D3504" w:rsidRPr="00B77D07" w:rsidRDefault="001D3504" w:rsidP="00B717F6">
            <w:pPr>
              <w:spacing w:line="360" w:lineRule="auto"/>
              <w:ind w:firstLine="0"/>
              <w:jc w:val="center"/>
              <w:rPr>
                <w:sz w:val="20"/>
                <w:szCs w:val="20"/>
                <w:lang w:val="en-US"/>
              </w:rPr>
            </w:pPr>
          </w:p>
        </w:tc>
        <w:tc>
          <w:tcPr>
            <w:tcW w:w="992" w:type="dxa"/>
            <w:vAlign w:val="center"/>
          </w:tcPr>
          <w:p w14:paraId="1E454EEE" w14:textId="77777777" w:rsidR="001D3504" w:rsidRPr="00B77D07" w:rsidRDefault="001D3504" w:rsidP="00B717F6">
            <w:pPr>
              <w:spacing w:line="360" w:lineRule="auto"/>
              <w:ind w:firstLine="0"/>
              <w:jc w:val="center"/>
              <w:rPr>
                <w:sz w:val="20"/>
                <w:szCs w:val="20"/>
                <w:lang w:val="en-US"/>
              </w:rPr>
            </w:pPr>
          </w:p>
        </w:tc>
        <w:tc>
          <w:tcPr>
            <w:tcW w:w="993" w:type="dxa"/>
            <w:vAlign w:val="center"/>
          </w:tcPr>
          <w:p w14:paraId="63F1B369" w14:textId="77777777" w:rsidR="001D3504" w:rsidRPr="00B77D07" w:rsidRDefault="001D3504" w:rsidP="00B717F6">
            <w:pPr>
              <w:spacing w:line="360" w:lineRule="auto"/>
              <w:ind w:firstLine="0"/>
              <w:jc w:val="center"/>
              <w:rPr>
                <w:sz w:val="20"/>
                <w:szCs w:val="20"/>
                <w:lang w:val="en-US"/>
              </w:rPr>
            </w:pPr>
          </w:p>
        </w:tc>
        <w:tc>
          <w:tcPr>
            <w:tcW w:w="992" w:type="dxa"/>
            <w:vAlign w:val="center"/>
          </w:tcPr>
          <w:p w14:paraId="4A7CB0C4" w14:textId="77777777" w:rsidR="001D3504" w:rsidRPr="00B77D07" w:rsidRDefault="001D3504" w:rsidP="00B717F6">
            <w:pPr>
              <w:spacing w:line="360" w:lineRule="auto"/>
              <w:ind w:firstLine="0"/>
              <w:jc w:val="center"/>
              <w:rPr>
                <w:sz w:val="20"/>
                <w:szCs w:val="20"/>
                <w:lang w:val="en-US"/>
              </w:rPr>
            </w:pPr>
          </w:p>
        </w:tc>
      </w:tr>
      <w:tr w:rsidR="001D3504" w:rsidRPr="00B77D07" w14:paraId="2E8659F9" w14:textId="77777777" w:rsidTr="00B717F6">
        <w:tc>
          <w:tcPr>
            <w:tcW w:w="1559" w:type="dxa"/>
          </w:tcPr>
          <w:p w14:paraId="16330DDF" w14:textId="77777777" w:rsidR="001D3504" w:rsidRPr="00B77D07" w:rsidRDefault="001D3504" w:rsidP="00B717F6">
            <w:pPr>
              <w:spacing w:line="360" w:lineRule="auto"/>
              <w:ind w:firstLine="0"/>
              <w:rPr>
                <w:sz w:val="20"/>
                <w:szCs w:val="20"/>
                <w:lang w:val="en-US"/>
              </w:rPr>
            </w:pPr>
            <w:r w:rsidRPr="00B77D07">
              <w:rPr>
                <w:sz w:val="20"/>
                <w:szCs w:val="20"/>
                <w:lang w:val="en-US"/>
              </w:rPr>
              <w:t>In a relationship</w:t>
            </w:r>
          </w:p>
        </w:tc>
        <w:tc>
          <w:tcPr>
            <w:tcW w:w="1134" w:type="dxa"/>
          </w:tcPr>
          <w:p w14:paraId="3FA7E20D" w14:textId="77777777" w:rsidR="001D3504" w:rsidRPr="00B77D07" w:rsidRDefault="001D3504" w:rsidP="00B717F6">
            <w:pPr>
              <w:spacing w:line="360" w:lineRule="auto"/>
              <w:ind w:firstLine="0"/>
              <w:jc w:val="both"/>
              <w:rPr>
                <w:sz w:val="20"/>
                <w:szCs w:val="20"/>
                <w:lang w:val="en-US"/>
              </w:rPr>
            </w:pPr>
          </w:p>
        </w:tc>
        <w:tc>
          <w:tcPr>
            <w:tcW w:w="993" w:type="dxa"/>
            <w:vAlign w:val="center"/>
          </w:tcPr>
          <w:p w14:paraId="2697F5D9" w14:textId="77777777" w:rsidR="001D3504" w:rsidRPr="00B77D07" w:rsidRDefault="001D3504" w:rsidP="00B717F6">
            <w:pPr>
              <w:spacing w:line="360" w:lineRule="auto"/>
              <w:ind w:firstLine="0"/>
              <w:jc w:val="center"/>
              <w:rPr>
                <w:sz w:val="20"/>
                <w:szCs w:val="20"/>
                <w:lang w:val="en-US"/>
              </w:rPr>
            </w:pPr>
          </w:p>
        </w:tc>
        <w:tc>
          <w:tcPr>
            <w:tcW w:w="992" w:type="dxa"/>
            <w:vAlign w:val="center"/>
          </w:tcPr>
          <w:p w14:paraId="2EBF599A" w14:textId="77777777" w:rsidR="001D3504" w:rsidRPr="00B77D07" w:rsidRDefault="001D3504" w:rsidP="00B717F6">
            <w:pPr>
              <w:spacing w:line="360" w:lineRule="auto"/>
              <w:ind w:firstLine="0"/>
              <w:jc w:val="center"/>
              <w:rPr>
                <w:sz w:val="20"/>
                <w:szCs w:val="20"/>
                <w:lang w:val="en-US"/>
              </w:rPr>
            </w:pPr>
          </w:p>
        </w:tc>
        <w:tc>
          <w:tcPr>
            <w:tcW w:w="992" w:type="dxa"/>
            <w:vAlign w:val="center"/>
          </w:tcPr>
          <w:p w14:paraId="7DDD45A1" w14:textId="77777777" w:rsidR="001D3504" w:rsidRPr="00B77D07" w:rsidRDefault="001D3504" w:rsidP="00B717F6">
            <w:pPr>
              <w:spacing w:line="360" w:lineRule="auto"/>
              <w:ind w:firstLine="0"/>
              <w:jc w:val="center"/>
              <w:rPr>
                <w:sz w:val="20"/>
                <w:szCs w:val="20"/>
                <w:lang w:val="en-US"/>
              </w:rPr>
            </w:pPr>
          </w:p>
        </w:tc>
        <w:tc>
          <w:tcPr>
            <w:tcW w:w="992" w:type="dxa"/>
            <w:vAlign w:val="center"/>
          </w:tcPr>
          <w:p w14:paraId="2CC525C7" w14:textId="77777777" w:rsidR="001D3504" w:rsidRPr="00B77D07" w:rsidRDefault="001D3504" w:rsidP="00B717F6">
            <w:pPr>
              <w:spacing w:line="360" w:lineRule="auto"/>
              <w:ind w:firstLine="0"/>
              <w:jc w:val="center"/>
              <w:rPr>
                <w:sz w:val="20"/>
                <w:szCs w:val="20"/>
                <w:lang w:val="en-US"/>
              </w:rPr>
            </w:pPr>
          </w:p>
        </w:tc>
        <w:tc>
          <w:tcPr>
            <w:tcW w:w="284" w:type="dxa"/>
            <w:vAlign w:val="center"/>
          </w:tcPr>
          <w:p w14:paraId="2247198A" w14:textId="77777777" w:rsidR="001D3504" w:rsidRPr="00B77D07" w:rsidRDefault="001D3504" w:rsidP="00B717F6">
            <w:pPr>
              <w:spacing w:line="360" w:lineRule="auto"/>
              <w:ind w:firstLine="0"/>
              <w:jc w:val="center"/>
              <w:rPr>
                <w:sz w:val="20"/>
                <w:szCs w:val="20"/>
                <w:highlight w:val="yellow"/>
                <w:lang w:val="en-US"/>
              </w:rPr>
            </w:pPr>
          </w:p>
        </w:tc>
        <w:tc>
          <w:tcPr>
            <w:tcW w:w="992" w:type="dxa"/>
            <w:vAlign w:val="center"/>
          </w:tcPr>
          <w:p w14:paraId="1CAB793C" w14:textId="77777777" w:rsidR="001D3504" w:rsidRPr="00B77D07" w:rsidRDefault="001D3504" w:rsidP="00B717F6">
            <w:pPr>
              <w:spacing w:line="360" w:lineRule="auto"/>
              <w:ind w:firstLine="0"/>
              <w:jc w:val="center"/>
              <w:rPr>
                <w:sz w:val="20"/>
                <w:szCs w:val="20"/>
                <w:lang w:val="en-US"/>
              </w:rPr>
            </w:pPr>
          </w:p>
        </w:tc>
        <w:tc>
          <w:tcPr>
            <w:tcW w:w="992" w:type="dxa"/>
            <w:vAlign w:val="center"/>
          </w:tcPr>
          <w:p w14:paraId="7956ABD0" w14:textId="77777777" w:rsidR="001D3504" w:rsidRPr="00B77D07" w:rsidRDefault="001D3504" w:rsidP="00B717F6">
            <w:pPr>
              <w:spacing w:line="360" w:lineRule="auto"/>
              <w:ind w:firstLine="0"/>
              <w:jc w:val="center"/>
              <w:rPr>
                <w:sz w:val="20"/>
                <w:szCs w:val="20"/>
                <w:lang w:val="en-US"/>
              </w:rPr>
            </w:pPr>
          </w:p>
        </w:tc>
        <w:tc>
          <w:tcPr>
            <w:tcW w:w="993" w:type="dxa"/>
            <w:vAlign w:val="center"/>
          </w:tcPr>
          <w:p w14:paraId="0D0A5389" w14:textId="77777777" w:rsidR="001D3504" w:rsidRPr="00B77D07" w:rsidRDefault="001D3504" w:rsidP="00B717F6">
            <w:pPr>
              <w:spacing w:line="360" w:lineRule="auto"/>
              <w:ind w:firstLine="0"/>
              <w:jc w:val="center"/>
              <w:rPr>
                <w:sz w:val="20"/>
                <w:szCs w:val="20"/>
                <w:lang w:val="en-US"/>
              </w:rPr>
            </w:pPr>
          </w:p>
        </w:tc>
        <w:tc>
          <w:tcPr>
            <w:tcW w:w="992" w:type="dxa"/>
            <w:vAlign w:val="center"/>
          </w:tcPr>
          <w:p w14:paraId="603363BE" w14:textId="77777777" w:rsidR="001D3504" w:rsidRPr="00B77D07" w:rsidRDefault="001D3504" w:rsidP="00B717F6">
            <w:pPr>
              <w:spacing w:line="360" w:lineRule="auto"/>
              <w:ind w:firstLine="0"/>
              <w:jc w:val="center"/>
              <w:rPr>
                <w:sz w:val="20"/>
                <w:szCs w:val="20"/>
                <w:lang w:val="en-US"/>
              </w:rPr>
            </w:pPr>
          </w:p>
        </w:tc>
      </w:tr>
      <w:tr w:rsidR="001D3504" w:rsidRPr="00B77D07" w14:paraId="5C5131B9" w14:textId="77777777" w:rsidTr="00B717F6">
        <w:tc>
          <w:tcPr>
            <w:tcW w:w="1559" w:type="dxa"/>
          </w:tcPr>
          <w:p w14:paraId="73367926" w14:textId="77777777" w:rsidR="001D3504" w:rsidRPr="00B77D07" w:rsidRDefault="001D3504" w:rsidP="00B717F6">
            <w:pPr>
              <w:spacing w:line="360" w:lineRule="auto"/>
              <w:ind w:firstLine="0"/>
              <w:rPr>
                <w:sz w:val="20"/>
                <w:szCs w:val="20"/>
                <w:lang w:val="en-US"/>
              </w:rPr>
            </w:pPr>
          </w:p>
        </w:tc>
        <w:tc>
          <w:tcPr>
            <w:tcW w:w="1134" w:type="dxa"/>
          </w:tcPr>
          <w:p w14:paraId="0BD2A2E4" w14:textId="77777777" w:rsidR="001D3504" w:rsidRPr="00B77D07" w:rsidRDefault="001D3504" w:rsidP="00B717F6">
            <w:pPr>
              <w:spacing w:line="360" w:lineRule="auto"/>
              <w:ind w:firstLine="0"/>
              <w:jc w:val="both"/>
              <w:rPr>
                <w:sz w:val="20"/>
                <w:szCs w:val="20"/>
                <w:lang w:val="en-US"/>
              </w:rPr>
            </w:pPr>
            <w:r w:rsidRPr="00B77D07">
              <w:rPr>
                <w:sz w:val="20"/>
                <w:szCs w:val="20"/>
                <w:lang w:val="en-US"/>
              </w:rPr>
              <w:t>Yes</w:t>
            </w:r>
          </w:p>
        </w:tc>
        <w:tc>
          <w:tcPr>
            <w:tcW w:w="993" w:type="dxa"/>
            <w:vAlign w:val="center"/>
          </w:tcPr>
          <w:p w14:paraId="2ABFB083"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82.2</w:t>
            </w:r>
          </w:p>
        </w:tc>
        <w:tc>
          <w:tcPr>
            <w:tcW w:w="992" w:type="dxa"/>
            <w:vAlign w:val="center"/>
          </w:tcPr>
          <w:p w14:paraId="16E36776"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83.5</w:t>
            </w:r>
          </w:p>
        </w:tc>
        <w:tc>
          <w:tcPr>
            <w:tcW w:w="992" w:type="dxa"/>
            <w:vAlign w:val="center"/>
          </w:tcPr>
          <w:p w14:paraId="2D04D37D"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79.1</w:t>
            </w:r>
          </w:p>
        </w:tc>
        <w:tc>
          <w:tcPr>
            <w:tcW w:w="992" w:type="dxa"/>
            <w:vAlign w:val="center"/>
          </w:tcPr>
          <w:p w14:paraId="2D32300A"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92.7</w:t>
            </w:r>
          </w:p>
        </w:tc>
        <w:tc>
          <w:tcPr>
            <w:tcW w:w="284" w:type="dxa"/>
            <w:vAlign w:val="center"/>
          </w:tcPr>
          <w:p w14:paraId="7969AA00" w14:textId="77777777" w:rsidR="001D3504" w:rsidRPr="00B77D07" w:rsidRDefault="001D3504" w:rsidP="00B717F6">
            <w:pPr>
              <w:spacing w:line="360" w:lineRule="auto"/>
              <w:ind w:firstLine="0"/>
              <w:jc w:val="center"/>
              <w:rPr>
                <w:sz w:val="20"/>
                <w:szCs w:val="20"/>
                <w:highlight w:val="yellow"/>
                <w:lang w:val="en-US"/>
              </w:rPr>
            </w:pPr>
          </w:p>
        </w:tc>
        <w:tc>
          <w:tcPr>
            <w:tcW w:w="992" w:type="dxa"/>
            <w:vAlign w:val="center"/>
          </w:tcPr>
          <w:p w14:paraId="65ABAEF2"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69.3</w:t>
            </w:r>
          </w:p>
        </w:tc>
        <w:tc>
          <w:tcPr>
            <w:tcW w:w="992" w:type="dxa"/>
            <w:vAlign w:val="center"/>
          </w:tcPr>
          <w:p w14:paraId="066357F4"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84.4</w:t>
            </w:r>
          </w:p>
        </w:tc>
        <w:tc>
          <w:tcPr>
            <w:tcW w:w="993" w:type="dxa"/>
            <w:vAlign w:val="center"/>
          </w:tcPr>
          <w:p w14:paraId="2C31DD8B"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46.8</w:t>
            </w:r>
          </w:p>
        </w:tc>
        <w:tc>
          <w:tcPr>
            <w:tcW w:w="992" w:type="dxa"/>
            <w:vAlign w:val="center"/>
          </w:tcPr>
          <w:p w14:paraId="100CF64A"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73.1</w:t>
            </w:r>
          </w:p>
        </w:tc>
      </w:tr>
      <w:tr w:rsidR="001D3504" w:rsidRPr="00B77D07" w14:paraId="1EFB7993" w14:textId="77777777" w:rsidTr="00B717F6">
        <w:tc>
          <w:tcPr>
            <w:tcW w:w="1559" w:type="dxa"/>
          </w:tcPr>
          <w:p w14:paraId="31ED72EE" w14:textId="77777777" w:rsidR="001D3504" w:rsidRPr="00B77D07" w:rsidRDefault="001D3504" w:rsidP="00B717F6">
            <w:pPr>
              <w:spacing w:line="360" w:lineRule="auto"/>
              <w:ind w:firstLine="0"/>
              <w:rPr>
                <w:sz w:val="20"/>
                <w:szCs w:val="20"/>
                <w:lang w:val="en-US"/>
              </w:rPr>
            </w:pPr>
          </w:p>
        </w:tc>
        <w:tc>
          <w:tcPr>
            <w:tcW w:w="1134" w:type="dxa"/>
          </w:tcPr>
          <w:p w14:paraId="7D5EDD70" w14:textId="77777777" w:rsidR="001D3504" w:rsidRPr="00B77D07" w:rsidRDefault="001D3504" w:rsidP="00B717F6">
            <w:pPr>
              <w:spacing w:line="360" w:lineRule="auto"/>
              <w:ind w:firstLine="0"/>
              <w:jc w:val="both"/>
              <w:rPr>
                <w:sz w:val="20"/>
                <w:szCs w:val="20"/>
                <w:lang w:val="en-US"/>
              </w:rPr>
            </w:pPr>
            <w:r w:rsidRPr="00B77D07">
              <w:rPr>
                <w:sz w:val="20"/>
                <w:szCs w:val="20"/>
                <w:lang w:val="en-US"/>
              </w:rPr>
              <w:t>No</w:t>
            </w:r>
          </w:p>
        </w:tc>
        <w:tc>
          <w:tcPr>
            <w:tcW w:w="993" w:type="dxa"/>
            <w:vAlign w:val="center"/>
          </w:tcPr>
          <w:p w14:paraId="3B620EBE"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17.8</w:t>
            </w:r>
          </w:p>
        </w:tc>
        <w:tc>
          <w:tcPr>
            <w:tcW w:w="992" w:type="dxa"/>
            <w:vAlign w:val="center"/>
          </w:tcPr>
          <w:p w14:paraId="3BDC6F02"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16.5</w:t>
            </w:r>
          </w:p>
        </w:tc>
        <w:tc>
          <w:tcPr>
            <w:tcW w:w="992" w:type="dxa"/>
            <w:vAlign w:val="center"/>
          </w:tcPr>
          <w:p w14:paraId="129B6D5B"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20.9</w:t>
            </w:r>
          </w:p>
        </w:tc>
        <w:tc>
          <w:tcPr>
            <w:tcW w:w="992" w:type="dxa"/>
            <w:vAlign w:val="center"/>
          </w:tcPr>
          <w:p w14:paraId="6FBEF66D"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7.3</w:t>
            </w:r>
          </w:p>
        </w:tc>
        <w:tc>
          <w:tcPr>
            <w:tcW w:w="284" w:type="dxa"/>
            <w:vAlign w:val="center"/>
          </w:tcPr>
          <w:p w14:paraId="0C00A08C" w14:textId="77777777" w:rsidR="001D3504" w:rsidRPr="00B77D07" w:rsidRDefault="001D3504" w:rsidP="00B717F6">
            <w:pPr>
              <w:spacing w:line="360" w:lineRule="auto"/>
              <w:ind w:firstLine="0"/>
              <w:jc w:val="center"/>
              <w:rPr>
                <w:sz w:val="20"/>
                <w:szCs w:val="20"/>
                <w:highlight w:val="yellow"/>
                <w:lang w:val="en-US"/>
              </w:rPr>
            </w:pPr>
          </w:p>
        </w:tc>
        <w:tc>
          <w:tcPr>
            <w:tcW w:w="992" w:type="dxa"/>
            <w:vAlign w:val="center"/>
          </w:tcPr>
          <w:p w14:paraId="0F1BD289"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30.7</w:t>
            </w:r>
          </w:p>
        </w:tc>
        <w:tc>
          <w:tcPr>
            <w:tcW w:w="992" w:type="dxa"/>
            <w:vAlign w:val="center"/>
          </w:tcPr>
          <w:p w14:paraId="396883AC"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15.6</w:t>
            </w:r>
          </w:p>
        </w:tc>
        <w:tc>
          <w:tcPr>
            <w:tcW w:w="993" w:type="dxa"/>
            <w:vAlign w:val="center"/>
          </w:tcPr>
          <w:p w14:paraId="79903645"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53.2</w:t>
            </w:r>
          </w:p>
        </w:tc>
        <w:tc>
          <w:tcPr>
            <w:tcW w:w="992" w:type="dxa"/>
            <w:vAlign w:val="center"/>
          </w:tcPr>
          <w:p w14:paraId="2C7EFEA3"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26.9</w:t>
            </w:r>
          </w:p>
        </w:tc>
      </w:tr>
      <w:tr w:rsidR="001D3504" w:rsidRPr="00B77D07" w14:paraId="681ACBED" w14:textId="77777777" w:rsidTr="0039745B">
        <w:tc>
          <w:tcPr>
            <w:tcW w:w="1559" w:type="dxa"/>
            <w:tcBorders>
              <w:bottom w:val="single" w:sz="4" w:space="0" w:color="auto"/>
            </w:tcBorders>
          </w:tcPr>
          <w:p w14:paraId="3073C562" w14:textId="77777777" w:rsidR="001D3504" w:rsidRPr="00B77D07" w:rsidRDefault="001D3504" w:rsidP="00B717F6">
            <w:pPr>
              <w:spacing w:line="360" w:lineRule="auto"/>
              <w:ind w:firstLine="0"/>
              <w:rPr>
                <w:sz w:val="20"/>
                <w:szCs w:val="20"/>
                <w:lang w:val="en-US"/>
              </w:rPr>
            </w:pPr>
          </w:p>
        </w:tc>
        <w:tc>
          <w:tcPr>
            <w:tcW w:w="1134" w:type="dxa"/>
            <w:tcBorders>
              <w:top w:val="single" w:sz="4" w:space="0" w:color="auto"/>
              <w:bottom w:val="single" w:sz="4" w:space="0" w:color="auto"/>
            </w:tcBorders>
          </w:tcPr>
          <w:p w14:paraId="6468174B" w14:textId="77777777" w:rsidR="001D3504" w:rsidRPr="00B77D07" w:rsidRDefault="001D3504" w:rsidP="00B717F6">
            <w:pPr>
              <w:spacing w:line="360" w:lineRule="auto"/>
              <w:ind w:firstLine="0"/>
              <w:jc w:val="both"/>
              <w:rPr>
                <w:sz w:val="20"/>
                <w:szCs w:val="20"/>
                <w:lang w:val="en-US"/>
              </w:rPr>
            </w:pPr>
            <w:r w:rsidRPr="00B77D07">
              <w:rPr>
                <w:i/>
                <w:sz w:val="20"/>
                <w:szCs w:val="20"/>
                <w:lang w:val="en-US"/>
              </w:rPr>
              <w:t>n</w:t>
            </w:r>
            <w:r w:rsidRPr="00B77D07">
              <w:rPr>
                <w:sz w:val="20"/>
                <w:szCs w:val="20"/>
                <w:lang w:val="en-US"/>
              </w:rPr>
              <w:t xml:space="preserve"> =</w:t>
            </w:r>
          </w:p>
        </w:tc>
        <w:tc>
          <w:tcPr>
            <w:tcW w:w="993" w:type="dxa"/>
            <w:tcBorders>
              <w:top w:val="single" w:sz="4" w:space="0" w:color="auto"/>
              <w:bottom w:val="single" w:sz="4" w:space="0" w:color="auto"/>
            </w:tcBorders>
            <w:vAlign w:val="center"/>
          </w:tcPr>
          <w:p w14:paraId="08527828"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631</w:t>
            </w:r>
          </w:p>
        </w:tc>
        <w:tc>
          <w:tcPr>
            <w:tcW w:w="992" w:type="dxa"/>
            <w:tcBorders>
              <w:top w:val="single" w:sz="4" w:space="0" w:color="auto"/>
              <w:bottom w:val="single" w:sz="4" w:space="0" w:color="auto"/>
            </w:tcBorders>
            <w:vAlign w:val="center"/>
          </w:tcPr>
          <w:p w14:paraId="5ED85D30"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524</w:t>
            </w:r>
          </w:p>
        </w:tc>
        <w:tc>
          <w:tcPr>
            <w:tcW w:w="992" w:type="dxa"/>
            <w:tcBorders>
              <w:top w:val="single" w:sz="4" w:space="0" w:color="auto"/>
              <w:bottom w:val="single" w:sz="4" w:space="0" w:color="auto"/>
            </w:tcBorders>
            <w:vAlign w:val="center"/>
          </w:tcPr>
          <w:p w14:paraId="2D7BDF4B"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485</w:t>
            </w:r>
          </w:p>
        </w:tc>
        <w:tc>
          <w:tcPr>
            <w:tcW w:w="992" w:type="dxa"/>
            <w:tcBorders>
              <w:top w:val="single" w:sz="4" w:space="0" w:color="auto"/>
              <w:bottom w:val="single" w:sz="4" w:space="0" w:color="auto"/>
            </w:tcBorders>
            <w:vAlign w:val="center"/>
          </w:tcPr>
          <w:p w14:paraId="04320675"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232</w:t>
            </w:r>
          </w:p>
        </w:tc>
        <w:tc>
          <w:tcPr>
            <w:tcW w:w="284" w:type="dxa"/>
            <w:tcBorders>
              <w:top w:val="single" w:sz="4" w:space="0" w:color="auto"/>
              <w:bottom w:val="single" w:sz="4" w:space="0" w:color="auto"/>
            </w:tcBorders>
            <w:vAlign w:val="center"/>
          </w:tcPr>
          <w:p w14:paraId="0E2E718D" w14:textId="77777777" w:rsidR="001D3504" w:rsidRPr="00B77D07" w:rsidRDefault="001D3504" w:rsidP="00B717F6">
            <w:pPr>
              <w:spacing w:line="360" w:lineRule="auto"/>
              <w:ind w:firstLine="0"/>
              <w:jc w:val="center"/>
              <w:rPr>
                <w:sz w:val="20"/>
                <w:szCs w:val="20"/>
                <w:highlight w:val="yellow"/>
                <w:lang w:val="en-US"/>
              </w:rPr>
            </w:pPr>
          </w:p>
        </w:tc>
        <w:tc>
          <w:tcPr>
            <w:tcW w:w="992" w:type="dxa"/>
            <w:tcBorders>
              <w:top w:val="single" w:sz="4" w:space="0" w:color="auto"/>
              <w:bottom w:val="single" w:sz="4" w:space="0" w:color="auto"/>
            </w:tcBorders>
            <w:vAlign w:val="center"/>
          </w:tcPr>
          <w:p w14:paraId="26C6E6CC"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635</w:t>
            </w:r>
          </w:p>
        </w:tc>
        <w:tc>
          <w:tcPr>
            <w:tcW w:w="992" w:type="dxa"/>
            <w:tcBorders>
              <w:top w:val="single" w:sz="4" w:space="0" w:color="auto"/>
              <w:bottom w:val="single" w:sz="4" w:space="0" w:color="auto"/>
            </w:tcBorders>
            <w:vAlign w:val="center"/>
          </w:tcPr>
          <w:p w14:paraId="3790D8E8"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521</w:t>
            </w:r>
          </w:p>
        </w:tc>
        <w:tc>
          <w:tcPr>
            <w:tcW w:w="993" w:type="dxa"/>
            <w:tcBorders>
              <w:top w:val="single" w:sz="4" w:space="0" w:color="auto"/>
              <w:bottom w:val="single" w:sz="4" w:space="0" w:color="auto"/>
            </w:tcBorders>
            <w:vAlign w:val="center"/>
          </w:tcPr>
          <w:p w14:paraId="4ADE09FB"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504</w:t>
            </w:r>
          </w:p>
        </w:tc>
        <w:tc>
          <w:tcPr>
            <w:tcW w:w="992" w:type="dxa"/>
            <w:tcBorders>
              <w:top w:val="single" w:sz="4" w:space="0" w:color="auto"/>
              <w:bottom w:val="single" w:sz="4" w:space="0" w:color="auto"/>
            </w:tcBorders>
            <w:vAlign w:val="center"/>
          </w:tcPr>
          <w:p w14:paraId="4331C9E2" w14:textId="77777777" w:rsidR="001D3504" w:rsidRPr="00B77D07" w:rsidRDefault="001D3504" w:rsidP="00B717F6">
            <w:pPr>
              <w:spacing w:line="360" w:lineRule="auto"/>
              <w:ind w:firstLine="0"/>
              <w:jc w:val="center"/>
              <w:rPr>
                <w:sz w:val="20"/>
                <w:szCs w:val="20"/>
                <w:lang w:val="en-US"/>
              </w:rPr>
            </w:pPr>
            <w:r w:rsidRPr="00B77D07">
              <w:rPr>
                <w:sz w:val="20"/>
                <w:szCs w:val="20"/>
                <w:lang w:val="en-US"/>
              </w:rPr>
              <w:t>277</w:t>
            </w:r>
          </w:p>
        </w:tc>
      </w:tr>
    </w:tbl>
    <w:p w14:paraId="4B1193E7" w14:textId="6172AE95" w:rsidR="00B717F6" w:rsidRPr="00FA189A" w:rsidRDefault="00B717F6" w:rsidP="00ED07A3">
      <w:pPr>
        <w:pStyle w:val="NoSpacing"/>
        <w:spacing w:line="480" w:lineRule="auto"/>
        <w:rPr>
          <w:b/>
        </w:rPr>
      </w:pPr>
      <w:proofErr w:type="spellStart"/>
      <w:r w:rsidRPr="00FA189A">
        <w:rPr>
          <w:b/>
        </w:rPr>
        <w:t>T</w:t>
      </w:r>
      <w:r w:rsidR="00FA189A">
        <w:rPr>
          <w:b/>
        </w:rPr>
        <w:t>able</w:t>
      </w:r>
      <w:proofErr w:type="spellEnd"/>
      <w:r w:rsidRPr="00FA189A">
        <w:rPr>
          <w:b/>
        </w:rPr>
        <w:t xml:space="preserve"> 1</w:t>
      </w:r>
    </w:p>
    <w:p w14:paraId="613292C2" w14:textId="2ACA14B8" w:rsidR="00FA189A" w:rsidRPr="00FA189A" w:rsidRDefault="00FA189A" w:rsidP="00ED07A3">
      <w:pPr>
        <w:ind w:firstLine="0"/>
        <w:rPr>
          <w:i/>
          <w:sz w:val="32"/>
          <w:lang w:val="en-US"/>
        </w:rPr>
      </w:pPr>
      <w:r w:rsidRPr="00FA189A">
        <w:rPr>
          <w:i/>
          <w:szCs w:val="20"/>
          <w:lang w:val="en-US"/>
        </w:rPr>
        <w:t>An overview of the sociodemographic characteristics of the sample, by co</w:t>
      </w:r>
      <w:r w:rsidR="00C27105">
        <w:rPr>
          <w:i/>
          <w:szCs w:val="20"/>
          <w:lang w:val="en-US"/>
        </w:rPr>
        <w:t>untry and gender (weighted data)</w:t>
      </w:r>
    </w:p>
    <w:p w14:paraId="2FA52F84" w14:textId="75474AE8" w:rsidR="001D3504" w:rsidRPr="00B77D07" w:rsidRDefault="001D3504" w:rsidP="00B77D07">
      <w:pPr>
        <w:pStyle w:val="2APA-stil"/>
        <w:spacing w:line="360" w:lineRule="auto"/>
      </w:pPr>
      <w:r w:rsidRPr="00B77D07">
        <w:br w:type="page"/>
      </w:r>
    </w:p>
    <w:tbl>
      <w:tblPr>
        <w:tblpPr w:leftFromText="141" w:rightFromText="141" w:vertAnchor="page" w:horzAnchor="margin" w:tblpY="3171"/>
        <w:tblW w:w="13005" w:type="dxa"/>
        <w:tblLayout w:type="fixed"/>
        <w:tblLook w:val="04A0" w:firstRow="1" w:lastRow="0" w:firstColumn="1" w:lastColumn="0" w:noHBand="0" w:noVBand="1"/>
      </w:tblPr>
      <w:tblGrid>
        <w:gridCol w:w="3966"/>
        <w:gridCol w:w="992"/>
        <w:gridCol w:w="284"/>
        <w:gridCol w:w="992"/>
        <w:gridCol w:w="284"/>
        <w:gridCol w:w="992"/>
        <w:gridCol w:w="236"/>
        <w:gridCol w:w="1045"/>
        <w:gridCol w:w="565"/>
        <w:gridCol w:w="565"/>
        <w:gridCol w:w="1134"/>
        <w:gridCol w:w="1383"/>
        <w:gridCol w:w="567"/>
      </w:tblGrid>
      <w:tr w:rsidR="001D3504" w:rsidRPr="00B77D07" w14:paraId="2A62C26C" w14:textId="77777777" w:rsidTr="00ED07A3">
        <w:tc>
          <w:tcPr>
            <w:tcW w:w="3966" w:type="dxa"/>
            <w:tcBorders>
              <w:top w:val="single" w:sz="4" w:space="0" w:color="auto"/>
            </w:tcBorders>
          </w:tcPr>
          <w:p w14:paraId="0E110879" w14:textId="77777777" w:rsidR="001D3504" w:rsidRPr="00411822" w:rsidRDefault="001D3504" w:rsidP="00ED07A3">
            <w:pPr>
              <w:spacing w:line="360" w:lineRule="auto"/>
              <w:ind w:firstLine="0"/>
              <w:rPr>
                <w:rFonts w:eastAsiaTheme="minorEastAsia"/>
                <w:sz w:val="20"/>
                <w:szCs w:val="16"/>
                <w:lang w:val="en-US" w:eastAsia="zh-CN"/>
              </w:rPr>
            </w:pPr>
            <w:r w:rsidRPr="00411822">
              <w:rPr>
                <w:rFonts w:eastAsiaTheme="minorEastAsia"/>
                <w:sz w:val="20"/>
                <w:szCs w:val="16"/>
                <w:lang w:val="en-US" w:eastAsia="zh-CN"/>
              </w:rPr>
              <w:lastRenderedPageBreak/>
              <w:t>Masturbation frequency in the past month</w:t>
            </w:r>
          </w:p>
        </w:tc>
        <w:tc>
          <w:tcPr>
            <w:tcW w:w="992" w:type="dxa"/>
            <w:tcBorders>
              <w:top w:val="single" w:sz="4" w:space="0" w:color="auto"/>
              <w:bottom w:val="single" w:sz="4" w:space="0" w:color="auto"/>
            </w:tcBorders>
          </w:tcPr>
          <w:p w14:paraId="3E7EB989"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Norway</w:t>
            </w:r>
          </w:p>
        </w:tc>
        <w:tc>
          <w:tcPr>
            <w:tcW w:w="284" w:type="dxa"/>
            <w:tcBorders>
              <w:top w:val="single" w:sz="4" w:space="0" w:color="auto"/>
            </w:tcBorders>
          </w:tcPr>
          <w:p w14:paraId="1EA0A3B9"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Borders>
              <w:top w:val="single" w:sz="4" w:space="0" w:color="auto"/>
            </w:tcBorders>
          </w:tcPr>
          <w:p w14:paraId="13B5B9B7"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Denmark</w:t>
            </w:r>
          </w:p>
        </w:tc>
        <w:tc>
          <w:tcPr>
            <w:tcW w:w="284" w:type="dxa"/>
            <w:tcBorders>
              <w:top w:val="single" w:sz="4" w:space="0" w:color="auto"/>
            </w:tcBorders>
          </w:tcPr>
          <w:p w14:paraId="3DA25C3A"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Borders>
              <w:top w:val="single" w:sz="4" w:space="0" w:color="auto"/>
            </w:tcBorders>
          </w:tcPr>
          <w:p w14:paraId="18B8E022"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Belgium</w:t>
            </w:r>
          </w:p>
        </w:tc>
        <w:tc>
          <w:tcPr>
            <w:tcW w:w="236" w:type="dxa"/>
            <w:tcBorders>
              <w:top w:val="single" w:sz="4" w:space="0" w:color="auto"/>
            </w:tcBorders>
          </w:tcPr>
          <w:p w14:paraId="077B41A3"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045" w:type="dxa"/>
            <w:tcBorders>
              <w:top w:val="single" w:sz="4" w:space="0" w:color="auto"/>
            </w:tcBorders>
          </w:tcPr>
          <w:p w14:paraId="1E91B00E"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Portugal</w:t>
            </w:r>
          </w:p>
        </w:tc>
        <w:tc>
          <w:tcPr>
            <w:tcW w:w="565" w:type="dxa"/>
            <w:tcBorders>
              <w:top w:val="single" w:sz="4" w:space="0" w:color="auto"/>
              <w:bottom w:val="single" w:sz="4" w:space="0" w:color="auto"/>
            </w:tcBorders>
          </w:tcPr>
          <w:p w14:paraId="561BD882"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sign</w:t>
            </w:r>
          </w:p>
        </w:tc>
        <w:tc>
          <w:tcPr>
            <w:tcW w:w="565" w:type="dxa"/>
            <w:tcBorders>
              <w:top w:val="single" w:sz="4" w:space="0" w:color="auto"/>
            </w:tcBorders>
          </w:tcPr>
          <w:p w14:paraId="054DE1C0"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134" w:type="dxa"/>
            <w:tcBorders>
              <w:top w:val="single" w:sz="4" w:space="0" w:color="auto"/>
            </w:tcBorders>
          </w:tcPr>
          <w:p w14:paraId="17DA3328"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All partnered</w:t>
            </w:r>
          </w:p>
        </w:tc>
        <w:tc>
          <w:tcPr>
            <w:tcW w:w="1383" w:type="dxa"/>
            <w:tcBorders>
              <w:top w:val="single" w:sz="4" w:space="0" w:color="auto"/>
            </w:tcBorders>
          </w:tcPr>
          <w:p w14:paraId="28E9460C"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All not partnered</w:t>
            </w:r>
          </w:p>
        </w:tc>
        <w:tc>
          <w:tcPr>
            <w:tcW w:w="567" w:type="dxa"/>
            <w:tcBorders>
              <w:top w:val="single" w:sz="4" w:space="0" w:color="auto"/>
            </w:tcBorders>
          </w:tcPr>
          <w:p w14:paraId="1830FCE6" w14:textId="5260DE4C" w:rsidR="001D3504" w:rsidRPr="00B77D07" w:rsidRDefault="000D4BAE" w:rsidP="00ED07A3">
            <w:pPr>
              <w:spacing w:line="360" w:lineRule="auto"/>
              <w:ind w:firstLine="0"/>
              <w:rPr>
                <w:rFonts w:eastAsiaTheme="minorEastAsia" w:cstheme="minorBidi"/>
                <w:sz w:val="20"/>
                <w:szCs w:val="20"/>
                <w:lang w:val="en-GB" w:eastAsia="zh-CN"/>
              </w:rPr>
            </w:pPr>
            <w:r>
              <w:rPr>
                <w:rFonts w:eastAsiaTheme="minorEastAsia" w:cstheme="minorBidi"/>
                <w:sz w:val="20"/>
                <w:szCs w:val="20"/>
                <w:lang w:val="en-GB" w:eastAsia="zh-CN"/>
              </w:rPr>
              <w:t>sign</w:t>
            </w:r>
          </w:p>
        </w:tc>
      </w:tr>
      <w:tr w:rsidR="001D3504" w:rsidRPr="00B77D07" w14:paraId="0AF92A40" w14:textId="77777777" w:rsidTr="00ED07A3">
        <w:tc>
          <w:tcPr>
            <w:tcW w:w="3966" w:type="dxa"/>
            <w:tcBorders>
              <w:top w:val="single" w:sz="4" w:space="0" w:color="auto"/>
            </w:tcBorders>
          </w:tcPr>
          <w:p w14:paraId="29C96BEC" w14:textId="77777777" w:rsidR="001D3504" w:rsidRPr="00B77D07" w:rsidRDefault="001D3504" w:rsidP="00ED07A3">
            <w:pPr>
              <w:spacing w:line="360" w:lineRule="auto"/>
              <w:ind w:firstLine="0"/>
              <w:rPr>
                <w:rFonts w:eastAsiaTheme="minorEastAsia"/>
                <w:b/>
                <w:sz w:val="20"/>
                <w:szCs w:val="16"/>
                <w:lang w:val="en-US" w:eastAsia="zh-CN"/>
              </w:rPr>
            </w:pPr>
            <w:r w:rsidRPr="00B77D07">
              <w:rPr>
                <w:rFonts w:eastAsiaTheme="minorEastAsia"/>
                <w:b/>
                <w:sz w:val="20"/>
                <w:szCs w:val="16"/>
                <w:lang w:val="en-US" w:eastAsia="zh-CN"/>
              </w:rPr>
              <w:t>MEN</w:t>
            </w:r>
          </w:p>
        </w:tc>
        <w:tc>
          <w:tcPr>
            <w:tcW w:w="992" w:type="dxa"/>
            <w:tcBorders>
              <w:top w:val="single" w:sz="4" w:space="0" w:color="auto"/>
            </w:tcBorders>
          </w:tcPr>
          <w:p w14:paraId="2F3E098A"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284" w:type="dxa"/>
            <w:tcBorders>
              <w:top w:val="single" w:sz="4" w:space="0" w:color="auto"/>
            </w:tcBorders>
          </w:tcPr>
          <w:p w14:paraId="7A00AD93"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Borders>
              <w:top w:val="single" w:sz="4" w:space="0" w:color="auto"/>
            </w:tcBorders>
          </w:tcPr>
          <w:p w14:paraId="070FD452"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284" w:type="dxa"/>
            <w:tcBorders>
              <w:top w:val="single" w:sz="4" w:space="0" w:color="auto"/>
            </w:tcBorders>
          </w:tcPr>
          <w:p w14:paraId="05510145"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Borders>
              <w:top w:val="single" w:sz="4" w:space="0" w:color="auto"/>
            </w:tcBorders>
          </w:tcPr>
          <w:p w14:paraId="0FAA5F61"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236" w:type="dxa"/>
            <w:tcBorders>
              <w:top w:val="single" w:sz="4" w:space="0" w:color="auto"/>
            </w:tcBorders>
          </w:tcPr>
          <w:p w14:paraId="1619BF44"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045" w:type="dxa"/>
            <w:tcBorders>
              <w:top w:val="single" w:sz="4" w:space="0" w:color="auto"/>
            </w:tcBorders>
          </w:tcPr>
          <w:p w14:paraId="74CB61ED"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565" w:type="dxa"/>
            <w:tcBorders>
              <w:top w:val="single" w:sz="4" w:space="0" w:color="auto"/>
            </w:tcBorders>
          </w:tcPr>
          <w:p w14:paraId="3978B337"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565" w:type="dxa"/>
          </w:tcPr>
          <w:p w14:paraId="66801108"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134" w:type="dxa"/>
            <w:tcBorders>
              <w:top w:val="single" w:sz="4" w:space="0" w:color="auto"/>
            </w:tcBorders>
          </w:tcPr>
          <w:p w14:paraId="5A1A47C1"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383" w:type="dxa"/>
            <w:tcBorders>
              <w:top w:val="single" w:sz="4" w:space="0" w:color="auto"/>
            </w:tcBorders>
          </w:tcPr>
          <w:p w14:paraId="3D3FADE0"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567" w:type="dxa"/>
            <w:tcBorders>
              <w:top w:val="single" w:sz="4" w:space="0" w:color="auto"/>
            </w:tcBorders>
          </w:tcPr>
          <w:p w14:paraId="4EFE4064" w14:textId="77777777" w:rsidR="001D3504" w:rsidRPr="00B77D07" w:rsidRDefault="001D3504" w:rsidP="00ED07A3">
            <w:pPr>
              <w:spacing w:line="360" w:lineRule="auto"/>
              <w:ind w:firstLine="0"/>
              <w:rPr>
                <w:rFonts w:eastAsiaTheme="minorEastAsia" w:cstheme="minorBidi"/>
                <w:sz w:val="20"/>
                <w:szCs w:val="20"/>
                <w:lang w:val="en-GB" w:eastAsia="zh-CN"/>
              </w:rPr>
            </w:pPr>
          </w:p>
        </w:tc>
      </w:tr>
      <w:tr w:rsidR="001D3504" w:rsidRPr="00B77D07" w14:paraId="4AE4D606" w14:textId="77777777" w:rsidTr="00ED07A3">
        <w:tc>
          <w:tcPr>
            <w:tcW w:w="3966" w:type="dxa"/>
          </w:tcPr>
          <w:p w14:paraId="13D69EA3"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sz w:val="20"/>
                <w:szCs w:val="16"/>
                <w:lang w:val="en-US" w:eastAsia="zh-CN"/>
              </w:rPr>
              <w:t>None</w:t>
            </w:r>
          </w:p>
        </w:tc>
        <w:tc>
          <w:tcPr>
            <w:tcW w:w="992" w:type="dxa"/>
          </w:tcPr>
          <w:p w14:paraId="2B908E56"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34.7</w:t>
            </w:r>
          </w:p>
        </w:tc>
        <w:tc>
          <w:tcPr>
            <w:tcW w:w="284" w:type="dxa"/>
          </w:tcPr>
          <w:p w14:paraId="63B138C8"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Pr>
          <w:p w14:paraId="20DC2BB2"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46.6</w:t>
            </w:r>
          </w:p>
        </w:tc>
        <w:tc>
          <w:tcPr>
            <w:tcW w:w="284" w:type="dxa"/>
          </w:tcPr>
          <w:p w14:paraId="398519BD"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Pr>
          <w:p w14:paraId="42394BD7"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42.7</w:t>
            </w:r>
          </w:p>
        </w:tc>
        <w:tc>
          <w:tcPr>
            <w:tcW w:w="236" w:type="dxa"/>
          </w:tcPr>
          <w:p w14:paraId="2B1F4B54"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045" w:type="dxa"/>
          </w:tcPr>
          <w:p w14:paraId="6A998F48"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58.1</w:t>
            </w:r>
          </w:p>
        </w:tc>
        <w:tc>
          <w:tcPr>
            <w:tcW w:w="565" w:type="dxa"/>
          </w:tcPr>
          <w:p w14:paraId="201ABF16" w14:textId="77777777" w:rsidR="001D3504" w:rsidRPr="00B77D07" w:rsidRDefault="001D3504" w:rsidP="00ED07A3">
            <w:pPr>
              <w:spacing w:line="360" w:lineRule="auto"/>
              <w:ind w:firstLine="0"/>
              <w:rPr>
                <w:rFonts w:eastAsiaTheme="minorEastAsia" w:cstheme="minorBidi"/>
                <w:sz w:val="20"/>
                <w:szCs w:val="20"/>
                <w:vertAlign w:val="superscript"/>
                <w:lang w:val="en-GB" w:eastAsia="zh-CN"/>
              </w:rPr>
            </w:pPr>
            <w:r w:rsidRPr="00B77D07">
              <w:rPr>
                <w:rFonts w:eastAsiaTheme="minorEastAsia" w:cstheme="minorBidi"/>
                <w:sz w:val="20"/>
                <w:szCs w:val="20"/>
                <w:vertAlign w:val="superscript"/>
                <w:lang w:val="en-GB" w:eastAsia="zh-CN"/>
              </w:rPr>
              <w:t>***</w:t>
            </w:r>
          </w:p>
        </w:tc>
        <w:tc>
          <w:tcPr>
            <w:tcW w:w="565" w:type="dxa"/>
          </w:tcPr>
          <w:p w14:paraId="3D21611F"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134" w:type="dxa"/>
          </w:tcPr>
          <w:p w14:paraId="4497A998"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46.0</w:t>
            </w:r>
          </w:p>
        </w:tc>
        <w:tc>
          <w:tcPr>
            <w:tcW w:w="1383" w:type="dxa"/>
          </w:tcPr>
          <w:p w14:paraId="09520310"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25.4</w:t>
            </w:r>
          </w:p>
        </w:tc>
        <w:tc>
          <w:tcPr>
            <w:tcW w:w="567" w:type="dxa"/>
          </w:tcPr>
          <w:p w14:paraId="2A4C444C" w14:textId="77777777" w:rsidR="001D3504" w:rsidRPr="00B77D07" w:rsidRDefault="001D3504" w:rsidP="00ED07A3">
            <w:pPr>
              <w:spacing w:line="360" w:lineRule="auto"/>
              <w:ind w:firstLine="0"/>
              <w:rPr>
                <w:rFonts w:eastAsiaTheme="minorEastAsia" w:cstheme="minorBidi"/>
                <w:sz w:val="20"/>
                <w:szCs w:val="20"/>
                <w:vertAlign w:val="superscript"/>
                <w:lang w:val="en-GB" w:eastAsia="zh-CN"/>
              </w:rPr>
            </w:pPr>
            <w:r w:rsidRPr="00B77D07">
              <w:rPr>
                <w:rFonts w:eastAsiaTheme="minorEastAsia" w:cstheme="minorBidi"/>
                <w:sz w:val="20"/>
                <w:szCs w:val="20"/>
                <w:vertAlign w:val="superscript"/>
                <w:lang w:val="en-GB" w:eastAsia="zh-CN"/>
              </w:rPr>
              <w:t>***</w:t>
            </w:r>
          </w:p>
        </w:tc>
      </w:tr>
      <w:tr w:rsidR="001D3504" w:rsidRPr="00B77D07" w14:paraId="4E4809F5" w14:textId="77777777" w:rsidTr="00ED07A3">
        <w:tc>
          <w:tcPr>
            <w:tcW w:w="3966" w:type="dxa"/>
          </w:tcPr>
          <w:p w14:paraId="47F389C8" w14:textId="77777777" w:rsidR="001D3504" w:rsidRPr="00B77D07" w:rsidRDefault="001D3504" w:rsidP="00ED07A3">
            <w:pPr>
              <w:spacing w:line="360" w:lineRule="auto"/>
              <w:ind w:firstLine="0"/>
              <w:rPr>
                <w:rFonts w:eastAsiaTheme="minorEastAsia" w:cstheme="minorBidi"/>
                <w:b/>
                <w:bCs/>
                <w:sz w:val="20"/>
                <w:szCs w:val="20"/>
                <w:lang w:val="en-GB" w:eastAsia="zh-CN"/>
              </w:rPr>
            </w:pPr>
            <w:r w:rsidRPr="00B77D07">
              <w:rPr>
                <w:rFonts w:eastAsiaTheme="minorEastAsia" w:cstheme="minorBidi"/>
                <w:sz w:val="20"/>
                <w:szCs w:val="20"/>
                <w:lang w:val="en-GB" w:eastAsia="zh-CN"/>
              </w:rPr>
              <w:t xml:space="preserve">Once </w:t>
            </w:r>
          </w:p>
        </w:tc>
        <w:tc>
          <w:tcPr>
            <w:tcW w:w="992" w:type="dxa"/>
          </w:tcPr>
          <w:p w14:paraId="64F9A32F"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16.0</w:t>
            </w:r>
          </w:p>
        </w:tc>
        <w:tc>
          <w:tcPr>
            <w:tcW w:w="284" w:type="dxa"/>
          </w:tcPr>
          <w:p w14:paraId="57F620A2"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Pr>
          <w:p w14:paraId="184EC989"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12.8</w:t>
            </w:r>
          </w:p>
        </w:tc>
        <w:tc>
          <w:tcPr>
            <w:tcW w:w="284" w:type="dxa"/>
          </w:tcPr>
          <w:p w14:paraId="219648B7"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Pr>
          <w:p w14:paraId="1D7053F2"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16.2</w:t>
            </w:r>
          </w:p>
        </w:tc>
        <w:tc>
          <w:tcPr>
            <w:tcW w:w="236" w:type="dxa"/>
          </w:tcPr>
          <w:p w14:paraId="79513EFB"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045" w:type="dxa"/>
          </w:tcPr>
          <w:p w14:paraId="3CEA1BBE"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10.1</w:t>
            </w:r>
          </w:p>
        </w:tc>
        <w:tc>
          <w:tcPr>
            <w:tcW w:w="565" w:type="dxa"/>
          </w:tcPr>
          <w:p w14:paraId="7C372BE6"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565" w:type="dxa"/>
          </w:tcPr>
          <w:p w14:paraId="6B9C1BA0"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134" w:type="dxa"/>
          </w:tcPr>
          <w:p w14:paraId="5EDCB9BE"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15.0</w:t>
            </w:r>
          </w:p>
        </w:tc>
        <w:tc>
          <w:tcPr>
            <w:tcW w:w="1383" w:type="dxa"/>
          </w:tcPr>
          <w:p w14:paraId="54CE8829"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12.2</w:t>
            </w:r>
          </w:p>
        </w:tc>
        <w:tc>
          <w:tcPr>
            <w:tcW w:w="567" w:type="dxa"/>
          </w:tcPr>
          <w:p w14:paraId="124A7A71" w14:textId="77777777" w:rsidR="001D3504" w:rsidRPr="00B77D07" w:rsidRDefault="001D3504" w:rsidP="00ED07A3">
            <w:pPr>
              <w:spacing w:line="360" w:lineRule="auto"/>
              <w:ind w:firstLine="0"/>
              <w:rPr>
                <w:rFonts w:eastAsiaTheme="minorEastAsia" w:cstheme="minorBidi"/>
                <w:sz w:val="20"/>
                <w:szCs w:val="20"/>
                <w:lang w:val="en-GB" w:eastAsia="zh-CN"/>
              </w:rPr>
            </w:pPr>
          </w:p>
        </w:tc>
      </w:tr>
      <w:tr w:rsidR="001D3504" w:rsidRPr="00B77D07" w14:paraId="152DC699" w14:textId="77777777" w:rsidTr="00ED07A3">
        <w:tc>
          <w:tcPr>
            <w:tcW w:w="3966" w:type="dxa"/>
          </w:tcPr>
          <w:p w14:paraId="3CB2CBBA"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 xml:space="preserve">2 or 3 times </w:t>
            </w:r>
          </w:p>
        </w:tc>
        <w:tc>
          <w:tcPr>
            <w:tcW w:w="992" w:type="dxa"/>
          </w:tcPr>
          <w:p w14:paraId="323E829A"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20.2</w:t>
            </w:r>
          </w:p>
        </w:tc>
        <w:tc>
          <w:tcPr>
            <w:tcW w:w="284" w:type="dxa"/>
          </w:tcPr>
          <w:p w14:paraId="2325143B"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Pr>
          <w:p w14:paraId="6085DD72"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16.5</w:t>
            </w:r>
          </w:p>
        </w:tc>
        <w:tc>
          <w:tcPr>
            <w:tcW w:w="284" w:type="dxa"/>
          </w:tcPr>
          <w:p w14:paraId="0A8D393B"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Pr>
          <w:p w14:paraId="66D9459A"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17.8</w:t>
            </w:r>
          </w:p>
        </w:tc>
        <w:tc>
          <w:tcPr>
            <w:tcW w:w="236" w:type="dxa"/>
          </w:tcPr>
          <w:p w14:paraId="3850157D"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045" w:type="dxa"/>
          </w:tcPr>
          <w:p w14:paraId="73552F81"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13.3</w:t>
            </w:r>
          </w:p>
        </w:tc>
        <w:tc>
          <w:tcPr>
            <w:tcW w:w="565" w:type="dxa"/>
          </w:tcPr>
          <w:p w14:paraId="260C5290"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565" w:type="dxa"/>
          </w:tcPr>
          <w:p w14:paraId="41C82AF7"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134" w:type="dxa"/>
          </w:tcPr>
          <w:p w14:paraId="3725189A"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16.5</w:t>
            </w:r>
          </w:p>
        </w:tc>
        <w:tc>
          <w:tcPr>
            <w:tcW w:w="1383" w:type="dxa"/>
          </w:tcPr>
          <w:p w14:paraId="252DA1BD"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24.4</w:t>
            </w:r>
          </w:p>
        </w:tc>
        <w:tc>
          <w:tcPr>
            <w:tcW w:w="567" w:type="dxa"/>
          </w:tcPr>
          <w:p w14:paraId="62A2A8AC" w14:textId="77777777" w:rsidR="001D3504" w:rsidRPr="00B77D07" w:rsidRDefault="001D3504" w:rsidP="00ED07A3">
            <w:pPr>
              <w:spacing w:line="360" w:lineRule="auto"/>
              <w:ind w:firstLine="0"/>
              <w:rPr>
                <w:rFonts w:eastAsiaTheme="minorEastAsia" w:cstheme="minorBidi"/>
                <w:sz w:val="20"/>
                <w:szCs w:val="20"/>
                <w:lang w:val="en-GB" w:eastAsia="zh-CN"/>
              </w:rPr>
            </w:pPr>
          </w:p>
        </w:tc>
      </w:tr>
      <w:tr w:rsidR="001D3504" w:rsidRPr="00B77D07" w14:paraId="55F40BF2" w14:textId="77777777" w:rsidTr="00ED07A3">
        <w:tc>
          <w:tcPr>
            <w:tcW w:w="3966" w:type="dxa"/>
          </w:tcPr>
          <w:p w14:paraId="18289594"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Once a week</w:t>
            </w:r>
          </w:p>
        </w:tc>
        <w:tc>
          <w:tcPr>
            <w:tcW w:w="992" w:type="dxa"/>
          </w:tcPr>
          <w:p w14:paraId="67FF18DE"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11.9</w:t>
            </w:r>
          </w:p>
        </w:tc>
        <w:tc>
          <w:tcPr>
            <w:tcW w:w="284" w:type="dxa"/>
          </w:tcPr>
          <w:p w14:paraId="4069EF24"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Pr>
          <w:p w14:paraId="3B080089"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11.8</w:t>
            </w:r>
          </w:p>
        </w:tc>
        <w:tc>
          <w:tcPr>
            <w:tcW w:w="284" w:type="dxa"/>
          </w:tcPr>
          <w:p w14:paraId="3D09540C"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Pr>
          <w:p w14:paraId="29EA26C1"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13.1</w:t>
            </w:r>
          </w:p>
        </w:tc>
        <w:tc>
          <w:tcPr>
            <w:tcW w:w="236" w:type="dxa"/>
          </w:tcPr>
          <w:p w14:paraId="16DD7E27"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045" w:type="dxa"/>
          </w:tcPr>
          <w:p w14:paraId="4A3D4EF2"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9.8</w:t>
            </w:r>
          </w:p>
        </w:tc>
        <w:tc>
          <w:tcPr>
            <w:tcW w:w="565" w:type="dxa"/>
          </w:tcPr>
          <w:p w14:paraId="2D0A7D45"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565" w:type="dxa"/>
          </w:tcPr>
          <w:p w14:paraId="0674945D"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134" w:type="dxa"/>
          </w:tcPr>
          <w:p w14:paraId="416C7486"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10.4</w:t>
            </w:r>
          </w:p>
        </w:tc>
        <w:tc>
          <w:tcPr>
            <w:tcW w:w="1383" w:type="dxa"/>
          </w:tcPr>
          <w:p w14:paraId="78BF101E"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20.4</w:t>
            </w:r>
          </w:p>
        </w:tc>
        <w:tc>
          <w:tcPr>
            <w:tcW w:w="567" w:type="dxa"/>
          </w:tcPr>
          <w:p w14:paraId="54DA4E20" w14:textId="77777777" w:rsidR="001D3504" w:rsidRPr="00B77D07" w:rsidRDefault="001D3504" w:rsidP="00ED07A3">
            <w:pPr>
              <w:spacing w:line="360" w:lineRule="auto"/>
              <w:ind w:firstLine="0"/>
              <w:rPr>
                <w:rFonts w:eastAsiaTheme="minorEastAsia" w:cstheme="minorBidi"/>
                <w:sz w:val="20"/>
                <w:szCs w:val="20"/>
                <w:lang w:val="en-GB" w:eastAsia="zh-CN"/>
              </w:rPr>
            </w:pPr>
          </w:p>
        </w:tc>
      </w:tr>
      <w:tr w:rsidR="001D3504" w:rsidRPr="00B77D07" w14:paraId="347A68C1" w14:textId="77777777" w:rsidTr="00ED07A3">
        <w:tc>
          <w:tcPr>
            <w:tcW w:w="3966" w:type="dxa"/>
          </w:tcPr>
          <w:p w14:paraId="0E7B3974" w14:textId="77777777" w:rsidR="001D3504" w:rsidRPr="00B77D07" w:rsidRDefault="001D3504" w:rsidP="00ED07A3">
            <w:pPr>
              <w:spacing w:line="360" w:lineRule="auto"/>
              <w:ind w:firstLine="0"/>
              <w:rPr>
                <w:rFonts w:eastAsiaTheme="minorEastAsia" w:cstheme="minorBidi"/>
                <w:b/>
                <w:bCs/>
                <w:sz w:val="20"/>
                <w:szCs w:val="20"/>
                <w:lang w:val="en-GB" w:eastAsia="zh-CN"/>
              </w:rPr>
            </w:pPr>
            <w:r w:rsidRPr="00B77D07">
              <w:rPr>
                <w:rFonts w:eastAsiaTheme="minorEastAsia" w:cstheme="minorBidi"/>
                <w:sz w:val="20"/>
                <w:szCs w:val="20"/>
                <w:lang w:val="en-GB" w:eastAsia="zh-CN"/>
              </w:rPr>
              <w:t>2 or 3 times a week</w:t>
            </w:r>
          </w:p>
        </w:tc>
        <w:tc>
          <w:tcPr>
            <w:tcW w:w="992" w:type="dxa"/>
          </w:tcPr>
          <w:p w14:paraId="2857D841"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15.6</w:t>
            </w:r>
          </w:p>
        </w:tc>
        <w:tc>
          <w:tcPr>
            <w:tcW w:w="284" w:type="dxa"/>
          </w:tcPr>
          <w:p w14:paraId="4D100988"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Pr>
          <w:p w14:paraId="7B4A9107"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10.7</w:t>
            </w:r>
          </w:p>
        </w:tc>
        <w:tc>
          <w:tcPr>
            <w:tcW w:w="284" w:type="dxa"/>
          </w:tcPr>
          <w:p w14:paraId="76AAA596"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Pr>
          <w:p w14:paraId="0B9F6900"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8.1</w:t>
            </w:r>
          </w:p>
        </w:tc>
        <w:tc>
          <w:tcPr>
            <w:tcW w:w="236" w:type="dxa"/>
          </w:tcPr>
          <w:p w14:paraId="7D8BE210"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045" w:type="dxa"/>
          </w:tcPr>
          <w:p w14:paraId="7A6C816F"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7.5</w:t>
            </w:r>
          </w:p>
        </w:tc>
        <w:tc>
          <w:tcPr>
            <w:tcW w:w="565" w:type="dxa"/>
          </w:tcPr>
          <w:p w14:paraId="2FAE88D2"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565" w:type="dxa"/>
          </w:tcPr>
          <w:p w14:paraId="55C39FC1"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134" w:type="dxa"/>
          </w:tcPr>
          <w:p w14:paraId="4CD4832F"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10.3</w:t>
            </w:r>
          </w:p>
        </w:tc>
        <w:tc>
          <w:tcPr>
            <w:tcW w:w="1383" w:type="dxa"/>
          </w:tcPr>
          <w:p w14:paraId="0FB97446"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16.5</w:t>
            </w:r>
          </w:p>
        </w:tc>
        <w:tc>
          <w:tcPr>
            <w:tcW w:w="567" w:type="dxa"/>
          </w:tcPr>
          <w:p w14:paraId="58AE5EDF" w14:textId="77777777" w:rsidR="001D3504" w:rsidRPr="00B77D07" w:rsidRDefault="001D3504" w:rsidP="00ED07A3">
            <w:pPr>
              <w:spacing w:line="360" w:lineRule="auto"/>
              <w:ind w:firstLine="0"/>
              <w:rPr>
                <w:rFonts w:eastAsiaTheme="minorEastAsia" w:cstheme="minorBidi"/>
                <w:sz w:val="20"/>
                <w:szCs w:val="20"/>
                <w:lang w:val="en-GB" w:eastAsia="zh-CN"/>
              </w:rPr>
            </w:pPr>
          </w:p>
        </w:tc>
      </w:tr>
      <w:tr w:rsidR="001D3504" w:rsidRPr="00B77D07" w14:paraId="1EA00ADC" w14:textId="77777777" w:rsidTr="00ED07A3">
        <w:tc>
          <w:tcPr>
            <w:tcW w:w="3966" w:type="dxa"/>
          </w:tcPr>
          <w:p w14:paraId="5711827D" w14:textId="77777777" w:rsidR="001D3504" w:rsidRPr="00B77D07" w:rsidRDefault="001D3504" w:rsidP="00ED07A3">
            <w:pPr>
              <w:spacing w:line="360" w:lineRule="auto"/>
              <w:ind w:firstLine="0"/>
              <w:rPr>
                <w:rFonts w:eastAsiaTheme="minorEastAsia" w:cstheme="minorBidi"/>
                <w:b/>
                <w:bCs/>
                <w:sz w:val="20"/>
                <w:szCs w:val="20"/>
                <w:lang w:val="en-GB" w:eastAsia="zh-CN"/>
              </w:rPr>
            </w:pPr>
            <w:r w:rsidRPr="00B77D07">
              <w:rPr>
                <w:rFonts w:eastAsiaTheme="minorEastAsia" w:cstheme="minorBidi"/>
                <w:sz w:val="20"/>
                <w:szCs w:val="20"/>
                <w:lang w:val="en-GB" w:eastAsia="zh-CN"/>
              </w:rPr>
              <w:t>Once a day or more</w:t>
            </w:r>
          </w:p>
        </w:tc>
        <w:tc>
          <w:tcPr>
            <w:tcW w:w="992" w:type="dxa"/>
          </w:tcPr>
          <w:p w14:paraId="55C7CF19"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1.7</w:t>
            </w:r>
          </w:p>
        </w:tc>
        <w:tc>
          <w:tcPr>
            <w:tcW w:w="284" w:type="dxa"/>
          </w:tcPr>
          <w:p w14:paraId="6D60DC2E"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Pr>
          <w:p w14:paraId="37EBB258"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1.6</w:t>
            </w:r>
          </w:p>
        </w:tc>
        <w:tc>
          <w:tcPr>
            <w:tcW w:w="284" w:type="dxa"/>
          </w:tcPr>
          <w:p w14:paraId="6825A784"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Pr>
          <w:p w14:paraId="07987316"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2.1</w:t>
            </w:r>
          </w:p>
        </w:tc>
        <w:tc>
          <w:tcPr>
            <w:tcW w:w="236" w:type="dxa"/>
          </w:tcPr>
          <w:p w14:paraId="7E83B754"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045" w:type="dxa"/>
          </w:tcPr>
          <w:p w14:paraId="1E1D1564"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1.3</w:t>
            </w:r>
          </w:p>
        </w:tc>
        <w:tc>
          <w:tcPr>
            <w:tcW w:w="565" w:type="dxa"/>
          </w:tcPr>
          <w:p w14:paraId="5CCA6B2D"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565" w:type="dxa"/>
          </w:tcPr>
          <w:p w14:paraId="5C7E92FC"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134" w:type="dxa"/>
          </w:tcPr>
          <w:p w14:paraId="7ED9AE20"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1.8</w:t>
            </w:r>
          </w:p>
        </w:tc>
        <w:tc>
          <w:tcPr>
            <w:tcW w:w="1383" w:type="dxa"/>
          </w:tcPr>
          <w:p w14:paraId="7FFA06FE"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1.1</w:t>
            </w:r>
          </w:p>
        </w:tc>
        <w:tc>
          <w:tcPr>
            <w:tcW w:w="567" w:type="dxa"/>
          </w:tcPr>
          <w:p w14:paraId="35EB4AC4" w14:textId="77777777" w:rsidR="001D3504" w:rsidRPr="00B77D07" w:rsidRDefault="001D3504" w:rsidP="00ED07A3">
            <w:pPr>
              <w:spacing w:line="360" w:lineRule="auto"/>
              <w:ind w:firstLine="0"/>
              <w:rPr>
                <w:rFonts w:eastAsiaTheme="minorEastAsia" w:cstheme="minorBidi"/>
                <w:sz w:val="20"/>
                <w:szCs w:val="20"/>
                <w:lang w:val="en-GB" w:eastAsia="zh-CN"/>
              </w:rPr>
            </w:pPr>
          </w:p>
        </w:tc>
      </w:tr>
      <w:tr w:rsidR="001D3504" w:rsidRPr="00B77D07" w14:paraId="6994085E" w14:textId="77777777" w:rsidTr="00ED07A3">
        <w:tc>
          <w:tcPr>
            <w:tcW w:w="3966" w:type="dxa"/>
          </w:tcPr>
          <w:p w14:paraId="7CCD6299"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n =</w:t>
            </w:r>
          </w:p>
        </w:tc>
        <w:tc>
          <w:tcPr>
            <w:tcW w:w="992" w:type="dxa"/>
          </w:tcPr>
          <w:p w14:paraId="6E4C8F20"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611</w:t>
            </w:r>
          </w:p>
        </w:tc>
        <w:tc>
          <w:tcPr>
            <w:tcW w:w="284" w:type="dxa"/>
          </w:tcPr>
          <w:p w14:paraId="0A1BAF19"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Pr>
          <w:p w14:paraId="6318F7EB"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489</w:t>
            </w:r>
          </w:p>
        </w:tc>
        <w:tc>
          <w:tcPr>
            <w:tcW w:w="284" w:type="dxa"/>
          </w:tcPr>
          <w:p w14:paraId="4FEBE828"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Pr>
          <w:p w14:paraId="2836350D"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461</w:t>
            </w:r>
          </w:p>
        </w:tc>
        <w:tc>
          <w:tcPr>
            <w:tcW w:w="236" w:type="dxa"/>
          </w:tcPr>
          <w:p w14:paraId="429E0A7D"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045" w:type="dxa"/>
          </w:tcPr>
          <w:p w14:paraId="44054449"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196</w:t>
            </w:r>
          </w:p>
        </w:tc>
        <w:tc>
          <w:tcPr>
            <w:tcW w:w="565" w:type="dxa"/>
          </w:tcPr>
          <w:p w14:paraId="19198D6C"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565" w:type="dxa"/>
          </w:tcPr>
          <w:p w14:paraId="0453271A"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134" w:type="dxa"/>
          </w:tcPr>
          <w:p w14:paraId="050FD323"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1475</w:t>
            </w:r>
          </w:p>
        </w:tc>
        <w:tc>
          <w:tcPr>
            <w:tcW w:w="1383" w:type="dxa"/>
          </w:tcPr>
          <w:p w14:paraId="4B238C27"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279</w:t>
            </w:r>
          </w:p>
        </w:tc>
        <w:tc>
          <w:tcPr>
            <w:tcW w:w="567" w:type="dxa"/>
          </w:tcPr>
          <w:p w14:paraId="2DC494FA" w14:textId="77777777" w:rsidR="001D3504" w:rsidRPr="00B77D07" w:rsidRDefault="001D3504" w:rsidP="00ED07A3">
            <w:pPr>
              <w:spacing w:line="360" w:lineRule="auto"/>
              <w:ind w:firstLine="0"/>
              <w:rPr>
                <w:rFonts w:eastAsiaTheme="minorEastAsia" w:cstheme="minorBidi"/>
                <w:sz w:val="20"/>
                <w:szCs w:val="20"/>
                <w:lang w:val="en-GB" w:eastAsia="zh-CN"/>
              </w:rPr>
            </w:pPr>
          </w:p>
        </w:tc>
      </w:tr>
      <w:tr w:rsidR="001D3504" w:rsidRPr="00B77D07" w14:paraId="55C4E38B" w14:textId="77777777" w:rsidTr="00ED07A3">
        <w:tc>
          <w:tcPr>
            <w:tcW w:w="3966" w:type="dxa"/>
          </w:tcPr>
          <w:p w14:paraId="4D57B908" w14:textId="77777777" w:rsidR="001D3504" w:rsidRPr="00B77D07" w:rsidRDefault="001D3504" w:rsidP="00ED07A3">
            <w:pPr>
              <w:spacing w:line="360" w:lineRule="auto"/>
              <w:ind w:firstLine="0"/>
              <w:rPr>
                <w:rFonts w:eastAsiaTheme="minorEastAsia"/>
                <w:b/>
                <w:sz w:val="20"/>
                <w:szCs w:val="16"/>
                <w:lang w:val="en-US" w:eastAsia="zh-CN"/>
              </w:rPr>
            </w:pPr>
            <w:r w:rsidRPr="00B77D07">
              <w:rPr>
                <w:rFonts w:eastAsiaTheme="minorEastAsia"/>
                <w:b/>
                <w:sz w:val="20"/>
                <w:szCs w:val="16"/>
                <w:lang w:val="en-US" w:eastAsia="zh-CN"/>
              </w:rPr>
              <w:t>WOMEN</w:t>
            </w:r>
          </w:p>
        </w:tc>
        <w:tc>
          <w:tcPr>
            <w:tcW w:w="992" w:type="dxa"/>
            <w:tcBorders>
              <w:top w:val="single" w:sz="4" w:space="0" w:color="auto"/>
            </w:tcBorders>
          </w:tcPr>
          <w:p w14:paraId="39623DB3"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284" w:type="dxa"/>
            <w:tcBorders>
              <w:top w:val="single" w:sz="4" w:space="0" w:color="auto"/>
            </w:tcBorders>
          </w:tcPr>
          <w:p w14:paraId="08E5D50C"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Borders>
              <w:top w:val="single" w:sz="4" w:space="0" w:color="auto"/>
            </w:tcBorders>
          </w:tcPr>
          <w:p w14:paraId="742AD8BD"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284" w:type="dxa"/>
            <w:tcBorders>
              <w:top w:val="single" w:sz="4" w:space="0" w:color="auto"/>
            </w:tcBorders>
          </w:tcPr>
          <w:p w14:paraId="2AC9D162"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Borders>
              <w:top w:val="single" w:sz="4" w:space="0" w:color="auto"/>
            </w:tcBorders>
          </w:tcPr>
          <w:p w14:paraId="1B7266DC"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236" w:type="dxa"/>
            <w:tcBorders>
              <w:top w:val="single" w:sz="4" w:space="0" w:color="auto"/>
            </w:tcBorders>
          </w:tcPr>
          <w:p w14:paraId="0EE0B9A0"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045" w:type="dxa"/>
            <w:tcBorders>
              <w:top w:val="single" w:sz="4" w:space="0" w:color="auto"/>
            </w:tcBorders>
          </w:tcPr>
          <w:p w14:paraId="5E3DEF56"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565" w:type="dxa"/>
            <w:tcBorders>
              <w:top w:val="single" w:sz="4" w:space="0" w:color="auto"/>
            </w:tcBorders>
          </w:tcPr>
          <w:p w14:paraId="0913A9A3"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565" w:type="dxa"/>
          </w:tcPr>
          <w:p w14:paraId="525F7B33"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134" w:type="dxa"/>
            <w:tcBorders>
              <w:top w:val="single" w:sz="4" w:space="0" w:color="auto"/>
            </w:tcBorders>
          </w:tcPr>
          <w:p w14:paraId="34063B14"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383" w:type="dxa"/>
            <w:tcBorders>
              <w:top w:val="single" w:sz="4" w:space="0" w:color="auto"/>
            </w:tcBorders>
          </w:tcPr>
          <w:p w14:paraId="6E154927"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567" w:type="dxa"/>
            <w:tcBorders>
              <w:top w:val="single" w:sz="4" w:space="0" w:color="auto"/>
            </w:tcBorders>
          </w:tcPr>
          <w:p w14:paraId="41A443AC" w14:textId="77777777" w:rsidR="001D3504" w:rsidRPr="00B77D07" w:rsidRDefault="001D3504" w:rsidP="00ED07A3">
            <w:pPr>
              <w:spacing w:line="360" w:lineRule="auto"/>
              <w:ind w:firstLine="0"/>
              <w:rPr>
                <w:rFonts w:eastAsiaTheme="minorEastAsia" w:cstheme="minorBidi"/>
                <w:sz w:val="20"/>
                <w:szCs w:val="20"/>
                <w:lang w:val="en-GB" w:eastAsia="zh-CN"/>
              </w:rPr>
            </w:pPr>
          </w:p>
        </w:tc>
      </w:tr>
      <w:tr w:rsidR="001D3504" w:rsidRPr="00B77D07" w14:paraId="6608F24C" w14:textId="77777777" w:rsidTr="00ED07A3">
        <w:tc>
          <w:tcPr>
            <w:tcW w:w="3966" w:type="dxa"/>
          </w:tcPr>
          <w:p w14:paraId="7D5A1EF6"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sz w:val="20"/>
                <w:szCs w:val="16"/>
                <w:lang w:val="en-US" w:eastAsia="zh-CN"/>
              </w:rPr>
              <w:t>None</w:t>
            </w:r>
          </w:p>
        </w:tc>
        <w:tc>
          <w:tcPr>
            <w:tcW w:w="992" w:type="dxa"/>
          </w:tcPr>
          <w:p w14:paraId="0562D0E9"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59.8</w:t>
            </w:r>
          </w:p>
        </w:tc>
        <w:tc>
          <w:tcPr>
            <w:tcW w:w="284" w:type="dxa"/>
          </w:tcPr>
          <w:p w14:paraId="3AF532C4"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Pr>
          <w:p w14:paraId="6BA964EA"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69.1</w:t>
            </w:r>
          </w:p>
        </w:tc>
        <w:tc>
          <w:tcPr>
            <w:tcW w:w="284" w:type="dxa"/>
          </w:tcPr>
          <w:p w14:paraId="5C914B6F"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Pr>
          <w:p w14:paraId="4D07C6DA"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63.8</w:t>
            </w:r>
          </w:p>
        </w:tc>
        <w:tc>
          <w:tcPr>
            <w:tcW w:w="236" w:type="dxa"/>
          </w:tcPr>
          <w:p w14:paraId="3E6477C1"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045" w:type="dxa"/>
          </w:tcPr>
          <w:p w14:paraId="2F5309CC"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73,3</w:t>
            </w:r>
          </w:p>
        </w:tc>
        <w:tc>
          <w:tcPr>
            <w:tcW w:w="565" w:type="dxa"/>
          </w:tcPr>
          <w:p w14:paraId="1FAB930E" w14:textId="77777777" w:rsidR="001D3504" w:rsidRPr="00B77D07" w:rsidRDefault="001D3504" w:rsidP="00ED07A3">
            <w:pPr>
              <w:spacing w:line="360" w:lineRule="auto"/>
              <w:ind w:firstLine="0"/>
              <w:rPr>
                <w:rFonts w:eastAsiaTheme="minorEastAsia" w:cstheme="minorBidi"/>
                <w:sz w:val="20"/>
                <w:szCs w:val="20"/>
                <w:vertAlign w:val="superscript"/>
                <w:lang w:val="en-GB" w:eastAsia="zh-CN"/>
              </w:rPr>
            </w:pPr>
            <w:r w:rsidRPr="00B77D07">
              <w:rPr>
                <w:rFonts w:eastAsiaTheme="minorEastAsia" w:cstheme="minorBidi"/>
                <w:sz w:val="20"/>
                <w:szCs w:val="20"/>
                <w:vertAlign w:val="superscript"/>
                <w:lang w:val="en-GB" w:eastAsia="zh-CN"/>
              </w:rPr>
              <w:t>*</w:t>
            </w:r>
          </w:p>
        </w:tc>
        <w:tc>
          <w:tcPr>
            <w:tcW w:w="565" w:type="dxa"/>
          </w:tcPr>
          <w:p w14:paraId="14353F8E"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134" w:type="dxa"/>
          </w:tcPr>
          <w:p w14:paraId="59D3D84A"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67.7</w:t>
            </w:r>
          </w:p>
        </w:tc>
        <w:tc>
          <w:tcPr>
            <w:tcW w:w="1383" w:type="dxa"/>
          </w:tcPr>
          <w:p w14:paraId="2F1D8772"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58.3</w:t>
            </w:r>
          </w:p>
        </w:tc>
        <w:tc>
          <w:tcPr>
            <w:tcW w:w="567" w:type="dxa"/>
          </w:tcPr>
          <w:p w14:paraId="1AE1DDDC" w14:textId="77777777" w:rsidR="001D3504" w:rsidRPr="00B77D07" w:rsidRDefault="001D3504" w:rsidP="00ED07A3">
            <w:pPr>
              <w:spacing w:line="360" w:lineRule="auto"/>
              <w:ind w:firstLine="0"/>
              <w:rPr>
                <w:rFonts w:eastAsiaTheme="minorEastAsia" w:cstheme="minorBidi"/>
                <w:sz w:val="20"/>
                <w:szCs w:val="20"/>
                <w:vertAlign w:val="superscript"/>
                <w:lang w:val="en-GB" w:eastAsia="zh-CN"/>
              </w:rPr>
            </w:pPr>
            <w:r w:rsidRPr="00B77D07">
              <w:rPr>
                <w:rFonts w:eastAsiaTheme="minorEastAsia" w:cstheme="minorBidi"/>
                <w:sz w:val="20"/>
                <w:szCs w:val="20"/>
                <w:vertAlign w:val="superscript"/>
                <w:lang w:val="en-GB" w:eastAsia="zh-CN"/>
              </w:rPr>
              <w:t>***</w:t>
            </w:r>
          </w:p>
        </w:tc>
      </w:tr>
      <w:tr w:rsidR="001D3504" w:rsidRPr="00B77D07" w14:paraId="2C01514B" w14:textId="77777777" w:rsidTr="00ED07A3">
        <w:tc>
          <w:tcPr>
            <w:tcW w:w="3966" w:type="dxa"/>
          </w:tcPr>
          <w:p w14:paraId="0044425A"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Once</w:t>
            </w:r>
          </w:p>
        </w:tc>
        <w:tc>
          <w:tcPr>
            <w:tcW w:w="992" w:type="dxa"/>
          </w:tcPr>
          <w:p w14:paraId="55B22A05"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18.6</w:t>
            </w:r>
          </w:p>
        </w:tc>
        <w:tc>
          <w:tcPr>
            <w:tcW w:w="284" w:type="dxa"/>
          </w:tcPr>
          <w:p w14:paraId="2F02EBEB"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Pr>
          <w:p w14:paraId="1E216007"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13.8</w:t>
            </w:r>
          </w:p>
        </w:tc>
        <w:tc>
          <w:tcPr>
            <w:tcW w:w="284" w:type="dxa"/>
          </w:tcPr>
          <w:p w14:paraId="016DB53A"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Pr>
          <w:p w14:paraId="68CE2CE3"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15.3</w:t>
            </w:r>
          </w:p>
        </w:tc>
        <w:tc>
          <w:tcPr>
            <w:tcW w:w="236" w:type="dxa"/>
          </w:tcPr>
          <w:p w14:paraId="489CF0DC"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045" w:type="dxa"/>
          </w:tcPr>
          <w:p w14:paraId="47D0F88B"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13.4</w:t>
            </w:r>
          </w:p>
        </w:tc>
        <w:tc>
          <w:tcPr>
            <w:tcW w:w="565" w:type="dxa"/>
          </w:tcPr>
          <w:p w14:paraId="36DBD76B"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565" w:type="dxa"/>
          </w:tcPr>
          <w:p w14:paraId="2AE4056E"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134" w:type="dxa"/>
          </w:tcPr>
          <w:p w14:paraId="08B11379"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16.2</w:t>
            </w:r>
          </w:p>
        </w:tc>
        <w:tc>
          <w:tcPr>
            <w:tcW w:w="1383" w:type="dxa"/>
          </w:tcPr>
          <w:p w14:paraId="0C44B984"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15.0</w:t>
            </w:r>
          </w:p>
        </w:tc>
        <w:tc>
          <w:tcPr>
            <w:tcW w:w="567" w:type="dxa"/>
          </w:tcPr>
          <w:p w14:paraId="438DA50A" w14:textId="77777777" w:rsidR="001D3504" w:rsidRPr="00B77D07" w:rsidRDefault="001D3504" w:rsidP="00ED07A3">
            <w:pPr>
              <w:spacing w:line="360" w:lineRule="auto"/>
              <w:ind w:firstLine="0"/>
              <w:rPr>
                <w:rFonts w:eastAsiaTheme="minorEastAsia" w:cstheme="minorBidi"/>
                <w:sz w:val="20"/>
                <w:szCs w:val="20"/>
                <w:lang w:val="en-GB" w:eastAsia="zh-CN"/>
              </w:rPr>
            </w:pPr>
          </w:p>
        </w:tc>
      </w:tr>
      <w:tr w:rsidR="001D3504" w:rsidRPr="00B77D07" w14:paraId="6CD1ED45" w14:textId="77777777" w:rsidTr="00ED07A3">
        <w:tc>
          <w:tcPr>
            <w:tcW w:w="3966" w:type="dxa"/>
          </w:tcPr>
          <w:p w14:paraId="499869DC"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2 or 3 times</w:t>
            </w:r>
          </w:p>
        </w:tc>
        <w:tc>
          <w:tcPr>
            <w:tcW w:w="992" w:type="dxa"/>
          </w:tcPr>
          <w:p w14:paraId="7721FEED"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15.7</w:t>
            </w:r>
          </w:p>
        </w:tc>
        <w:tc>
          <w:tcPr>
            <w:tcW w:w="284" w:type="dxa"/>
          </w:tcPr>
          <w:p w14:paraId="6E3DBA6A"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Pr>
          <w:p w14:paraId="51255923"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12.7</w:t>
            </w:r>
          </w:p>
        </w:tc>
        <w:tc>
          <w:tcPr>
            <w:tcW w:w="284" w:type="dxa"/>
          </w:tcPr>
          <w:p w14:paraId="20D96B75"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Pr>
          <w:p w14:paraId="4FFC35E1"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14.7</w:t>
            </w:r>
          </w:p>
        </w:tc>
        <w:tc>
          <w:tcPr>
            <w:tcW w:w="236" w:type="dxa"/>
          </w:tcPr>
          <w:p w14:paraId="19ABD26E"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045" w:type="dxa"/>
          </w:tcPr>
          <w:p w14:paraId="6FB489B2"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8.2</w:t>
            </w:r>
          </w:p>
        </w:tc>
        <w:tc>
          <w:tcPr>
            <w:tcW w:w="565" w:type="dxa"/>
          </w:tcPr>
          <w:p w14:paraId="7C13534B"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565" w:type="dxa"/>
          </w:tcPr>
          <w:p w14:paraId="0C6F582A"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134" w:type="dxa"/>
          </w:tcPr>
          <w:p w14:paraId="2695F6BC"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12.0</w:t>
            </w:r>
          </w:p>
        </w:tc>
        <w:tc>
          <w:tcPr>
            <w:tcW w:w="1383" w:type="dxa"/>
          </w:tcPr>
          <w:p w14:paraId="62275BF8"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17.8</w:t>
            </w:r>
          </w:p>
        </w:tc>
        <w:tc>
          <w:tcPr>
            <w:tcW w:w="567" w:type="dxa"/>
          </w:tcPr>
          <w:p w14:paraId="1B00127C" w14:textId="77777777" w:rsidR="001D3504" w:rsidRPr="00B77D07" w:rsidRDefault="001D3504" w:rsidP="00ED07A3">
            <w:pPr>
              <w:spacing w:line="360" w:lineRule="auto"/>
              <w:ind w:firstLine="0"/>
              <w:rPr>
                <w:rFonts w:eastAsiaTheme="minorEastAsia" w:cstheme="minorBidi"/>
                <w:sz w:val="20"/>
                <w:szCs w:val="20"/>
                <w:lang w:val="en-GB" w:eastAsia="zh-CN"/>
              </w:rPr>
            </w:pPr>
          </w:p>
        </w:tc>
      </w:tr>
      <w:tr w:rsidR="001D3504" w:rsidRPr="00B77D07" w14:paraId="378A7A15" w14:textId="77777777" w:rsidTr="00ED07A3">
        <w:tc>
          <w:tcPr>
            <w:tcW w:w="3966" w:type="dxa"/>
          </w:tcPr>
          <w:p w14:paraId="4C88622F"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Once a week</w:t>
            </w:r>
          </w:p>
        </w:tc>
        <w:tc>
          <w:tcPr>
            <w:tcW w:w="992" w:type="dxa"/>
          </w:tcPr>
          <w:p w14:paraId="272B7121"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4.4</w:t>
            </w:r>
          </w:p>
        </w:tc>
        <w:tc>
          <w:tcPr>
            <w:tcW w:w="284" w:type="dxa"/>
          </w:tcPr>
          <w:p w14:paraId="489FC07A"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Pr>
          <w:p w14:paraId="33A7D8B8"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3.4</w:t>
            </w:r>
          </w:p>
        </w:tc>
        <w:tc>
          <w:tcPr>
            <w:tcW w:w="284" w:type="dxa"/>
          </w:tcPr>
          <w:p w14:paraId="4931E0DC"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Pr>
          <w:p w14:paraId="198C45D8"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3.6</w:t>
            </w:r>
          </w:p>
        </w:tc>
        <w:tc>
          <w:tcPr>
            <w:tcW w:w="236" w:type="dxa"/>
          </w:tcPr>
          <w:p w14:paraId="356034DA"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045" w:type="dxa"/>
          </w:tcPr>
          <w:p w14:paraId="46D870AD"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2.2</w:t>
            </w:r>
          </w:p>
        </w:tc>
        <w:tc>
          <w:tcPr>
            <w:tcW w:w="565" w:type="dxa"/>
          </w:tcPr>
          <w:p w14:paraId="786782BF"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565" w:type="dxa"/>
          </w:tcPr>
          <w:p w14:paraId="360FDACA"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134" w:type="dxa"/>
          </w:tcPr>
          <w:p w14:paraId="19494589"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2.9</w:t>
            </w:r>
          </w:p>
        </w:tc>
        <w:tc>
          <w:tcPr>
            <w:tcW w:w="1383" w:type="dxa"/>
          </w:tcPr>
          <w:p w14:paraId="2AFD5D8E"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5.6</w:t>
            </w:r>
          </w:p>
        </w:tc>
        <w:tc>
          <w:tcPr>
            <w:tcW w:w="567" w:type="dxa"/>
          </w:tcPr>
          <w:p w14:paraId="54FAE0AF" w14:textId="77777777" w:rsidR="001D3504" w:rsidRPr="00B77D07" w:rsidRDefault="001D3504" w:rsidP="00ED07A3">
            <w:pPr>
              <w:spacing w:line="360" w:lineRule="auto"/>
              <w:ind w:firstLine="0"/>
              <w:rPr>
                <w:rFonts w:eastAsiaTheme="minorEastAsia" w:cstheme="minorBidi"/>
                <w:sz w:val="20"/>
                <w:szCs w:val="20"/>
                <w:lang w:val="en-GB" w:eastAsia="zh-CN"/>
              </w:rPr>
            </w:pPr>
          </w:p>
        </w:tc>
      </w:tr>
      <w:tr w:rsidR="001D3504" w:rsidRPr="00B77D07" w14:paraId="6ED11E83" w14:textId="77777777" w:rsidTr="00ED07A3">
        <w:tc>
          <w:tcPr>
            <w:tcW w:w="3966" w:type="dxa"/>
          </w:tcPr>
          <w:p w14:paraId="567A4FAB"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2 or 3 times a week</w:t>
            </w:r>
          </w:p>
        </w:tc>
        <w:tc>
          <w:tcPr>
            <w:tcW w:w="992" w:type="dxa"/>
          </w:tcPr>
          <w:p w14:paraId="2D4F3D5F"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1.5</w:t>
            </w:r>
          </w:p>
        </w:tc>
        <w:tc>
          <w:tcPr>
            <w:tcW w:w="284" w:type="dxa"/>
          </w:tcPr>
          <w:p w14:paraId="53F22EB7"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Pr>
          <w:p w14:paraId="0CF70E15"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0.7</w:t>
            </w:r>
          </w:p>
        </w:tc>
        <w:tc>
          <w:tcPr>
            <w:tcW w:w="284" w:type="dxa"/>
          </w:tcPr>
          <w:p w14:paraId="7CE3E8CF"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Pr>
          <w:p w14:paraId="4E673B58"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2.3</w:t>
            </w:r>
          </w:p>
        </w:tc>
        <w:tc>
          <w:tcPr>
            <w:tcW w:w="236" w:type="dxa"/>
          </w:tcPr>
          <w:p w14:paraId="695C7968"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045" w:type="dxa"/>
          </w:tcPr>
          <w:p w14:paraId="1BAA6DD7"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2.6</w:t>
            </w:r>
          </w:p>
        </w:tc>
        <w:tc>
          <w:tcPr>
            <w:tcW w:w="565" w:type="dxa"/>
          </w:tcPr>
          <w:p w14:paraId="74448986"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565" w:type="dxa"/>
          </w:tcPr>
          <w:p w14:paraId="045CD145"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134" w:type="dxa"/>
          </w:tcPr>
          <w:p w14:paraId="77D4F3A5"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1.1</w:t>
            </w:r>
          </w:p>
        </w:tc>
        <w:tc>
          <w:tcPr>
            <w:tcW w:w="1383" w:type="dxa"/>
          </w:tcPr>
          <w:p w14:paraId="3F93E7E5"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3.0</w:t>
            </w:r>
          </w:p>
        </w:tc>
        <w:tc>
          <w:tcPr>
            <w:tcW w:w="567" w:type="dxa"/>
          </w:tcPr>
          <w:p w14:paraId="283405D9" w14:textId="77777777" w:rsidR="001D3504" w:rsidRPr="00B77D07" w:rsidRDefault="001D3504" w:rsidP="00ED07A3">
            <w:pPr>
              <w:spacing w:line="360" w:lineRule="auto"/>
              <w:ind w:firstLine="0"/>
              <w:rPr>
                <w:rFonts w:eastAsiaTheme="minorEastAsia" w:cstheme="minorBidi"/>
                <w:sz w:val="20"/>
                <w:szCs w:val="20"/>
                <w:lang w:val="en-GB" w:eastAsia="zh-CN"/>
              </w:rPr>
            </w:pPr>
          </w:p>
        </w:tc>
      </w:tr>
      <w:tr w:rsidR="001D3504" w:rsidRPr="00B77D07" w14:paraId="526A0756" w14:textId="77777777" w:rsidTr="00ED07A3">
        <w:tc>
          <w:tcPr>
            <w:tcW w:w="3966" w:type="dxa"/>
          </w:tcPr>
          <w:p w14:paraId="678C68C5"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Once a day or more</w:t>
            </w:r>
          </w:p>
        </w:tc>
        <w:tc>
          <w:tcPr>
            <w:tcW w:w="992" w:type="dxa"/>
          </w:tcPr>
          <w:p w14:paraId="109C3E09"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0.0</w:t>
            </w:r>
          </w:p>
        </w:tc>
        <w:tc>
          <w:tcPr>
            <w:tcW w:w="284" w:type="dxa"/>
          </w:tcPr>
          <w:p w14:paraId="5504AB65"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Pr>
          <w:p w14:paraId="2F303083"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0.2</w:t>
            </w:r>
          </w:p>
        </w:tc>
        <w:tc>
          <w:tcPr>
            <w:tcW w:w="284" w:type="dxa"/>
          </w:tcPr>
          <w:p w14:paraId="66C1DDDD"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Pr>
          <w:p w14:paraId="3669640B"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0.4</w:t>
            </w:r>
          </w:p>
        </w:tc>
        <w:tc>
          <w:tcPr>
            <w:tcW w:w="236" w:type="dxa"/>
          </w:tcPr>
          <w:p w14:paraId="042FBE09"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045" w:type="dxa"/>
          </w:tcPr>
          <w:p w14:paraId="369A100C"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0.3</w:t>
            </w:r>
          </w:p>
        </w:tc>
        <w:tc>
          <w:tcPr>
            <w:tcW w:w="565" w:type="dxa"/>
          </w:tcPr>
          <w:p w14:paraId="4F667FB7"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565" w:type="dxa"/>
          </w:tcPr>
          <w:p w14:paraId="2A3E63C7"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134" w:type="dxa"/>
          </w:tcPr>
          <w:p w14:paraId="36868A08"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0.1</w:t>
            </w:r>
          </w:p>
        </w:tc>
        <w:tc>
          <w:tcPr>
            <w:tcW w:w="1383" w:type="dxa"/>
          </w:tcPr>
          <w:p w14:paraId="626A2C59"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0.4</w:t>
            </w:r>
          </w:p>
        </w:tc>
        <w:tc>
          <w:tcPr>
            <w:tcW w:w="567" w:type="dxa"/>
          </w:tcPr>
          <w:p w14:paraId="1E342B33" w14:textId="77777777" w:rsidR="001D3504" w:rsidRPr="00B77D07" w:rsidRDefault="001D3504" w:rsidP="00ED07A3">
            <w:pPr>
              <w:spacing w:line="360" w:lineRule="auto"/>
              <w:ind w:firstLine="0"/>
              <w:rPr>
                <w:rFonts w:eastAsiaTheme="minorEastAsia" w:cstheme="minorBidi"/>
                <w:sz w:val="20"/>
                <w:szCs w:val="20"/>
                <w:lang w:val="en-GB" w:eastAsia="zh-CN"/>
              </w:rPr>
            </w:pPr>
          </w:p>
        </w:tc>
      </w:tr>
      <w:tr w:rsidR="001D3504" w:rsidRPr="00B77D07" w14:paraId="308F6765" w14:textId="77777777" w:rsidTr="00ED07A3">
        <w:tc>
          <w:tcPr>
            <w:tcW w:w="3966" w:type="dxa"/>
            <w:tcBorders>
              <w:bottom w:val="single" w:sz="4" w:space="0" w:color="auto"/>
            </w:tcBorders>
          </w:tcPr>
          <w:p w14:paraId="48A856D8"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n =</w:t>
            </w:r>
          </w:p>
        </w:tc>
        <w:tc>
          <w:tcPr>
            <w:tcW w:w="992" w:type="dxa"/>
            <w:tcBorders>
              <w:bottom w:val="single" w:sz="4" w:space="0" w:color="auto"/>
            </w:tcBorders>
          </w:tcPr>
          <w:p w14:paraId="7D1865D2"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602</w:t>
            </w:r>
          </w:p>
        </w:tc>
        <w:tc>
          <w:tcPr>
            <w:tcW w:w="284" w:type="dxa"/>
            <w:tcBorders>
              <w:bottom w:val="single" w:sz="4" w:space="0" w:color="auto"/>
            </w:tcBorders>
          </w:tcPr>
          <w:p w14:paraId="2C0722D3"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Borders>
              <w:bottom w:val="single" w:sz="4" w:space="0" w:color="auto"/>
            </w:tcBorders>
          </w:tcPr>
          <w:p w14:paraId="28CFC41B"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451</w:t>
            </w:r>
          </w:p>
        </w:tc>
        <w:tc>
          <w:tcPr>
            <w:tcW w:w="284" w:type="dxa"/>
            <w:tcBorders>
              <w:bottom w:val="single" w:sz="4" w:space="0" w:color="auto"/>
            </w:tcBorders>
          </w:tcPr>
          <w:p w14:paraId="45A31647"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992" w:type="dxa"/>
            <w:tcBorders>
              <w:bottom w:val="single" w:sz="4" w:space="0" w:color="auto"/>
            </w:tcBorders>
          </w:tcPr>
          <w:p w14:paraId="1C9A6CCC"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436</w:t>
            </w:r>
          </w:p>
        </w:tc>
        <w:tc>
          <w:tcPr>
            <w:tcW w:w="236" w:type="dxa"/>
            <w:tcBorders>
              <w:bottom w:val="single" w:sz="4" w:space="0" w:color="auto"/>
            </w:tcBorders>
          </w:tcPr>
          <w:p w14:paraId="6B4CA121"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045" w:type="dxa"/>
            <w:tcBorders>
              <w:bottom w:val="single" w:sz="4" w:space="0" w:color="auto"/>
            </w:tcBorders>
          </w:tcPr>
          <w:p w14:paraId="75CE52B7"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202</w:t>
            </w:r>
          </w:p>
        </w:tc>
        <w:tc>
          <w:tcPr>
            <w:tcW w:w="565" w:type="dxa"/>
            <w:tcBorders>
              <w:bottom w:val="single" w:sz="4" w:space="0" w:color="auto"/>
            </w:tcBorders>
          </w:tcPr>
          <w:p w14:paraId="07482DB2"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565" w:type="dxa"/>
            <w:tcBorders>
              <w:bottom w:val="single" w:sz="4" w:space="0" w:color="auto"/>
            </w:tcBorders>
          </w:tcPr>
          <w:p w14:paraId="770DB8D6" w14:textId="77777777" w:rsidR="001D3504" w:rsidRPr="00B77D07" w:rsidRDefault="001D3504" w:rsidP="00ED07A3">
            <w:pPr>
              <w:spacing w:line="360" w:lineRule="auto"/>
              <w:ind w:firstLine="0"/>
              <w:rPr>
                <w:rFonts w:eastAsiaTheme="minorEastAsia" w:cstheme="minorBidi"/>
                <w:sz w:val="20"/>
                <w:szCs w:val="20"/>
                <w:lang w:val="en-GB" w:eastAsia="zh-CN"/>
              </w:rPr>
            </w:pPr>
          </w:p>
        </w:tc>
        <w:tc>
          <w:tcPr>
            <w:tcW w:w="1134" w:type="dxa"/>
            <w:tcBorders>
              <w:bottom w:val="single" w:sz="4" w:space="0" w:color="auto"/>
            </w:tcBorders>
          </w:tcPr>
          <w:p w14:paraId="6478EC44"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1190</w:t>
            </w:r>
          </w:p>
        </w:tc>
        <w:tc>
          <w:tcPr>
            <w:tcW w:w="1383" w:type="dxa"/>
            <w:tcBorders>
              <w:bottom w:val="single" w:sz="4" w:space="0" w:color="auto"/>
            </w:tcBorders>
          </w:tcPr>
          <w:p w14:paraId="0E0CD6BB" w14:textId="77777777" w:rsidR="001D3504" w:rsidRPr="00B77D07" w:rsidRDefault="001D3504" w:rsidP="00ED07A3">
            <w:pPr>
              <w:spacing w:line="360" w:lineRule="auto"/>
              <w:ind w:firstLine="0"/>
              <w:rPr>
                <w:rFonts w:eastAsiaTheme="minorEastAsia" w:cstheme="minorBidi"/>
                <w:sz w:val="20"/>
                <w:szCs w:val="20"/>
                <w:lang w:val="en-GB" w:eastAsia="zh-CN"/>
              </w:rPr>
            </w:pPr>
            <w:r w:rsidRPr="00B77D07">
              <w:rPr>
                <w:rFonts w:eastAsiaTheme="minorEastAsia" w:cstheme="minorBidi"/>
                <w:sz w:val="20"/>
                <w:szCs w:val="20"/>
                <w:lang w:val="en-GB" w:eastAsia="zh-CN"/>
              </w:rPr>
              <w:t>501</w:t>
            </w:r>
          </w:p>
        </w:tc>
        <w:tc>
          <w:tcPr>
            <w:tcW w:w="567" w:type="dxa"/>
            <w:tcBorders>
              <w:bottom w:val="single" w:sz="4" w:space="0" w:color="auto"/>
            </w:tcBorders>
          </w:tcPr>
          <w:p w14:paraId="1D96783C" w14:textId="77777777" w:rsidR="001D3504" w:rsidRPr="00B77D07" w:rsidRDefault="001D3504" w:rsidP="00ED07A3">
            <w:pPr>
              <w:spacing w:line="360" w:lineRule="auto"/>
              <w:ind w:firstLine="0"/>
              <w:rPr>
                <w:rFonts w:eastAsiaTheme="minorEastAsia" w:cstheme="minorBidi"/>
                <w:sz w:val="20"/>
                <w:szCs w:val="20"/>
                <w:lang w:val="en-GB" w:eastAsia="zh-CN"/>
              </w:rPr>
            </w:pPr>
          </w:p>
        </w:tc>
      </w:tr>
    </w:tbl>
    <w:p w14:paraId="4F93D195" w14:textId="77777777" w:rsidR="00411822" w:rsidRDefault="00411822" w:rsidP="00ED07A3">
      <w:pPr>
        <w:tabs>
          <w:tab w:val="left" w:pos="7931"/>
        </w:tabs>
        <w:ind w:firstLine="0"/>
        <w:rPr>
          <w:b/>
          <w:szCs w:val="24"/>
          <w:lang w:val="en-US"/>
        </w:rPr>
      </w:pPr>
      <w:r w:rsidRPr="00411822">
        <w:rPr>
          <w:b/>
          <w:szCs w:val="24"/>
          <w:lang w:val="en-US"/>
        </w:rPr>
        <w:t>Table 2</w:t>
      </w:r>
    </w:p>
    <w:p w14:paraId="09E94CA8" w14:textId="3D49C040" w:rsidR="0039745B" w:rsidRDefault="00411822" w:rsidP="00ED07A3">
      <w:pPr>
        <w:tabs>
          <w:tab w:val="left" w:pos="7931"/>
        </w:tabs>
        <w:ind w:firstLine="0"/>
        <w:rPr>
          <w:b/>
          <w:i/>
          <w:szCs w:val="24"/>
          <w:lang w:val="en-US"/>
        </w:rPr>
      </w:pPr>
      <w:r w:rsidRPr="00411822">
        <w:rPr>
          <w:rFonts w:eastAsiaTheme="minorEastAsia"/>
          <w:i/>
          <w:szCs w:val="20"/>
          <w:lang w:val="en-US" w:eastAsia="zh-CN"/>
        </w:rPr>
        <w:t>Frequency of masturbation during the past month, in partnered and non-partnered older men and women (60–75 years) from Norway, Denmark, Belgium and Portugal (percent, weighted data)</w:t>
      </w:r>
      <w:r w:rsidR="00AE78B0" w:rsidRPr="00411822">
        <w:rPr>
          <w:b/>
          <w:i/>
          <w:szCs w:val="24"/>
          <w:lang w:val="en-US"/>
        </w:rPr>
        <w:tab/>
      </w:r>
    </w:p>
    <w:p w14:paraId="7004CBF2" w14:textId="77777777" w:rsidR="0039745B" w:rsidRPr="0039745B" w:rsidRDefault="0039745B" w:rsidP="0039745B">
      <w:pPr>
        <w:rPr>
          <w:szCs w:val="24"/>
          <w:lang w:val="en-US"/>
        </w:rPr>
      </w:pPr>
    </w:p>
    <w:p w14:paraId="3D7535DF" w14:textId="77777777" w:rsidR="0039745B" w:rsidRPr="0039745B" w:rsidRDefault="0039745B" w:rsidP="0039745B">
      <w:pPr>
        <w:rPr>
          <w:szCs w:val="24"/>
          <w:lang w:val="en-US"/>
        </w:rPr>
      </w:pPr>
    </w:p>
    <w:p w14:paraId="2D27C5C7" w14:textId="77777777" w:rsidR="0039745B" w:rsidRPr="0039745B" w:rsidRDefault="0039745B" w:rsidP="0039745B">
      <w:pPr>
        <w:rPr>
          <w:szCs w:val="24"/>
          <w:lang w:val="en-US"/>
        </w:rPr>
      </w:pPr>
    </w:p>
    <w:p w14:paraId="17EAF3E0" w14:textId="77777777" w:rsidR="0039745B" w:rsidRPr="0039745B" w:rsidRDefault="0039745B" w:rsidP="0039745B">
      <w:pPr>
        <w:rPr>
          <w:szCs w:val="24"/>
          <w:lang w:val="en-US"/>
        </w:rPr>
      </w:pPr>
    </w:p>
    <w:p w14:paraId="648669C2" w14:textId="77777777" w:rsidR="0039745B" w:rsidRPr="0039745B" w:rsidRDefault="0039745B" w:rsidP="0039745B">
      <w:pPr>
        <w:rPr>
          <w:szCs w:val="24"/>
          <w:lang w:val="en-US"/>
        </w:rPr>
      </w:pPr>
    </w:p>
    <w:p w14:paraId="37DE233F" w14:textId="77777777" w:rsidR="0039745B" w:rsidRPr="0039745B" w:rsidRDefault="0039745B" w:rsidP="0039745B">
      <w:pPr>
        <w:rPr>
          <w:szCs w:val="24"/>
          <w:lang w:val="en-US"/>
        </w:rPr>
      </w:pPr>
    </w:p>
    <w:p w14:paraId="3A3C1CBA" w14:textId="77777777" w:rsidR="0039745B" w:rsidRPr="0039745B" w:rsidRDefault="0039745B" w:rsidP="0039745B">
      <w:pPr>
        <w:rPr>
          <w:szCs w:val="24"/>
          <w:lang w:val="en-US"/>
        </w:rPr>
      </w:pPr>
    </w:p>
    <w:p w14:paraId="02587D87" w14:textId="77777777" w:rsidR="0039745B" w:rsidRPr="0039745B" w:rsidRDefault="0039745B" w:rsidP="0039745B">
      <w:pPr>
        <w:rPr>
          <w:szCs w:val="24"/>
          <w:lang w:val="en-US"/>
        </w:rPr>
      </w:pPr>
    </w:p>
    <w:p w14:paraId="47AFE0AE" w14:textId="77777777" w:rsidR="0039745B" w:rsidRPr="0039745B" w:rsidRDefault="0039745B" w:rsidP="0039745B">
      <w:pPr>
        <w:rPr>
          <w:szCs w:val="24"/>
          <w:lang w:val="en-US"/>
        </w:rPr>
      </w:pPr>
    </w:p>
    <w:p w14:paraId="02A68894" w14:textId="77777777" w:rsidR="0039745B" w:rsidRPr="0039745B" w:rsidRDefault="0039745B" w:rsidP="0039745B">
      <w:pPr>
        <w:rPr>
          <w:szCs w:val="24"/>
          <w:lang w:val="en-US"/>
        </w:rPr>
      </w:pPr>
    </w:p>
    <w:p w14:paraId="218D5581" w14:textId="77777777" w:rsidR="0039745B" w:rsidRPr="0039745B" w:rsidRDefault="0039745B" w:rsidP="0039745B">
      <w:pPr>
        <w:rPr>
          <w:szCs w:val="24"/>
          <w:lang w:val="en-US"/>
        </w:rPr>
      </w:pPr>
    </w:p>
    <w:p w14:paraId="3B732BB5" w14:textId="652BB5E2" w:rsidR="0039745B" w:rsidRDefault="0039745B" w:rsidP="00411822">
      <w:pPr>
        <w:tabs>
          <w:tab w:val="left" w:pos="7931"/>
        </w:tabs>
        <w:spacing w:line="360" w:lineRule="auto"/>
        <w:ind w:firstLine="0"/>
        <w:rPr>
          <w:szCs w:val="24"/>
          <w:lang w:val="en-US"/>
        </w:rPr>
      </w:pPr>
    </w:p>
    <w:p w14:paraId="4F19AEF7" w14:textId="77777777" w:rsidR="0039745B" w:rsidRDefault="0039745B" w:rsidP="00411822">
      <w:pPr>
        <w:tabs>
          <w:tab w:val="left" w:pos="7931"/>
        </w:tabs>
        <w:spacing w:line="360" w:lineRule="auto"/>
        <w:ind w:firstLine="0"/>
        <w:rPr>
          <w:rFonts w:eastAsiaTheme="minorEastAsia"/>
          <w:szCs w:val="20"/>
          <w:lang w:val="en-US" w:eastAsia="zh-CN"/>
        </w:rPr>
      </w:pPr>
      <w:r w:rsidRPr="0039745B">
        <w:rPr>
          <w:rFonts w:eastAsiaTheme="minorEastAsia"/>
          <w:i/>
          <w:szCs w:val="20"/>
          <w:lang w:val="en-US" w:eastAsia="zh-CN"/>
        </w:rPr>
        <w:t xml:space="preserve">Note. </w:t>
      </w:r>
      <w:r w:rsidRPr="0039745B">
        <w:rPr>
          <w:rFonts w:eastAsiaTheme="minorEastAsia"/>
          <w:szCs w:val="20"/>
          <w:lang w:val="en-US" w:eastAsia="zh-CN"/>
        </w:rPr>
        <w:t>Chi-square test of differences for country affiliation and relationship status</w:t>
      </w:r>
      <w:r>
        <w:rPr>
          <w:rFonts w:eastAsiaTheme="minorEastAsia"/>
          <w:szCs w:val="20"/>
          <w:lang w:val="en-US" w:eastAsia="zh-CN"/>
        </w:rPr>
        <w:t>.</w:t>
      </w:r>
    </w:p>
    <w:p w14:paraId="194425EA" w14:textId="00FEA245" w:rsidR="0039745B" w:rsidRPr="0039745B" w:rsidRDefault="0039745B" w:rsidP="00411822">
      <w:pPr>
        <w:tabs>
          <w:tab w:val="left" w:pos="7931"/>
        </w:tabs>
        <w:spacing w:line="360" w:lineRule="auto"/>
        <w:ind w:firstLine="0"/>
        <w:rPr>
          <w:sz w:val="32"/>
          <w:szCs w:val="24"/>
          <w:lang w:val="en-US"/>
        </w:rPr>
      </w:pPr>
      <w:r w:rsidRPr="0039745B">
        <w:rPr>
          <w:rFonts w:eastAsiaTheme="minorEastAsia"/>
          <w:szCs w:val="20"/>
          <w:vertAlign w:val="superscript"/>
          <w:lang w:val="en-US" w:eastAsia="zh-CN"/>
        </w:rPr>
        <w:t>*</w:t>
      </w:r>
      <w:r w:rsidRPr="0039745B">
        <w:rPr>
          <w:rFonts w:eastAsiaTheme="minorEastAsia"/>
          <w:i/>
          <w:szCs w:val="20"/>
          <w:lang w:val="en-US" w:eastAsia="zh-CN"/>
        </w:rPr>
        <w:t>p</w:t>
      </w:r>
      <w:r w:rsidRPr="0039745B">
        <w:rPr>
          <w:rFonts w:eastAsiaTheme="minorEastAsia"/>
          <w:szCs w:val="20"/>
          <w:lang w:val="en-US" w:eastAsia="zh-CN"/>
        </w:rPr>
        <w:t xml:space="preserve"> &lt; 0.5. </w:t>
      </w:r>
      <w:r w:rsidRPr="0039745B">
        <w:rPr>
          <w:rFonts w:eastAsiaTheme="minorEastAsia"/>
          <w:szCs w:val="20"/>
          <w:vertAlign w:val="superscript"/>
          <w:lang w:val="en-US" w:eastAsia="zh-CN"/>
        </w:rPr>
        <w:t>***</w:t>
      </w:r>
      <w:r w:rsidRPr="0039745B">
        <w:rPr>
          <w:rFonts w:eastAsiaTheme="minorEastAsia"/>
          <w:szCs w:val="20"/>
          <w:lang w:val="en-US" w:eastAsia="zh-CN"/>
        </w:rPr>
        <w:t xml:space="preserve"> </w:t>
      </w:r>
      <w:r w:rsidRPr="0039745B">
        <w:rPr>
          <w:rFonts w:eastAsiaTheme="minorEastAsia"/>
          <w:i/>
          <w:szCs w:val="20"/>
          <w:lang w:val="en-US" w:eastAsia="zh-CN"/>
        </w:rPr>
        <w:t>p</w:t>
      </w:r>
      <w:r w:rsidRPr="0039745B">
        <w:rPr>
          <w:rFonts w:eastAsiaTheme="minorEastAsia"/>
          <w:szCs w:val="20"/>
          <w:lang w:val="en-US" w:eastAsia="zh-CN"/>
        </w:rPr>
        <w:t xml:space="preserve"> &lt; 0.001.</w:t>
      </w:r>
    </w:p>
    <w:p w14:paraId="20F93AFF" w14:textId="6EBE79D1" w:rsidR="002C10AF" w:rsidRPr="007F3010" w:rsidRDefault="002C10AF" w:rsidP="002C10AF">
      <w:pPr>
        <w:ind w:firstLine="0"/>
        <w:contextualSpacing w:val="0"/>
        <w:rPr>
          <w:rFonts w:eastAsia="Times New Roman"/>
          <w:b/>
          <w:color w:val="FF0000"/>
          <w:szCs w:val="24"/>
          <w:lang w:val="en-GB"/>
        </w:rPr>
      </w:pPr>
      <w:r w:rsidRPr="007F3010">
        <w:rPr>
          <w:rFonts w:eastAsia="Times New Roman"/>
          <w:b/>
          <w:szCs w:val="24"/>
          <w:lang w:val="en-GB"/>
        </w:rPr>
        <w:lastRenderedPageBreak/>
        <w:t xml:space="preserve">Table </w:t>
      </w:r>
      <w:r>
        <w:rPr>
          <w:rFonts w:eastAsia="Times New Roman"/>
          <w:b/>
          <w:szCs w:val="24"/>
          <w:lang w:val="en-GB"/>
        </w:rPr>
        <w:t>3</w:t>
      </w:r>
    </w:p>
    <w:p w14:paraId="14591A03" w14:textId="77777777" w:rsidR="002C10AF" w:rsidRPr="007F3010" w:rsidRDefault="002C10AF" w:rsidP="002C10AF">
      <w:pPr>
        <w:ind w:firstLine="0"/>
        <w:contextualSpacing w:val="0"/>
        <w:rPr>
          <w:rFonts w:eastAsia="Times New Roman"/>
          <w:i/>
          <w:szCs w:val="24"/>
          <w:lang w:val="en-GB"/>
        </w:rPr>
      </w:pPr>
      <w:r>
        <w:rPr>
          <w:rFonts w:eastAsia="Times New Roman"/>
          <w:i/>
          <w:szCs w:val="24"/>
          <w:lang w:val="en-GB"/>
        </w:rPr>
        <w:t xml:space="preserve">Masturbation frequency </w:t>
      </w:r>
      <w:r w:rsidRPr="007F3010">
        <w:rPr>
          <w:rFonts w:eastAsia="Times New Roman"/>
          <w:i/>
          <w:szCs w:val="24"/>
          <w:lang w:val="en-GB"/>
        </w:rPr>
        <w:t>in men during the past month, by sociodemog</w:t>
      </w:r>
      <w:r>
        <w:rPr>
          <w:rFonts w:eastAsia="Times New Roman"/>
          <w:i/>
          <w:szCs w:val="24"/>
          <w:lang w:val="en-GB"/>
        </w:rPr>
        <w:t>raphic factors, health factors,</w:t>
      </w:r>
      <w:r w:rsidRPr="00EB3BC3">
        <w:rPr>
          <w:rFonts w:eastAsia="Times New Roman"/>
          <w:i/>
          <w:szCs w:val="24"/>
          <w:lang w:val="en-GB"/>
        </w:rPr>
        <w:t xml:space="preserve"> sexual behaviour, satisfaction</w:t>
      </w:r>
      <w:r>
        <w:rPr>
          <w:rFonts w:eastAsia="Times New Roman"/>
          <w:i/>
          <w:szCs w:val="24"/>
          <w:lang w:val="en-GB"/>
        </w:rPr>
        <w:t>,</w:t>
      </w:r>
      <w:r w:rsidRPr="00EB3BC3">
        <w:rPr>
          <w:rFonts w:eastAsia="Times New Roman"/>
          <w:i/>
          <w:szCs w:val="24"/>
          <w:lang w:val="en-GB"/>
        </w:rPr>
        <w:t xml:space="preserve"> and attitudes towards sexuality, separately for each country (weighted data)</w:t>
      </w:r>
    </w:p>
    <w:tbl>
      <w:tblPr>
        <w:tblpPr w:leftFromText="180" w:rightFromText="180" w:vertAnchor="page" w:horzAnchor="margin" w:tblpY="3121"/>
        <w:tblW w:w="12758" w:type="dxa"/>
        <w:tblLayout w:type="fixed"/>
        <w:tblLook w:val="04A0" w:firstRow="1" w:lastRow="0" w:firstColumn="1" w:lastColumn="0" w:noHBand="0" w:noVBand="1"/>
      </w:tblPr>
      <w:tblGrid>
        <w:gridCol w:w="520"/>
        <w:gridCol w:w="2875"/>
        <w:gridCol w:w="815"/>
        <w:gridCol w:w="559"/>
        <w:gridCol w:w="708"/>
        <w:gridCol w:w="426"/>
        <w:gridCol w:w="708"/>
        <w:gridCol w:w="567"/>
        <w:gridCol w:w="709"/>
        <w:gridCol w:w="425"/>
        <w:gridCol w:w="709"/>
        <w:gridCol w:w="567"/>
        <w:gridCol w:w="709"/>
        <w:gridCol w:w="425"/>
        <w:gridCol w:w="709"/>
        <w:gridCol w:w="567"/>
        <w:gridCol w:w="760"/>
      </w:tblGrid>
      <w:tr w:rsidR="005D280E" w:rsidRPr="005D280E" w14:paraId="0D46BCA2" w14:textId="77777777" w:rsidTr="00CE564B">
        <w:trPr>
          <w:trHeight w:val="222"/>
        </w:trPr>
        <w:tc>
          <w:tcPr>
            <w:tcW w:w="520" w:type="dxa"/>
            <w:tcBorders>
              <w:top w:val="single" w:sz="4" w:space="0" w:color="auto"/>
            </w:tcBorders>
          </w:tcPr>
          <w:p w14:paraId="211D59B6" w14:textId="77777777" w:rsidR="005D280E" w:rsidRPr="005D280E" w:rsidRDefault="005D280E" w:rsidP="005D280E">
            <w:pPr>
              <w:spacing w:line="360" w:lineRule="auto"/>
              <w:ind w:firstLine="0"/>
              <w:contextualSpacing w:val="0"/>
              <w:rPr>
                <w:rFonts w:eastAsia="Times New Roman"/>
                <w:i/>
                <w:sz w:val="18"/>
                <w:szCs w:val="18"/>
                <w:lang w:val="en-GB"/>
              </w:rPr>
            </w:pPr>
          </w:p>
        </w:tc>
        <w:tc>
          <w:tcPr>
            <w:tcW w:w="2875" w:type="dxa"/>
            <w:tcBorders>
              <w:top w:val="single" w:sz="4" w:space="0" w:color="auto"/>
            </w:tcBorders>
          </w:tcPr>
          <w:p w14:paraId="7E0757FE" w14:textId="77777777" w:rsidR="005D280E" w:rsidRPr="005D280E" w:rsidRDefault="005D280E" w:rsidP="005D280E">
            <w:pPr>
              <w:spacing w:line="360" w:lineRule="auto"/>
              <w:ind w:firstLine="0"/>
              <w:contextualSpacing w:val="0"/>
              <w:rPr>
                <w:rFonts w:eastAsia="Times New Roman"/>
                <w:i/>
                <w:sz w:val="18"/>
                <w:szCs w:val="18"/>
                <w:lang w:val="en-GB"/>
              </w:rPr>
            </w:pPr>
          </w:p>
        </w:tc>
        <w:tc>
          <w:tcPr>
            <w:tcW w:w="2082" w:type="dxa"/>
            <w:gridSpan w:val="3"/>
            <w:tcBorders>
              <w:top w:val="single" w:sz="4" w:space="0" w:color="auto"/>
              <w:bottom w:val="single" w:sz="4" w:space="0" w:color="auto"/>
            </w:tcBorders>
          </w:tcPr>
          <w:p w14:paraId="7AC7AEA8" w14:textId="77777777" w:rsidR="005D280E" w:rsidRPr="005D280E" w:rsidRDefault="005D280E" w:rsidP="005D280E">
            <w:pPr>
              <w:spacing w:line="360" w:lineRule="auto"/>
              <w:ind w:firstLine="0"/>
              <w:contextualSpacing w:val="0"/>
              <w:jc w:val="center"/>
              <w:rPr>
                <w:rFonts w:eastAsia="Times New Roman"/>
                <w:b/>
                <w:sz w:val="18"/>
                <w:szCs w:val="18"/>
              </w:rPr>
            </w:pPr>
            <w:r w:rsidRPr="005D280E">
              <w:rPr>
                <w:rFonts w:eastAsia="Times New Roman"/>
                <w:b/>
                <w:sz w:val="18"/>
                <w:szCs w:val="18"/>
              </w:rPr>
              <w:t>Norway (</w:t>
            </w:r>
            <w:r w:rsidRPr="005D280E">
              <w:rPr>
                <w:rFonts w:eastAsia="Times New Roman"/>
                <w:b/>
                <w:i/>
                <w:sz w:val="18"/>
                <w:szCs w:val="18"/>
              </w:rPr>
              <w:t xml:space="preserve">n </w:t>
            </w:r>
            <w:r w:rsidRPr="005D280E">
              <w:rPr>
                <w:rFonts w:eastAsia="Times New Roman"/>
                <w:b/>
                <w:sz w:val="18"/>
                <w:szCs w:val="18"/>
              </w:rPr>
              <w:t xml:space="preserve">= 567) </w:t>
            </w:r>
          </w:p>
        </w:tc>
        <w:tc>
          <w:tcPr>
            <w:tcW w:w="426" w:type="dxa"/>
            <w:tcBorders>
              <w:top w:val="single" w:sz="4" w:space="0" w:color="auto"/>
            </w:tcBorders>
          </w:tcPr>
          <w:p w14:paraId="59846388" w14:textId="77777777" w:rsidR="005D280E" w:rsidRPr="005D280E" w:rsidRDefault="005D280E" w:rsidP="005D280E">
            <w:pPr>
              <w:spacing w:line="360" w:lineRule="auto"/>
              <w:ind w:firstLine="0"/>
              <w:contextualSpacing w:val="0"/>
              <w:jc w:val="center"/>
              <w:rPr>
                <w:rFonts w:eastAsia="Times New Roman"/>
                <w:b/>
                <w:sz w:val="18"/>
                <w:szCs w:val="18"/>
                <w:lang w:val="en-GB"/>
              </w:rPr>
            </w:pPr>
          </w:p>
        </w:tc>
        <w:tc>
          <w:tcPr>
            <w:tcW w:w="1984" w:type="dxa"/>
            <w:gridSpan w:val="3"/>
            <w:tcBorders>
              <w:top w:val="single" w:sz="4" w:space="0" w:color="auto"/>
              <w:bottom w:val="single" w:sz="4" w:space="0" w:color="auto"/>
            </w:tcBorders>
          </w:tcPr>
          <w:p w14:paraId="46EB4607" w14:textId="77777777" w:rsidR="005D280E" w:rsidRPr="005D280E" w:rsidRDefault="005D280E" w:rsidP="005D280E">
            <w:pPr>
              <w:spacing w:line="360" w:lineRule="auto"/>
              <w:ind w:firstLine="0"/>
              <w:contextualSpacing w:val="0"/>
              <w:jc w:val="center"/>
              <w:rPr>
                <w:rFonts w:eastAsia="Times New Roman"/>
                <w:b/>
                <w:sz w:val="18"/>
                <w:szCs w:val="18"/>
              </w:rPr>
            </w:pPr>
            <w:proofErr w:type="spellStart"/>
            <w:r w:rsidRPr="005D280E">
              <w:rPr>
                <w:rFonts w:eastAsia="Times New Roman"/>
                <w:b/>
                <w:sz w:val="18"/>
                <w:szCs w:val="18"/>
              </w:rPr>
              <w:t>Denmark</w:t>
            </w:r>
            <w:proofErr w:type="spellEnd"/>
            <w:r w:rsidRPr="005D280E">
              <w:rPr>
                <w:rFonts w:eastAsia="Times New Roman"/>
                <w:b/>
                <w:sz w:val="18"/>
                <w:szCs w:val="18"/>
              </w:rPr>
              <w:t xml:space="preserve"> (</w:t>
            </w:r>
            <w:r w:rsidRPr="005D280E">
              <w:rPr>
                <w:rFonts w:eastAsia="Times New Roman"/>
                <w:b/>
                <w:i/>
                <w:sz w:val="18"/>
                <w:szCs w:val="18"/>
              </w:rPr>
              <w:t>n</w:t>
            </w:r>
            <w:r w:rsidRPr="005D280E">
              <w:rPr>
                <w:rFonts w:eastAsia="Times New Roman"/>
                <w:b/>
                <w:sz w:val="18"/>
                <w:szCs w:val="18"/>
              </w:rPr>
              <w:t xml:space="preserve"> = 449)</w:t>
            </w:r>
          </w:p>
        </w:tc>
        <w:tc>
          <w:tcPr>
            <w:tcW w:w="425" w:type="dxa"/>
            <w:tcBorders>
              <w:top w:val="single" w:sz="4" w:space="0" w:color="auto"/>
            </w:tcBorders>
          </w:tcPr>
          <w:p w14:paraId="4AEA4A6B" w14:textId="77777777" w:rsidR="005D280E" w:rsidRPr="005D280E" w:rsidRDefault="005D280E" w:rsidP="005D280E">
            <w:pPr>
              <w:spacing w:line="360" w:lineRule="auto"/>
              <w:ind w:firstLine="0"/>
              <w:contextualSpacing w:val="0"/>
              <w:jc w:val="center"/>
              <w:rPr>
                <w:rFonts w:eastAsia="Times New Roman"/>
                <w:b/>
                <w:sz w:val="18"/>
                <w:szCs w:val="18"/>
                <w:lang w:val="en-GB"/>
              </w:rPr>
            </w:pPr>
          </w:p>
        </w:tc>
        <w:tc>
          <w:tcPr>
            <w:tcW w:w="1985" w:type="dxa"/>
            <w:gridSpan w:val="3"/>
            <w:tcBorders>
              <w:top w:val="single" w:sz="4" w:space="0" w:color="auto"/>
              <w:bottom w:val="single" w:sz="4" w:space="0" w:color="auto"/>
            </w:tcBorders>
          </w:tcPr>
          <w:p w14:paraId="1935B67A" w14:textId="77777777" w:rsidR="005D280E" w:rsidRPr="005D280E" w:rsidRDefault="005D280E" w:rsidP="005D280E">
            <w:pPr>
              <w:spacing w:line="360" w:lineRule="auto"/>
              <w:ind w:firstLine="0"/>
              <w:contextualSpacing w:val="0"/>
              <w:jc w:val="center"/>
              <w:rPr>
                <w:rFonts w:eastAsia="Times New Roman"/>
                <w:b/>
                <w:sz w:val="18"/>
                <w:szCs w:val="18"/>
              </w:rPr>
            </w:pPr>
            <w:proofErr w:type="spellStart"/>
            <w:r w:rsidRPr="005D280E">
              <w:rPr>
                <w:rFonts w:eastAsia="Times New Roman"/>
                <w:b/>
                <w:sz w:val="18"/>
                <w:szCs w:val="18"/>
              </w:rPr>
              <w:t>Belgium</w:t>
            </w:r>
            <w:proofErr w:type="spellEnd"/>
            <w:r w:rsidRPr="005D280E">
              <w:rPr>
                <w:rFonts w:eastAsia="Times New Roman"/>
                <w:b/>
                <w:sz w:val="18"/>
                <w:szCs w:val="18"/>
              </w:rPr>
              <w:t xml:space="preserve"> (</w:t>
            </w:r>
            <w:r w:rsidRPr="005D280E">
              <w:rPr>
                <w:rFonts w:eastAsia="Times New Roman"/>
                <w:b/>
                <w:i/>
                <w:sz w:val="18"/>
                <w:szCs w:val="18"/>
              </w:rPr>
              <w:t>n</w:t>
            </w:r>
            <w:r w:rsidRPr="005D280E">
              <w:rPr>
                <w:rFonts w:eastAsia="Times New Roman"/>
                <w:b/>
                <w:sz w:val="18"/>
                <w:szCs w:val="18"/>
              </w:rPr>
              <w:t xml:space="preserve"> = 413)</w:t>
            </w:r>
          </w:p>
        </w:tc>
        <w:tc>
          <w:tcPr>
            <w:tcW w:w="425" w:type="dxa"/>
            <w:tcBorders>
              <w:top w:val="single" w:sz="4" w:space="0" w:color="auto"/>
            </w:tcBorders>
          </w:tcPr>
          <w:p w14:paraId="3CA6245D" w14:textId="77777777" w:rsidR="005D280E" w:rsidRPr="005D280E" w:rsidRDefault="005D280E" w:rsidP="005D280E">
            <w:pPr>
              <w:spacing w:line="360" w:lineRule="auto"/>
              <w:ind w:firstLine="0"/>
              <w:contextualSpacing w:val="0"/>
              <w:jc w:val="center"/>
              <w:rPr>
                <w:rFonts w:eastAsia="Times New Roman"/>
                <w:b/>
                <w:sz w:val="18"/>
                <w:szCs w:val="18"/>
                <w:lang w:val="en-GB"/>
              </w:rPr>
            </w:pPr>
          </w:p>
        </w:tc>
        <w:tc>
          <w:tcPr>
            <w:tcW w:w="2036" w:type="dxa"/>
            <w:gridSpan w:val="3"/>
            <w:tcBorders>
              <w:top w:val="single" w:sz="4" w:space="0" w:color="auto"/>
              <w:bottom w:val="single" w:sz="4" w:space="0" w:color="auto"/>
            </w:tcBorders>
          </w:tcPr>
          <w:p w14:paraId="4CCDC68C" w14:textId="77777777" w:rsidR="005D280E" w:rsidRPr="005D280E" w:rsidRDefault="005D280E" w:rsidP="005D280E">
            <w:pPr>
              <w:spacing w:line="360" w:lineRule="auto"/>
              <w:ind w:firstLine="0"/>
              <w:contextualSpacing w:val="0"/>
              <w:jc w:val="center"/>
              <w:rPr>
                <w:rFonts w:eastAsia="Times New Roman"/>
                <w:b/>
                <w:sz w:val="18"/>
                <w:szCs w:val="18"/>
              </w:rPr>
            </w:pPr>
            <w:r w:rsidRPr="005D280E">
              <w:rPr>
                <w:rFonts w:eastAsia="Times New Roman"/>
                <w:b/>
                <w:sz w:val="18"/>
                <w:szCs w:val="18"/>
              </w:rPr>
              <w:t>Portugal (</w:t>
            </w:r>
            <w:r w:rsidRPr="005D280E">
              <w:rPr>
                <w:rFonts w:eastAsia="Times New Roman"/>
                <w:b/>
                <w:i/>
                <w:sz w:val="18"/>
                <w:szCs w:val="18"/>
              </w:rPr>
              <w:t>n</w:t>
            </w:r>
            <w:r w:rsidRPr="005D280E">
              <w:rPr>
                <w:rFonts w:eastAsia="Times New Roman"/>
                <w:b/>
                <w:sz w:val="18"/>
                <w:szCs w:val="18"/>
              </w:rPr>
              <w:t xml:space="preserve"> = 178)</w:t>
            </w:r>
          </w:p>
        </w:tc>
      </w:tr>
      <w:tr w:rsidR="005D280E" w:rsidRPr="005D280E" w14:paraId="7058540C" w14:textId="77777777" w:rsidTr="00CE564B">
        <w:trPr>
          <w:trHeight w:val="222"/>
        </w:trPr>
        <w:tc>
          <w:tcPr>
            <w:tcW w:w="520" w:type="dxa"/>
            <w:tcBorders>
              <w:bottom w:val="single" w:sz="4" w:space="0" w:color="auto"/>
            </w:tcBorders>
          </w:tcPr>
          <w:p w14:paraId="6DBF492C" w14:textId="77777777" w:rsidR="005D280E" w:rsidRPr="005D280E" w:rsidRDefault="005D280E" w:rsidP="005D280E">
            <w:pPr>
              <w:spacing w:line="360" w:lineRule="auto"/>
              <w:ind w:firstLine="0"/>
              <w:contextualSpacing w:val="0"/>
              <w:rPr>
                <w:rFonts w:eastAsia="Times New Roman"/>
                <w:b/>
                <w:sz w:val="18"/>
                <w:szCs w:val="18"/>
                <w:lang w:val="en-GB"/>
              </w:rPr>
            </w:pPr>
          </w:p>
        </w:tc>
        <w:tc>
          <w:tcPr>
            <w:tcW w:w="2875" w:type="dxa"/>
            <w:tcBorders>
              <w:bottom w:val="single" w:sz="4" w:space="0" w:color="auto"/>
            </w:tcBorders>
          </w:tcPr>
          <w:p w14:paraId="5E671146" w14:textId="77777777" w:rsidR="005D280E" w:rsidRPr="005D280E" w:rsidRDefault="005D280E" w:rsidP="005D280E">
            <w:pPr>
              <w:spacing w:line="360" w:lineRule="auto"/>
              <w:ind w:firstLine="0"/>
              <w:contextualSpacing w:val="0"/>
              <w:rPr>
                <w:rFonts w:eastAsia="Times New Roman"/>
                <w:b/>
                <w:sz w:val="18"/>
                <w:szCs w:val="18"/>
                <w:lang w:val="en-GB"/>
              </w:rPr>
            </w:pPr>
          </w:p>
        </w:tc>
        <w:tc>
          <w:tcPr>
            <w:tcW w:w="815" w:type="dxa"/>
            <w:tcBorders>
              <w:bottom w:val="single" w:sz="4" w:space="0" w:color="auto"/>
            </w:tcBorders>
          </w:tcPr>
          <w:p w14:paraId="330E80AC" w14:textId="77777777" w:rsidR="005D280E" w:rsidRPr="005D280E" w:rsidRDefault="005D280E" w:rsidP="005D280E">
            <w:pPr>
              <w:spacing w:line="360" w:lineRule="auto"/>
              <w:ind w:firstLine="0"/>
              <w:contextualSpacing w:val="0"/>
              <w:jc w:val="center"/>
              <w:rPr>
                <w:rFonts w:eastAsia="Times New Roman"/>
                <w:b/>
                <w:i/>
                <w:sz w:val="18"/>
                <w:szCs w:val="18"/>
                <w:lang w:val="en-GB"/>
              </w:rPr>
            </w:pPr>
            <w:r w:rsidRPr="005D280E">
              <w:rPr>
                <w:rFonts w:eastAsia="Times New Roman"/>
                <w:i/>
                <w:sz w:val="18"/>
                <w:szCs w:val="18"/>
              </w:rPr>
              <w:t>B</w:t>
            </w:r>
          </w:p>
        </w:tc>
        <w:tc>
          <w:tcPr>
            <w:tcW w:w="559" w:type="dxa"/>
            <w:tcBorders>
              <w:bottom w:val="single" w:sz="4" w:space="0" w:color="auto"/>
            </w:tcBorders>
          </w:tcPr>
          <w:p w14:paraId="4E6B22F2" w14:textId="77777777" w:rsidR="005D280E" w:rsidRPr="005D280E" w:rsidRDefault="005D280E" w:rsidP="005D280E">
            <w:pPr>
              <w:spacing w:line="360" w:lineRule="auto"/>
              <w:ind w:firstLine="0"/>
              <w:contextualSpacing w:val="0"/>
              <w:jc w:val="center"/>
              <w:rPr>
                <w:rFonts w:eastAsia="Times New Roman"/>
                <w:sz w:val="18"/>
                <w:szCs w:val="18"/>
                <w:lang w:val="en-GB"/>
              </w:rPr>
            </w:pPr>
            <w:r w:rsidRPr="005D280E">
              <w:rPr>
                <w:rFonts w:eastAsia="Times New Roman"/>
                <w:bCs/>
                <w:i/>
                <w:iCs/>
                <w:sz w:val="18"/>
                <w:szCs w:val="18"/>
              </w:rPr>
              <w:t>SE</w:t>
            </w:r>
          </w:p>
        </w:tc>
        <w:tc>
          <w:tcPr>
            <w:tcW w:w="708" w:type="dxa"/>
            <w:tcBorders>
              <w:bottom w:val="single" w:sz="4" w:space="0" w:color="auto"/>
            </w:tcBorders>
          </w:tcPr>
          <w:p w14:paraId="7F287D4B" w14:textId="77777777" w:rsidR="005D280E" w:rsidRPr="005D280E" w:rsidRDefault="005D280E" w:rsidP="005D280E">
            <w:pPr>
              <w:spacing w:line="360" w:lineRule="auto"/>
              <w:ind w:firstLine="0"/>
              <w:contextualSpacing w:val="0"/>
              <w:jc w:val="center"/>
              <w:rPr>
                <w:rFonts w:eastAsia="Times New Roman"/>
                <w:b/>
                <w:i/>
                <w:sz w:val="18"/>
                <w:szCs w:val="18"/>
                <w:lang w:val="en-GB"/>
              </w:rPr>
            </w:pPr>
            <w:r w:rsidRPr="005D280E">
              <w:rPr>
                <w:rFonts w:eastAsia="Times New Roman"/>
                <w:i/>
                <w:sz w:val="18"/>
                <w:szCs w:val="18"/>
              </w:rPr>
              <w:t>β</w:t>
            </w:r>
          </w:p>
        </w:tc>
        <w:tc>
          <w:tcPr>
            <w:tcW w:w="426" w:type="dxa"/>
            <w:tcBorders>
              <w:bottom w:val="single" w:sz="4" w:space="0" w:color="auto"/>
            </w:tcBorders>
          </w:tcPr>
          <w:p w14:paraId="4F5BAF37" w14:textId="77777777" w:rsidR="005D280E" w:rsidRPr="005D280E" w:rsidRDefault="005D280E" w:rsidP="005D280E">
            <w:pPr>
              <w:spacing w:line="360" w:lineRule="auto"/>
              <w:ind w:firstLine="0"/>
              <w:contextualSpacing w:val="0"/>
              <w:jc w:val="center"/>
              <w:rPr>
                <w:rFonts w:eastAsia="Times New Roman"/>
                <w:sz w:val="18"/>
                <w:szCs w:val="18"/>
                <w:lang w:val="en-GB"/>
              </w:rPr>
            </w:pPr>
          </w:p>
        </w:tc>
        <w:tc>
          <w:tcPr>
            <w:tcW w:w="708" w:type="dxa"/>
            <w:tcBorders>
              <w:bottom w:val="single" w:sz="4" w:space="0" w:color="auto"/>
            </w:tcBorders>
          </w:tcPr>
          <w:p w14:paraId="0B5DAC52" w14:textId="77777777" w:rsidR="005D280E" w:rsidRPr="005D280E" w:rsidRDefault="005D280E" w:rsidP="005D280E">
            <w:pPr>
              <w:spacing w:line="360" w:lineRule="auto"/>
              <w:ind w:firstLine="0"/>
              <w:contextualSpacing w:val="0"/>
              <w:jc w:val="center"/>
              <w:rPr>
                <w:rFonts w:eastAsia="Times New Roman"/>
                <w:i/>
                <w:sz w:val="18"/>
                <w:szCs w:val="18"/>
                <w:lang w:val="en-GB"/>
              </w:rPr>
            </w:pPr>
            <w:r w:rsidRPr="005D280E">
              <w:rPr>
                <w:rFonts w:eastAsia="Times New Roman"/>
                <w:i/>
                <w:sz w:val="18"/>
                <w:szCs w:val="18"/>
              </w:rPr>
              <w:t>B</w:t>
            </w:r>
          </w:p>
        </w:tc>
        <w:tc>
          <w:tcPr>
            <w:tcW w:w="567" w:type="dxa"/>
            <w:tcBorders>
              <w:bottom w:val="single" w:sz="4" w:space="0" w:color="auto"/>
            </w:tcBorders>
          </w:tcPr>
          <w:p w14:paraId="23A88960" w14:textId="77777777" w:rsidR="005D280E" w:rsidRPr="005D280E" w:rsidRDefault="005D280E" w:rsidP="005D280E">
            <w:pPr>
              <w:spacing w:line="360" w:lineRule="auto"/>
              <w:ind w:firstLine="0"/>
              <w:contextualSpacing w:val="0"/>
              <w:jc w:val="center"/>
              <w:rPr>
                <w:rFonts w:eastAsia="Times New Roman"/>
                <w:sz w:val="18"/>
                <w:szCs w:val="18"/>
                <w:lang w:val="en-GB"/>
              </w:rPr>
            </w:pPr>
            <w:r w:rsidRPr="005D280E">
              <w:rPr>
                <w:rFonts w:eastAsia="Times New Roman"/>
                <w:bCs/>
                <w:i/>
                <w:iCs/>
                <w:sz w:val="18"/>
                <w:szCs w:val="18"/>
              </w:rPr>
              <w:t>SE</w:t>
            </w:r>
          </w:p>
        </w:tc>
        <w:tc>
          <w:tcPr>
            <w:tcW w:w="709" w:type="dxa"/>
            <w:tcBorders>
              <w:bottom w:val="single" w:sz="4" w:space="0" w:color="auto"/>
            </w:tcBorders>
          </w:tcPr>
          <w:p w14:paraId="13AAFB93" w14:textId="77777777" w:rsidR="005D280E" w:rsidRPr="005D280E" w:rsidRDefault="005D280E" w:rsidP="005D280E">
            <w:pPr>
              <w:spacing w:line="360" w:lineRule="auto"/>
              <w:ind w:firstLine="0"/>
              <w:contextualSpacing w:val="0"/>
              <w:jc w:val="center"/>
              <w:rPr>
                <w:rFonts w:eastAsia="Times New Roman"/>
                <w:sz w:val="18"/>
                <w:szCs w:val="18"/>
                <w:lang w:val="en-GB"/>
              </w:rPr>
            </w:pPr>
            <w:r w:rsidRPr="005D280E">
              <w:rPr>
                <w:rFonts w:eastAsia="Times New Roman"/>
                <w:i/>
                <w:sz w:val="18"/>
                <w:szCs w:val="18"/>
              </w:rPr>
              <w:t>β</w:t>
            </w:r>
          </w:p>
        </w:tc>
        <w:tc>
          <w:tcPr>
            <w:tcW w:w="425" w:type="dxa"/>
            <w:tcBorders>
              <w:bottom w:val="single" w:sz="4" w:space="0" w:color="auto"/>
            </w:tcBorders>
          </w:tcPr>
          <w:p w14:paraId="2181E5C2" w14:textId="77777777" w:rsidR="005D280E" w:rsidRPr="005D280E" w:rsidRDefault="005D280E" w:rsidP="005D280E">
            <w:pPr>
              <w:spacing w:line="360" w:lineRule="auto"/>
              <w:ind w:firstLine="0"/>
              <w:contextualSpacing w:val="0"/>
              <w:jc w:val="center"/>
              <w:rPr>
                <w:rFonts w:eastAsia="Times New Roman"/>
                <w:sz w:val="18"/>
                <w:szCs w:val="18"/>
                <w:lang w:val="en-GB"/>
              </w:rPr>
            </w:pPr>
          </w:p>
        </w:tc>
        <w:tc>
          <w:tcPr>
            <w:tcW w:w="709" w:type="dxa"/>
            <w:tcBorders>
              <w:bottom w:val="single" w:sz="4" w:space="0" w:color="auto"/>
            </w:tcBorders>
          </w:tcPr>
          <w:p w14:paraId="0F581587" w14:textId="77777777" w:rsidR="005D280E" w:rsidRPr="005D280E" w:rsidRDefault="005D280E" w:rsidP="005D280E">
            <w:pPr>
              <w:spacing w:line="360" w:lineRule="auto"/>
              <w:ind w:firstLine="0"/>
              <w:contextualSpacing w:val="0"/>
              <w:jc w:val="center"/>
              <w:rPr>
                <w:rFonts w:eastAsia="Times New Roman"/>
                <w:i/>
                <w:sz w:val="18"/>
                <w:szCs w:val="18"/>
                <w:lang w:val="en-GB"/>
              </w:rPr>
            </w:pPr>
            <w:r w:rsidRPr="005D280E">
              <w:rPr>
                <w:rFonts w:eastAsia="Times New Roman"/>
                <w:i/>
                <w:sz w:val="18"/>
                <w:szCs w:val="18"/>
              </w:rPr>
              <w:t>B</w:t>
            </w:r>
          </w:p>
        </w:tc>
        <w:tc>
          <w:tcPr>
            <w:tcW w:w="567" w:type="dxa"/>
            <w:tcBorders>
              <w:bottom w:val="single" w:sz="4" w:space="0" w:color="auto"/>
            </w:tcBorders>
          </w:tcPr>
          <w:p w14:paraId="413E8B8C" w14:textId="77777777" w:rsidR="005D280E" w:rsidRPr="005D280E" w:rsidRDefault="005D280E" w:rsidP="005D280E">
            <w:pPr>
              <w:spacing w:line="360" w:lineRule="auto"/>
              <w:ind w:firstLine="0"/>
              <w:contextualSpacing w:val="0"/>
              <w:jc w:val="center"/>
              <w:rPr>
                <w:rFonts w:eastAsia="Times New Roman"/>
                <w:sz w:val="18"/>
                <w:szCs w:val="18"/>
                <w:lang w:val="en-GB"/>
              </w:rPr>
            </w:pPr>
            <w:r w:rsidRPr="005D280E">
              <w:rPr>
                <w:rFonts w:eastAsia="Times New Roman"/>
                <w:bCs/>
                <w:i/>
                <w:iCs/>
                <w:sz w:val="18"/>
                <w:szCs w:val="18"/>
              </w:rPr>
              <w:t>SE</w:t>
            </w:r>
          </w:p>
        </w:tc>
        <w:tc>
          <w:tcPr>
            <w:tcW w:w="709" w:type="dxa"/>
            <w:tcBorders>
              <w:bottom w:val="single" w:sz="4" w:space="0" w:color="auto"/>
            </w:tcBorders>
          </w:tcPr>
          <w:p w14:paraId="177C59D8" w14:textId="77777777" w:rsidR="005D280E" w:rsidRPr="005D280E" w:rsidRDefault="005D280E" w:rsidP="005D280E">
            <w:pPr>
              <w:spacing w:line="360" w:lineRule="auto"/>
              <w:ind w:firstLine="0"/>
              <w:contextualSpacing w:val="0"/>
              <w:jc w:val="center"/>
              <w:rPr>
                <w:rFonts w:eastAsia="Times New Roman"/>
                <w:i/>
                <w:sz w:val="18"/>
                <w:szCs w:val="18"/>
                <w:lang w:val="en-GB"/>
              </w:rPr>
            </w:pPr>
            <w:r w:rsidRPr="005D280E">
              <w:rPr>
                <w:rFonts w:eastAsia="Times New Roman"/>
                <w:i/>
                <w:sz w:val="18"/>
                <w:szCs w:val="18"/>
              </w:rPr>
              <w:t>β</w:t>
            </w:r>
          </w:p>
        </w:tc>
        <w:tc>
          <w:tcPr>
            <w:tcW w:w="425" w:type="dxa"/>
            <w:tcBorders>
              <w:bottom w:val="single" w:sz="4" w:space="0" w:color="auto"/>
            </w:tcBorders>
          </w:tcPr>
          <w:p w14:paraId="188F8119" w14:textId="77777777" w:rsidR="005D280E" w:rsidRPr="005D280E" w:rsidRDefault="005D280E" w:rsidP="005D280E">
            <w:pPr>
              <w:spacing w:line="360" w:lineRule="auto"/>
              <w:ind w:firstLine="0"/>
              <w:contextualSpacing w:val="0"/>
              <w:jc w:val="center"/>
              <w:rPr>
                <w:rFonts w:eastAsia="Times New Roman"/>
                <w:sz w:val="18"/>
                <w:szCs w:val="18"/>
                <w:lang w:val="en-GB"/>
              </w:rPr>
            </w:pPr>
          </w:p>
        </w:tc>
        <w:tc>
          <w:tcPr>
            <w:tcW w:w="709" w:type="dxa"/>
            <w:tcBorders>
              <w:bottom w:val="single" w:sz="4" w:space="0" w:color="auto"/>
            </w:tcBorders>
          </w:tcPr>
          <w:p w14:paraId="54585673" w14:textId="77777777" w:rsidR="005D280E" w:rsidRPr="005D280E" w:rsidRDefault="005D280E" w:rsidP="005D280E">
            <w:pPr>
              <w:spacing w:line="360" w:lineRule="auto"/>
              <w:ind w:firstLine="0"/>
              <w:contextualSpacing w:val="0"/>
              <w:jc w:val="center"/>
              <w:rPr>
                <w:rFonts w:eastAsia="Times New Roman"/>
                <w:i/>
                <w:sz w:val="18"/>
                <w:szCs w:val="18"/>
                <w:lang w:val="en-GB"/>
              </w:rPr>
            </w:pPr>
            <w:r w:rsidRPr="005D280E">
              <w:rPr>
                <w:rFonts w:eastAsia="Times New Roman"/>
                <w:i/>
                <w:sz w:val="18"/>
                <w:szCs w:val="18"/>
              </w:rPr>
              <w:t>B</w:t>
            </w:r>
          </w:p>
        </w:tc>
        <w:tc>
          <w:tcPr>
            <w:tcW w:w="567" w:type="dxa"/>
            <w:tcBorders>
              <w:bottom w:val="single" w:sz="4" w:space="0" w:color="auto"/>
            </w:tcBorders>
          </w:tcPr>
          <w:p w14:paraId="5BF966B9" w14:textId="77777777" w:rsidR="005D280E" w:rsidRPr="005D280E" w:rsidRDefault="005D280E" w:rsidP="005D280E">
            <w:pPr>
              <w:spacing w:line="360" w:lineRule="auto"/>
              <w:ind w:firstLine="0"/>
              <w:contextualSpacing w:val="0"/>
              <w:jc w:val="center"/>
              <w:rPr>
                <w:rFonts w:eastAsia="Times New Roman"/>
                <w:sz w:val="18"/>
                <w:szCs w:val="18"/>
                <w:lang w:val="en-GB"/>
              </w:rPr>
            </w:pPr>
            <w:r w:rsidRPr="005D280E">
              <w:rPr>
                <w:rFonts w:eastAsia="Times New Roman"/>
                <w:bCs/>
                <w:i/>
                <w:iCs/>
                <w:sz w:val="18"/>
                <w:szCs w:val="18"/>
              </w:rPr>
              <w:t>SE</w:t>
            </w:r>
          </w:p>
        </w:tc>
        <w:tc>
          <w:tcPr>
            <w:tcW w:w="760" w:type="dxa"/>
            <w:tcBorders>
              <w:bottom w:val="single" w:sz="4" w:space="0" w:color="auto"/>
            </w:tcBorders>
          </w:tcPr>
          <w:p w14:paraId="09E6A519" w14:textId="77777777" w:rsidR="005D280E" w:rsidRPr="005D280E" w:rsidRDefault="005D280E" w:rsidP="005D280E">
            <w:pPr>
              <w:spacing w:line="360" w:lineRule="auto"/>
              <w:ind w:firstLine="0"/>
              <w:contextualSpacing w:val="0"/>
              <w:jc w:val="center"/>
              <w:rPr>
                <w:rFonts w:eastAsia="Times New Roman"/>
                <w:i/>
                <w:sz w:val="18"/>
                <w:szCs w:val="18"/>
                <w:lang w:val="en-GB"/>
              </w:rPr>
            </w:pPr>
            <w:r w:rsidRPr="005D280E">
              <w:rPr>
                <w:rFonts w:eastAsia="Times New Roman"/>
                <w:i/>
                <w:sz w:val="18"/>
                <w:szCs w:val="18"/>
              </w:rPr>
              <w:t>β</w:t>
            </w:r>
          </w:p>
        </w:tc>
      </w:tr>
      <w:tr w:rsidR="005D280E" w:rsidRPr="005D280E" w14:paraId="76C41C78" w14:textId="77777777" w:rsidTr="00CE564B">
        <w:trPr>
          <w:trHeight w:val="267"/>
        </w:trPr>
        <w:tc>
          <w:tcPr>
            <w:tcW w:w="3395" w:type="dxa"/>
            <w:gridSpan w:val="2"/>
            <w:tcBorders>
              <w:top w:val="single" w:sz="4" w:space="0" w:color="auto"/>
            </w:tcBorders>
          </w:tcPr>
          <w:p w14:paraId="079D3165" w14:textId="77777777" w:rsidR="005D280E" w:rsidRPr="005D280E" w:rsidRDefault="005D280E" w:rsidP="005D280E">
            <w:pPr>
              <w:spacing w:line="360" w:lineRule="auto"/>
              <w:ind w:firstLine="0"/>
              <w:rPr>
                <w:rFonts w:eastAsia="Times New Roman"/>
                <w:sz w:val="18"/>
                <w:szCs w:val="18"/>
                <w:lang w:val="en-GB"/>
              </w:rPr>
            </w:pPr>
            <w:r w:rsidRPr="005D280E">
              <w:rPr>
                <w:rFonts w:eastAsia="Times New Roman"/>
                <w:i/>
                <w:sz w:val="18"/>
                <w:szCs w:val="18"/>
                <w:lang w:val="en-GB"/>
              </w:rPr>
              <w:t>Sociodemographic  factors</w:t>
            </w:r>
          </w:p>
        </w:tc>
        <w:tc>
          <w:tcPr>
            <w:tcW w:w="815" w:type="dxa"/>
            <w:tcBorders>
              <w:top w:val="single" w:sz="4" w:space="0" w:color="auto"/>
            </w:tcBorders>
            <w:vAlign w:val="center"/>
          </w:tcPr>
          <w:p w14:paraId="347CABDC" w14:textId="77777777" w:rsidR="005D280E" w:rsidRPr="005D280E" w:rsidRDefault="005D280E" w:rsidP="005D280E">
            <w:pPr>
              <w:spacing w:line="360" w:lineRule="auto"/>
              <w:ind w:firstLine="0"/>
              <w:jc w:val="center"/>
              <w:rPr>
                <w:sz w:val="18"/>
                <w:szCs w:val="18"/>
                <w:lang w:val="en-US"/>
              </w:rPr>
            </w:pPr>
          </w:p>
        </w:tc>
        <w:tc>
          <w:tcPr>
            <w:tcW w:w="559" w:type="dxa"/>
            <w:tcBorders>
              <w:top w:val="single" w:sz="4" w:space="0" w:color="auto"/>
            </w:tcBorders>
            <w:vAlign w:val="center"/>
          </w:tcPr>
          <w:p w14:paraId="2DD9EB4B" w14:textId="77777777" w:rsidR="005D280E" w:rsidRPr="005D280E" w:rsidRDefault="005D280E" w:rsidP="005D280E">
            <w:pPr>
              <w:spacing w:line="360" w:lineRule="auto"/>
              <w:ind w:firstLine="0"/>
              <w:jc w:val="center"/>
              <w:rPr>
                <w:sz w:val="18"/>
                <w:szCs w:val="18"/>
                <w:lang w:val="en-US"/>
              </w:rPr>
            </w:pPr>
          </w:p>
        </w:tc>
        <w:tc>
          <w:tcPr>
            <w:tcW w:w="708" w:type="dxa"/>
            <w:tcBorders>
              <w:top w:val="single" w:sz="4" w:space="0" w:color="auto"/>
            </w:tcBorders>
            <w:vAlign w:val="center"/>
          </w:tcPr>
          <w:p w14:paraId="1C2463F4" w14:textId="77777777" w:rsidR="005D280E" w:rsidRPr="005D280E" w:rsidRDefault="005D280E" w:rsidP="005D280E">
            <w:pPr>
              <w:spacing w:line="360" w:lineRule="auto"/>
              <w:ind w:firstLine="0"/>
              <w:jc w:val="center"/>
              <w:rPr>
                <w:sz w:val="18"/>
                <w:szCs w:val="18"/>
                <w:lang w:val="en-US"/>
              </w:rPr>
            </w:pPr>
          </w:p>
        </w:tc>
        <w:tc>
          <w:tcPr>
            <w:tcW w:w="426" w:type="dxa"/>
            <w:tcBorders>
              <w:top w:val="single" w:sz="4" w:space="0" w:color="auto"/>
            </w:tcBorders>
            <w:vAlign w:val="center"/>
          </w:tcPr>
          <w:p w14:paraId="3B1B5AF6" w14:textId="77777777" w:rsidR="005D280E" w:rsidRPr="005D280E" w:rsidRDefault="005D280E" w:rsidP="005D280E">
            <w:pPr>
              <w:spacing w:line="360" w:lineRule="auto"/>
              <w:ind w:firstLine="0"/>
              <w:jc w:val="center"/>
              <w:rPr>
                <w:sz w:val="18"/>
                <w:szCs w:val="18"/>
                <w:lang w:val="en-US"/>
              </w:rPr>
            </w:pPr>
          </w:p>
        </w:tc>
        <w:tc>
          <w:tcPr>
            <w:tcW w:w="708" w:type="dxa"/>
            <w:tcBorders>
              <w:top w:val="single" w:sz="4" w:space="0" w:color="auto"/>
            </w:tcBorders>
            <w:vAlign w:val="center"/>
          </w:tcPr>
          <w:p w14:paraId="237D689C" w14:textId="77777777" w:rsidR="005D280E" w:rsidRPr="005D280E" w:rsidRDefault="005D280E" w:rsidP="005D280E">
            <w:pPr>
              <w:spacing w:line="360" w:lineRule="auto"/>
              <w:ind w:firstLine="0"/>
              <w:rPr>
                <w:sz w:val="18"/>
                <w:szCs w:val="18"/>
              </w:rPr>
            </w:pPr>
          </w:p>
        </w:tc>
        <w:tc>
          <w:tcPr>
            <w:tcW w:w="567" w:type="dxa"/>
            <w:tcBorders>
              <w:top w:val="single" w:sz="4" w:space="0" w:color="auto"/>
            </w:tcBorders>
            <w:vAlign w:val="center"/>
          </w:tcPr>
          <w:p w14:paraId="1D22E8F6" w14:textId="77777777" w:rsidR="005D280E" w:rsidRPr="005D280E" w:rsidRDefault="005D280E" w:rsidP="005D280E">
            <w:pPr>
              <w:spacing w:line="360" w:lineRule="auto"/>
              <w:ind w:firstLine="0"/>
              <w:rPr>
                <w:sz w:val="18"/>
                <w:szCs w:val="18"/>
              </w:rPr>
            </w:pPr>
          </w:p>
        </w:tc>
        <w:tc>
          <w:tcPr>
            <w:tcW w:w="709" w:type="dxa"/>
            <w:tcBorders>
              <w:top w:val="single" w:sz="4" w:space="0" w:color="auto"/>
            </w:tcBorders>
            <w:vAlign w:val="center"/>
          </w:tcPr>
          <w:p w14:paraId="5F4FF95C" w14:textId="77777777" w:rsidR="005D280E" w:rsidRPr="005D280E" w:rsidRDefault="005D280E" w:rsidP="005D280E">
            <w:pPr>
              <w:spacing w:line="360" w:lineRule="auto"/>
              <w:ind w:firstLine="0"/>
              <w:rPr>
                <w:sz w:val="18"/>
                <w:szCs w:val="18"/>
              </w:rPr>
            </w:pPr>
          </w:p>
        </w:tc>
        <w:tc>
          <w:tcPr>
            <w:tcW w:w="425" w:type="dxa"/>
            <w:tcBorders>
              <w:top w:val="single" w:sz="4" w:space="0" w:color="auto"/>
            </w:tcBorders>
            <w:vAlign w:val="center"/>
          </w:tcPr>
          <w:p w14:paraId="1A1E3004" w14:textId="77777777" w:rsidR="005D280E" w:rsidRPr="005D280E" w:rsidRDefault="005D280E" w:rsidP="005D280E">
            <w:pPr>
              <w:spacing w:line="360" w:lineRule="auto"/>
              <w:ind w:firstLine="0"/>
              <w:rPr>
                <w:sz w:val="18"/>
                <w:szCs w:val="18"/>
              </w:rPr>
            </w:pPr>
          </w:p>
        </w:tc>
        <w:tc>
          <w:tcPr>
            <w:tcW w:w="709" w:type="dxa"/>
            <w:tcBorders>
              <w:top w:val="single" w:sz="4" w:space="0" w:color="auto"/>
            </w:tcBorders>
            <w:vAlign w:val="center"/>
          </w:tcPr>
          <w:p w14:paraId="1324CB05" w14:textId="77777777" w:rsidR="005D280E" w:rsidRPr="005D280E" w:rsidRDefault="005D280E" w:rsidP="005D280E">
            <w:pPr>
              <w:spacing w:line="360" w:lineRule="auto"/>
              <w:ind w:firstLine="0"/>
              <w:jc w:val="center"/>
              <w:rPr>
                <w:sz w:val="18"/>
                <w:szCs w:val="18"/>
              </w:rPr>
            </w:pPr>
          </w:p>
        </w:tc>
        <w:tc>
          <w:tcPr>
            <w:tcW w:w="567" w:type="dxa"/>
            <w:tcBorders>
              <w:top w:val="single" w:sz="4" w:space="0" w:color="auto"/>
            </w:tcBorders>
            <w:vAlign w:val="center"/>
          </w:tcPr>
          <w:p w14:paraId="058D2FD3" w14:textId="77777777" w:rsidR="005D280E" w:rsidRPr="005D280E" w:rsidRDefault="005D280E" w:rsidP="005D280E">
            <w:pPr>
              <w:spacing w:line="360" w:lineRule="auto"/>
              <w:ind w:firstLine="0"/>
              <w:jc w:val="center"/>
              <w:rPr>
                <w:sz w:val="18"/>
                <w:szCs w:val="18"/>
              </w:rPr>
            </w:pPr>
          </w:p>
        </w:tc>
        <w:tc>
          <w:tcPr>
            <w:tcW w:w="709" w:type="dxa"/>
            <w:tcBorders>
              <w:top w:val="single" w:sz="4" w:space="0" w:color="auto"/>
            </w:tcBorders>
            <w:vAlign w:val="center"/>
          </w:tcPr>
          <w:p w14:paraId="14705D30" w14:textId="77777777" w:rsidR="005D280E" w:rsidRPr="005D280E" w:rsidRDefault="005D280E" w:rsidP="005D280E">
            <w:pPr>
              <w:spacing w:line="360" w:lineRule="auto"/>
              <w:ind w:firstLine="0"/>
              <w:jc w:val="center"/>
              <w:rPr>
                <w:sz w:val="18"/>
                <w:szCs w:val="18"/>
              </w:rPr>
            </w:pPr>
          </w:p>
        </w:tc>
        <w:tc>
          <w:tcPr>
            <w:tcW w:w="425" w:type="dxa"/>
            <w:tcBorders>
              <w:top w:val="single" w:sz="4" w:space="0" w:color="auto"/>
            </w:tcBorders>
            <w:vAlign w:val="center"/>
          </w:tcPr>
          <w:p w14:paraId="35B3C25F" w14:textId="77777777" w:rsidR="005D280E" w:rsidRPr="005D280E" w:rsidRDefault="005D280E" w:rsidP="005D280E">
            <w:pPr>
              <w:spacing w:line="360" w:lineRule="auto"/>
              <w:ind w:firstLine="0"/>
              <w:jc w:val="center"/>
              <w:rPr>
                <w:sz w:val="18"/>
                <w:szCs w:val="18"/>
              </w:rPr>
            </w:pPr>
          </w:p>
        </w:tc>
        <w:tc>
          <w:tcPr>
            <w:tcW w:w="709" w:type="dxa"/>
            <w:tcBorders>
              <w:top w:val="single" w:sz="4" w:space="0" w:color="auto"/>
            </w:tcBorders>
            <w:vAlign w:val="center"/>
          </w:tcPr>
          <w:p w14:paraId="4C347860" w14:textId="77777777" w:rsidR="005D280E" w:rsidRPr="005D280E" w:rsidRDefault="005D280E" w:rsidP="005D280E">
            <w:pPr>
              <w:spacing w:line="360" w:lineRule="auto"/>
              <w:ind w:firstLine="0"/>
              <w:jc w:val="both"/>
              <w:rPr>
                <w:sz w:val="18"/>
                <w:szCs w:val="18"/>
              </w:rPr>
            </w:pPr>
          </w:p>
        </w:tc>
        <w:tc>
          <w:tcPr>
            <w:tcW w:w="567" w:type="dxa"/>
            <w:tcBorders>
              <w:top w:val="single" w:sz="4" w:space="0" w:color="auto"/>
            </w:tcBorders>
            <w:vAlign w:val="center"/>
          </w:tcPr>
          <w:p w14:paraId="13FAC7C1" w14:textId="77777777" w:rsidR="005D280E" w:rsidRPr="005D280E" w:rsidRDefault="005D280E" w:rsidP="005D280E">
            <w:pPr>
              <w:spacing w:line="360" w:lineRule="auto"/>
              <w:ind w:firstLine="0"/>
              <w:rPr>
                <w:sz w:val="18"/>
                <w:szCs w:val="18"/>
              </w:rPr>
            </w:pPr>
          </w:p>
        </w:tc>
        <w:tc>
          <w:tcPr>
            <w:tcW w:w="760" w:type="dxa"/>
            <w:tcBorders>
              <w:top w:val="single" w:sz="4" w:space="0" w:color="auto"/>
            </w:tcBorders>
            <w:vAlign w:val="center"/>
          </w:tcPr>
          <w:p w14:paraId="16CDF887" w14:textId="77777777" w:rsidR="005D280E" w:rsidRPr="005D280E" w:rsidRDefault="005D280E" w:rsidP="005D280E">
            <w:pPr>
              <w:spacing w:line="360" w:lineRule="auto"/>
              <w:ind w:firstLine="0"/>
              <w:rPr>
                <w:sz w:val="18"/>
                <w:szCs w:val="18"/>
              </w:rPr>
            </w:pPr>
          </w:p>
        </w:tc>
      </w:tr>
      <w:tr w:rsidR="005D280E" w:rsidRPr="005D280E" w14:paraId="321FE716" w14:textId="77777777" w:rsidTr="00CE564B">
        <w:trPr>
          <w:trHeight w:val="267"/>
        </w:trPr>
        <w:tc>
          <w:tcPr>
            <w:tcW w:w="520" w:type="dxa"/>
          </w:tcPr>
          <w:p w14:paraId="5C852818" w14:textId="77777777" w:rsidR="005D280E" w:rsidRPr="005D280E" w:rsidRDefault="005D280E" w:rsidP="005D280E">
            <w:pPr>
              <w:spacing w:line="360" w:lineRule="auto"/>
              <w:ind w:firstLine="0"/>
              <w:rPr>
                <w:rFonts w:eastAsia="Times New Roman"/>
                <w:sz w:val="18"/>
                <w:szCs w:val="18"/>
                <w:lang w:val="en-GB"/>
              </w:rPr>
            </w:pPr>
          </w:p>
        </w:tc>
        <w:tc>
          <w:tcPr>
            <w:tcW w:w="2875" w:type="dxa"/>
            <w:vAlign w:val="center"/>
          </w:tcPr>
          <w:p w14:paraId="7B600E56" w14:textId="77777777" w:rsidR="005D280E" w:rsidRPr="005D280E" w:rsidRDefault="005D280E" w:rsidP="005D280E">
            <w:pPr>
              <w:spacing w:line="360" w:lineRule="auto"/>
              <w:ind w:firstLine="0"/>
              <w:rPr>
                <w:rFonts w:eastAsia="Times New Roman"/>
                <w:sz w:val="18"/>
                <w:szCs w:val="18"/>
                <w:lang w:val="en-GB"/>
              </w:rPr>
            </w:pPr>
            <w:r w:rsidRPr="005D280E">
              <w:rPr>
                <w:rFonts w:eastAsia="Times New Roman"/>
                <w:sz w:val="18"/>
                <w:szCs w:val="18"/>
                <w:lang w:val="en-GB"/>
              </w:rPr>
              <w:t>Age</w:t>
            </w:r>
          </w:p>
        </w:tc>
        <w:tc>
          <w:tcPr>
            <w:tcW w:w="815" w:type="dxa"/>
            <w:vAlign w:val="center"/>
          </w:tcPr>
          <w:p w14:paraId="2F12EF7B" w14:textId="77777777" w:rsidR="005D280E" w:rsidRPr="005D280E" w:rsidRDefault="005D280E" w:rsidP="005D280E">
            <w:pPr>
              <w:spacing w:line="360" w:lineRule="auto"/>
              <w:ind w:firstLine="0"/>
              <w:jc w:val="right"/>
              <w:rPr>
                <w:sz w:val="18"/>
                <w:szCs w:val="18"/>
                <w:lang w:val="en-US"/>
              </w:rPr>
            </w:pPr>
            <w:r w:rsidRPr="005D280E">
              <w:rPr>
                <w:sz w:val="18"/>
                <w:szCs w:val="18"/>
                <w:lang w:val="en-US"/>
              </w:rPr>
              <w:t>-.06</w:t>
            </w:r>
          </w:p>
        </w:tc>
        <w:tc>
          <w:tcPr>
            <w:tcW w:w="559" w:type="dxa"/>
            <w:vAlign w:val="center"/>
          </w:tcPr>
          <w:p w14:paraId="047A0D71" w14:textId="77777777" w:rsidR="005D280E" w:rsidRPr="005D280E" w:rsidRDefault="005D280E" w:rsidP="005D280E">
            <w:pPr>
              <w:spacing w:line="360" w:lineRule="auto"/>
              <w:ind w:firstLine="0"/>
              <w:jc w:val="center"/>
              <w:rPr>
                <w:sz w:val="18"/>
                <w:szCs w:val="18"/>
                <w:lang w:val="en-US"/>
              </w:rPr>
            </w:pPr>
            <w:r w:rsidRPr="005D280E">
              <w:rPr>
                <w:sz w:val="18"/>
                <w:szCs w:val="18"/>
                <w:lang w:val="en-US"/>
              </w:rPr>
              <w:t>.01</w:t>
            </w:r>
          </w:p>
        </w:tc>
        <w:tc>
          <w:tcPr>
            <w:tcW w:w="708" w:type="dxa"/>
            <w:vAlign w:val="center"/>
          </w:tcPr>
          <w:p w14:paraId="59624DAA" w14:textId="77777777" w:rsidR="005D280E" w:rsidRPr="005D280E" w:rsidRDefault="005D280E" w:rsidP="005D280E">
            <w:pPr>
              <w:spacing w:line="360" w:lineRule="auto"/>
              <w:ind w:firstLine="0"/>
              <w:jc w:val="both"/>
              <w:rPr>
                <w:sz w:val="18"/>
                <w:szCs w:val="18"/>
                <w:lang w:val="en-US"/>
              </w:rPr>
            </w:pPr>
            <w:r w:rsidRPr="005D280E">
              <w:rPr>
                <w:sz w:val="18"/>
                <w:szCs w:val="18"/>
                <w:lang w:val="en-US"/>
              </w:rPr>
              <w:t>-.17</w:t>
            </w:r>
            <w:r w:rsidRPr="005D280E">
              <w:rPr>
                <w:sz w:val="18"/>
                <w:szCs w:val="18"/>
                <w:vertAlign w:val="superscript"/>
                <w:lang w:val="en-US"/>
              </w:rPr>
              <w:t>***</w:t>
            </w:r>
          </w:p>
        </w:tc>
        <w:tc>
          <w:tcPr>
            <w:tcW w:w="426" w:type="dxa"/>
            <w:vAlign w:val="center"/>
          </w:tcPr>
          <w:p w14:paraId="2B4A53A4" w14:textId="77777777" w:rsidR="005D280E" w:rsidRPr="005D280E" w:rsidRDefault="005D280E" w:rsidP="005D280E">
            <w:pPr>
              <w:spacing w:line="360" w:lineRule="auto"/>
              <w:ind w:firstLine="0"/>
              <w:jc w:val="center"/>
              <w:rPr>
                <w:sz w:val="18"/>
                <w:szCs w:val="18"/>
                <w:lang w:val="en-US"/>
              </w:rPr>
            </w:pPr>
          </w:p>
        </w:tc>
        <w:tc>
          <w:tcPr>
            <w:tcW w:w="708" w:type="dxa"/>
            <w:vAlign w:val="center"/>
          </w:tcPr>
          <w:p w14:paraId="5D778F19" w14:textId="77777777" w:rsidR="005D280E" w:rsidRPr="005D280E" w:rsidRDefault="005D280E" w:rsidP="005D280E">
            <w:pPr>
              <w:spacing w:line="360" w:lineRule="auto"/>
              <w:ind w:firstLine="0"/>
              <w:jc w:val="right"/>
              <w:rPr>
                <w:sz w:val="18"/>
                <w:szCs w:val="18"/>
              </w:rPr>
            </w:pPr>
            <w:r w:rsidRPr="005D280E">
              <w:rPr>
                <w:sz w:val="18"/>
                <w:szCs w:val="18"/>
              </w:rPr>
              <w:t>-.06</w:t>
            </w:r>
          </w:p>
        </w:tc>
        <w:tc>
          <w:tcPr>
            <w:tcW w:w="567" w:type="dxa"/>
            <w:vAlign w:val="center"/>
          </w:tcPr>
          <w:p w14:paraId="4EB987B9" w14:textId="77777777" w:rsidR="005D280E" w:rsidRPr="005D280E" w:rsidRDefault="005D280E" w:rsidP="005D280E">
            <w:pPr>
              <w:spacing w:line="360" w:lineRule="auto"/>
              <w:ind w:firstLine="0"/>
              <w:rPr>
                <w:sz w:val="18"/>
                <w:szCs w:val="18"/>
              </w:rPr>
            </w:pPr>
            <w:r w:rsidRPr="005D280E">
              <w:rPr>
                <w:sz w:val="18"/>
                <w:szCs w:val="18"/>
              </w:rPr>
              <w:t>.02</w:t>
            </w:r>
          </w:p>
        </w:tc>
        <w:tc>
          <w:tcPr>
            <w:tcW w:w="709" w:type="dxa"/>
            <w:vAlign w:val="center"/>
          </w:tcPr>
          <w:p w14:paraId="3E98B5A6" w14:textId="77777777" w:rsidR="005D280E" w:rsidRPr="005D280E" w:rsidRDefault="005D280E" w:rsidP="005D280E">
            <w:pPr>
              <w:spacing w:line="360" w:lineRule="auto"/>
              <w:ind w:firstLine="0"/>
              <w:rPr>
                <w:sz w:val="18"/>
                <w:szCs w:val="18"/>
              </w:rPr>
            </w:pPr>
            <w:r w:rsidRPr="005D280E">
              <w:rPr>
                <w:sz w:val="18"/>
                <w:szCs w:val="18"/>
              </w:rPr>
              <w:t>-.17</w:t>
            </w:r>
            <w:r w:rsidRPr="005D280E">
              <w:rPr>
                <w:sz w:val="18"/>
                <w:szCs w:val="18"/>
                <w:vertAlign w:val="superscript"/>
              </w:rPr>
              <w:t>***</w:t>
            </w:r>
          </w:p>
        </w:tc>
        <w:tc>
          <w:tcPr>
            <w:tcW w:w="425" w:type="dxa"/>
            <w:vAlign w:val="center"/>
          </w:tcPr>
          <w:p w14:paraId="037D7B4C" w14:textId="77777777" w:rsidR="005D280E" w:rsidRPr="005D280E" w:rsidRDefault="005D280E" w:rsidP="005D280E">
            <w:pPr>
              <w:spacing w:line="360" w:lineRule="auto"/>
              <w:ind w:firstLine="0"/>
              <w:rPr>
                <w:sz w:val="18"/>
                <w:szCs w:val="18"/>
              </w:rPr>
            </w:pPr>
          </w:p>
        </w:tc>
        <w:tc>
          <w:tcPr>
            <w:tcW w:w="709" w:type="dxa"/>
            <w:vAlign w:val="center"/>
          </w:tcPr>
          <w:p w14:paraId="7FEFCBDA" w14:textId="77777777" w:rsidR="005D280E" w:rsidRPr="005D280E" w:rsidRDefault="005D280E" w:rsidP="005D280E">
            <w:pPr>
              <w:spacing w:line="360" w:lineRule="auto"/>
              <w:ind w:firstLine="0"/>
              <w:rPr>
                <w:sz w:val="18"/>
                <w:szCs w:val="18"/>
              </w:rPr>
            </w:pPr>
            <w:r w:rsidRPr="005D280E">
              <w:rPr>
                <w:sz w:val="18"/>
                <w:szCs w:val="18"/>
              </w:rPr>
              <w:t>-.06</w:t>
            </w:r>
          </w:p>
        </w:tc>
        <w:tc>
          <w:tcPr>
            <w:tcW w:w="567" w:type="dxa"/>
            <w:vAlign w:val="center"/>
          </w:tcPr>
          <w:p w14:paraId="2D6C61B5" w14:textId="77777777" w:rsidR="005D280E" w:rsidRPr="005D280E" w:rsidRDefault="005D280E" w:rsidP="005D280E">
            <w:pPr>
              <w:spacing w:line="360" w:lineRule="auto"/>
              <w:ind w:firstLine="0"/>
              <w:jc w:val="center"/>
              <w:rPr>
                <w:sz w:val="18"/>
                <w:szCs w:val="18"/>
              </w:rPr>
            </w:pPr>
            <w:r w:rsidRPr="005D280E">
              <w:rPr>
                <w:sz w:val="18"/>
                <w:szCs w:val="18"/>
              </w:rPr>
              <w:t>.02</w:t>
            </w:r>
          </w:p>
        </w:tc>
        <w:tc>
          <w:tcPr>
            <w:tcW w:w="709" w:type="dxa"/>
            <w:vAlign w:val="center"/>
          </w:tcPr>
          <w:p w14:paraId="31ED2BCE" w14:textId="77777777" w:rsidR="005D280E" w:rsidRPr="005D280E" w:rsidRDefault="005D280E" w:rsidP="005D280E">
            <w:pPr>
              <w:spacing w:line="360" w:lineRule="auto"/>
              <w:ind w:firstLine="0"/>
              <w:rPr>
                <w:sz w:val="18"/>
                <w:szCs w:val="18"/>
              </w:rPr>
            </w:pPr>
            <w:r w:rsidRPr="005D280E">
              <w:rPr>
                <w:sz w:val="18"/>
                <w:szCs w:val="18"/>
              </w:rPr>
              <w:t>-.17</w:t>
            </w:r>
            <w:r w:rsidRPr="005D280E">
              <w:rPr>
                <w:sz w:val="18"/>
                <w:szCs w:val="18"/>
                <w:vertAlign w:val="superscript"/>
                <w:lang w:val="en-US"/>
              </w:rPr>
              <w:t>***</w:t>
            </w:r>
          </w:p>
        </w:tc>
        <w:tc>
          <w:tcPr>
            <w:tcW w:w="425" w:type="dxa"/>
            <w:vAlign w:val="center"/>
          </w:tcPr>
          <w:p w14:paraId="72B64983" w14:textId="77777777" w:rsidR="005D280E" w:rsidRPr="005D280E" w:rsidRDefault="005D280E" w:rsidP="005D280E">
            <w:pPr>
              <w:spacing w:line="360" w:lineRule="auto"/>
              <w:ind w:firstLine="0"/>
              <w:jc w:val="center"/>
              <w:rPr>
                <w:sz w:val="18"/>
                <w:szCs w:val="18"/>
              </w:rPr>
            </w:pPr>
          </w:p>
        </w:tc>
        <w:tc>
          <w:tcPr>
            <w:tcW w:w="709" w:type="dxa"/>
            <w:vAlign w:val="center"/>
          </w:tcPr>
          <w:p w14:paraId="562F11F6" w14:textId="328CE9CB" w:rsidR="005D280E" w:rsidRPr="005D280E" w:rsidRDefault="005D280E" w:rsidP="005D280E">
            <w:pPr>
              <w:spacing w:line="360" w:lineRule="auto"/>
              <w:ind w:firstLine="0"/>
              <w:jc w:val="right"/>
              <w:rPr>
                <w:sz w:val="18"/>
                <w:szCs w:val="18"/>
              </w:rPr>
            </w:pPr>
            <w:r w:rsidRPr="005D280E">
              <w:rPr>
                <w:sz w:val="18"/>
                <w:szCs w:val="18"/>
              </w:rPr>
              <w:t>.0</w:t>
            </w:r>
            <w:r w:rsidR="003272DB">
              <w:rPr>
                <w:sz w:val="18"/>
                <w:szCs w:val="18"/>
              </w:rPr>
              <w:t>1</w:t>
            </w:r>
          </w:p>
        </w:tc>
        <w:tc>
          <w:tcPr>
            <w:tcW w:w="567" w:type="dxa"/>
            <w:vAlign w:val="center"/>
          </w:tcPr>
          <w:p w14:paraId="66D0EF72" w14:textId="77777777" w:rsidR="005D280E" w:rsidRPr="005D280E" w:rsidRDefault="005D280E" w:rsidP="005D280E">
            <w:pPr>
              <w:spacing w:line="360" w:lineRule="auto"/>
              <w:ind w:firstLine="0"/>
              <w:rPr>
                <w:sz w:val="18"/>
                <w:szCs w:val="18"/>
              </w:rPr>
            </w:pPr>
            <w:r w:rsidRPr="005D280E">
              <w:rPr>
                <w:sz w:val="18"/>
                <w:szCs w:val="18"/>
              </w:rPr>
              <w:t>.03</w:t>
            </w:r>
          </w:p>
        </w:tc>
        <w:tc>
          <w:tcPr>
            <w:tcW w:w="760" w:type="dxa"/>
            <w:vAlign w:val="center"/>
          </w:tcPr>
          <w:p w14:paraId="787EC386" w14:textId="77777777" w:rsidR="005D280E" w:rsidRPr="005D280E" w:rsidRDefault="005D280E" w:rsidP="005D280E">
            <w:pPr>
              <w:spacing w:line="360" w:lineRule="auto"/>
              <w:ind w:firstLine="0"/>
              <w:jc w:val="both"/>
              <w:rPr>
                <w:sz w:val="18"/>
                <w:szCs w:val="18"/>
              </w:rPr>
            </w:pPr>
            <w:r w:rsidRPr="005D280E">
              <w:rPr>
                <w:sz w:val="18"/>
                <w:szCs w:val="18"/>
              </w:rPr>
              <w:t>.02</w:t>
            </w:r>
          </w:p>
        </w:tc>
      </w:tr>
      <w:tr w:rsidR="005D280E" w:rsidRPr="005D280E" w14:paraId="527E4A49" w14:textId="77777777" w:rsidTr="00CE564B">
        <w:trPr>
          <w:trHeight w:val="267"/>
        </w:trPr>
        <w:tc>
          <w:tcPr>
            <w:tcW w:w="520" w:type="dxa"/>
          </w:tcPr>
          <w:p w14:paraId="0CF11721" w14:textId="77777777" w:rsidR="005D280E" w:rsidRPr="005D280E" w:rsidRDefault="005D280E" w:rsidP="005D280E">
            <w:pPr>
              <w:spacing w:line="360" w:lineRule="auto"/>
              <w:ind w:firstLine="0"/>
              <w:contextualSpacing w:val="0"/>
              <w:rPr>
                <w:rFonts w:eastAsia="Times New Roman"/>
                <w:sz w:val="18"/>
                <w:szCs w:val="18"/>
                <w:lang w:val="en-GB"/>
              </w:rPr>
            </w:pPr>
          </w:p>
        </w:tc>
        <w:tc>
          <w:tcPr>
            <w:tcW w:w="2875" w:type="dxa"/>
            <w:vAlign w:val="center"/>
          </w:tcPr>
          <w:p w14:paraId="18110231" w14:textId="77777777" w:rsidR="005D280E" w:rsidRPr="005D280E" w:rsidRDefault="005D280E" w:rsidP="005D280E">
            <w:pPr>
              <w:spacing w:line="360" w:lineRule="auto"/>
              <w:ind w:firstLine="0"/>
              <w:contextualSpacing w:val="0"/>
              <w:rPr>
                <w:rFonts w:eastAsia="Times New Roman"/>
                <w:sz w:val="18"/>
                <w:szCs w:val="18"/>
                <w:lang w:val="en-GB"/>
              </w:rPr>
            </w:pPr>
            <w:r w:rsidRPr="005D280E">
              <w:rPr>
                <w:rFonts w:eastAsia="Times New Roman"/>
                <w:sz w:val="18"/>
                <w:szCs w:val="18"/>
                <w:lang w:val="en-GB"/>
              </w:rPr>
              <w:t>Education</w:t>
            </w:r>
          </w:p>
        </w:tc>
        <w:tc>
          <w:tcPr>
            <w:tcW w:w="815" w:type="dxa"/>
            <w:vAlign w:val="center"/>
          </w:tcPr>
          <w:p w14:paraId="5F8DC3ED" w14:textId="77777777" w:rsidR="005D280E" w:rsidRPr="005D280E" w:rsidRDefault="005D280E" w:rsidP="005D280E">
            <w:pPr>
              <w:spacing w:line="360" w:lineRule="auto"/>
              <w:ind w:firstLine="0"/>
              <w:jc w:val="right"/>
              <w:rPr>
                <w:sz w:val="18"/>
                <w:szCs w:val="18"/>
                <w:lang w:val="en-US"/>
              </w:rPr>
            </w:pPr>
            <w:r w:rsidRPr="005D280E">
              <w:rPr>
                <w:sz w:val="18"/>
                <w:szCs w:val="18"/>
                <w:lang w:val="en-US"/>
              </w:rPr>
              <w:t xml:space="preserve">  .21</w:t>
            </w:r>
          </w:p>
        </w:tc>
        <w:tc>
          <w:tcPr>
            <w:tcW w:w="559" w:type="dxa"/>
            <w:vAlign w:val="center"/>
          </w:tcPr>
          <w:p w14:paraId="5CA248CB" w14:textId="77777777" w:rsidR="005D280E" w:rsidRPr="005D280E" w:rsidRDefault="005D280E" w:rsidP="005D280E">
            <w:pPr>
              <w:spacing w:line="360" w:lineRule="auto"/>
              <w:ind w:firstLine="0"/>
              <w:jc w:val="center"/>
              <w:rPr>
                <w:sz w:val="18"/>
                <w:szCs w:val="18"/>
                <w:lang w:val="en-US"/>
              </w:rPr>
            </w:pPr>
            <w:r w:rsidRPr="005D280E">
              <w:rPr>
                <w:sz w:val="18"/>
                <w:szCs w:val="18"/>
                <w:lang w:val="en-US"/>
              </w:rPr>
              <w:t>.09</w:t>
            </w:r>
          </w:p>
        </w:tc>
        <w:tc>
          <w:tcPr>
            <w:tcW w:w="708" w:type="dxa"/>
            <w:vAlign w:val="center"/>
          </w:tcPr>
          <w:p w14:paraId="58CF6A96" w14:textId="77777777" w:rsidR="005D280E" w:rsidRPr="005D280E" w:rsidRDefault="005D280E" w:rsidP="005D280E">
            <w:pPr>
              <w:spacing w:line="360" w:lineRule="auto"/>
              <w:ind w:firstLine="0"/>
              <w:jc w:val="both"/>
              <w:rPr>
                <w:sz w:val="18"/>
                <w:szCs w:val="18"/>
                <w:lang w:val="en-US"/>
              </w:rPr>
            </w:pPr>
            <w:r w:rsidRPr="005D280E">
              <w:rPr>
                <w:sz w:val="18"/>
                <w:szCs w:val="18"/>
                <w:lang w:val="en-US"/>
              </w:rPr>
              <w:t xml:space="preserve"> .09</w:t>
            </w:r>
            <w:r w:rsidRPr="005D280E">
              <w:rPr>
                <w:sz w:val="18"/>
                <w:szCs w:val="18"/>
                <w:vertAlign w:val="superscript"/>
                <w:lang w:val="en-US"/>
              </w:rPr>
              <w:t>*</w:t>
            </w:r>
          </w:p>
        </w:tc>
        <w:tc>
          <w:tcPr>
            <w:tcW w:w="426" w:type="dxa"/>
            <w:vAlign w:val="center"/>
          </w:tcPr>
          <w:p w14:paraId="2838EA57" w14:textId="77777777" w:rsidR="005D280E" w:rsidRPr="005D280E" w:rsidRDefault="005D280E" w:rsidP="005D280E">
            <w:pPr>
              <w:spacing w:line="360" w:lineRule="auto"/>
              <w:ind w:firstLine="0"/>
              <w:jc w:val="center"/>
              <w:rPr>
                <w:sz w:val="18"/>
                <w:szCs w:val="18"/>
                <w:lang w:val="en-US"/>
              </w:rPr>
            </w:pPr>
          </w:p>
        </w:tc>
        <w:tc>
          <w:tcPr>
            <w:tcW w:w="708" w:type="dxa"/>
            <w:vAlign w:val="center"/>
          </w:tcPr>
          <w:p w14:paraId="2A82CA06" w14:textId="77777777" w:rsidR="005D280E" w:rsidRPr="005D280E" w:rsidRDefault="005D280E" w:rsidP="005D280E">
            <w:pPr>
              <w:spacing w:line="360" w:lineRule="auto"/>
              <w:ind w:firstLine="0"/>
              <w:jc w:val="right"/>
              <w:rPr>
                <w:sz w:val="18"/>
                <w:szCs w:val="18"/>
                <w:lang w:val="en-US"/>
              </w:rPr>
            </w:pPr>
            <w:r w:rsidRPr="005D280E">
              <w:rPr>
                <w:sz w:val="18"/>
                <w:szCs w:val="18"/>
                <w:lang w:val="en-US"/>
              </w:rPr>
              <w:t xml:space="preserve"> .29</w:t>
            </w:r>
          </w:p>
        </w:tc>
        <w:tc>
          <w:tcPr>
            <w:tcW w:w="567" w:type="dxa"/>
            <w:vAlign w:val="center"/>
          </w:tcPr>
          <w:p w14:paraId="768D076B" w14:textId="77777777" w:rsidR="005D280E" w:rsidRPr="005D280E" w:rsidRDefault="005D280E" w:rsidP="005D280E">
            <w:pPr>
              <w:spacing w:line="360" w:lineRule="auto"/>
              <w:ind w:firstLine="0"/>
              <w:rPr>
                <w:sz w:val="18"/>
                <w:szCs w:val="18"/>
                <w:lang w:val="en-US"/>
              </w:rPr>
            </w:pPr>
            <w:r w:rsidRPr="005D280E">
              <w:rPr>
                <w:sz w:val="18"/>
                <w:szCs w:val="18"/>
                <w:lang w:val="en-US"/>
              </w:rPr>
              <w:t>.08</w:t>
            </w:r>
          </w:p>
        </w:tc>
        <w:tc>
          <w:tcPr>
            <w:tcW w:w="709" w:type="dxa"/>
            <w:vAlign w:val="center"/>
          </w:tcPr>
          <w:p w14:paraId="1B627967" w14:textId="77777777" w:rsidR="005D280E" w:rsidRPr="005D280E" w:rsidRDefault="005D280E" w:rsidP="005D280E">
            <w:pPr>
              <w:spacing w:line="360" w:lineRule="auto"/>
              <w:ind w:firstLine="0"/>
              <w:rPr>
                <w:sz w:val="18"/>
                <w:szCs w:val="18"/>
                <w:lang w:val="en-US"/>
              </w:rPr>
            </w:pPr>
            <w:r w:rsidRPr="005D280E">
              <w:rPr>
                <w:sz w:val="18"/>
                <w:szCs w:val="18"/>
                <w:lang w:val="en-US"/>
              </w:rPr>
              <w:t xml:space="preserve"> .16</w:t>
            </w:r>
            <w:r w:rsidRPr="005D280E">
              <w:rPr>
                <w:sz w:val="18"/>
                <w:szCs w:val="18"/>
                <w:vertAlign w:val="superscript"/>
                <w:lang w:val="en-US"/>
              </w:rPr>
              <w:t>***</w:t>
            </w:r>
          </w:p>
        </w:tc>
        <w:tc>
          <w:tcPr>
            <w:tcW w:w="425" w:type="dxa"/>
            <w:vAlign w:val="center"/>
          </w:tcPr>
          <w:p w14:paraId="2BD81CB1" w14:textId="77777777" w:rsidR="005D280E" w:rsidRPr="005D280E" w:rsidRDefault="005D280E" w:rsidP="005D280E">
            <w:pPr>
              <w:spacing w:line="360" w:lineRule="auto"/>
              <w:ind w:firstLine="0"/>
              <w:rPr>
                <w:sz w:val="18"/>
                <w:szCs w:val="18"/>
                <w:lang w:val="en-US"/>
              </w:rPr>
            </w:pPr>
          </w:p>
        </w:tc>
        <w:tc>
          <w:tcPr>
            <w:tcW w:w="709" w:type="dxa"/>
            <w:vAlign w:val="center"/>
          </w:tcPr>
          <w:p w14:paraId="1CD17597" w14:textId="77777777" w:rsidR="005D280E" w:rsidRPr="005D280E" w:rsidRDefault="005D280E" w:rsidP="005D280E">
            <w:pPr>
              <w:spacing w:line="360" w:lineRule="auto"/>
              <w:ind w:firstLine="0"/>
              <w:rPr>
                <w:sz w:val="18"/>
                <w:szCs w:val="18"/>
                <w:lang w:val="en-US"/>
              </w:rPr>
            </w:pPr>
            <w:r w:rsidRPr="005D280E">
              <w:rPr>
                <w:sz w:val="18"/>
                <w:szCs w:val="18"/>
                <w:lang w:val="en-US"/>
              </w:rPr>
              <w:t>-.07</w:t>
            </w:r>
          </w:p>
        </w:tc>
        <w:tc>
          <w:tcPr>
            <w:tcW w:w="567" w:type="dxa"/>
            <w:vAlign w:val="center"/>
          </w:tcPr>
          <w:p w14:paraId="2A98D9AE" w14:textId="77777777" w:rsidR="005D280E" w:rsidRPr="005D280E" w:rsidRDefault="005D280E" w:rsidP="005D280E">
            <w:pPr>
              <w:spacing w:line="360" w:lineRule="auto"/>
              <w:ind w:firstLine="0"/>
              <w:jc w:val="center"/>
              <w:rPr>
                <w:sz w:val="18"/>
                <w:szCs w:val="18"/>
                <w:lang w:val="en-US"/>
              </w:rPr>
            </w:pPr>
            <w:r w:rsidRPr="005D280E">
              <w:rPr>
                <w:sz w:val="18"/>
                <w:szCs w:val="18"/>
                <w:lang w:val="en-US"/>
              </w:rPr>
              <w:t>.11</w:t>
            </w:r>
          </w:p>
        </w:tc>
        <w:tc>
          <w:tcPr>
            <w:tcW w:w="709" w:type="dxa"/>
            <w:vAlign w:val="center"/>
          </w:tcPr>
          <w:p w14:paraId="44E3A80D" w14:textId="77777777" w:rsidR="005D280E" w:rsidRPr="005D280E" w:rsidRDefault="005D280E" w:rsidP="005D280E">
            <w:pPr>
              <w:spacing w:line="360" w:lineRule="auto"/>
              <w:ind w:firstLine="0"/>
              <w:rPr>
                <w:sz w:val="18"/>
                <w:szCs w:val="18"/>
                <w:lang w:val="en-US"/>
              </w:rPr>
            </w:pPr>
            <w:r w:rsidRPr="005D280E">
              <w:rPr>
                <w:sz w:val="18"/>
                <w:szCs w:val="18"/>
                <w:lang w:val="en-US"/>
              </w:rPr>
              <w:t>-.03</w:t>
            </w:r>
          </w:p>
        </w:tc>
        <w:tc>
          <w:tcPr>
            <w:tcW w:w="425" w:type="dxa"/>
            <w:vAlign w:val="center"/>
          </w:tcPr>
          <w:p w14:paraId="6CB2CB45" w14:textId="77777777" w:rsidR="005D280E" w:rsidRPr="005D280E" w:rsidRDefault="005D280E" w:rsidP="005D280E">
            <w:pPr>
              <w:spacing w:line="360" w:lineRule="auto"/>
              <w:ind w:firstLine="0"/>
              <w:jc w:val="center"/>
              <w:rPr>
                <w:sz w:val="18"/>
                <w:szCs w:val="18"/>
                <w:lang w:val="en-US"/>
              </w:rPr>
            </w:pPr>
          </w:p>
        </w:tc>
        <w:tc>
          <w:tcPr>
            <w:tcW w:w="709" w:type="dxa"/>
            <w:vAlign w:val="center"/>
          </w:tcPr>
          <w:p w14:paraId="222CFA06" w14:textId="77777777" w:rsidR="005D280E" w:rsidRPr="005D280E" w:rsidRDefault="005D280E" w:rsidP="005D280E">
            <w:pPr>
              <w:spacing w:line="360" w:lineRule="auto"/>
              <w:ind w:firstLine="0"/>
              <w:jc w:val="right"/>
              <w:rPr>
                <w:sz w:val="18"/>
                <w:szCs w:val="18"/>
                <w:lang w:val="en-US"/>
              </w:rPr>
            </w:pPr>
            <w:r w:rsidRPr="005D280E">
              <w:rPr>
                <w:sz w:val="18"/>
                <w:szCs w:val="18"/>
                <w:lang w:val="en-US"/>
              </w:rPr>
              <w:t>-.35</w:t>
            </w:r>
          </w:p>
        </w:tc>
        <w:tc>
          <w:tcPr>
            <w:tcW w:w="567" w:type="dxa"/>
            <w:vAlign w:val="center"/>
          </w:tcPr>
          <w:p w14:paraId="328077A5" w14:textId="77777777" w:rsidR="005D280E" w:rsidRPr="005D280E" w:rsidRDefault="005D280E" w:rsidP="005D280E">
            <w:pPr>
              <w:spacing w:line="360" w:lineRule="auto"/>
              <w:ind w:firstLine="0"/>
              <w:rPr>
                <w:sz w:val="18"/>
                <w:szCs w:val="18"/>
                <w:lang w:val="en-US"/>
              </w:rPr>
            </w:pPr>
            <w:r w:rsidRPr="005D280E">
              <w:rPr>
                <w:sz w:val="18"/>
                <w:szCs w:val="18"/>
                <w:lang w:val="en-US"/>
              </w:rPr>
              <w:t>.15</w:t>
            </w:r>
          </w:p>
        </w:tc>
        <w:tc>
          <w:tcPr>
            <w:tcW w:w="760" w:type="dxa"/>
            <w:vAlign w:val="center"/>
          </w:tcPr>
          <w:p w14:paraId="057AC904" w14:textId="77777777" w:rsidR="005D280E" w:rsidRPr="005D280E" w:rsidRDefault="005D280E" w:rsidP="005D280E">
            <w:pPr>
              <w:spacing w:line="360" w:lineRule="auto"/>
              <w:ind w:firstLine="0"/>
              <w:jc w:val="both"/>
              <w:rPr>
                <w:sz w:val="18"/>
                <w:szCs w:val="18"/>
                <w:lang w:val="en-US"/>
              </w:rPr>
            </w:pPr>
            <w:r w:rsidRPr="005D280E">
              <w:rPr>
                <w:sz w:val="18"/>
                <w:szCs w:val="18"/>
                <w:lang w:val="en-US"/>
              </w:rPr>
              <w:t>-.18</w:t>
            </w:r>
            <w:r w:rsidRPr="005D280E">
              <w:rPr>
                <w:sz w:val="18"/>
                <w:szCs w:val="18"/>
                <w:vertAlign w:val="superscript"/>
                <w:lang w:val="en-US"/>
              </w:rPr>
              <w:t>*</w:t>
            </w:r>
          </w:p>
        </w:tc>
      </w:tr>
      <w:tr w:rsidR="005D280E" w:rsidRPr="005D280E" w14:paraId="1715A435" w14:textId="77777777" w:rsidTr="00CE564B">
        <w:trPr>
          <w:trHeight w:val="267"/>
        </w:trPr>
        <w:tc>
          <w:tcPr>
            <w:tcW w:w="520" w:type="dxa"/>
          </w:tcPr>
          <w:p w14:paraId="51F4B653" w14:textId="77777777" w:rsidR="005D280E" w:rsidRPr="005D280E" w:rsidRDefault="005D280E" w:rsidP="005D280E">
            <w:pPr>
              <w:spacing w:line="360" w:lineRule="auto"/>
              <w:ind w:firstLine="0"/>
              <w:contextualSpacing w:val="0"/>
              <w:rPr>
                <w:rFonts w:eastAsia="Times New Roman"/>
                <w:sz w:val="18"/>
                <w:szCs w:val="18"/>
                <w:lang w:val="en-GB"/>
              </w:rPr>
            </w:pPr>
          </w:p>
        </w:tc>
        <w:tc>
          <w:tcPr>
            <w:tcW w:w="2875" w:type="dxa"/>
            <w:vAlign w:val="center"/>
          </w:tcPr>
          <w:p w14:paraId="340365E5" w14:textId="77777777" w:rsidR="005D280E" w:rsidRPr="005D280E" w:rsidRDefault="005D280E" w:rsidP="005D280E">
            <w:pPr>
              <w:spacing w:line="360" w:lineRule="auto"/>
              <w:ind w:firstLine="0"/>
              <w:contextualSpacing w:val="0"/>
              <w:rPr>
                <w:rFonts w:eastAsia="Times New Roman"/>
                <w:sz w:val="18"/>
                <w:szCs w:val="18"/>
                <w:lang w:val="en-GB"/>
              </w:rPr>
            </w:pPr>
            <w:r w:rsidRPr="005D280E">
              <w:rPr>
                <w:rFonts w:eastAsia="Times New Roman"/>
                <w:sz w:val="18"/>
                <w:szCs w:val="18"/>
                <w:lang w:val="en-GB"/>
              </w:rPr>
              <w:t xml:space="preserve">Religiosity </w:t>
            </w:r>
          </w:p>
        </w:tc>
        <w:tc>
          <w:tcPr>
            <w:tcW w:w="815" w:type="dxa"/>
            <w:vAlign w:val="center"/>
          </w:tcPr>
          <w:p w14:paraId="0168D092" w14:textId="77777777" w:rsidR="005D280E" w:rsidRPr="005D280E" w:rsidRDefault="005D280E" w:rsidP="005D280E">
            <w:pPr>
              <w:spacing w:line="360" w:lineRule="auto"/>
              <w:ind w:firstLine="0"/>
              <w:jc w:val="right"/>
              <w:rPr>
                <w:sz w:val="18"/>
                <w:szCs w:val="18"/>
                <w:lang w:val="en-US"/>
              </w:rPr>
            </w:pPr>
            <w:r w:rsidRPr="005D280E">
              <w:rPr>
                <w:sz w:val="18"/>
                <w:szCs w:val="18"/>
                <w:lang w:val="en-US"/>
              </w:rPr>
              <w:t>.03</w:t>
            </w:r>
          </w:p>
        </w:tc>
        <w:tc>
          <w:tcPr>
            <w:tcW w:w="559" w:type="dxa"/>
            <w:vAlign w:val="center"/>
          </w:tcPr>
          <w:p w14:paraId="2D16245E" w14:textId="77777777" w:rsidR="005D280E" w:rsidRPr="005D280E" w:rsidRDefault="005D280E" w:rsidP="005D280E">
            <w:pPr>
              <w:spacing w:line="360" w:lineRule="auto"/>
              <w:ind w:firstLine="0"/>
              <w:jc w:val="center"/>
              <w:rPr>
                <w:sz w:val="18"/>
                <w:szCs w:val="18"/>
                <w:lang w:val="en-US"/>
              </w:rPr>
            </w:pPr>
            <w:r w:rsidRPr="005D280E">
              <w:rPr>
                <w:sz w:val="18"/>
                <w:szCs w:val="18"/>
                <w:lang w:val="en-US"/>
              </w:rPr>
              <w:t>.04</w:t>
            </w:r>
          </w:p>
        </w:tc>
        <w:tc>
          <w:tcPr>
            <w:tcW w:w="708" w:type="dxa"/>
            <w:vAlign w:val="center"/>
          </w:tcPr>
          <w:p w14:paraId="457DEDE3" w14:textId="77777777" w:rsidR="005D280E" w:rsidRPr="005D280E" w:rsidRDefault="005D280E" w:rsidP="005D280E">
            <w:pPr>
              <w:spacing w:line="360" w:lineRule="auto"/>
              <w:ind w:firstLine="0"/>
              <w:jc w:val="both"/>
              <w:rPr>
                <w:sz w:val="18"/>
                <w:szCs w:val="18"/>
                <w:lang w:val="en-US"/>
              </w:rPr>
            </w:pPr>
            <w:r w:rsidRPr="005D280E">
              <w:rPr>
                <w:sz w:val="18"/>
                <w:szCs w:val="18"/>
                <w:lang w:val="en-US"/>
              </w:rPr>
              <w:t xml:space="preserve"> .04</w:t>
            </w:r>
          </w:p>
        </w:tc>
        <w:tc>
          <w:tcPr>
            <w:tcW w:w="426" w:type="dxa"/>
            <w:vAlign w:val="center"/>
          </w:tcPr>
          <w:p w14:paraId="0B1BE43D" w14:textId="77777777" w:rsidR="005D280E" w:rsidRPr="005D280E" w:rsidRDefault="005D280E" w:rsidP="005D280E">
            <w:pPr>
              <w:spacing w:line="360" w:lineRule="auto"/>
              <w:ind w:firstLine="0"/>
              <w:jc w:val="center"/>
              <w:rPr>
                <w:sz w:val="18"/>
                <w:szCs w:val="18"/>
                <w:lang w:val="en-US"/>
              </w:rPr>
            </w:pPr>
          </w:p>
        </w:tc>
        <w:tc>
          <w:tcPr>
            <w:tcW w:w="708" w:type="dxa"/>
            <w:vAlign w:val="center"/>
          </w:tcPr>
          <w:p w14:paraId="480FADF5" w14:textId="77777777" w:rsidR="005D280E" w:rsidRPr="005D280E" w:rsidRDefault="005D280E" w:rsidP="005D280E">
            <w:pPr>
              <w:spacing w:line="360" w:lineRule="auto"/>
              <w:ind w:firstLine="0"/>
              <w:jc w:val="right"/>
              <w:rPr>
                <w:sz w:val="18"/>
                <w:szCs w:val="18"/>
                <w:lang w:val="en-US"/>
              </w:rPr>
            </w:pPr>
            <w:r w:rsidRPr="005D280E">
              <w:rPr>
                <w:sz w:val="18"/>
                <w:szCs w:val="18"/>
                <w:lang w:val="en-US"/>
              </w:rPr>
              <w:t>-.02</w:t>
            </w:r>
          </w:p>
        </w:tc>
        <w:tc>
          <w:tcPr>
            <w:tcW w:w="567" w:type="dxa"/>
            <w:vAlign w:val="center"/>
          </w:tcPr>
          <w:p w14:paraId="1C9179E1" w14:textId="77777777" w:rsidR="005D280E" w:rsidRPr="005D280E" w:rsidRDefault="005D280E" w:rsidP="005D280E">
            <w:pPr>
              <w:spacing w:line="360" w:lineRule="auto"/>
              <w:ind w:firstLine="0"/>
              <w:rPr>
                <w:sz w:val="18"/>
                <w:szCs w:val="18"/>
                <w:lang w:val="en-US"/>
              </w:rPr>
            </w:pPr>
            <w:r w:rsidRPr="005D280E">
              <w:rPr>
                <w:sz w:val="18"/>
                <w:szCs w:val="18"/>
                <w:lang w:val="en-US"/>
              </w:rPr>
              <w:t>.04</w:t>
            </w:r>
          </w:p>
        </w:tc>
        <w:tc>
          <w:tcPr>
            <w:tcW w:w="709" w:type="dxa"/>
            <w:vAlign w:val="center"/>
          </w:tcPr>
          <w:p w14:paraId="13FD7978" w14:textId="77777777" w:rsidR="005D280E" w:rsidRPr="005D280E" w:rsidRDefault="005D280E" w:rsidP="005D280E">
            <w:pPr>
              <w:spacing w:line="360" w:lineRule="auto"/>
              <w:ind w:firstLine="0"/>
              <w:rPr>
                <w:sz w:val="18"/>
                <w:szCs w:val="18"/>
                <w:lang w:val="en-US"/>
              </w:rPr>
            </w:pPr>
            <w:r w:rsidRPr="005D280E">
              <w:rPr>
                <w:sz w:val="18"/>
                <w:szCs w:val="18"/>
                <w:lang w:val="en-US"/>
              </w:rPr>
              <w:t>-.02</w:t>
            </w:r>
          </w:p>
        </w:tc>
        <w:tc>
          <w:tcPr>
            <w:tcW w:w="425" w:type="dxa"/>
            <w:vAlign w:val="center"/>
          </w:tcPr>
          <w:p w14:paraId="7E29A411" w14:textId="77777777" w:rsidR="005D280E" w:rsidRPr="005D280E" w:rsidRDefault="005D280E" w:rsidP="005D280E">
            <w:pPr>
              <w:spacing w:line="360" w:lineRule="auto"/>
              <w:ind w:firstLine="0"/>
              <w:rPr>
                <w:sz w:val="18"/>
                <w:szCs w:val="18"/>
                <w:lang w:val="en-US"/>
              </w:rPr>
            </w:pPr>
          </w:p>
        </w:tc>
        <w:tc>
          <w:tcPr>
            <w:tcW w:w="709" w:type="dxa"/>
            <w:vAlign w:val="center"/>
          </w:tcPr>
          <w:p w14:paraId="1E881837" w14:textId="77777777" w:rsidR="005D280E" w:rsidRPr="005D280E" w:rsidRDefault="005D280E" w:rsidP="005D280E">
            <w:pPr>
              <w:spacing w:line="360" w:lineRule="auto"/>
              <w:ind w:firstLine="0"/>
              <w:rPr>
                <w:sz w:val="18"/>
                <w:szCs w:val="18"/>
                <w:lang w:val="en-US"/>
              </w:rPr>
            </w:pPr>
            <w:r w:rsidRPr="005D280E">
              <w:rPr>
                <w:sz w:val="18"/>
                <w:szCs w:val="18"/>
                <w:lang w:val="en-US"/>
              </w:rPr>
              <w:t>-.05</w:t>
            </w:r>
          </w:p>
        </w:tc>
        <w:tc>
          <w:tcPr>
            <w:tcW w:w="567" w:type="dxa"/>
            <w:vAlign w:val="center"/>
          </w:tcPr>
          <w:p w14:paraId="6615A928" w14:textId="77777777" w:rsidR="005D280E" w:rsidRPr="005D280E" w:rsidRDefault="005D280E" w:rsidP="005D280E">
            <w:pPr>
              <w:spacing w:line="360" w:lineRule="auto"/>
              <w:ind w:firstLine="0"/>
              <w:jc w:val="center"/>
              <w:rPr>
                <w:sz w:val="18"/>
                <w:szCs w:val="18"/>
                <w:lang w:val="en-US"/>
              </w:rPr>
            </w:pPr>
            <w:r w:rsidRPr="005D280E">
              <w:rPr>
                <w:sz w:val="18"/>
                <w:szCs w:val="18"/>
                <w:lang w:val="en-US"/>
              </w:rPr>
              <w:t>.03</w:t>
            </w:r>
          </w:p>
        </w:tc>
        <w:tc>
          <w:tcPr>
            <w:tcW w:w="709" w:type="dxa"/>
            <w:vAlign w:val="center"/>
          </w:tcPr>
          <w:p w14:paraId="68073FB1" w14:textId="77777777" w:rsidR="005D280E" w:rsidRPr="005D280E" w:rsidRDefault="005D280E" w:rsidP="005D280E">
            <w:pPr>
              <w:spacing w:line="360" w:lineRule="auto"/>
              <w:ind w:firstLine="0"/>
              <w:rPr>
                <w:sz w:val="18"/>
                <w:szCs w:val="18"/>
                <w:lang w:val="en-US"/>
              </w:rPr>
            </w:pPr>
            <w:r w:rsidRPr="005D280E">
              <w:rPr>
                <w:sz w:val="18"/>
                <w:szCs w:val="18"/>
                <w:lang w:val="en-US"/>
              </w:rPr>
              <w:t>-.07</w:t>
            </w:r>
          </w:p>
        </w:tc>
        <w:tc>
          <w:tcPr>
            <w:tcW w:w="425" w:type="dxa"/>
            <w:vAlign w:val="center"/>
          </w:tcPr>
          <w:p w14:paraId="7923532C" w14:textId="77777777" w:rsidR="005D280E" w:rsidRPr="005D280E" w:rsidRDefault="005D280E" w:rsidP="005D280E">
            <w:pPr>
              <w:spacing w:line="360" w:lineRule="auto"/>
              <w:ind w:firstLine="0"/>
              <w:jc w:val="center"/>
              <w:rPr>
                <w:sz w:val="18"/>
                <w:szCs w:val="18"/>
                <w:lang w:val="en-US"/>
              </w:rPr>
            </w:pPr>
          </w:p>
        </w:tc>
        <w:tc>
          <w:tcPr>
            <w:tcW w:w="709" w:type="dxa"/>
            <w:vAlign w:val="center"/>
          </w:tcPr>
          <w:p w14:paraId="5B3AB213" w14:textId="77777777" w:rsidR="005D280E" w:rsidRPr="005D280E" w:rsidRDefault="005D280E" w:rsidP="005D280E">
            <w:pPr>
              <w:spacing w:line="360" w:lineRule="auto"/>
              <w:ind w:firstLine="0"/>
              <w:jc w:val="right"/>
              <w:rPr>
                <w:sz w:val="18"/>
                <w:szCs w:val="18"/>
                <w:lang w:val="en-US"/>
              </w:rPr>
            </w:pPr>
            <w:r w:rsidRPr="005D280E">
              <w:rPr>
                <w:sz w:val="18"/>
                <w:szCs w:val="18"/>
                <w:lang w:val="en-US"/>
              </w:rPr>
              <w:t>.01</w:t>
            </w:r>
          </w:p>
        </w:tc>
        <w:tc>
          <w:tcPr>
            <w:tcW w:w="567" w:type="dxa"/>
            <w:vAlign w:val="center"/>
          </w:tcPr>
          <w:p w14:paraId="75CE5CBD" w14:textId="77777777" w:rsidR="005D280E" w:rsidRPr="005D280E" w:rsidRDefault="005D280E" w:rsidP="005D280E">
            <w:pPr>
              <w:spacing w:line="360" w:lineRule="auto"/>
              <w:ind w:firstLine="0"/>
              <w:rPr>
                <w:sz w:val="18"/>
                <w:szCs w:val="18"/>
                <w:lang w:val="en-US"/>
              </w:rPr>
            </w:pPr>
            <w:r w:rsidRPr="005D280E">
              <w:rPr>
                <w:sz w:val="18"/>
                <w:szCs w:val="18"/>
                <w:lang w:val="en-US"/>
              </w:rPr>
              <w:t>.05</w:t>
            </w:r>
          </w:p>
        </w:tc>
        <w:tc>
          <w:tcPr>
            <w:tcW w:w="760" w:type="dxa"/>
            <w:vAlign w:val="center"/>
          </w:tcPr>
          <w:p w14:paraId="08C8B6B3" w14:textId="77777777" w:rsidR="005D280E" w:rsidRPr="005D280E" w:rsidRDefault="005D280E" w:rsidP="005D280E">
            <w:pPr>
              <w:spacing w:line="360" w:lineRule="auto"/>
              <w:ind w:firstLine="0"/>
              <w:jc w:val="both"/>
              <w:rPr>
                <w:sz w:val="18"/>
                <w:szCs w:val="18"/>
                <w:lang w:val="en-US"/>
              </w:rPr>
            </w:pPr>
            <w:r w:rsidRPr="005D280E">
              <w:rPr>
                <w:sz w:val="18"/>
                <w:szCs w:val="18"/>
                <w:lang w:val="en-US"/>
              </w:rPr>
              <w:t>.01</w:t>
            </w:r>
          </w:p>
        </w:tc>
      </w:tr>
      <w:tr w:rsidR="005D280E" w:rsidRPr="005D280E" w14:paraId="64B1A39B" w14:textId="77777777" w:rsidTr="00CE564B">
        <w:trPr>
          <w:trHeight w:val="267"/>
        </w:trPr>
        <w:tc>
          <w:tcPr>
            <w:tcW w:w="520" w:type="dxa"/>
          </w:tcPr>
          <w:p w14:paraId="34493B0E" w14:textId="77777777" w:rsidR="005D280E" w:rsidRPr="005D280E" w:rsidRDefault="005D280E" w:rsidP="005D280E">
            <w:pPr>
              <w:spacing w:line="360" w:lineRule="auto"/>
              <w:ind w:firstLine="0"/>
              <w:contextualSpacing w:val="0"/>
              <w:rPr>
                <w:rFonts w:eastAsia="Times New Roman"/>
                <w:sz w:val="18"/>
                <w:szCs w:val="18"/>
                <w:lang w:val="en-GB"/>
              </w:rPr>
            </w:pPr>
          </w:p>
        </w:tc>
        <w:tc>
          <w:tcPr>
            <w:tcW w:w="2875" w:type="dxa"/>
            <w:vAlign w:val="center"/>
          </w:tcPr>
          <w:p w14:paraId="786B4B98" w14:textId="77777777" w:rsidR="005D280E" w:rsidRPr="005D280E" w:rsidRDefault="005D280E" w:rsidP="005D280E">
            <w:pPr>
              <w:spacing w:line="360" w:lineRule="auto"/>
              <w:ind w:firstLine="0"/>
              <w:contextualSpacing w:val="0"/>
              <w:rPr>
                <w:rFonts w:eastAsia="Times New Roman"/>
                <w:sz w:val="18"/>
                <w:szCs w:val="18"/>
                <w:lang w:val="en-GB"/>
              </w:rPr>
            </w:pPr>
            <w:r w:rsidRPr="005D280E">
              <w:rPr>
                <w:rFonts w:eastAsia="Times New Roman"/>
                <w:sz w:val="18"/>
                <w:szCs w:val="18"/>
                <w:lang w:val="en-GB"/>
              </w:rPr>
              <w:t>Relationship status</w:t>
            </w:r>
          </w:p>
        </w:tc>
        <w:tc>
          <w:tcPr>
            <w:tcW w:w="815" w:type="dxa"/>
            <w:vAlign w:val="center"/>
          </w:tcPr>
          <w:p w14:paraId="473FF94F" w14:textId="77777777" w:rsidR="005D280E" w:rsidRPr="005D280E" w:rsidRDefault="005D280E" w:rsidP="005D280E">
            <w:pPr>
              <w:spacing w:line="360" w:lineRule="auto"/>
              <w:ind w:firstLine="0"/>
              <w:jc w:val="right"/>
              <w:rPr>
                <w:sz w:val="18"/>
                <w:szCs w:val="18"/>
                <w:lang w:val="en-US"/>
              </w:rPr>
            </w:pPr>
            <w:r w:rsidRPr="005D280E">
              <w:rPr>
                <w:sz w:val="18"/>
                <w:szCs w:val="18"/>
                <w:lang w:val="en-US"/>
              </w:rPr>
              <w:t xml:space="preserve">  -.26</w:t>
            </w:r>
          </w:p>
        </w:tc>
        <w:tc>
          <w:tcPr>
            <w:tcW w:w="559" w:type="dxa"/>
            <w:vAlign w:val="center"/>
          </w:tcPr>
          <w:p w14:paraId="7C4C2589" w14:textId="77777777" w:rsidR="005D280E" w:rsidRPr="005D280E" w:rsidRDefault="005D280E" w:rsidP="005D280E">
            <w:pPr>
              <w:spacing w:line="360" w:lineRule="auto"/>
              <w:ind w:firstLine="0"/>
              <w:jc w:val="center"/>
              <w:rPr>
                <w:sz w:val="18"/>
                <w:szCs w:val="18"/>
                <w:lang w:val="en-US"/>
              </w:rPr>
            </w:pPr>
            <w:r w:rsidRPr="005D280E">
              <w:rPr>
                <w:sz w:val="18"/>
                <w:szCs w:val="18"/>
                <w:lang w:val="en-US"/>
              </w:rPr>
              <w:t>.17</w:t>
            </w:r>
          </w:p>
        </w:tc>
        <w:tc>
          <w:tcPr>
            <w:tcW w:w="708" w:type="dxa"/>
            <w:vAlign w:val="center"/>
          </w:tcPr>
          <w:p w14:paraId="1048F0CF" w14:textId="77777777" w:rsidR="005D280E" w:rsidRPr="005D280E" w:rsidRDefault="005D280E" w:rsidP="005D280E">
            <w:pPr>
              <w:spacing w:line="360" w:lineRule="auto"/>
              <w:ind w:firstLine="0"/>
              <w:jc w:val="both"/>
              <w:rPr>
                <w:sz w:val="18"/>
                <w:szCs w:val="18"/>
                <w:lang w:val="en-US"/>
              </w:rPr>
            </w:pPr>
            <w:r w:rsidRPr="005D280E">
              <w:rPr>
                <w:sz w:val="18"/>
                <w:szCs w:val="18"/>
                <w:lang w:val="en-US"/>
              </w:rPr>
              <w:t>-.06</w:t>
            </w:r>
          </w:p>
        </w:tc>
        <w:tc>
          <w:tcPr>
            <w:tcW w:w="426" w:type="dxa"/>
            <w:vAlign w:val="center"/>
          </w:tcPr>
          <w:p w14:paraId="594AE860" w14:textId="77777777" w:rsidR="005D280E" w:rsidRPr="005D280E" w:rsidRDefault="005D280E" w:rsidP="005D280E">
            <w:pPr>
              <w:spacing w:line="360" w:lineRule="auto"/>
              <w:ind w:firstLine="0"/>
              <w:jc w:val="center"/>
              <w:rPr>
                <w:sz w:val="18"/>
                <w:szCs w:val="18"/>
                <w:lang w:val="en-US"/>
              </w:rPr>
            </w:pPr>
          </w:p>
        </w:tc>
        <w:tc>
          <w:tcPr>
            <w:tcW w:w="708" w:type="dxa"/>
            <w:vAlign w:val="center"/>
          </w:tcPr>
          <w:p w14:paraId="29C1870A" w14:textId="77777777" w:rsidR="005D280E" w:rsidRPr="005D280E" w:rsidRDefault="005D280E" w:rsidP="005D280E">
            <w:pPr>
              <w:spacing w:line="360" w:lineRule="auto"/>
              <w:ind w:firstLine="0"/>
              <w:jc w:val="right"/>
              <w:rPr>
                <w:sz w:val="18"/>
                <w:szCs w:val="18"/>
                <w:lang w:val="en-US"/>
              </w:rPr>
            </w:pPr>
            <w:r w:rsidRPr="005D280E">
              <w:rPr>
                <w:sz w:val="18"/>
                <w:szCs w:val="18"/>
                <w:lang w:val="en-US"/>
              </w:rPr>
              <w:t>-.19</w:t>
            </w:r>
          </w:p>
        </w:tc>
        <w:tc>
          <w:tcPr>
            <w:tcW w:w="567" w:type="dxa"/>
            <w:vAlign w:val="center"/>
          </w:tcPr>
          <w:p w14:paraId="00664E26" w14:textId="77777777" w:rsidR="005D280E" w:rsidRPr="005D280E" w:rsidRDefault="005D280E" w:rsidP="005D280E">
            <w:pPr>
              <w:spacing w:line="360" w:lineRule="auto"/>
              <w:ind w:firstLine="0"/>
              <w:rPr>
                <w:sz w:val="18"/>
                <w:szCs w:val="18"/>
                <w:lang w:val="en-US"/>
              </w:rPr>
            </w:pPr>
            <w:r w:rsidRPr="005D280E">
              <w:rPr>
                <w:sz w:val="18"/>
                <w:szCs w:val="18"/>
                <w:lang w:val="en-US"/>
              </w:rPr>
              <w:t>.20</w:t>
            </w:r>
          </w:p>
        </w:tc>
        <w:tc>
          <w:tcPr>
            <w:tcW w:w="709" w:type="dxa"/>
            <w:vAlign w:val="center"/>
          </w:tcPr>
          <w:p w14:paraId="6FD0AE2A" w14:textId="77777777" w:rsidR="005D280E" w:rsidRPr="005D280E" w:rsidRDefault="005D280E" w:rsidP="005D280E">
            <w:pPr>
              <w:spacing w:line="360" w:lineRule="auto"/>
              <w:ind w:firstLine="0"/>
              <w:rPr>
                <w:sz w:val="18"/>
                <w:szCs w:val="18"/>
                <w:lang w:val="en-US"/>
              </w:rPr>
            </w:pPr>
            <w:r w:rsidRPr="005D280E">
              <w:rPr>
                <w:sz w:val="18"/>
                <w:szCs w:val="18"/>
                <w:lang w:val="en-US"/>
              </w:rPr>
              <w:t>-.04</w:t>
            </w:r>
          </w:p>
        </w:tc>
        <w:tc>
          <w:tcPr>
            <w:tcW w:w="425" w:type="dxa"/>
            <w:vAlign w:val="center"/>
          </w:tcPr>
          <w:p w14:paraId="33B68176" w14:textId="77777777" w:rsidR="005D280E" w:rsidRPr="005D280E" w:rsidRDefault="005D280E" w:rsidP="005D280E">
            <w:pPr>
              <w:spacing w:line="360" w:lineRule="auto"/>
              <w:ind w:firstLine="0"/>
              <w:rPr>
                <w:sz w:val="18"/>
                <w:szCs w:val="18"/>
                <w:lang w:val="en-US"/>
              </w:rPr>
            </w:pPr>
          </w:p>
        </w:tc>
        <w:tc>
          <w:tcPr>
            <w:tcW w:w="709" w:type="dxa"/>
            <w:vAlign w:val="center"/>
          </w:tcPr>
          <w:p w14:paraId="7B916BFF" w14:textId="77777777" w:rsidR="005D280E" w:rsidRPr="005D280E" w:rsidRDefault="005D280E" w:rsidP="005D280E">
            <w:pPr>
              <w:spacing w:line="360" w:lineRule="auto"/>
              <w:ind w:firstLine="0"/>
              <w:rPr>
                <w:sz w:val="18"/>
                <w:szCs w:val="18"/>
                <w:lang w:val="en-US"/>
              </w:rPr>
            </w:pPr>
            <w:r w:rsidRPr="005D280E">
              <w:rPr>
                <w:sz w:val="18"/>
                <w:szCs w:val="18"/>
                <w:lang w:val="en-US"/>
              </w:rPr>
              <w:t>-.09</w:t>
            </w:r>
          </w:p>
        </w:tc>
        <w:tc>
          <w:tcPr>
            <w:tcW w:w="567" w:type="dxa"/>
            <w:vAlign w:val="center"/>
          </w:tcPr>
          <w:p w14:paraId="14E91791" w14:textId="77777777" w:rsidR="005D280E" w:rsidRPr="005D280E" w:rsidRDefault="005D280E" w:rsidP="005D280E">
            <w:pPr>
              <w:spacing w:line="360" w:lineRule="auto"/>
              <w:ind w:firstLine="0"/>
              <w:jc w:val="center"/>
              <w:rPr>
                <w:sz w:val="18"/>
                <w:szCs w:val="18"/>
                <w:lang w:val="en-US"/>
              </w:rPr>
            </w:pPr>
            <w:r w:rsidRPr="005D280E">
              <w:rPr>
                <w:sz w:val="18"/>
                <w:szCs w:val="18"/>
                <w:lang w:val="en-US"/>
              </w:rPr>
              <w:t>.21</w:t>
            </w:r>
          </w:p>
        </w:tc>
        <w:tc>
          <w:tcPr>
            <w:tcW w:w="709" w:type="dxa"/>
            <w:vAlign w:val="center"/>
          </w:tcPr>
          <w:p w14:paraId="4D39C7F4" w14:textId="77777777" w:rsidR="005D280E" w:rsidRPr="005D280E" w:rsidRDefault="005D280E" w:rsidP="005D280E">
            <w:pPr>
              <w:spacing w:line="360" w:lineRule="auto"/>
              <w:ind w:firstLine="0"/>
              <w:rPr>
                <w:sz w:val="18"/>
                <w:szCs w:val="18"/>
                <w:lang w:val="en-US"/>
              </w:rPr>
            </w:pPr>
            <w:r w:rsidRPr="005D280E">
              <w:rPr>
                <w:sz w:val="18"/>
                <w:szCs w:val="18"/>
                <w:lang w:val="en-US"/>
              </w:rPr>
              <w:t>-.02</w:t>
            </w:r>
          </w:p>
        </w:tc>
        <w:tc>
          <w:tcPr>
            <w:tcW w:w="425" w:type="dxa"/>
            <w:vAlign w:val="center"/>
          </w:tcPr>
          <w:p w14:paraId="3CB8B0E9" w14:textId="77777777" w:rsidR="005D280E" w:rsidRPr="005D280E" w:rsidRDefault="005D280E" w:rsidP="005D280E">
            <w:pPr>
              <w:spacing w:line="360" w:lineRule="auto"/>
              <w:ind w:firstLine="0"/>
              <w:jc w:val="center"/>
              <w:rPr>
                <w:sz w:val="18"/>
                <w:szCs w:val="18"/>
                <w:lang w:val="en-US"/>
              </w:rPr>
            </w:pPr>
          </w:p>
        </w:tc>
        <w:tc>
          <w:tcPr>
            <w:tcW w:w="709" w:type="dxa"/>
            <w:vAlign w:val="center"/>
          </w:tcPr>
          <w:p w14:paraId="1467A93F" w14:textId="77777777" w:rsidR="005D280E" w:rsidRPr="005D280E" w:rsidRDefault="005D280E" w:rsidP="005D280E">
            <w:pPr>
              <w:spacing w:line="360" w:lineRule="auto"/>
              <w:ind w:firstLine="0"/>
              <w:jc w:val="right"/>
              <w:rPr>
                <w:sz w:val="18"/>
                <w:szCs w:val="18"/>
                <w:lang w:val="en-US"/>
              </w:rPr>
            </w:pPr>
            <w:r w:rsidRPr="005D280E">
              <w:rPr>
                <w:sz w:val="18"/>
                <w:szCs w:val="18"/>
                <w:lang w:val="en-US"/>
              </w:rPr>
              <w:t>-.12</w:t>
            </w:r>
          </w:p>
        </w:tc>
        <w:tc>
          <w:tcPr>
            <w:tcW w:w="567" w:type="dxa"/>
            <w:vAlign w:val="center"/>
          </w:tcPr>
          <w:p w14:paraId="67D49E1E" w14:textId="77777777" w:rsidR="005D280E" w:rsidRPr="005D280E" w:rsidRDefault="005D280E" w:rsidP="005D280E">
            <w:pPr>
              <w:spacing w:line="360" w:lineRule="auto"/>
              <w:ind w:firstLine="0"/>
              <w:rPr>
                <w:sz w:val="18"/>
                <w:szCs w:val="18"/>
                <w:lang w:val="en-US"/>
              </w:rPr>
            </w:pPr>
            <w:r w:rsidRPr="005D280E">
              <w:rPr>
                <w:sz w:val="18"/>
                <w:szCs w:val="18"/>
                <w:lang w:val="en-US"/>
              </w:rPr>
              <w:t>.42</w:t>
            </w:r>
          </w:p>
        </w:tc>
        <w:tc>
          <w:tcPr>
            <w:tcW w:w="760" w:type="dxa"/>
            <w:vAlign w:val="center"/>
          </w:tcPr>
          <w:p w14:paraId="62C2C2A2" w14:textId="77777777" w:rsidR="005D280E" w:rsidRPr="005D280E" w:rsidRDefault="005D280E" w:rsidP="005D280E">
            <w:pPr>
              <w:spacing w:line="360" w:lineRule="auto"/>
              <w:ind w:firstLine="0"/>
              <w:jc w:val="both"/>
              <w:rPr>
                <w:sz w:val="18"/>
                <w:szCs w:val="18"/>
                <w:lang w:val="en-US"/>
              </w:rPr>
            </w:pPr>
            <w:r w:rsidRPr="005D280E">
              <w:rPr>
                <w:sz w:val="18"/>
                <w:szCs w:val="18"/>
                <w:lang w:val="en-US"/>
              </w:rPr>
              <w:t>-.02</w:t>
            </w:r>
          </w:p>
        </w:tc>
      </w:tr>
      <w:tr w:rsidR="005D280E" w:rsidRPr="005D280E" w14:paraId="391959F5" w14:textId="77777777" w:rsidTr="00CE564B">
        <w:trPr>
          <w:trHeight w:val="267"/>
        </w:trPr>
        <w:tc>
          <w:tcPr>
            <w:tcW w:w="3395" w:type="dxa"/>
            <w:gridSpan w:val="2"/>
          </w:tcPr>
          <w:p w14:paraId="0DDE5A96" w14:textId="77777777" w:rsidR="005D280E" w:rsidRPr="005D280E" w:rsidRDefault="005D280E" w:rsidP="005D280E">
            <w:pPr>
              <w:spacing w:line="360" w:lineRule="auto"/>
              <w:ind w:firstLine="0"/>
              <w:contextualSpacing w:val="0"/>
              <w:rPr>
                <w:rFonts w:eastAsia="Times New Roman"/>
                <w:sz w:val="18"/>
                <w:szCs w:val="18"/>
                <w:lang w:val="en-GB"/>
              </w:rPr>
            </w:pPr>
            <w:r w:rsidRPr="005D280E">
              <w:rPr>
                <w:rFonts w:eastAsia="Times New Roman"/>
                <w:i/>
                <w:sz w:val="18"/>
                <w:szCs w:val="18"/>
                <w:lang w:val="en-GB"/>
              </w:rPr>
              <w:t>Health factors</w:t>
            </w:r>
          </w:p>
        </w:tc>
        <w:tc>
          <w:tcPr>
            <w:tcW w:w="815" w:type="dxa"/>
            <w:vAlign w:val="center"/>
          </w:tcPr>
          <w:p w14:paraId="2645E7D6" w14:textId="77777777" w:rsidR="005D280E" w:rsidRPr="005D280E" w:rsidRDefault="005D280E" w:rsidP="005D280E">
            <w:pPr>
              <w:spacing w:line="360" w:lineRule="auto"/>
              <w:ind w:firstLine="0"/>
              <w:jc w:val="right"/>
              <w:rPr>
                <w:sz w:val="18"/>
                <w:szCs w:val="18"/>
                <w:lang w:val="en-US"/>
              </w:rPr>
            </w:pPr>
          </w:p>
        </w:tc>
        <w:tc>
          <w:tcPr>
            <w:tcW w:w="559" w:type="dxa"/>
            <w:vAlign w:val="center"/>
          </w:tcPr>
          <w:p w14:paraId="62DBD12F" w14:textId="77777777" w:rsidR="005D280E" w:rsidRPr="005D280E" w:rsidRDefault="005D280E" w:rsidP="005D280E">
            <w:pPr>
              <w:spacing w:line="360" w:lineRule="auto"/>
              <w:ind w:firstLine="0"/>
              <w:jc w:val="center"/>
              <w:rPr>
                <w:sz w:val="18"/>
                <w:szCs w:val="18"/>
                <w:lang w:val="en-US"/>
              </w:rPr>
            </w:pPr>
          </w:p>
        </w:tc>
        <w:tc>
          <w:tcPr>
            <w:tcW w:w="708" w:type="dxa"/>
            <w:vAlign w:val="center"/>
          </w:tcPr>
          <w:p w14:paraId="25F4ED1D" w14:textId="77777777" w:rsidR="005D280E" w:rsidRPr="005D280E" w:rsidRDefault="005D280E" w:rsidP="005D280E">
            <w:pPr>
              <w:spacing w:line="360" w:lineRule="auto"/>
              <w:ind w:firstLine="0"/>
              <w:jc w:val="both"/>
              <w:rPr>
                <w:sz w:val="18"/>
                <w:szCs w:val="18"/>
                <w:lang w:val="en-US"/>
              </w:rPr>
            </w:pPr>
          </w:p>
        </w:tc>
        <w:tc>
          <w:tcPr>
            <w:tcW w:w="426" w:type="dxa"/>
            <w:vAlign w:val="center"/>
          </w:tcPr>
          <w:p w14:paraId="403940BC" w14:textId="77777777" w:rsidR="005D280E" w:rsidRPr="005D280E" w:rsidRDefault="005D280E" w:rsidP="005D280E">
            <w:pPr>
              <w:spacing w:line="360" w:lineRule="auto"/>
              <w:ind w:firstLine="0"/>
              <w:rPr>
                <w:sz w:val="18"/>
                <w:szCs w:val="18"/>
                <w:lang w:val="en-US"/>
              </w:rPr>
            </w:pPr>
          </w:p>
        </w:tc>
        <w:tc>
          <w:tcPr>
            <w:tcW w:w="708" w:type="dxa"/>
            <w:vAlign w:val="center"/>
          </w:tcPr>
          <w:p w14:paraId="6F7545E9" w14:textId="77777777" w:rsidR="005D280E" w:rsidRPr="005D280E" w:rsidRDefault="005D280E" w:rsidP="005D280E">
            <w:pPr>
              <w:spacing w:line="360" w:lineRule="auto"/>
              <w:ind w:firstLine="0"/>
              <w:jc w:val="right"/>
              <w:rPr>
                <w:sz w:val="18"/>
                <w:szCs w:val="18"/>
                <w:lang w:val="en-US"/>
              </w:rPr>
            </w:pPr>
          </w:p>
        </w:tc>
        <w:tc>
          <w:tcPr>
            <w:tcW w:w="567" w:type="dxa"/>
            <w:vAlign w:val="center"/>
          </w:tcPr>
          <w:p w14:paraId="0107DEC7" w14:textId="77777777" w:rsidR="005D280E" w:rsidRPr="005D280E" w:rsidRDefault="005D280E" w:rsidP="005D280E">
            <w:pPr>
              <w:spacing w:line="360" w:lineRule="auto"/>
              <w:ind w:firstLine="0"/>
              <w:rPr>
                <w:sz w:val="18"/>
                <w:szCs w:val="18"/>
                <w:lang w:val="en-US"/>
              </w:rPr>
            </w:pPr>
          </w:p>
        </w:tc>
        <w:tc>
          <w:tcPr>
            <w:tcW w:w="709" w:type="dxa"/>
            <w:vAlign w:val="center"/>
          </w:tcPr>
          <w:p w14:paraId="25FA37C2" w14:textId="77777777" w:rsidR="005D280E" w:rsidRPr="005D280E" w:rsidRDefault="005D280E" w:rsidP="005D280E">
            <w:pPr>
              <w:spacing w:line="360" w:lineRule="auto"/>
              <w:ind w:firstLine="0"/>
              <w:rPr>
                <w:sz w:val="18"/>
                <w:szCs w:val="18"/>
                <w:lang w:val="en-US"/>
              </w:rPr>
            </w:pPr>
          </w:p>
        </w:tc>
        <w:tc>
          <w:tcPr>
            <w:tcW w:w="425" w:type="dxa"/>
            <w:vAlign w:val="center"/>
          </w:tcPr>
          <w:p w14:paraId="0B39E18D" w14:textId="77777777" w:rsidR="005D280E" w:rsidRPr="005D280E" w:rsidRDefault="005D280E" w:rsidP="005D280E">
            <w:pPr>
              <w:spacing w:line="360" w:lineRule="auto"/>
              <w:ind w:firstLine="0"/>
              <w:rPr>
                <w:sz w:val="18"/>
                <w:szCs w:val="18"/>
                <w:lang w:val="en-US"/>
              </w:rPr>
            </w:pPr>
          </w:p>
        </w:tc>
        <w:tc>
          <w:tcPr>
            <w:tcW w:w="709" w:type="dxa"/>
            <w:vAlign w:val="center"/>
          </w:tcPr>
          <w:p w14:paraId="468E958F" w14:textId="77777777" w:rsidR="005D280E" w:rsidRPr="005D280E" w:rsidRDefault="005D280E" w:rsidP="005D280E">
            <w:pPr>
              <w:spacing w:line="360" w:lineRule="auto"/>
              <w:ind w:firstLine="0"/>
              <w:rPr>
                <w:sz w:val="18"/>
                <w:szCs w:val="18"/>
                <w:lang w:val="en-US"/>
              </w:rPr>
            </w:pPr>
          </w:p>
        </w:tc>
        <w:tc>
          <w:tcPr>
            <w:tcW w:w="567" w:type="dxa"/>
            <w:vAlign w:val="center"/>
          </w:tcPr>
          <w:p w14:paraId="670C5B09" w14:textId="77777777" w:rsidR="005D280E" w:rsidRPr="005D280E" w:rsidRDefault="005D280E" w:rsidP="005D280E">
            <w:pPr>
              <w:spacing w:line="360" w:lineRule="auto"/>
              <w:ind w:firstLine="0"/>
              <w:jc w:val="center"/>
              <w:rPr>
                <w:sz w:val="18"/>
                <w:szCs w:val="18"/>
                <w:lang w:val="en-US"/>
              </w:rPr>
            </w:pPr>
          </w:p>
        </w:tc>
        <w:tc>
          <w:tcPr>
            <w:tcW w:w="709" w:type="dxa"/>
            <w:vAlign w:val="center"/>
          </w:tcPr>
          <w:p w14:paraId="600D66BF" w14:textId="77777777" w:rsidR="005D280E" w:rsidRPr="005D280E" w:rsidRDefault="005D280E" w:rsidP="005D280E">
            <w:pPr>
              <w:spacing w:line="360" w:lineRule="auto"/>
              <w:ind w:firstLine="0"/>
              <w:jc w:val="center"/>
              <w:rPr>
                <w:sz w:val="18"/>
                <w:szCs w:val="18"/>
                <w:lang w:val="en-US"/>
              </w:rPr>
            </w:pPr>
          </w:p>
        </w:tc>
        <w:tc>
          <w:tcPr>
            <w:tcW w:w="425" w:type="dxa"/>
            <w:vAlign w:val="center"/>
          </w:tcPr>
          <w:p w14:paraId="7D2B9E9A" w14:textId="77777777" w:rsidR="005D280E" w:rsidRPr="005D280E" w:rsidRDefault="005D280E" w:rsidP="005D280E">
            <w:pPr>
              <w:spacing w:line="360" w:lineRule="auto"/>
              <w:ind w:firstLine="0"/>
              <w:rPr>
                <w:sz w:val="18"/>
                <w:szCs w:val="18"/>
                <w:lang w:val="en-US"/>
              </w:rPr>
            </w:pPr>
          </w:p>
        </w:tc>
        <w:tc>
          <w:tcPr>
            <w:tcW w:w="709" w:type="dxa"/>
            <w:vAlign w:val="center"/>
          </w:tcPr>
          <w:p w14:paraId="0D706565" w14:textId="77777777" w:rsidR="005D280E" w:rsidRPr="005D280E" w:rsidRDefault="005D280E" w:rsidP="005D280E">
            <w:pPr>
              <w:spacing w:line="360" w:lineRule="auto"/>
              <w:ind w:firstLine="0"/>
              <w:jc w:val="right"/>
              <w:rPr>
                <w:sz w:val="18"/>
                <w:szCs w:val="18"/>
                <w:lang w:val="en-US"/>
              </w:rPr>
            </w:pPr>
          </w:p>
        </w:tc>
        <w:tc>
          <w:tcPr>
            <w:tcW w:w="567" w:type="dxa"/>
            <w:vAlign w:val="center"/>
          </w:tcPr>
          <w:p w14:paraId="2BEE9974" w14:textId="77777777" w:rsidR="005D280E" w:rsidRPr="005D280E" w:rsidRDefault="005D280E" w:rsidP="005D280E">
            <w:pPr>
              <w:spacing w:line="360" w:lineRule="auto"/>
              <w:ind w:firstLine="0"/>
              <w:rPr>
                <w:sz w:val="18"/>
                <w:szCs w:val="18"/>
                <w:lang w:val="en-US"/>
              </w:rPr>
            </w:pPr>
          </w:p>
        </w:tc>
        <w:tc>
          <w:tcPr>
            <w:tcW w:w="760" w:type="dxa"/>
            <w:vAlign w:val="center"/>
          </w:tcPr>
          <w:p w14:paraId="7B81AEBC" w14:textId="77777777" w:rsidR="005D280E" w:rsidRPr="005D280E" w:rsidRDefault="005D280E" w:rsidP="005D280E">
            <w:pPr>
              <w:spacing w:line="360" w:lineRule="auto"/>
              <w:ind w:firstLine="0"/>
              <w:rPr>
                <w:sz w:val="18"/>
                <w:szCs w:val="18"/>
                <w:lang w:val="en-US"/>
              </w:rPr>
            </w:pPr>
          </w:p>
        </w:tc>
      </w:tr>
      <w:tr w:rsidR="005D280E" w:rsidRPr="005D280E" w14:paraId="7E03C60A" w14:textId="77777777" w:rsidTr="00CE564B">
        <w:trPr>
          <w:trHeight w:val="267"/>
        </w:trPr>
        <w:tc>
          <w:tcPr>
            <w:tcW w:w="520" w:type="dxa"/>
          </w:tcPr>
          <w:p w14:paraId="1C9CE8FE" w14:textId="77777777" w:rsidR="005D280E" w:rsidRPr="005D280E" w:rsidRDefault="005D280E" w:rsidP="005D280E">
            <w:pPr>
              <w:spacing w:line="360" w:lineRule="auto"/>
              <w:ind w:firstLine="0"/>
              <w:contextualSpacing w:val="0"/>
              <w:rPr>
                <w:rFonts w:eastAsia="Times New Roman"/>
                <w:sz w:val="18"/>
                <w:szCs w:val="18"/>
                <w:lang w:val="en-GB"/>
              </w:rPr>
            </w:pPr>
          </w:p>
        </w:tc>
        <w:tc>
          <w:tcPr>
            <w:tcW w:w="2875" w:type="dxa"/>
            <w:vAlign w:val="center"/>
          </w:tcPr>
          <w:p w14:paraId="4AA31BB5" w14:textId="77777777" w:rsidR="005D280E" w:rsidRPr="005D280E" w:rsidRDefault="005D280E" w:rsidP="005D280E">
            <w:pPr>
              <w:spacing w:line="360" w:lineRule="auto"/>
              <w:ind w:firstLine="0"/>
              <w:contextualSpacing w:val="0"/>
              <w:rPr>
                <w:rFonts w:eastAsia="Times New Roman"/>
                <w:sz w:val="18"/>
                <w:szCs w:val="18"/>
                <w:lang w:val="en-GB"/>
              </w:rPr>
            </w:pPr>
            <w:r w:rsidRPr="005D280E">
              <w:rPr>
                <w:rFonts w:eastAsia="Times New Roman"/>
                <w:sz w:val="18"/>
                <w:szCs w:val="18"/>
                <w:lang w:val="en-GB"/>
              </w:rPr>
              <w:t>Self-perceived health</w:t>
            </w:r>
          </w:p>
        </w:tc>
        <w:tc>
          <w:tcPr>
            <w:tcW w:w="815" w:type="dxa"/>
            <w:vAlign w:val="center"/>
          </w:tcPr>
          <w:p w14:paraId="6E6ADADF" w14:textId="77777777" w:rsidR="005D280E" w:rsidRPr="005D280E" w:rsidRDefault="005D280E" w:rsidP="005D280E">
            <w:pPr>
              <w:spacing w:line="360" w:lineRule="auto"/>
              <w:ind w:firstLine="0"/>
              <w:jc w:val="right"/>
              <w:rPr>
                <w:sz w:val="18"/>
                <w:szCs w:val="18"/>
                <w:lang w:val="en-US"/>
              </w:rPr>
            </w:pPr>
            <w:r w:rsidRPr="005D280E">
              <w:rPr>
                <w:sz w:val="18"/>
                <w:szCs w:val="18"/>
                <w:lang w:val="en-US"/>
              </w:rPr>
              <w:t>-.08</w:t>
            </w:r>
          </w:p>
        </w:tc>
        <w:tc>
          <w:tcPr>
            <w:tcW w:w="559" w:type="dxa"/>
            <w:vAlign w:val="center"/>
          </w:tcPr>
          <w:p w14:paraId="145BA157" w14:textId="77777777" w:rsidR="005D280E" w:rsidRPr="005D280E" w:rsidRDefault="005D280E" w:rsidP="005D280E">
            <w:pPr>
              <w:spacing w:line="360" w:lineRule="auto"/>
              <w:ind w:firstLine="0"/>
              <w:jc w:val="center"/>
              <w:rPr>
                <w:sz w:val="18"/>
                <w:szCs w:val="18"/>
                <w:lang w:val="en-US"/>
              </w:rPr>
            </w:pPr>
            <w:r w:rsidRPr="005D280E">
              <w:rPr>
                <w:sz w:val="18"/>
                <w:szCs w:val="18"/>
                <w:lang w:val="en-US"/>
              </w:rPr>
              <w:t>.07</w:t>
            </w:r>
          </w:p>
        </w:tc>
        <w:tc>
          <w:tcPr>
            <w:tcW w:w="708" w:type="dxa"/>
            <w:vAlign w:val="center"/>
          </w:tcPr>
          <w:p w14:paraId="1A4931B1" w14:textId="77777777" w:rsidR="005D280E" w:rsidRPr="005D280E" w:rsidRDefault="005D280E" w:rsidP="005D280E">
            <w:pPr>
              <w:spacing w:line="360" w:lineRule="auto"/>
              <w:ind w:firstLine="0"/>
              <w:jc w:val="both"/>
              <w:rPr>
                <w:sz w:val="18"/>
                <w:szCs w:val="18"/>
                <w:lang w:val="en-US"/>
              </w:rPr>
            </w:pPr>
            <w:r w:rsidRPr="005D280E">
              <w:rPr>
                <w:sz w:val="18"/>
                <w:szCs w:val="18"/>
                <w:lang w:val="en-US"/>
              </w:rPr>
              <w:t>-.05</w:t>
            </w:r>
          </w:p>
        </w:tc>
        <w:tc>
          <w:tcPr>
            <w:tcW w:w="426" w:type="dxa"/>
            <w:vAlign w:val="center"/>
          </w:tcPr>
          <w:p w14:paraId="050417CA" w14:textId="77777777" w:rsidR="005D280E" w:rsidRPr="005D280E" w:rsidRDefault="005D280E" w:rsidP="005D280E">
            <w:pPr>
              <w:spacing w:line="360" w:lineRule="auto"/>
              <w:ind w:firstLine="0"/>
              <w:jc w:val="center"/>
              <w:rPr>
                <w:sz w:val="18"/>
                <w:szCs w:val="18"/>
                <w:lang w:val="en-US"/>
              </w:rPr>
            </w:pPr>
          </w:p>
        </w:tc>
        <w:tc>
          <w:tcPr>
            <w:tcW w:w="708" w:type="dxa"/>
            <w:vAlign w:val="center"/>
          </w:tcPr>
          <w:p w14:paraId="0911549D" w14:textId="77777777" w:rsidR="005D280E" w:rsidRPr="005D280E" w:rsidRDefault="005D280E" w:rsidP="005D280E">
            <w:pPr>
              <w:spacing w:line="360" w:lineRule="auto"/>
              <w:ind w:firstLine="0"/>
              <w:jc w:val="right"/>
              <w:rPr>
                <w:sz w:val="18"/>
                <w:szCs w:val="18"/>
                <w:lang w:val="en-US"/>
              </w:rPr>
            </w:pPr>
            <w:r w:rsidRPr="005D280E">
              <w:rPr>
                <w:sz w:val="18"/>
                <w:szCs w:val="18"/>
                <w:lang w:val="en-US"/>
              </w:rPr>
              <w:t>-.14</w:t>
            </w:r>
          </w:p>
        </w:tc>
        <w:tc>
          <w:tcPr>
            <w:tcW w:w="567" w:type="dxa"/>
            <w:vAlign w:val="center"/>
          </w:tcPr>
          <w:p w14:paraId="78E7AF4C" w14:textId="77777777" w:rsidR="005D280E" w:rsidRPr="005D280E" w:rsidRDefault="005D280E" w:rsidP="005D280E">
            <w:pPr>
              <w:spacing w:line="360" w:lineRule="auto"/>
              <w:ind w:firstLine="0"/>
              <w:rPr>
                <w:sz w:val="18"/>
                <w:szCs w:val="18"/>
                <w:lang w:val="en-US"/>
              </w:rPr>
            </w:pPr>
            <w:r w:rsidRPr="005D280E">
              <w:rPr>
                <w:sz w:val="18"/>
                <w:szCs w:val="18"/>
                <w:lang w:val="en-US"/>
              </w:rPr>
              <w:t>.07</w:t>
            </w:r>
          </w:p>
        </w:tc>
        <w:tc>
          <w:tcPr>
            <w:tcW w:w="709" w:type="dxa"/>
            <w:vAlign w:val="center"/>
          </w:tcPr>
          <w:p w14:paraId="6B3CF383" w14:textId="77777777" w:rsidR="005D280E" w:rsidRPr="005D280E" w:rsidRDefault="005D280E" w:rsidP="005D280E">
            <w:pPr>
              <w:spacing w:line="360" w:lineRule="auto"/>
              <w:ind w:firstLine="0"/>
              <w:rPr>
                <w:sz w:val="18"/>
                <w:szCs w:val="18"/>
                <w:lang w:val="en-US"/>
              </w:rPr>
            </w:pPr>
            <w:r w:rsidRPr="005D280E">
              <w:rPr>
                <w:sz w:val="18"/>
                <w:szCs w:val="18"/>
                <w:lang w:val="en-US"/>
              </w:rPr>
              <w:t>-.09</w:t>
            </w:r>
            <w:r w:rsidRPr="005D280E">
              <w:rPr>
                <w:sz w:val="18"/>
                <w:szCs w:val="18"/>
                <w:vertAlign w:val="superscript"/>
                <w:lang w:val="en-US"/>
              </w:rPr>
              <w:t>*</w:t>
            </w:r>
          </w:p>
        </w:tc>
        <w:tc>
          <w:tcPr>
            <w:tcW w:w="425" w:type="dxa"/>
            <w:vAlign w:val="center"/>
          </w:tcPr>
          <w:p w14:paraId="1C56E101" w14:textId="77777777" w:rsidR="005D280E" w:rsidRPr="005D280E" w:rsidRDefault="005D280E" w:rsidP="005D280E">
            <w:pPr>
              <w:spacing w:line="360" w:lineRule="auto"/>
              <w:ind w:firstLine="0"/>
              <w:rPr>
                <w:sz w:val="18"/>
                <w:szCs w:val="18"/>
                <w:lang w:val="en-US"/>
              </w:rPr>
            </w:pPr>
          </w:p>
        </w:tc>
        <w:tc>
          <w:tcPr>
            <w:tcW w:w="709" w:type="dxa"/>
            <w:vAlign w:val="center"/>
          </w:tcPr>
          <w:p w14:paraId="4C0292F1" w14:textId="77777777" w:rsidR="005D280E" w:rsidRPr="005D280E" w:rsidRDefault="005D280E" w:rsidP="005D280E">
            <w:pPr>
              <w:spacing w:line="360" w:lineRule="auto"/>
              <w:ind w:firstLine="0"/>
              <w:rPr>
                <w:sz w:val="18"/>
                <w:szCs w:val="18"/>
              </w:rPr>
            </w:pPr>
            <w:r w:rsidRPr="005D280E">
              <w:rPr>
                <w:sz w:val="18"/>
                <w:szCs w:val="18"/>
                <w:lang w:val="en-US"/>
              </w:rPr>
              <w:t>-</w:t>
            </w:r>
            <w:r w:rsidRPr="005D280E">
              <w:rPr>
                <w:sz w:val="18"/>
                <w:szCs w:val="18"/>
              </w:rPr>
              <w:t>.35</w:t>
            </w:r>
          </w:p>
        </w:tc>
        <w:tc>
          <w:tcPr>
            <w:tcW w:w="567" w:type="dxa"/>
            <w:vAlign w:val="center"/>
          </w:tcPr>
          <w:p w14:paraId="19CC0E81" w14:textId="77777777" w:rsidR="005D280E" w:rsidRPr="005D280E" w:rsidRDefault="005D280E" w:rsidP="005D280E">
            <w:pPr>
              <w:spacing w:line="360" w:lineRule="auto"/>
              <w:ind w:firstLine="0"/>
              <w:jc w:val="center"/>
              <w:rPr>
                <w:sz w:val="18"/>
                <w:szCs w:val="18"/>
              </w:rPr>
            </w:pPr>
            <w:r w:rsidRPr="005D280E">
              <w:rPr>
                <w:sz w:val="18"/>
                <w:szCs w:val="18"/>
              </w:rPr>
              <w:t>.09</w:t>
            </w:r>
          </w:p>
        </w:tc>
        <w:tc>
          <w:tcPr>
            <w:tcW w:w="709" w:type="dxa"/>
            <w:vAlign w:val="center"/>
          </w:tcPr>
          <w:p w14:paraId="4455345E" w14:textId="77777777" w:rsidR="005D280E" w:rsidRPr="005D280E" w:rsidRDefault="005D280E" w:rsidP="005D280E">
            <w:pPr>
              <w:spacing w:line="360" w:lineRule="auto"/>
              <w:ind w:firstLine="0"/>
              <w:rPr>
                <w:sz w:val="18"/>
                <w:szCs w:val="18"/>
              </w:rPr>
            </w:pPr>
            <w:r w:rsidRPr="005D280E">
              <w:rPr>
                <w:sz w:val="18"/>
                <w:szCs w:val="18"/>
              </w:rPr>
              <w:t>-.21</w:t>
            </w:r>
            <w:r w:rsidRPr="005D280E">
              <w:rPr>
                <w:sz w:val="18"/>
                <w:szCs w:val="18"/>
                <w:vertAlign w:val="superscript"/>
              </w:rPr>
              <w:t>***</w:t>
            </w:r>
          </w:p>
        </w:tc>
        <w:tc>
          <w:tcPr>
            <w:tcW w:w="425" w:type="dxa"/>
            <w:vAlign w:val="center"/>
          </w:tcPr>
          <w:p w14:paraId="13C6DB42" w14:textId="77777777" w:rsidR="005D280E" w:rsidRPr="005D280E" w:rsidRDefault="005D280E" w:rsidP="005D280E">
            <w:pPr>
              <w:spacing w:line="360" w:lineRule="auto"/>
              <w:ind w:firstLine="0"/>
              <w:jc w:val="center"/>
              <w:rPr>
                <w:sz w:val="18"/>
                <w:szCs w:val="18"/>
              </w:rPr>
            </w:pPr>
          </w:p>
        </w:tc>
        <w:tc>
          <w:tcPr>
            <w:tcW w:w="709" w:type="dxa"/>
            <w:vAlign w:val="center"/>
          </w:tcPr>
          <w:p w14:paraId="4ED63609" w14:textId="77777777" w:rsidR="005D280E" w:rsidRPr="005D280E" w:rsidRDefault="005D280E" w:rsidP="005D280E">
            <w:pPr>
              <w:spacing w:line="360" w:lineRule="auto"/>
              <w:ind w:firstLine="0"/>
              <w:jc w:val="right"/>
              <w:rPr>
                <w:sz w:val="18"/>
                <w:szCs w:val="18"/>
              </w:rPr>
            </w:pPr>
            <w:r w:rsidRPr="005D280E">
              <w:rPr>
                <w:sz w:val="18"/>
                <w:szCs w:val="18"/>
              </w:rPr>
              <w:t xml:space="preserve"> -.34</w:t>
            </w:r>
          </w:p>
        </w:tc>
        <w:tc>
          <w:tcPr>
            <w:tcW w:w="567" w:type="dxa"/>
            <w:vAlign w:val="center"/>
          </w:tcPr>
          <w:p w14:paraId="0AE3E6EB" w14:textId="77777777" w:rsidR="005D280E" w:rsidRPr="005D280E" w:rsidRDefault="005D280E" w:rsidP="005D280E">
            <w:pPr>
              <w:spacing w:line="360" w:lineRule="auto"/>
              <w:ind w:firstLine="0"/>
              <w:rPr>
                <w:sz w:val="18"/>
                <w:szCs w:val="18"/>
              </w:rPr>
            </w:pPr>
            <w:r w:rsidRPr="005D280E">
              <w:rPr>
                <w:sz w:val="18"/>
                <w:szCs w:val="18"/>
              </w:rPr>
              <w:t>.13</w:t>
            </w:r>
          </w:p>
        </w:tc>
        <w:tc>
          <w:tcPr>
            <w:tcW w:w="760" w:type="dxa"/>
            <w:vAlign w:val="center"/>
          </w:tcPr>
          <w:p w14:paraId="641E6B35" w14:textId="77777777" w:rsidR="005D280E" w:rsidRPr="005D280E" w:rsidRDefault="005D280E" w:rsidP="005D280E">
            <w:pPr>
              <w:spacing w:line="360" w:lineRule="auto"/>
              <w:ind w:firstLine="0"/>
              <w:jc w:val="both"/>
              <w:rPr>
                <w:sz w:val="18"/>
                <w:szCs w:val="18"/>
              </w:rPr>
            </w:pPr>
            <w:r w:rsidRPr="005D280E">
              <w:rPr>
                <w:sz w:val="18"/>
                <w:szCs w:val="18"/>
              </w:rPr>
              <w:t>-.22</w:t>
            </w:r>
            <w:r w:rsidRPr="005D280E">
              <w:rPr>
                <w:sz w:val="18"/>
                <w:szCs w:val="18"/>
                <w:vertAlign w:val="superscript"/>
              </w:rPr>
              <w:t>**</w:t>
            </w:r>
          </w:p>
        </w:tc>
      </w:tr>
      <w:tr w:rsidR="005D280E" w:rsidRPr="005D280E" w14:paraId="2A25C1A5" w14:textId="77777777" w:rsidTr="00CE564B">
        <w:trPr>
          <w:trHeight w:val="267"/>
        </w:trPr>
        <w:tc>
          <w:tcPr>
            <w:tcW w:w="520" w:type="dxa"/>
          </w:tcPr>
          <w:p w14:paraId="71D15C26" w14:textId="77777777" w:rsidR="005D280E" w:rsidRPr="005D280E" w:rsidRDefault="005D280E" w:rsidP="005D280E">
            <w:pPr>
              <w:spacing w:line="360" w:lineRule="auto"/>
              <w:ind w:firstLine="0"/>
              <w:contextualSpacing w:val="0"/>
              <w:rPr>
                <w:rFonts w:eastAsia="Times New Roman"/>
                <w:sz w:val="18"/>
                <w:szCs w:val="18"/>
                <w:lang w:val="en-GB"/>
              </w:rPr>
            </w:pPr>
          </w:p>
        </w:tc>
        <w:tc>
          <w:tcPr>
            <w:tcW w:w="2875" w:type="dxa"/>
            <w:vAlign w:val="center"/>
          </w:tcPr>
          <w:p w14:paraId="07C91B03" w14:textId="77777777" w:rsidR="005D280E" w:rsidRPr="005D280E" w:rsidRDefault="005D280E" w:rsidP="005D280E">
            <w:pPr>
              <w:spacing w:line="360" w:lineRule="auto"/>
              <w:ind w:firstLine="0"/>
              <w:contextualSpacing w:val="0"/>
              <w:rPr>
                <w:rFonts w:eastAsia="Times New Roman"/>
                <w:sz w:val="18"/>
                <w:szCs w:val="18"/>
                <w:lang w:val="en-GB"/>
              </w:rPr>
            </w:pPr>
            <w:r w:rsidRPr="005D280E">
              <w:rPr>
                <w:rFonts w:eastAsia="Times New Roman"/>
                <w:sz w:val="18"/>
                <w:szCs w:val="18"/>
                <w:lang w:val="en-GB"/>
              </w:rPr>
              <w:t>Depression</w:t>
            </w:r>
          </w:p>
        </w:tc>
        <w:tc>
          <w:tcPr>
            <w:tcW w:w="815" w:type="dxa"/>
            <w:vAlign w:val="center"/>
          </w:tcPr>
          <w:p w14:paraId="491E09A5" w14:textId="77777777" w:rsidR="005D280E" w:rsidRPr="005D280E" w:rsidRDefault="005D280E" w:rsidP="005D280E">
            <w:pPr>
              <w:spacing w:line="360" w:lineRule="auto"/>
              <w:ind w:firstLine="0"/>
              <w:jc w:val="right"/>
              <w:rPr>
                <w:sz w:val="18"/>
                <w:szCs w:val="18"/>
                <w:lang w:val="en-US"/>
              </w:rPr>
            </w:pPr>
            <w:r w:rsidRPr="005D280E">
              <w:rPr>
                <w:sz w:val="18"/>
                <w:szCs w:val="18"/>
                <w:lang w:val="en-US"/>
              </w:rPr>
              <w:t xml:space="preserve"> .36</w:t>
            </w:r>
          </w:p>
        </w:tc>
        <w:tc>
          <w:tcPr>
            <w:tcW w:w="559" w:type="dxa"/>
            <w:vAlign w:val="center"/>
          </w:tcPr>
          <w:p w14:paraId="2064EAB1" w14:textId="77777777" w:rsidR="005D280E" w:rsidRPr="005D280E" w:rsidRDefault="005D280E" w:rsidP="005D280E">
            <w:pPr>
              <w:spacing w:line="360" w:lineRule="auto"/>
              <w:ind w:firstLine="0"/>
              <w:jc w:val="center"/>
              <w:rPr>
                <w:sz w:val="18"/>
                <w:szCs w:val="18"/>
                <w:lang w:val="en-US"/>
              </w:rPr>
            </w:pPr>
            <w:r w:rsidRPr="005D280E">
              <w:rPr>
                <w:sz w:val="18"/>
                <w:szCs w:val="18"/>
                <w:lang w:val="en-US"/>
              </w:rPr>
              <w:t>.13</w:t>
            </w:r>
          </w:p>
        </w:tc>
        <w:tc>
          <w:tcPr>
            <w:tcW w:w="708" w:type="dxa"/>
            <w:vAlign w:val="center"/>
          </w:tcPr>
          <w:p w14:paraId="5A8C436B" w14:textId="77777777" w:rsidR="005D280E" w:rsidRPr="005D280E" w:rsidRDefault="005D280E" w:rsidP="005D280E">
            <w:pPr>
              <w:spacing w:line="360" w:lineRule="auto"/>
              <w:ind w:firstLine="0"/>
              <w:jc w:val="both"/>
              <w:rPr>
                <w:sz w:val="18"/>
                <w:szCs w:val="18"/>
                <w:lang w:val="en-US"/>
              </w:rPr>
            </w:pPr>
            <w:r w:rsidRPr="005D280E">
              <w:rPr>
                <w:sz w:val="18"/>
                <w:szCs w:val="18"/>
                <w:lang w:val="en-US"/>
              </w:rPr>
              <w:t xml:space="preserve"> .12</w:t>
            </w:r>
            <w:r w:rsidRPr="005D280E">
              <w:rPr>
                <w:sz w:val="18"/>
                <w:szCs w:val="18"/>
                <w:vertAlign w:val="superscript"/>
                <w:lang w:val="en-US"/>
              </w:rPr>
              <w:t>**</w:t>
            </w:r>
          </w:p>
        </w:tc>
        <w:tc>
          <w:tcPr>
            <w:tcW w:w="426" w:type="dxa"/>
            <w:vAlign w:val="center"/>
          </w:tcPr>
          <w:p w14:paraId="520345C6" w14:textId="77777777" w:rsidR="005D280E" w:rsidRPr="005D280E" w:rsidRDefault="005D280E" w:rsidP="005D280E">
            <w:pPr>
              <w:spacing w:line="360" w:lineRule="auto"/>
              <w:ind w:firstLine="0"/>
              <w:jc w:val="center"/>
              <w:rPr>
                <w:sz w:val="18"/>
                <w:szCs w:val="18"/>
                <w:lang w:val="en-US"/>
              </w:rPr>
            </w:pPr>
          </w:p>
        </w:tc>
        <w:tc>
          <w:tcPr>
            <w:tcW w:w="708" w:type="dxa"/>
            <w:vAlign w:val="center"/>
          </w:tcPr>
          <w:p w14:paraId="629897F7" w14:textId="77777777" w:rsidR="005D280E" w:rsidRPr="005D280E" w:rsidRDefault="005D280E" w:rsidP="005D280E">
            <w:pPr>
              <w:spacing w:line="360" w:lineRule="auto"/>
              <w:ind w:firstLine="0"/>
              <w:jc w:val="right"/>
              <w:rPr>
                <w:sz w:val="18"/>
                <w:szCs w:val="18"/>
              </w:rPr>
            </w:pPr>
            <w:r w:rsidRPr="005D280E">
              <w:rPr>
                <w:sz w:val="18"/>
                <w:szCs w:val="18"/>
              </w:rPr>
              <w:t xml:space="preserve"> .28</w:t>
            </w:r>
          </w:p>
        </w:tc>
        <w:tc>
          <w:tcPr>
            <w:tcW w:w="567" w:type="dxa"/>
            <w:vAlign w:val="center"/>
          </w:tcPr>
          <w:p w14:paraId="130AD32C" w14:textId="77777777" w:rsidR="005D280E" w:rsidRPr="005D280E" w:rsidRDefault="005D280E" w:rsidP="005D280E">
            <w:pPr>
              <w:spacing w:line="360" w:lineRule="auto"/>
              <w:ind w:firstLine="0"/>
              <w:rPr>
                <w:sz w:val="18"/>
                <w:szCs w:val="18"/>
              </w:rPr>
            </w:pPr>
            <w:r w:rsidRPr="005D280E">
              <w:rPr>
                <w:sz w:val="18"/>
                <w:szCs w:val="18"/>
              </w:rPr>
              <w:t>.15</w:t>
            </w:r>
          </w:p>
        </w:tc>
        <w:tc>
          <w:tcPr>
            <w:tcW w:w="709" w:type="dxa"/>
            <w:vAlign w:val="center"/>
          </w:tcPr>
          <w:p w14:paraId="2153FCCD" w14:textId="77777777" w:rsidR="005D280E" w:rsidRPr="005D280E" w:rsidRDefault="005D280E" w:rsidP="005D280E">
            <w:pPr>
              <w:spacing w:line="360" w:lineRule="auto"/>
              <w:ind w:firstLine="0"/>
              <w:rPr>
                <w:sz w:val="18"/>
                <w:szCs w:val="18"/>
              </w:rPr>
            </w:pPr>
            <w:r w:rsidRPr="005D280E">
              <w:rPr>
                <w:sz w:val="18"/>
                <w:szCs w:val="18"/>
              </w:rPr>
              <w:t xml:space="preserve"> .09</w:t>
            </w:r>
          </w:p>
        </w:tc>
        <w:tc>
          <w:tcPr>
            <w:tcW w:w="425" w:type="dxa"/>
            <w:vAlign w:val="center"/>
          </w:tcPr>
          <w:p w14:paraId="2E1618B2" w14:textId="77777777" w:rsidR="005D280E" w:rsidRPr="005D280E" w:rsidRDefault="005D280E" w:rsidP="005D280E">
            <w:pPr>
              <w:spacing w:line="360" w:lineRule="auto"/>
              <w:ind w:firstLine="0"/>
              <w:rPr>
                <w:sz w:val="18"/>
                <w:szCs w:val="18"/>
              </w:rPr>
            </w:pPr>
          </w:p>
        </w:tc>
        <w:tc>
          <w:tcPr>
            <w:tcW w:w="709" w:type="dxa"/>
            <w:vAlign w:val="center"/>
          </w:tcPr>
          <w:p w14:paraId="20BE1E70" w14:textId="77777777" w:rsidR="005D280E" w:rsidRPr="005D280E" w:rsidRDefault="005D280E" w:rsidP="005D280E">
            <w:pPr>
              <w:spacing w:line="360" w:lineRule="auto"/>
              <w:ind w:firstLine="0"/>
              <w:rPr>
                <w:sz w:val="18"/>
                <w:szCs w:val="18"/>
              </w:rPr>
            </w:pPr>
            <w:r w:rsidRPr="005D280E">
              <w:rPr>
                <w:sz w:val="18"/>
                <w:szCs w:val="18"/>
              </w:rPr>
              <w:t>.43</w:t>
            </w:r>
          </w:p>
        </w:tc>
        <w:tc>
          <w:tcPr>
            <w:tcW w:w="567" w:type="dxa"/>
            <w:vAlign w:val="center"/>
          </w:tcPr>
          <w:p w14:paraId="38A263E3" w14:textId="77777777" w:rsidR="005D280E" w:rsidRPr="005D280E" w:rsidRDefault="005D280E" w:rsidP="005D280E">
            <w:pPr>
              <w:spacing w:line="360" w:lineRule="auto"/>
              <w:ind w:firstLine="0"/>
              <w:jc w:val="center"/>
              <w:rPr>
                <w:sz w:val="18"/>
                <w:szCs w:val="18"/>
              </w:rPr>
            </w:pPr>
            <w:r w:rsidRPr="005D280E">
              <w:rPr>
                <w:sz w:val="18"/>
                <w:szCs w:val="18"/>
              </w:rPr>
              <w:t>.13</w:t>
            </w:r>
          </w:p>
        </w:tc>
        <w:tc>
          <w:tcPr>
            <w:tcW w:w="709" w:type="dxa"/>
            <w:vAlign w:val="center"/>
          </w:tcPr>
          <w:p w14:paraId="48DED3F4" w14:textId="77777777" w:rsidR="005D280E" w:rsidRPr="005D280E" w:rsidRDefault="005D280E" w:rsidP="005D280E">
            <w:pPr>
              <w:spacing w:line="360" w:lineRule="auto"/>
              <w:ind w:firstLine="0"/>
              <w:rPr>
                <w:sz w:val="18"/>
                <w:szCs w:val="18"/>
              </w:rPr>
            </w:pPr>
            <w:r w:rsidRPr="005D280E">
              <w:rPr>
                <w:sz w:val="18"/>
                <w:szCs w:val="18"/>
              </w:rPr>
              <w:t>.19</w:t>
            </w:r>
            <w:r w:rsidRPr="005D280E">
              <w:rPr>
                <w:sz w:val="18"/>
                <w:szCs w:val="18"/>
                <w:vertAlign w:val="superscript"/>
              </w:rPr>
              <w:t>***</w:t>
            </w:r>
          </w:p>
        </w:tc>
        <w:tc>
          <w:tcPr>
            <w:tcW w:w="425" w:type="dxa"/>
            <w:vAlign w:val="center"/>
          </w:tcPr>
          <w:p w14:paraId="27762556" w14:textId="77777777" w:rsidR="005D280E" w:rsidRPr="005D280E" w:rsidRDefault="005D280E" w:rsidP="005D280E">
            <w:pPr>
              <w:spacing w:line="360" w:lineRule="auto"/>
              <w:ind w:firstLine="0"/>
              <w:jc w:val="center"/>
              <w:rPr>
                <w:sz w:val="18"/>
                <w:szCs w:val="18"/>
              </w:rPr>
            </w:pPr>
          </w:p>
        </w:tc>
        <w:tc>
          <w:tcPr>
            <w:tcW w:w="709" w:type="dxa"/>
            <w:vAlign w:val="center"/>
          </w:tcPr>
          <w:p w14:paraId="7A832B15" w14:textId="77777777" w:rsidR="005D280E" w:rsidRPr="005D280E" w:rsidRDefault="005D280E" w:rsidP="005D280E">
            <w:pPr>
              <w:spacing w:line="360" w:lineRule="auto"/>
              <w:ind w:firstLine="0"/>
              <w:jc w:val="right"/>
              <w:rPr>
                <w:sz w:val="18"/>
                <w:szCs w:val="18"/>
              </w:rPr>
            </w:pPr>
            <w:r w:rsidRPr="005D280E">
              <w:rPr>
                <w:sz w:val="18"/>
                <w:szCs w:val="18"/>
              </w:rPr>
              <w:t>-.11</w:t>
            </w:r>
          </w:p>
        </w:tc>
        <w:tc>
          <w:tcPr>
            <w:tcW w:w="567" w:type="dxa"/>
            <w:vAlign w:val="center"/>
          </w:tcPr>
          <w:p w14:paraId="1518B27A" w14:textId="77777777" w:rsidR="005D280E" w:rsidRPr="005D280E" w:rsidRDefault="005D280E" w:rsidP="005D280E">
            <w:pPr>
              <w:spacing w:line="360" w:lineRule="auto"/>
              <w:ind w:firstLine="0"/>
              <w:rPr>
                <w:sz w:val="18"/>
                <w:szCs w:val="18"/>
              </w:rPr>
            </w:pPr>
            <w:r w:rsidRPr="005D280E">
              <w:rPr>
                <w:sz w:val="18"/>
                <w:szCs w:val="18"/>
              </w:rPr>
              <w:t>.26</w:t>
            </w:r>
          </w:p>
        </w:tc>
        <w:tc>
          <w:tcPr>
            <w:tcW w:w="760" w:type="dxa"/>
            <w:vAlign w:val="center"/>
          </w:tcPr>
          <w:p w14:paraId="6F83B0E2" w14:textId="77777777" w:rsidR="005D280E" w:rsidRPr="005D280E" w:rsidRDefault="005D280E" w:rsidP="005D280E">
            <w:pPr>
              <w:spacing w:line="360" w:lineRule="auto"/>
              <w:ind w:firstLine="0"/>
              <w:jc w:val="both"/>
              <w:rPr>
                <w:sz w:val="18"/>
                <w:szCs w:val="18"/>
              </w:rPr>
            </w:pPr>
            <w:r w:rsidRPr="005D280E">
              <w:rPr>
                <w:sz w:val="18"/>
                <w:szCs w:val="18"/>
              </w:rPr>
              <w:t>-.04</w:t>
            </w:r>
          </w:p>
        </w:tc>
      </w:tr>
      <w:tr w:rsidR="005D280E" w:rsidRPr="005D280E" w14:paraId="6F5B00F8" w14:textId="77777777" w:rsidTr="00CE564B">
        <w:trPr>
          <w:trHeight w:val="267"/>
        </w:trPr>
        <w:tc>
          <w:tcPr>
            <w:tcW w:w="3395" w:type="dxa"/>
            <w:gridSpan w:val="2"/>
          </w:tcPr>
          <w:p w14:paraId="05828E05" w14:textId="77777777" w:rsidR="005D280E" w:rsidRPr="005D280E" w:rsidRDefault="005D280E" w:rsidP="005D280E">
            <w:pPr>
              <w:keepNext/>
              <w:spacing w:line="360" w:lineRule="auto"/>
              <w:ind w:firstLine="0"/>
              <w:contextualSpacing w:val="0"/>
              <w:outlineLvl w:val="3"/>
              <w:rPr>
                <w:rFonts w:eastAsia="Times New Roman"/>
                <w:i/>
                <w:sz w:val="18"/>
                <w:szCs w:val="18"/>
                <w:lang w:val="en-GB"/>
              </w:rPr>
            </w:pPr>
            <w:r w:rsidRPr="005D280E">
              <w:rPr>
                <w:rFonts w:eastAsia="Times New Roman"/>
                <w:i/>
                <w:sz w:val="18"/>
                <w:szCs w:val="18"/>
                <w:lang w:val="en-GB"/>
              </w:rPr>
              <w:t>Sexual behaviour and satisfaction</w:t>
            </w:r>
          </w:p>
        </w:tc>
        <w:tc>
          <w:tcPr>
            <w:tcW w:w="815" w:type="dxa"/>
            <w:vAlign w:val="center"/>
          </w:tcPr>
          <w:p w14:paraId="7C8EF655" w14:textId="77777777" w:rsidR="005D280E" w:rsidRPr="005D280E" w:rsidRDefault="005D280E" w:rsidP="005D280E">
            <w:pPr>
              <w:spacing w:line="360" w:lineRule="auto"/>
              <w:ind w:firstLine="0"/>
              <w:jc w:val="right"/>
              <w:rPr>
                <w:sz w:val="18"/>
                <w:szCs w:val="18"/>
                <w:lang w:val="en-US"/>
              </w:rPr>
            </w:pPr>
          </w:p>
        </w:tc>
        <w:tc>
          <w:tcPr>
            <w:tcW w:w="559" w:type="dxa"/>
            <w:vAlign w:val="center"/>
          </w:tcPr>
          <w:p w14:paraId="138D14A4" w14:textId="77777777" w:rsidR="005D280E" w:rsidRPr="005D280E" w:rsidRDefault="005D280E" w:rsidP="005D280E">
            <w:pPr>
              <w:spacing w:line="360" w:lineRule="auto"/>
              <w:ind w:firstLine="0"/>
              <w:jc w:val="center"/>
              <w:rPr>
                <w:sz w:val="18"/>
                <w:szCs w:val="18"/>
                <w:lang w:val="en-US"/>
              </w:rPr>
            </w:pPr>
          </w:p>
        </w:tc>
        <w:tc>
          <w:tcPr>
            <w:tcW w:w="708" w:type="dxa"/>
            <w:vAlign w:val="center"/>
          </w:tcPr>
          <w:p w14:paraId="265D9180" w14:textId="77777777" w:rsidR="005D280E" w:rsidRPr="005D280E" w:rsidRDefault="005D280E" w:rsidP="005D280E">
            <w:pPr>
              <w:spacing w:line="360" w:lineRule="auto"/>
              <w:ind w:firstLine="0"/>
              <w:jc w:val="both"/>
              <w:rPr>
                <w:sz w:val="18"/>
                <w:szCs w:val="18"/>
                <w:lang w:val="en-US"/>
              </w:rPr>
            </w:pPr>
          </w:p>
        </w:tc>
        <w:tc>
          <w:tcPr>
            <w:tcW w:w="426" w:type="dxa"/>
            <w:vAlign w:val="center"/>
          </w:tcPr>
          <w:p w14:paraId="6EA39EA2" w14:textId="77777777" w:rsidR="005D280E" w:rsidRPr="005D280E" w:rsidRDefault="005D280E" w:rsidP="005D280E">
            <w:pPr>
              <w:spacing w:line="360" w:lineRule="auto"/>
              <w:ind w:firstLine="0"/>
              <w:rPr>
                <w:sz w:val="18"/>
                <w:szCs w:val="18"/>
                <w:lang w:val="en-US"/>
              </w:rPr>
            </w:pPr>
          </w:p>
        </w:tc>
        <w:tc>
          <w:tcPr>
            <w:tcW w:w="708" w:type="dxa"/>
            <w:vAlign w:val="center"/>
          </w:tcPr>
          <w:p w14:paraId="1609A377" w14:textId="77777777" w:rsidR="005D280E" w:rsidRPr="005D280E" w:rsidRDefault="005D280E" w:rsidP="005D280E">
            <w:pPr>
              <w:spacing w:line="360" w:lineRule="auto"/>
              <w:ind w:firstLine="0"/>
              <w:jc w:val="right"/>
              <w:rPr>
                <w:sz w:val="18"/>
                <w:szCs w:val="18"/>
              </w:rPr>
            </w:pPr>
          </w:p>
        </w:tc>
        <w:tc>
          <w:tcPr>
            <w:tcW w:w="567" w:type="dxa"/>
            <w:vAlign w:val="center"/>
          </w:tcPr>
          <w:p w14:paraId="0AD0D464" w14:textId="77777777" w:rsidR="005D280E" w:rsidRPr="005D280E" w:rsidRDefault="005D280E" w:rsidP="005D280E">
            <w:pPr>
              <w:spacing w:line="360" w:lineRule="auto"/>
              <w:ind w:firstLine="0"/>
              <w:rPr>
                <w:sz w:val="18"/>
                <w:szCs w:val="18"/>
              </w:rPr>
            </w:pPr>
          </w:p>
        </w:tc>
        <w:tc>
          <w:tcPr>
            <w:tcW w:w="709" w:type="dxa"/>
            <w:vAlign w:val="center"/>
          </w:tcPr>
          <w:p w14:paraId="0870B0BC" w14:textId="77777777" w:rsidR="005D280E" w:rsidRPr="005D280E" w:rsidRDefault="005D280E" w:rsidP="005D280E">
            <w:pPr>
              <w:spacing w:line="360" w:lineRule="auto"/>
              <w:ind w:firstLine="0"/>
              <w:rPr>
                <w:sz w:val="18"/>
                <w:szCs w:val="18"/>
              </w:rPr>
            </w:pPr>
          </w:p>
        </w:tc>
        <w:tc>
          <w:tcPr>
            <w:tcW w:w="425" w:type="dxa"/>
            <w:vAlign w:val="center"/>
          </w:tcPr>
          <w:p w14:paraId="6638DCCF" w14:textId="77777777" w:rsidR="005D280E" w:rsidRPr="005D280E" w:rsidRDefault="005D280E" w:rsidP="005D280E">
            <w:pPr>
              <w:spacing w:line="360" w:lineRule="auto"/>
              <w:ind w:firstLine="0"/>
              <w:rPr>
                <w:sz w:val="18"/>
                <w:szCs w:val="18"/>
              </w:rPr>
            </w:pPr>
          </w:p>
        </w:tc>
        <w:tc>
          <w:tcPr>
            <w:tcW w:w="709" w:type="dxa"/>
            <w:vAlign w:val="center"/>
          </w:tcPr>
          <w:p w14:paraId="2E7BDA1A" w14:textId="77777777" w:rsidR="005D280E" w:rsidRPr="005D280E" w:rsidRDefault="005D280E" w:rsidP="005D280E">
            <w:pPr>
              <w:spacing w:line="360" w:lineRule="auto"/>
              <w:ind w:firstLine="0"/>
              <w:rPr>
                <w:sz w:val="18"/>
                <w:szCs w:val="18"/>
              </w:rPr>
            </w:pPr>
          </w:p>
        </w:tc>
        <w:tc>
          <w:tcPr>
            <w:tcW w:w="567" w:type="dxa"/>
            <w:vAlign w:val="center"/>
          </w:tcPr>
          <w:p w14:paraId="606AD64F" w14:textId="77777777" w:rsidR="005D280E" w:rsidRPr="005D280E" w:rsidRDefault="005D280E" w:rsidP="005D280E">
            <w:pPr>
              <w:spacing w:line="360" w:lineRule="auto"/>
              <w:ind w:firstLine="0"/>
              <w:jc w:val="center"/>
              <w:rPr>
                <w:sz w:val="18"/>
                <w:szCs w:val="18"/>
              </w:rPr>
            </w:pPr>
          </w:p>
        </w:tc>
        <w:tc>
          <w:tcPr>
            <w:tcW w:w="709" w:type="dxa"/>
            <w:vAlign w:val="center"/>
          </w:tcPr>
          <w:p w14:paraId="7DAC7DBF" w14:textId="77777777" w:rsidR="005D280E" w:rsidRPr="005D280E" w:rsidRDefault="005D280E" w:rsidP="005D280E">
            <w:pPr>
              <w:spacing w:line="360" w:lineRule="auto"/>
              <w:ind w:firstLine="0"/>
              <w:jc w:val="center"/>
              <w:rPr>
                <w:sz w:val="18"/>
                <w:szCs w:val="18"/>
              </w:rPr>
            </w:pPr>
          </w:p>
        </w:tc>
        <w:tc>
          <w:tcPr>
            <w:tcW w:w="425" w:type="dxa"/>
            <w:vAlign w:val="center"/>
          </w:tcPr>
          <w:p w14:paraId="5D60FB8D" w14:textId="77777777" w:rsidR="005D280E" w:rsidRPr="005D280E" w:rsidRDefault="005D280E" w:rsidP="005D280E">
            <w:pPr>
              <w:spacing w:line="360" w:lineRule="auto"/>
              <w:ind w:firstLine="0"/>
              <w:rPr>
                <w:sz w:val="18"/>
                <w:szCs w:val="18"/>
              </w:rPr>
            </w:pPr>
          </w:p>
        </w:tc>
        <w:tc>
          <w:tcPr>
            <w:tcW w:w="709" w:type="dxa"/>
            <w:vAlign w:val="center"/>
          </w:tcPr>
          <w:p w14:paraId="6C9F311A" w14:textId="77777777" w:rsidR="005D280E" w:rsidRPr="005D280E" w:rsidRDefault="005D280E" w:rsidP="005D280E">
            <w:pPr>
              <w:spacing w:line="360" w:lineRule="auto"/>
              <w:ind w:firstLine="0"/>
              <w:jc w:val="right"/>
              <w:rPr>
                <w:sz w:val="18"/>
                <w:szCs w:val="18"/>
              </w:rPr>
            </w:pPr>
          </w:p>
        </w:tc>
        <w:tc>
          <w:tcPr>
            <w:tcW w:w="567" w:type="dxa"/>
            <w:vAlign w:val="center"/>
          </w:tcPr>
          <w:p w14:paraId="322BAD54" w14:textId="77777777" w:rsidR="005D280E" w:rsidRPr="005D280E" w:rsidRDefault="005D280E" w:rsidP="005D280E">
            <w:pPr>
              <w:spacing w:line="360" w:lineRule="auto"/>
              <w:ind w:firstLine="0"/>
              <w:rPr>
                <w:sz w:val="18"/>
                <w:szCs w:val="18"/>
              </w:rPr>
            </w:pPr>
          </w:p>
        </w:tc>
        <w:tc>
          <w:tcPr>
            <w:tcW w:w="760" w:type="dxa"/>
            <w:vAlign w:val="center"/>
          </w:tcPr>
          <w:p w14:paraId="50A54528" w14:textId="77777777" w:rsidR="005D280E" w:rsidRPr="005D280E" w:rsidRDefault="005D280E" w:rsidP="005D280E">
            <w:pPr>
              <w:spacing w:line="360" w:lineRule="auto"/>
              <w:ind w:firstLine="0"/>
              <w:rPr>
                <w:sz w:val="18"/>
                <w:szCs w:val="18"/>
              </w:rPr>
            </w:pPr>
          </w:p>
        </w:tc>
      </w:tr>
      <w:tr w:rsidR="005D280E" w:rsidRPr="005D280E" w14:paraId="010AA973" w14:textId="77777777" w:rsidTr="00CE564B">
        <w:trPr>
          <w:trHeight w:val="267"/>
        </w:trPr>
        <w:tc>
          <w:tcPr>
            <w:tcW w:w="520" w:type="dxa"/>
          </w:tcPr>
          <w:p w14:paraId="11412A73" w14:textId="77777777" w:rsidR="005D280E" w:rsidRPr="005D280E" w:rsidRDefault="005D280E" w:rsidP="005D280E">
            <w:pPr>
              <w:spacing w:line="360" w:lineRule="auto"/>
              <w:ind w:firstLine="0"/>
              <w:contextualSpacing w:val="0"/>
              <w:rPr>
                <w:rFonts w:eastAsia="Times New Roman"/>
                <w:sz w:val="18"/>
                <w:szCs w:val="18"/>
                <w:lang w:val="en-GB"/>
              </w:rPr>
            </w:pPr>
          </w:p>
        </w:tc>
        <w:tc>
          <w:tcPr>
            <w:tcW w:w="2875" w:type="dxa"/>
            <w:vAlign w:val="center"/>
          </w:tcPr>
          <w:p w14:paraId="0C06371A" w14:textId="77777777" w:rsidR="005D280E" w:rsidRPr="005D280E" w:rsidRDefault="005D280E" w:rsidP="005D280E">
            <w:pPr>
              <w:spacing w:line="360" w:lineRule="auto"/>
              <w:ind w:firstLine="0"/>
              <w:contextualSpacing w:val="0"/>
              <w:rPr>
                <w:rFonts w:eastAsia="Times New Roman"/>
                <w:sz w:val="18"/>
                <w:szCs w:val="18"/>
                <w:lang w:val="en-GB"/>
              </w:rPr>
            </w:pPr>
            <w:r w:rsidRPr="005D280E">
              <w:rPr>
                <w:rFonts w:eastAsia="Times New Roman"/>
                <w:sz w:val="18"/>
                <w:szCs w:val="18"/>
                <w:lang w:val="en-GB"/>
              </w:rPr>
              <w:t>Satisfaction with sexual activity</w:t>
            </w:r>
          </w:p>
        </w:tc>
        <w:tc>
          <w:tcPr>
            <w:tcW w:w="815" w:type="dxa"/>
            <w:vAlign w:val="center"/>
          </w:tcPr>
          <w:p w14:paraId="657C9232" w14:textId="77777777" w:rsidR="005D280E" w:rsidRPr="005D280E" w:rsidRDefault="005D280E" w:rsidP="005D280E">
            <w:pPr>
              <w:spacing w:line="360" w:lineRule="auto"/>
              <w:ind w:firstLine="0"/>
              <w:jc w:val="right"/>
              <w:rPr>
                <w:sz w:val="18"/>
                <w:szCs w:val="18"/>
                <w:lang w:val="en-US"/>
              </w:rPr>
            </w:pPr>
            <w:r w:rsidRPr="005D280E">
              <w:rPr>
                <w:sz w:val="18"/>
                <w:szCs w:val="18"/>
                <w:lang w:val="en-US"/>
              </w:rPr>
              <w:t>-.27</w:t>
            </w:r>
          </w:p>
        </w:tc>
        <w:tc>
          <w:tcPr>
            <w:tcW w:w="559" w:type="dxa"/>
            <w:vAlign w:val="center"/>
          </w:tcPr>
          <w:p w14:paraId="77017961" w14:textId="77777777" w:rsidR="005D280E" w:rsidRPr="005D280E" w:rsidRDefault="005D280E" w:rsidP="005D280E">
            <w:pPr>
              <w:spacing w:line="360" w:lineRule="auto"/>
              <w:ind w:firstLine="0"/>
              <w:jc w:val="center"/>
              <w:rPr>
                <w:sz w:val="18"/>
                <w:szCs w:val="18"/>
                <w:lang w:val="en-US"/>
              </w:rPr>
            </w:pPr>
            <w:r w:rsidRPr="005D280E">
              <w:rPr>
                <w:sz w:val="18"/>
                <w:szCs w:val="18"/>
                <w:lang w:val="en-US"/>
              </w:rPr>
              <w:t>.08</w:t>
            </w:r>
          </w:p>
        </w:tc>
        <w:tc>
          <w:tcPr>
            <w:tcW w:w="708" w:type="dxa"/>
            <w:vAlign w:val="center"/>
          </w:tcPr>
          <w:p w14:paraId="0E9A69B0" w14:textId="77777777" w:rsidR="005D280E" w:rsidRPr="005D280E" w:rsidRDefault="005D280E" w:rsidP="005D280E">
            <w:pPr>
              <w:spacing w:line="360" w:lineRule="auto"/>
              <w:ind w:firstLine="0"/>
              <w:jc w:val="both"/>
              <w:rPr>
                <w:sz w:val="18"/>
                <w:szCs w:val="18"/>
                <w:lang w:val="en-US"/>
              </w:rPr>
            </w:pPr>
            <w:r w:rsidRPr="005D280E">
              <w:rPr>
                <w:sz w:val="18"/>
                <w:szCs w:val="18"/>
                <w:lang w:val="en-US"/>
              </w:rPr>
              <w:t>-.19</w:t>
            </w:r>
            <w:r w:rsidRPr="005D280E">
              <w:rPr>
                <w:sz w:val="18"/>
                <w:szCs w:val="18"/>
                <w:vertAlign w:val="superscript"/>
                <w:lang w:val="en-US"/>
              </w:rPr>
              <w:t>***</w:t>
            </w:r>
          </w:p>
        </w:tc>
        <w:tc>
          <w:tcPr>
            <w:tcW w:w="426" w:type="dxa"/>
            <w:vAlign w:val="center"/>
          </w:tcPr>
          <w:p w14:paraId="54D54AB2" w14:textId="77777777" w:rsidR="005D280E" w:rsidRPr="005D280E" w:rsidRDefault="005D280E" w:rsidP="005D280E">
            <w:pPr>
              <w:spacing w:line="360" w:lineRule="auto"/>
              <w:ind w:firstLine="0"/>
              <w:jc w:val="center"/>
              <w:rPr>
                <w:sz w:val="18"/>
                <w:szCs w:val="18"/>
                <w:lang w:val="en-US"/>
              </w:rPr>
            </w:pPr>
          </w:p>
        </w:tc>
        <w:tc>
          <w:tcPr>
            <w:tcW w:w="708" w:type="dxa"/>
            <w:vAlign w:val="center"/>
          </w:tcPr>
          <w:p w14:paraId="159F6CA1" w14:textId="77777777" w:rsidR="005D280E" w:rsidRPr="005D280E" w:rsidRDefault="005D280E" w:rsidP="005D280E">
            <w:pPr>
              <w:spacing w:line="360" w:lineRule="auto"/>
              <w:ind w:firstLine="0"/>
              <w:jc w:val="right"/>
              <w:rPr>
                <w:sz w:val="18"/>
                <w:szCs w:val="18"/>
              </w:rPr>
            </w:pPr>
            <w:r w:rsidRPr="005D280E">
              <w:rPr>
                <w:sz w:val="18"/>
                <w:szCs w:val="18"/>
              </w:rPr>
              <w:t>-.30</w:t>
            </w:r>
          </w:p>
        </w:tc>
        <w:tc>
          <w:tcPr>
            <w:tcW w:w="567" w:type="dxa"/>
            <w:vAlign w:val="center"/>
          </w:tcPr>
          <w:p w14:paraId="2017076D" w14:textId="77777777" w:rsidR="005D280E" w:rsidRPr="005D280E" w:rsidRDefault="005D280E" w:rsidP="005D280E">
            <w:pPr>
              <w:spacing w:line="360" w:lineRule="auto"/>
              <w:ind w:firstLine="0"/>
              <w:rPr>
                <w:sz w:val="18"/>
                <w:szCs w:val="18"/>
              </w:rPr>
            </w:pPr>
            <w:r w:rsidRPr="005D280E">
              <w:rPr>
                <w:sz w:val="18"/>
                <w:szCs w:val="18"/>
              </w:rPr>
              <w:t>.06</w:t>
            </w:r>
          </w:p>
        </w:tc>
        <w:tc>
          <w:tcPr>
            <w:tcW w:w="709" w:type="dxa"/>
            <w:vAlign w:val="center"/>
          </w:tcPr>
          <w:p w14:paraId="2E849726" w14:textId="77777777" w:rsidR="005D280E" w:rsidRPr="005D280E" w:rsidRDefault="005D280E" w:rsidP="005D280E">
            <w:pPr>
              <w:spacing w:line="360" w:lineRule="auto"/>
              <w:ind w:firstLine="0"/>
              <w:rPr>
                <w:sz w:val="18"/>
                <w:szCs w:val="18"/>
              </w:rPr>
            </w:pPr>
            <w:r w:rsidRPr="005D280E">
              <w:rPr>
                <w:sz w:val="18"/>
                <w:szCs w:val="18"/>
              </w:rPr>
              <w:t>-.23</w:t>
            </w:r>
            <w:r w:rsidRPr="005D280E">
              <w:rPr>
                <w:sz w:val="18"/>
                <w:szCs w:val="18"/>
                <w:vertAlign w:val="superscript"/>
                <w:lang w:val="en-US"/>
              </w:rPr>
              <w:t>***</w:t>
            </w:r>
          </w:p>
        </w:tc>
        <w:tc>
          <w:tcPr>
            <w:tcW w:w="425" w:type="dxa"/>
            <w:vAlign w:val="center"/>
          </w:tcPr>
          <w:p w14:paraId="2FA74946" w14:textId="77777777" w:rsidR="005D280E" w:rsidRPr="005D280E" w:rsidRDefault="005D280E" w:rsidP="005D280E">
            <w:pPr>
              <w:spacing w:line="360" w:lineRule="auto"/>
              <w:ind w:firstLine="0"/>
              <w:rPr>
                <w:sz w:val="18"/>
                <w:szCs w:val="18"/>
              </w:rPr>
            </w:pPr>
          </w:p>
        </w:tc>
        <w:tc>
          <w:tcPr>
            <w:tcW w:w="709" w:type="dxa"/>
            <w:vAlign w:val="center"/>
          </w:tcPr>
          <w:p w14:paraId="3FB2CC4F" w14:textId="77777777" w:rsidR="005D280E" w:rsidRPr="005D280E" w:rsidRDefault="005D280E" w:rsidP="005D280E">
            <w:pPr>
              <w:spacing w:line="360" w:lineRule="auto"/>
              <w:ind w:firstLine="0"/>
              <w:rPr>
                <w:sz w:val="18"/>
                <w:szCs w:val="18"/>
              </w:rPr>
            </w:pPr>
            <w:r w:rsidRPr="005D280E">
              <w:rPr>
                <w:sz w:val="18"/>
                <w:szCs w:val="18"/>
              </w:rPr>
              <w:t>-.16</w:t>
            </w:r>
          </w:p>
        </w:tc>
        <w:tc>
          <w:tcPr>
            <w:tcW w:w="567" w:type="dxa"/>
            <w:vAlign w:val="center"/>
          </w:tcPr>
          <w:p w14:paraId="4954D049" w14:textId="77777777" w:rsidR="005D280E" w:rsidRPr="005D280E" w:rsidRDefault="005D280E" w:rsidP="005D280E">
            <w:pPr>
              <w:spacing w:line="360" w:lineRule="auto"/>
              <w:ind w:firstLine="0"/>
              <w:jc w:val="center"/>
              <w:rPr>
                <w:sz w:val="18"/>
                <w:szCs w:val="18"/>
              </w:rPr>
            </w:pPr>
            <w:r w:rsidRPr="005D280E">
              <w:rPr>
                <w:sz w:val="18"/>
                <w:szCs w:val="18"/>
              </w:rPr>
              <w:t>.07</w:t>
            </w:r>
          </w:p>
        </w:tc>
        <w:tc>
          <w:tcPr>
            <w:tcW w:w="709" w:type="dxa"/>
            <w:vAlign w:val="center"/>
          </w:tcPr>
          <w:p w14:paraId="55C75556" w14:textId="77777777" w:rsidR="005D280E" w:rsidRPr="005D280E" w:rsidRDefault="005D280E" w:rsidP="005D280E">
            <w:pPr>
              <w:spacing w:line="360" w:lineRule="auto"/>
              <w:ind w:firstLine="0"/>
              <w:rPr>
                <w:sz w:val="18"/>
                <w:szCs w:val="18"/>
              </w:rPr>
            </w:pPr>
            <w:r w:rsidRPr="005D280E">
              <w:rPr>
                <w:sz w:val="18"/>
                <w:szCs w:val="18"/>
              </w:rPr>
              <w:t>-.13</w:t>
            </w:r>
            <w:r w:rsidRPr="005D280E">
              <w:rPr>
                <w:sz w:val="18"/>
                <w:szCs w:val="18"/>
                <w:vertAlign w:val="superscript"/>
                <w:lang w:val="en-US"/>
              </w:rPr>
              <w:t>*</w:t>
            </w:r>
          </w:p>
        </w:tc>
        <w:tc>
          <w:tcPr>
            <w:tcW w:w="425" w:type="dxa"/>
            <w:vAlign w:val="center"/>
          </w:tcPr>
          <w:p w14:paraId="5B21B5C2" w14:textId="77777777" w:rsidR="005D280E" w:rsidRPr="005D280E" w:rsidRDefault="005D280E" w:rsidP="005D280E">
            <w:pPr>
              <w:spacing w:line="360" w:lineRule="auto"/>
              <w:ind w:firstLine="0"/>
              <w:jc w:val="center"/>
              <w:rPr>
                <w:sz w:val="18"/>
                <w:szCs w:val="18"/>
              </w:rPr>
            </w:pPr>
          </w:p>
        </w:tc>
        <w:tc>
          <w:tcPr>
            <w:tcW w:w="709" w:type="dxa"/>
            <w:vAlign w:val="center"/>
          </w:tcPr>
          <w:p w14:paraId="3746B46F" w14:textId="77777777" w:rsidR="005D280E" w:rsidRPr="005D280E" w:rsidRDefault="005D280E" w:rsidP="005D280E">
            <w:pPr>
              <w:spacing w:line="360" w:lineRule="auto"/>
              <w:ind w:firstLine="0"/>
              <w:jc w:val="right"/>
              <w:rPr>
                <w:sz w:val="18"/>
                <w:szCs w:val="18"/>
              </w:rPr>
            </w:pPr>
            <w:r w:rsidRPr="005D280E">
              <w:rPr>
                <w:sz w:val="18"/>
                <w:szCs w:val="18"/>
              </w:rPr>
              <w:t>-.32</w:t>
            </w:r>
          </w:p>
        </w:tc>
        <w:tc>
          <w:tcPr>
            <w:tcW w:w="567" w:type="dxa"/>
            <w:vAlign w:val="center"/>
          </w:tcPr>
          <w:p w14:paraId="2E84E1D0" w14:textId="77777777" w:rsidR="005D280E" w:rsidRPr="005D280E" w:rsidRDefault="005D280E" w:rsidP="005D280E">
            <w:pPr>
              <w:spacing w:line="360" w:lineRule="auto"/>
              <w:ind w:firstLine="0"/>
              <w:rPr>
                <w:sz w:val="18"/>
                <w:szCs w:val="18"/>
              </w:rPr>
            </w:pPr>
            <w:r w:rsidRPr="005D280E">
              <w:rPr>
                <w:sz w:val="18"/>
                <w:szCs w:val="18"/>
              </w:rPr>
              <w:t>.14</w:t>
            </w:r>
          </w:p>
        </w:tc>
        <w:tc>
          <w:tcPr>
            <w:tcW w:w="760" w:type="dxa"/>
            <w:vAlign w:val="center"/>
          </w:tcPr>
          <w:p w14:paraId="3AD7BA16" w14:textId="77777777" w:rsidR="005D280E" w:rsidRPr="005D280E" w:rsidRDefault="005D280E" w:rsidP="005D280E">
            <w:pPr>
              <w:spacing w:line="360" w:lineRule="auto"/>
              <w:ind w:firstLine="0"/>
              <w:jc w:val="both"/>
              <w:rPr>
                <w:sz w:val="18"/>
                <w:szCs w:val="18"/>
              </w:rPr>
            </w:pPr>
            <w:r w:rsidRPr="005D280E">
              <w:rPr>
                <w:sz w:val="18"/>
                <w:szCs w:val="18"/>
              </w:rPr>
              <w:t>-.22</w:t>
            </w:r>
            <w:r w:rsidRPr="005D280E">
              <w:rPr>
                <w:sz w:val="18"/>
                <w:szCs w:val="18"/>
                <w:vertAlign w:val="superscript"/>
              </w:rPr>
              <w:t>*</w:t>
            </w:r>
          </w:p>
        </w:tc>
      </w:tr>
      <w:tr w:rsidR="005D280E" w:rsidRPr="005D280E" w14:paraId="4D187BDF" w14:textId="77777777" w:rsidTr="00CE564B">
        <w:trPr>
          <w:trHeight w:val="267"/>
        </w:trPr>
        <w:tc>
          <w:tcPr>
            <w:tcW w:w="520" w:type="dxa"/>
          </w:tcPr>
          <w:p w14:paraId="111350E2" w14:textId="77777777" w:rsidR="005D280E" w:rsidRPr="005D280E" w:rsidRDefault="005D280E" w:rsidP="005D280E">
            <w:pPr>
              <w:spacing w:line="360" w:lineRule="auto"/>
              <w:ind w:firstLine="0"/>
              <w:contextualSpacing w:val="0"/>
              <w:rPr>
                <w:rFonts w:eastAsia="Times New Roman"/>
                <w:sz w:val="18"/>
                <w:szCs w:val="18"/>
                <w:lang w:val="en-GB"/>
              </w:rPr>
            </w:pPr>
          </w:p>
        </w:tc>
        <w:tc>
          <w:tcPr>
            <w:tcW w:w="2875" w:type="dxa"/>
            <w:vAlign w:val="center"/>
          </w:tcPr>
          <w:p w14:paraId="2D12B91C" w14:textId="77777777" w:rsidR="005D280E" w:rsidRPr="005D280E" w:rsidRDefault="005D280E" w:rsidP="005D280E">
            <w:pPr>
              <w:spacing w:line="360" w:lineRule="auto"/>
              <w:ind w:firstLine="0"/>
              <w:contextualSpacing w:val="0"/>
              <w:rPr>
                <w:rFonts w:eastAsia="Times New Roman"/>
                <w:sz w:val="18"/>
                <w:szCs w:val="18"/>
                <w:lang w:val="en-GB"/>
              </w:rPr>
            </w:pPr>
            <w:r w:rsidRPr="005D280E">
              <w:rPr>
                <w:rFonts w:eastAsia="Times New Roman"/>
                <w:sz w:val="18"/>
                <w:szCs w:val="18"/>
                <w:lang w:val="en-GB"/>
              </w:rPr>
              <w:t>Intercourse activity past month</w:t>
            </w:r>
          </w:p>
        </w:tc>
        <w:tc>
          <w:tcPr>
            <w:tcW w:w="815" w:type="dxa"/>
            <w:vAlign w:val="center"/>
          </w:tcPr>
          <w:p w14:paraId="42541F55" w14:textId="77777777" w:rsidR="005D280E" w:rsidRPr="005D280E" w:rsidRDefault="005D280E" w:rsidP="005D280E">
            <w:pPr>
              <w:spacing w:line="360" w:lineRule="auto"/>
              <w:ind w:firstLine="0"/>
              <w:jc w:val="right"/>
              <w:rPr>
                <w:sz w:val="18"/>
                <w:szCs w:val="18"/>
                <w:lang w:val="en-US"/>
              </w:rPr>
            </w:pPr>
            <w:r w:rsidRPr="005D280E">
              <w:rPr>
                <w:sz w:val="18"/>
                <w:szCs w:val="18"/>
                <w:lang w:val="en-US"/>
              </w:rPr>
              <w:t>.00</w:t>
            </w:r>
          </w:p>
        </w:tc>
        <w:tc>
          <w:tcPr>
            <w:tcW w:w="559" w:type="dxa"/>
            <w:vAlign w:val="center"/>
          </w:tcPr>
          <w:p w14:paraId="3042CBE5" w14:textId="77777777" w:rsidR="005D280E" w:rsidRPr="005D280E" w:rsidRDefault="005D280E" w:rsidP="005D280E">
            <w:pPr>
              <w:spacing w:line="360" w:lineRule="auto"/>
              <w:ind w:firstLine="0"/>
              <w:jc w:val="center"/>
              <w:rPr>
                <w:sz w:val="18"/>
                <w:szCs w:val="18"/>
                <w:lang w:val="en-US"/>
              </w:rPr>
            </w:pPr>
            <w:r w:rsidRPr="005D280E">
              <w:rPr>
                <w:sz w:val="18"/>
                <w:szCs w:val="18"/>
                <w:lang w:val="en-US"/>
              </w:rPr>
              <w:t>.06</w:t>
            </w:r>
          </w:p>
        </w:tc>
        <w:tc>
          <w:tcPr>
            <w:tcW w:w="708" w:type="dxa"/>
            <w:vAlign w:val="center"/>
          </w:tcPr>
          <w:p w14:paraId="0D94E16B" w14:textId="77777777" w:rsidR="005D280E" w:rsidRPr="005D280E" w:rsidRDefault="005D280E" w:rsidP="005D280E">
            <w:pPr>
              <w:spacing w:line="360" w:lineRule="auto"/>
              <w:ind w:firstLine="0"/>
              <w:jc w:val="both"/>
              <w:rPr>
                <w:sz w:val="18"/>
                <w:szCs w:val="18"/>
                <w:lang w:val="en-US"/>
              </w:rPr>
            </w:pPr>
            <w:r w:rsidRPr="005D280E">
              <w:rPr>
                <w:sz w:val="18"/>
                <w:szCs w:val="18"/>
                <w:lang w:val="en-US"/>
              </w:rPr>
              <w:t>.00</w:t>
            </w:r>
          </w:p>
        </w:tc>
        <w:tc>
          <w:tcPr>
            <w:tcW w:w="426" w:type="dxa"/>
            <w:vAlign w:val="center"/>
          </w:tcPr>
          <w:p w14:paraId="23987574" w14:textId="77777777" w:rsidR="005D280E" w:rsidRPr="005D280E" w:rsidRDefault="005D280E" w:rsidP="005D280E">
            <w:pPr>
              <w:spacing w:line="360" w:lineRule="auto"/>
              <w:ind w:firstLine="0"/>
              <w:jc w:val="center"/>
              <w:rPr>
                <w:sz w:val="18"/>
                <w:szCs w:val="18"/>
                <w:lang w:val="en-US"/>
              </w:rPr>
            </w:pPr>
          </w:p>
        </w:tc>
        <w:tc>
          <w:tcPr>
            <w:tcW w:w="708" w:type="dxa"/>
            <w:vAlign w:val="center"/>
          </w:tcPr>
          <w:p w14:paraId="2ADEA3BB" w14:textId="77777777" w:rsidR="005D280E" w:rsidRPr="005D280E" w:rsidRDefault="005D280E" w:rsidP="005D280E">
            <w:pPr>
              <w:spacing w:line="360" w:lineRule="auto"/>
              <w:ind w:firstLine="0"/>
              <w:jc w:val="right"/>
              <w:rPr>
                <w:sz w:val="18"/>
                <w:szCs w:val="18"/>
              </w:rPr>
            </w:pPr>
            <w:r w:rsidRPr="005D280E">
              <w:rPr>
                <w:sz w:val="18"/>
                <w:szCs w:val="18"/>
              </w:rPr>
              <w:t>-.16</w:t>
            </w:r>
          </w:p>
        </w:tc>
        <w:tc>
          <w:tcPr>
            <w:tcW w:w="567" w:type="dxa"/>
            <w:vAlign w:val="center"/>
          </w:tcPr>
          <w:p w14:paraId="3A3C0670" w14:textId="77777777" w:rsidR="005D280E" w:rsidRPr="005D280E" w:rsidRDefault="005D280E" w:rsidP="005D280E">
            <w:pPr>
              <w:spacing w:line="360" w:lineRule="auto"/>
              <w:ind w:firstLine="0"/>
              <w:rPr>
                <w:sz w:val="18"/>
                <w:szCs w:val="18"/>
              </w:rPr>
            </w:pPr>
            <w:r w:rsidRPr="005D280E">
              <w:rPr>
                <w:sz w:val="18"/>
                <w:szCs w:val="18"/>
              </w:rPr>
              <w:t>.06</w:t>
            </w:r>
          </w:p>
        </w:tc>
        <w:tc>
          <w:tcPr>
            <w:tcW w:w="709" w:type="dxa"/>
            <w:vAlign w:val="center"/>
          </w:tcPr>
          <w:p w14:paraId="2BCFD7CC" w14:textId="77777777" w:rsidR="005D280E" w:rsidRPr="005D280E" w:rsidRDefault="005D280E" w:rsidP="005D280E">
            <w:pPr>
              <w:spacing w:line="360" w:lineRule="auto"/>
              <w:ind w:firstLine="0"/>
              <w:rPr>
                <w:sz w:val="18"/>
                <w:szCs w:val="18"/>
              </w:rPr>
            </w:pPr>
            <w:r w:rsidRPr="005D280E">
              <w:rPr>
                <w:sz w:val="18"/>
                <w:szCs w:val="18"/>
              </w:rPr>
              <w:t>-.14</w:t>
            </w:r>
            <w:r w:rsidRPr="005D280E">
              <w:rPr>
                <w:sz w:val="18"/>
                <w:szCs w:val="18"/>
                <w:vertAlign w:val="superscript"/>
              </w:rPr>
              <w:t>**</w:t>
            </w:r>
          </w:p>
        </w:tc>
        <w:tc>
          <w:tcPr>
            <w:tcW w:w="425" w:type="dxa"/>
            <w:vAlign w:val="center"/>
          </w:tcPr>
          <w:p w14:paraId="5F96702B" w14:textId="77777777" w:rsidR="005D280E" w:rsidRPr="005D280E" w:rsidRDefault="005D280E" w:rsidP="005D280E">
            <w:pPr>
              <w:spacing w:line="360" w:lineRule="auto"/>
              <w:ind w:firstLine="0"/>
              <w:rPr>
                <w:sz w:val="18"/>
                <w:szCs w:val="18"/>
              </w:rPr>
            </w:pPr>
          </w:p>
        </w:tc>
        <w:tc>
          <w:tcPr>
            <w:tcW w:w="709" w:type="dxa"/>
            <w:vAlign w:val="center"/>
          </w:tcPr>
          <w:p w14:paraId="295A1144" w14:textId="77777777" w:rsidR="005D280E" w:rsidRPr="005D280E" w:rsidRDefault="005D280E" w:rsidP="005D280E">
            <w:pPr>
              <w:spacing w:line="360" w:lineRule="auto"/>
              <w:ind w:firstLine="0"/>
              <w:rPr>
                <w:sz w:val="18"/>
                <w:szCs w:val="18"/>
              </w:rPr>
            </w:pPr>
            <w:r w:rsidRPr="005D280E">
              <w:rPr>
                <w:sz w:val="18"/>
                <w:szCs w:val="18"/>
              </w:rPr>
              <w:t xml:space="preserve"> .</w:t>
            </w:r>
            <w:r w:rsidRPr="005D280E">
              <w:rPr>
                <w:sz w:val="18"/>
                <w:szCs w:val="18"/>
                <w:lang w:val="en-US"/>
              </w:rPr>
              <w:t>02</w:t>
            </w:r>
          </w:p>
        </w:tc>
        <w:tc>
          <w:tcPr>
            <w:tcW w:w="567" w:type="dxa"/>
            <w:vAlign w:val="center"/>
          </w:tcPr>
          <w:p w14:paraId="7F5529E7" w14:textId="77777777" w:rsidR="005D280E" w:rsidRPr="005D280E" w:rsidRDefault="005D280E" w:rsidP="005D280E">
            <w:pPr>
              <w:spacing w:line="360" w:lineRule="auto"/>
              <w:ind w:firstLine="0"/>
              <w:jc w:val="center"/>
              <w:rPr>
                <w:sz w:val="18"/>
                <w:szCs w:val="18"/>
              </w:rPr>
            </w:pPr>
            <w:r w:rsidRPr="005D280E">
              <w:rPr>
                <w:sz w:val="18"/>
                <w:szCs w:val="18"/>
              </w:rPr>
              <w:t>.06</w:t>
            </w:r>
          </w:p>
        </w:tc>
        <w:tc>
          <w:tcPr>
            <w:tcW w:w="709" w:type="dxa"/>
            <w:vAlign w:val="center"/>
          </w:tcPr>
          <w:p w14:paraId="013578B6" w14:textId="77777777" w:rsidR="005D280E" w:rsidRPr="005D280E" w:rsidRDefault="005D280E" w:rsidP="005D280E">
            <w:pPr>
              <w:spacing w:line="360" w:lineRule="auto"/>
              <w:ind w:firstLine="0"/>
              <w:rPr>
                <w:sz w:val="18"/>
                <w:szCs w:val="18"/>
              </w:rPr>
            </w:pPr>
            <w:r w:rsidRPr="005D280E">
              <w:rPr>
                <w:sz w:val="18"/>
                <w:szCs w:val="18"/>
              </w:rPr>
              <w:t xml:space="preserve"> .</w:t>
            </w:r>
            <w:r w:rsidRPr="005D280E">
              <w:rPr>
                <w:sz w:val="18"/>
                <w:szCs w:val="18"/>
                <w:lang w:val="en-US"/>
              </w:rPr>
              <w:t>02</w:t>
            </w:r>
          </w:p>
        </w:tc>
        <w:tc>
          <w:tcPr>
            <w:tcW w:w="425" w:type="dxa"/>
            <w:vAlign w:val="center"/>
          </w:tcPr>
          <w:p w14:paraId="7B647FE8" w14:textId="77777777" w:rsidR="005D280E" w:rsidRPr="005D280E" w:rsidRDefault="005D280E" w:rsidP="005D280E">
            <w:pPr>
              <w:spacing w:line="360" w:lineRule="auto"/>
              <w:ind w:firstLine="0"/>
              <w:jc w:val="center"/>
              <w:rPr>
                <w:sz w:val="18"/>
                <w:szCs w:val="18"/>
              </w:rPr>
            </w:pPr>
          </w:p>
        </w:tc>
        <w:tc>
          <w:tcPr>
            <w:tcW w:w="709" w:type="dxa"/>
            <w:vAlign w:val="center"/>
          </w:tcPr>
          <w:p w14:paraId="598BE469" w14:textId="77777777" w:rsidR="005D280E" w:rsidRPr="005D280E" w:rsidRDefault="005D280E" w:rsidP="005D280E">
            <w:pPr>
              <w:spacing w:line="360" w:lineRule="auto"/>
              <w:ind w:firstLine="0"/>
              <w:jc w:val="right"/>
              <w:rPr>
                <w:sz w:val="18"/>
                <w:szCs w:val="18"/>
              </w:rPr>
            </w:pPr>
            <w:r w:rsidRPr="005D280E">
              <w:rPr>
                <w:sz w:val="18"/>
                <w:szCs w:val="18"/>
              </w:rPr>
              <w:t>.25</w:t>
            </w:r>
          </w:p>
        </w:tc>
        <w:tc>
          <w:tcPr>
            <w:tcW w:w="567" w:type="dxa"/>
            <w:vAlign w:val="center"/>
          </w:tcPr>
          <w:p w14:paraId="66C6828F" w14:textId="77777777" w:rsidR="005D280E" w:rsidRPr="005D280E" w:rsidRDefault="005D280E" w:rsidP="005D280E">
            <w:pPr>
              <w:spacing w:line="360" w:lineRule="auto"/>
              <w:ind w:firstLine="0"/>
              <w:rPr>
                <w:sz w:val="18"/>
                <w:szCs w:val="18"/>
              </w:rPr>
            </w:pPr>
            <w:r w:rsidRPr="005D280E">
              <w:rPr>
                <w:sz w:val="18"/>
                <w:szCs w:val="18"/>
              </w:rPr>
              <w:t>.08</w:t>
            </w:r>
          </w:p>
        </w:tc>
        <w:tc>
          <w:tcPr>
            <w:tcW w:w="760" w:type="dxa"/>
            <w:vAlign w:val="center"/>
          </w:tcPr>
          <w:p w14:paraId="688B8FCC" w14:textId="77777777" w:rsidR="005D280E" w:rsidRPr="005D280E" w:rsidRDefault="005D280E" w:rsidP="005D280E">
            <w:pPr>
              <w:spacing w:line="360" w:lineRule="auto"/>
              <w:ind w:firstLine="0"/>
              <w:jc w:val="both"/>
              <w:rPr>
                <w:sz w:val="18"/>
                <w:szCs w:val="18"/>
              </w:rPr>
            </w:pPr>
            <w:r w:rsidRPr="005D280E">
              <w:rPr>
                <w:sz w:val="18"/>
                <w:szCs w:val="18"/>
              </w:rPr>
              <w:t>.25</w:t>
            </w:r>
            <w:r w:rsidRPr="005D280E">
              <w:rPr>
                <w:sz w:val="18"/>
                <w:szCs w:val="18"/>
                <w:vertAlign w:val="superscript"/>
              </w:rPr>
              <w:t>**</w:t>
            </w:r>
          </w:p>
        </w:tc>
      </w:tr>
      <w:tr w:rsidR="005D280E" w:rsidRPr="005D280E" w14:paraId="44CD45F3" w14:textId="77777777" w:rsidTr="00CE564B">
        <w:trPr>
          <w:trHeight w:val="267"/>
        </w:trPr>
        <w:tc>
          <w:tcPr>
            <w:tcW w:w="3395" w:type="dxa"/>
            <w:gridSpan w:val="2"/>
          </w:tcPr>
          <w:p w14:paraId="3F54F008" w14:textId="77777777" w:rsidR="005D280E" w:rsidRPr="005D280E" w:rsidRDefault="005D280E" w:rsidP="005D280E">
            <w:pPr>
              <w:spacing w:line="360" w:lineRule="auto"/>
              <w:ind w:firstLine="0"/>
              <w:contextualSpacing w:val="0"/>
              <w:rPr>
                <w:rFonts w:eastAsia="Times New Roman"/>
                <w:sz w:val="18"/>
                <w:szCs w:val="18"/>
                <w:lang w:val="en-GB"/>
              </w:rPr>
            </w:pPr>
            <w:r w:rsidRPr="005D280E">
              <w:rPr>
                <w:rFonts w:eastAsia="Times New Roman"/>
                <w:i/>
                <w:sz w:val="18"/>
                <w:szCs w:val="18"/>
                <w:lang w:val="en-GB"/>
              </w:rPr>
              <w:t>Attitudes towards sexuality</w:t>
            </w:r>
          </w:p>
        </w:tc>
        <w:tc>
          <w:tcPr>
            <w:tcW w:w="815" w:type="dxa"/>
            <w:vAlign w:val="center"/>
          </w:tcPr>
          <w:p w14:paraId="38892A77" w14:textId="77777777" w:rsidR="005D280E" w:rsidRPr="005D280E" w:rsidRDefault="005D280E" w:rsidP="005D280E">
            <w:pPr>
              <w:spacing w:line="360" w:lineRule="auto"/>
              <w:ind w:firstLine="0"/>
              <w:jc w:val="right"/>
              <w:rPr>
                <w:sz w:val="18"/>
                <w:szCs w:val="18"/>
                <w:lang w:val="en-US"/>
              </w:rPr>
            </w:pPr>
          </w:p>
        </w:tc>
        <w:tc>
          <w:tcPr>
            <w:tcW w:w="559" w:type="dxa"/>
            <w:vAlign w:val="center"/>
          </w:tcPr>
          <w:p w14:paraId="012EDC9E" w14:textId="77777777" w:rsidR="005D280E" w:rsidRPr="005D280E" w:rsidRDefault="005D280E" w:rsidP="005D280E">
            <w:pPr>
              <w:spacing w:line="360" w:lineRule="auto"/>
              <w:ind w:firstLine="0"/>
              <w:jc w:val="center"/>
              <w:rPr>
                <w:sz w:val="18"/>
                <w:szCs w:val="18"/>
                <w:lang w:val="en-US"/>
              </w:rPr>
            </w:pPr>
          </w:p>
        </w:tc>
        <w:tc>
          <w:tcPr>
            <w:tcW w:w="708" w:type="dxa"/>
            <w:vAlign w:val="center"/>
          </w:tcPr>
          <w:p w14:paraId="7DD25483" w14:textId="77777777" w:rsidR="005D280E" w:rsidRPr="005D280E" w:rsidRDefault="005D280E" w:rsidP="005D280E">
            <w:pPr>
              <w:spacing w:line="360" w:lineRule="auto"/>
              <w:ind w:firstLine="0"/>
              <w:jc w:val="both"/>
              <w:rPr>
                <w:sz w:val="18"/>
                <w:szCs w:val="18"/>
                <w:lang w:val="en-US"/>
              </w:rPr>
            </w:pPr>
          </w:p>
        </w:tc>
        <w:tc>
          <w:tcPr>
            <w:tcW w:w="426" w:type="dxa"/>
            <w:vAlign w:val="center"/>
          </w:tcPr>
          <w:p w14:paraId="090131DC" w14:textId="77777777" w:rsidR="005D280E" w:rsidRPr="005D280E" w:rsidRDefault="005D280E" w:rsidP="005D280E">
            <w:pPr>
              <w:spacing w:line="360" w:lineRule="auto"/>
              <w:ind w:firstLine="0"/>
              <w:rPr>
                <w:sz w:val="18"/>
                <w:szCs w:val="18"/>
                <w:lang w:val="en-US"/>
              </w:rPr>
            </w:pPr>
          </w:p>
        </w:tc>
        <w:tc>
          <w:tcPr>
            <w:tcW w:w="708" w:type="dxa"/>
            <w:vAlign w:val="center"/>
          </w:tcPr>
          <w:p w14:paraId="0DE28524" w14:textId="77777777" w:rsidR="005D280E" w:rsidRPr="005D280E" w:rsidRDefault="005D280E" w:rsidP="005D280E">
            <w:pPr>
              <w:spacing w:line="360" w:lineRule="auto"/>
              <w:ind w:firstLine="0"/>
              <w:jc w:val="right"/>
              <w:rPr>
                <w:sz w:val="18"/>
                <w:szCs w:val="18"/>
              </w:rPr>
            </w:pPr>
          </w:p>
        </w:tc>
        <w:tc>
          <w:tcPr>
            <w:tcW w:w="567" w:type="dxa"/>
            <w:vAlign w:val="center"/>
          </w:tcPr>
          <w:p w14:paraId="461A5CBE" w14:textId="77777777" w:rsidR="005D280E" w:rsidRPr="005D280E" w:rsidRDefault="005D280E" w:rsidP="005D280E">
            <w:pPr>
              <w:spacing w:line="360" w:lineRule="auto"/>
              <w:ind w:firstLine="0"/>
              <w:rPr>
                <w:sz w:val="18"/>
                <w:szCs w:val="18"/>
              </w:rPr>
            </w:pPr>
          </w:p>
        </w:tc>
        <w:tc>
          <w:tcPr>
            <w:tcW w:w="709" w:type="dxa"/>
            <w:vAlign w:val="center"/>
          </w:tcPr>
          <w:p w14:paraId="7C64B45E" w14:textId="77777777" w:rsidR="005D280E" w:rsidRPr="005D280E" w:rsidRDefault="005D280E" w:rsidP="005D280E">
            <w:pPr>
              <w:spacing w:line="360" w:lineRule="auto"/>
              <w:ind w:firstLine="0"/>
              <w:rPr>
                <w:sz w:val="18"/>
                <w:szCs w:val="18"/>
              </w:rPr>
            </w:pPr>
          </w:p>
        </w:tc>
        <w:tc>
          <w:tcPr>
            <w:tcW w:w="425" w:type="dxa"/>
            <w:vAlign w:val="center"/>
          </w:tcPr>
          <w:p w14:paraId="3E688810" w14:textId="77777777" w:rsidR="005D280E" w:rsidRPr="005D280E" w:rsidRDefault="005D280E" w:rsidP="005D280E">
            <w:pPr>
              <w:spacing w:line="360" w:lineRule="auto"/>
              <w:ind w:firstLine="0"/>
              <w:rPr>
                <w:sz w:val="18"/>
                <w:szCs w:val="18"/>
              </w:rPr>
            </w:pPr>
          </w:p>
        </w:tc>
        <w:tc>
          <w:tcPr>
            <w:tcW w:w="709" w:type="dxa"/>
            <w:vAlign w:val="center"/>
          </w:tcPr>
          <w:p w14:paraId="4B38A8DA" w14:textId="77777777" w:rsidR="005D280E" w:rsidRPr="005D280E" w:rsidRDefault="005D280E" w:rsidP="005D280E">
            <w:pPr>
              <w:spacing w:line="360" w:lineRule="auto"/>
              <w:ind w:firstLine="0"/>
              <w:rPr>
                <w:sz w:val="18"/>
                <w:szCs w:val="18"/>
              </w:rPr>
            </w:pPr>
          </w:p>
        </w:tc>
        <w:tc>
          <w:tcPr>
            <w:tcW w:w="567" w:type="dxa"/>
            <w:vAlign w:val="center"/>
          </w:tcPr>
          <w:p w14:paraId="57B28145" w14:textId="77777777" w:rsidR="005D280E" w:rsidRPr="005D280E" w:rsidRDefault="005D280E" w:rsidP="005D280E">
            <w:pPr>
              <w:spacing w:line="360" w:lineRule="auto"/>
              <w:ind w:firstLine="0"/>
              <w:jc w:val="center"/>
              <w:rPr>
                <w:sz w:val="18"/>
                <w:szCs w:val="18"/>
              </w:rPr>
            </w:pPr>
          </w:p>
        </w:tc>
        <w:tc>
          <w:tcPr>
            <w:tcW w:w="709" w:type="dxa"/>
            <w:vAlign w:val="center"/>
          </w:tcPr>
          <w:p w14:paraId="7616183E" w14:textId="77777777" w:rsidR="005D280E" w:rsidRPr="005D280E" w:rsidRDefault="005D280E" w:rsidP="005D280E">
            <w:pPr>
              <w:spacing w:line="360" w:lineRule="auto"/>
              <w:ind w:firstLine="0"/>
              <w:jc w:val="center"/>
              <w:rPr>
                <w:sz w:val="18"/>
                <w:szCs w:val="18"/>
              </w:rPr>
            </w:pPr>
          </w:p>
        </w:tc>
        <w:tc>
          <w:tcPr>
            <w:tcW w:w="425" w:type="dxa"/>
            <w:vAlign w:val="center"/>
          </w:tcPr>
          <w:p w14:paraId="48ACFD1B" w14:textId="77777777" w:rsidR="005D280E" w:rsidRPr="005D280E" w:rsidRDefault="005D280E" w:rsidP="005D280E">
            <w:pPr>
              <w:spacing w:line="360" w:lineRule="auto"/>
              <w:ind w:firstLine="0"/>
              <w:rPr>
                <w:sz w:val="18"/>
                <w:szCs w:val="18"/>
              </w:rPr>
            </w:pPr>
          </w:p>
        </w:tc>
        <w:tc>
          <w:tcPr>
            <w:tcW w:w="709" w:type="dxa"/>
            <w:vAlign w:val="center"/>
          </w:tcPr>
          <w:p w14:paraId="2F76D4F1" w14:textId="77777777" w:rsidR="005D280E" w:rsidRPr="005D280E" w:rsidRDefault="005D280E" w:rsidP="005D280E">
            <w:pPr>
              <w:spacing w:line="360" w:lineRule="auto"/>
              <w:ind w:firstLine="0"/>
              <w:jc w:val="right"/>
              <w:rPr>
                <w:sz w:val="18"/>
                <w:szCs w:val="18"/>
              </w:rPr>
            </w:pPr>
          </w:p>
        </w:tc>
        <w:tc>
          <w:tcPr>
            <w:tcW w:w="567" w:type="dxa"/>
            <w:vAlign w:val="center"/>
          </w:tcPr>
          <w:p w14:paraId="7CD3FD1C" w14:textId="77777777" w:rsidR="005D280E" w:rsidRPr="005D280E" w:rsidRDefault="005D280E" w:rsidP="005D280E">
            <w:pPr>
              <w:spacing w:line="360" w:lineRule="auto"/>
              <w:ind w:firstLine="0"/>
              <w:rPr>
                <w:sz w:val="18"/>
                <w:szCs w:val="18"/>
              </w:rPr>
            </w:pPr>
          </w:p>
        </w:tc>
        <w:tc>
          <w:tcPr>
            <w:tcW w:w="760" w:type="dxa"/>
            <w:vAlign w:val="center"/>
          </w:tcPr>
          <w:p w14:paraId="6BA21A06" w14:textId="77777777" w:rsidR="005D280E" w:rsidRPr="005D280E" w:rsidRDefault="005D280E" w:rsidP="005D280E">
            <w:pPr>
              <w:spacing w:line="360" w:lineRule="auto"/>
              <w:ind w:firstLine="0"/>
              <w:rPr>
                <w:sz w:val="18"/>
                <w:szCs w:val="18"/>
              </w:rPr>
            </w:pPr>
          </w:p>
        </w:tc>
      </w:tr>
      <w:tr w:rsidR="005D280E" w:rsidRPr="005D280E" w14:paraId="3B8C003B" w14:textId="77777777" w:rsidTr="00CE564B">
        <w:trPr>
          <w:trHeight w:val="267"/>
        </w:trPr>
        <w:tc>
          <w:tcPr>
            <w:tcW w:w="520" w:type="dxa"/>
          </w:tcPr>
          <w:p w14:paraId="1201592A" w14:textId="77777777" w:rsidR="005D280E" w:rsidRPr="005D280E" w:rsidRDefault="005D280E" w:rsidP="005D280E">
            <w:pPr>
              <w:spacing w:line="360" w:lineRule="auto"/>
              <w:ind w:firstLine="0"/>
              <w:contextualSpacing w:val="0"/>
              <w:rPr>
                <w:rFonts w:eastAsia="Times New Roman"/>
                <w:sz w:val="18"/>
                <w:szCs w:val="18"/>
                <w:lang w:val="en-GB"/>
              </w:rPr>
            </w:pPr>
          </w:p>
        </w:tc>
        <w:tc>
          <w:tcPr>
            <w:tcW w:w="2875" w:type="dxa"/>
            <w:vAlign w:val="center"/>
          </w:tcPr>
          <w:p w14:paraId="58C66A96" w14:textId="77777777" w:rsidR="005D280E" w:rsidRPr="005D280E" w:rsidRDefault="005D280E" w:rsidP="005D280E">
            <w:pPr>
              <w:spacing w:line="360" w:lineRule="auto"/>
              <w:ind w:firstLine="0"/>
              <w:contextualSpacing w:val="0"/>
              <w:rPr>
                <w:rFonts w:eastAsia="Times New Roman"/>
                <w:sz w:val="18"/>
                <w:szCs w:val="18"/>
                <w:lang w:val="en-GB"/>
              </w:rPr>
            </w:pPr>
            <w:r w:rsidRPr="005D280E">
              <w:rPr>
                <w:rFonts w:eastAsia="Times New Roman"/>
                <w:sz w:val="18"/>
                <w:szCs w:val="18"/>
                <w:lang w:val="en-GB"/>
              </w:rPr>
              <w:t>Sex is for love</w:t>
            </w:r>
          </w:p>
        </w:tc>
        <w:tc>
          <w:tcPr>
            <w:tcW w:w="815" w:type="dxa"/>
            <w:vAlign w:val="center"/>
          </w:tcPr>
          <w:p w14:paraId="4EF3DD86" w14:textId="77777777" w:rsidR="005D280E" w:rsidRPr="005D280E" w:rsidRDefault="005D280E" w:rsidP="005D280E">
            <w:pPr>
              <w:spacing w:line="360" w:lineRule="auto"/>
              <w:ind w:firstLine="0"/>
              <w:jc w:val="right"/>
              <w:rPr>
                <w:sz w:val="18"/>
                <w:szCs w:val="18"/>
                <w:vertAlign w:val="subscript"/>
                <w:lang w:val="en-US"/>
              </w:rPr>
            </w:pPr>
            <w:r w:rsidRPr="005D280E">
              <w:rPr>
                <w:sz w:val="18"/>
                <w:szCs w:val="18"/>
                <w:lang w:val="en-US"/>
              </w:rPr>
              <w:t>-.34</w:t>
            </w:r>
          </w:p>
        </w:tc>
        <w:tc>
          <w:tcPr>
            <w:tcW w:w="559" w:type="dxa"/>
            <w:vAlign w:val="center"/>
          </w:tcPr>
          <w:p w14:paraId="7C864022" w14:textId="77777777" w:rsidR="005D280E" w:rsidRPr="005D280E" w:rsidRDefault="005D280E" w:rsidP="005D280E">
            <w:pPr>
              <w:spacing w:line="360" w:lineRule="auto"/>
              <w:ind w:firstLine="0"/>
              <w:jc w:val="center"/>
              <w:rPr>
                <w:sz w:val="18"/>
                <w:szCs w:val="18"/>
                <w:lang w:val="en-US"/>
              </w:rPr>
            </w:pPr>
            <w:r w:rsidRPr="005D280E">
              <w:rPr>
                <w:sz w:val="18"/>
                <w:szCs w:val="18"/>
                <w:lang w:val="en-US"/>
              </w:rPr>
              <w:t>.07</w:t>
            </w:r>
          </w:p>
        </w:tc>
        <w:tc>
          <w:tcPr>
            <w:tcW w:w="708" w:type="dxa"/>
            <w:vAlign w:val="center"/>
          </w:tcPr>
          <w:p w14:paraId="45574C1E" w14:textId="012475E9" w:rsidR="005D280E" w:rsidRPr="005D280E" w:rsidRDefault="005D280E" w:rsidP="005D280E">
            <w:pPr>
              <w:spacing w:line="360" w:lineRule="auto"/>
              <w:ind w:firstLine="0"/>
              <w:jc w:val="both"/>
              <w:rPr>
                <w:sz w:val="18"/>
                <w:szCs w:val="18"/>
                <w:vertAlign w:val="subscript"/>
                <w:lang w:val="en-US"/>
              </w:rPr>
            </w:pPr>
            <w:r w:rsidRPr="005D280E">
              <w:rPr>
                <w:sz w:val="18"/>
                <w:szCs w:val="18"/>
                <w:lang w:val="en-US"/>
              </w:rPr>
              <w:t>-.2</w:t>
            </w:r>
            <w:r w:rsidR="009C35FA">
              <w:rPr>
                <w:sz w:val="18"/>
                <w:szCs w:val="18"/>
                <w:lang w:val="en-US"/>
              </w:rPr>
              <w:t>0</w:t>
            </w:r>
            <w:r w:rsidRPr="005D280E">
              <w:rPr>
                <w:sz w:val="18"/>
                <w:szCs w:val="18"/>
                <w:vertAlign w:val="superscript"/>
                <w:lang w:val="en-US"/>
              </w:rPr>
              <w:t>***</w:t>
            </w:r>
          </w:p>
        </w:tc>
        <w:tc>
          <w:tcPr>
            <w:tcW w:w="426" w:type="dxa"/>
            <w:vAlign w:val="center"/>
          </w:tcPr>
          <w:p w14:paraId="410FE6CD" w14:textId="77777777" w:rsidR="005D280E" w:rsidRPr="005D280E" w:rsidRDefault="005D280E" w:rsidP="005D280E">
            <w:pPr>
              <w:spacing w:line="360" w:lineRule="auto"/>
              <w:ind w:firstLine="0"/>
              <w:jc w:val="center"/>
              <w:rPr>
                <w:sz w:val="18"/>
                <w:szCs w:val="18"/>
                <w:lang w:val="en-US"/>
              </w:rPr>
            </w:pPr>
          </w:p>
        </w:tc>
        <w:tc>
          <w:tcPr>
            <w:tcW w:w="708" w:type="dxa"/>
            <w:vAlign w:val="center"/>
          </w:tcPr>
          <w:p w14:paraId="1A162064" w14:textId="77777777" w:rsidR="005D280E" w:rsidRPr="005D280E" w:rsidRDefault="005D280E" w:rsidP="005D280E">
            <w:pPr>
              <w:spacing w:line="360" w:lineRule="auto"/>
              <w:ind w:firstLine="0"/>
              <w:jc w:val="right"/>
              <w:rPr>
                <w:sz w:val="18"/>
                <w:szCs w:val="18"/>
                <w:vertAlign w:val="superscript"/>
              </w:rPr>
            </w:pPr>
            <w:r w:rsidRPr="005D280E">
              <w:rPr>
                <w:sz w:val="18"/>
                <w:szCs w:val="18"/>
                <w:lang w:val="en-US"/>
              </w:rPr>
              <w:t>-.20</w:t>
            </w:r>
          </w:p>
        </w:tc>
        <w:tc>
          <w:tcPr>
            <w:tcW w:w="567" w:type="dxa"/>
            <w:vAlign w:val="center"/>
          </w:tcPr>
          <w:p w14:paraId="5DE54E9A" w14:textId="77777777" w:rsidR="005D280E" w:rsidRPr="005D280E" w:rsidRDefault="005D280E" w:rsidP="005D280E">
            <w:pPr>
              <w:spacing w:line="360" w:lineRule="auto"/>
              <w:ind w:firstLine="0"/>
              <w:rPr>
                <w:sz w:val="18"/>
                <w:szCs w:val="18"/>
              </w:rPr>
            </w:pPr>
            <w:r w:rsidRPr="005D280E">
              <w:rPr>
                <w:sz w:val="18"/>
                <w:szCs w:val="18"/>
              </w:rPr>
              <w:t>.06</w:t>
            </w:r>
          </w:p>
        </w:tc>
        <w:tc>
          <w:tcPr>
            <w:tcW w:w="709" w:type="dxa"/>
            <w:vAlign w:val="center"/>
          </w:tcPr>
          <w:p w14:paraId="41056594" w14:textId="77777777" w:rsidR="005D280E" w:rsidRPr="005D280E" w:rsidRDefault="005D280E" w:rsidP="005D280E">
            <w:pPr>
              <w:spacing w:line="360" w:lineRule="auto"/>
              <w:ind w:firstLine="0"/>
              <w:rPr>
                <w:sz w:val="18"/>
                <w:szCs w:val="18"/>
                <w:vertAlign w:val="superscript"/>
              </w:rPr>
            </w:pPr>
            <w:r w:rsidRPr="005D280E">
              <w:rPr>
                <w:sz w:val="18"/>
                <w:szCs w:val="18"/>
                <w:lang w:val="en-US"/>
              </w:rPr>
              <w:t>-.14</w:t>
            </w:r>
            <w:r w:rsidRPr="005D280E">
              <w:rPr>
                <w:sz w:val="18"/>
                <w:szCs w:val="18"/>
                <w:vertAlign w:val="superscript"/>
                <w:lang w:val="en-US"/>
              </w:rPr>
              <w:t>**</w:t>
            </w:r>
          </w:p>
        </w:tc>
        <w:tc>
          <w:tcPr>
            <w:tcW w:w="425" w:type="dxa"/>
            <w:vAlign w:val="center"/>
          </w:tcPr>
          <w:p w14:paraId="0716AD5F" w14:textId="77777777" w:rsidR="005D280E" w:rsidRPr="005D280E" w:rsidRDefault="005D280E" w:rsidP="005D280E">
            <w:pPr>
              <w:spacing w:line="360" w:lineRule="auto"/>
              <w:ind w:firstLine="0"/>
              <w:rPr>
                <w:sz w:val="18"/>
                <w:szCs w:val="18"/>
              </w:rPr>
            </w:pPr>
          </w:p>
        </w:tc>
        <w:tc>
          <w:tcPr>
            <w:tcW w:w="709" w:type="dxa"/>
            <w:vAlign w:val="center"/>
          </w:tcPr>
          <w:p w14:paraId="0C05B762" w14:textId="77777777" w:rsidR="005D280E" w:rsidRPr="005D280E" w:rsidRDefault="005D280E" w:rsidP="005D280E">
            <w:pPr>
              <w:spacing w:line="360" w:lineRule="auto"/>
              <w:ind w:firstLine="0"/>
              <w:rPr>
                <w:sz w:val="18"/>
                <w:szCs w:val="18"/>
                <w:vertAlign w:val="superscript"/>
              </w:rPr>
            </w:pPr>
            <w:r w:rsidRPr="005D280E">
              <w:rPr>
                <w:sz w:val="18"/>
                <w:szCs w:val="18"/>
              </w:rPr>
              <w:t>-.18</w:t>
            </w:r>
          </w:p>
        </w:tc>
        <w:tc>
          <w:tcPr>
            <w:tcW w:w="567" w:type="dxa"/>
            <w:vAlign w:val="center"/>
          </w:tcPr>
          <w:p w14:paraId="5258E1F9" w14:textId="77777777" w:rsidR="005D280E" w:rsidRPr="005D280E" w:rsidRDefault="005D280E" w:rsidP="005D280E">
            <w:pPr>
              <w:spacing w:line="360" w:lineRule="auto"/>
              <w:ind w:firstLine="0"/>
              <w:jc w:val="center"/>
              <w:rPr>
                <w:sz w:val="18"/>
                <w:szCs w:val="18"/>
              </w:rPr>
            </w:pPr>
            <w:r w:rsidRPr="005D280E">
              <w:rPr>
                <w:sz w:val="18"/>
                <w:szCs w:val="18"/>
              </w:rPr>
              <w:t>.06</w:t>
            </w:r>
          </w:p>
        </w:tc>
        <w:tc>
          <w:tcPr>
            <w:tcW w:w="709" w:type="dxa"/>
            <w:vAlign w:val="center"/>
          </w:tcPr>
          <w:p w14:paraId="36E1F037" w14:textId="77777777" w:rsidR="005D280E" w:rsidRPr="005D280E" w:rsidRDefault="005D280E" w:rsidP="005D280E">
            <w:pPr>
              <w:spacing w:line="360" w:lineRule="auto"/>
              <w:ind w:firstLine="0"/>
              <w:rPr>
                <w:sz w:val="18"/>
                <w:szCs w:val="18"/>
                <w:vertAlign w:val="superscript"/>
              </w:rPr>
            </w:pPr>
            <w:r w:rsidRPr="005D280E">
              <w:rPr>
                <w:sz w:val="18"/>
                <w:szCs w:val="18"/>
              </w:rPr>
              <w:t>-.14</w:t>
            </w:r>
            <w:r w:rsidRPr="005D280E">
              <w:rPr>
                <w:sz w:val="18"/>
                <w:szCs w:val="18"/>
                <w:vertAlign w:val="superscript"/>
              </w:rPr>
              <w:t>**</w:t>
            </w:r>
          </w:p>
        </w:tc>
        <w:tc>
          <w:tcPr>
            <w:tcW w:w="425" w:type="dxa"/>
            <w:vAlign w:val="center"/>
          </w:tcPr>
          <w:p w14:paraId="14C930E5" w14:textId="77777777" w:rsidR="005D280E" w:rsidRPr="005D280E" w:rsidRDefault="005D280E" w:rsidP="005D280E">
            <w:pPr>
              <w:spacing w:line="360" w:lineRule="auto"/>
              <w:ind w:firstLine="0"/>
              <w:jc w:val="center"/>
              <w:rPr>
                <w:sz w:val="18"/>
                <w:szCs w:val="18"/>
              </w:rPr>
            </w:pPr>
          </w:p>
        </w:tc>
        <w:tc>
          <w:tcPr>
            <w:tcW w:w="709" w:type="dxa"/>
            <w:vAlign w:val="center"/>
          </w:tcPr>
          <w:p w14:paraId="05657C8A" w14:textId="77777777" w:rsidR="005D280E" w:rsidRPr="005D280E" w:rsidRDefault="005D280E" w:rsidP="005D280E">
            <w:pPr>
              <w:spacing w:line="360" w:lineRule="auto"/>
              <w:ind w:firstLine="0"/>
              <w:jc w:val="right"/>
              <w:rPr>
                <w:sz w:val="18"/>
                <w:szCs w:val="18"/>
                <w:vertAlign w:val="superscript"/>
              </w:rPr>
            </w:pPr>
            <w:r w:rsidRPr="005D280E">
              <w:rPr>
                <w:sz w:val="18"/>
                <w:szCs w:val="18"/>
              </w:rPr>
              <w:t>-.19</w:t>
            </w:r>
          </w:p>
        </w:tc>
        <w:tc>
          <w:tcPr>
            <w:tcW w:w="567" w:type="dxa"/>
            <w:vAlign w:val="center"/>
          </w:tcPr>
          <w:p w14:paraId="21676837" w14:textId="77777777" w:rsidR="005D280E" w:rsidRPr="005D280E" w:rsidRDefault="005D280E" w:rsidP="005D280E">
            <w:pPr>
              <w:spacing w:line="360" w:lineRule="auto"/>
              <w:ind w:firstLine="0"/>
              <w:rPr>
                <w:sz w:val="18"/>
                <w:szCs w:val="18"/>
              </w:rPr>
            </w:pPr>
            <w:r w:rsidRPr="005D280E">
              <w:rPr>
                <w:sz w:val="18"/>
                <w:szCs w:val="18"/>
              </w:rPr>
              <w:t>.10</w:t>
            </w:r>
          </w:p>
        </w:tc>
        <w:tc>
          <w:tcPr>
            <w:tcW w:w="760" w:type="dxa"/>
            <w:vAlign w:val="center"/>
          </w:tcPr>
          <w:p w14:paraId="1715D4A8" w14:textId="77777777" w:rsidR="005D280E" w:rsidRPr="005D280E" w:rsidRDefault="005D280E" w:rsidP="005D280E">
            <w:pPr>
              <w:spacing w:line="360" w:lineRule="auto"/>
              <w:ind w:firstLine="0"/>
              <w:jc w:val="both"/>
              <w:rPr>
                <w:sz w:val="18"/>
                <w:szCs w:val="18"/>
                <w:vertAlign w:val="superscript"/>
              </w:rPr>
            </w:pPr>
            <w:r w:rsidRPr="005D280E">
              <w:rPr>
                <w:sz w:val="18"/>
                <w:szCs w:val="18"/>
              </w:rPr>
              <w:t>-.15</w:t>
            </w:r>
          </w:p>
        </w:tc>
      </w:tr>
      <w:tr w:rsidR="005D280E" w:rsidRPr="005D280E" w14:paraId="09337EAB" w14:textId="77777777" w:rsidTr="00CE564B">
        <w:trPr>
          <w:trHeight w:val="267"/>
        </w:trPr>
        <w:tc>
          <w:tcPr>
            <w:tcW w:w="520" w:type="dxa"/>
          </w:tcPr>
          <w:p w14:paraId="04F1B10D" w14:textId="77777777" w:rsidR="005D280E" w:rsidRPr="005D280E" w:rsidRDefault="005D280E" w:rsidP="005D280E">
            <w:pPr>
              <w:spacing w:line="360" w:lineRule="auto"/>
              <w:ind w:firstLine="0"/>
              <w:contextualSpacing w:val="0"/>
              <w:rPr>
                <w:rFonts w:eastAsia="Times New Roman"/>
                <w:sz w:val="18"/>
                <w:szCs w:val="18"/>
                <w:lang w:val="en-GB"/>
              </w:rPr>
            </w:pPr>
          </w:p>
        </w:tc>
        <w:tc>
          <w:tcPr>
            <w:tcW w:w="2875" w:type="dxa"/>
            <w:vAlign w:val="center"/>
          </w:tcPr>
          <w:p w14:paraId="4721FC7D" w14:textId="77777777" w:rsidR="005D280E" w:rsidRPr="005D280E" w:rsidRDefault="005D280E" w:rsidP="005D280E">
            <w:pPr>
              <w:spacing w:line="360" w:lineRule="auto"/>
              <w:ind w:firstLine="0"/>
              <w:contextualSpacing w:val="0"/>
              <w:rPr>
                <w:rFonts w:eastAsia="Times New Roman"/>
                <w:sz w:val="18"/>
                <w:szCs w:val="18"/>
                <w:lang w:val="en-GB"/>
              </w:rPr>
            </w:pPr>
            <w:r w:rsidRPr="005D280E">
              <w:rPr>
                <w:rFonts w:eastAsia="Times New Roman"/>
                <w:sz w:val="18"/>
                <w:szCs w:val="18"/>
                <w:lang w:val="en-GB"/>
              </w:rPr>
              <w:t>Sexualized society</w:t>
            </w:r>
          </w:p>
        </w:tc>
        <w:tc>
          <w:tcPr>
            <w:tcW w:w="815" w:type="dxa"/>
            <w:vAlign w:val="center"/>
          </w:tcPr>
          <w:p w14:paraId="7DE02D29" w14:textId="77777777" w:rsidR="005D280E" w:rsidRPr="005D280E" w:rsidRDefault="005D280E" w:rsidP="005D280E">
            <w:pPr>
              <w:spacing w:line="360" w:lineRule="auto"/>
              <w:ind w:firstLine="0"/>
              <w:jc w:val="right"/>
              <w:rPr>
                <w:sz w:val="18"/>
                <w:szCs w:val="18"/>
                <w:lang w:val="en-US"/>
              </w:rPr>
            </w:pPr>
            <w:r w:rsidRPr="005D280E">
              <w:rPr>
                <w:sz w:val="18"/>
                <w:szCs w:val="18"/>
                <w:lang w:val="en-US"/>
              </w:rPr>
              <w:t>-.22</w:t>
            </w:r>
          </w:p>
        </w:tc>
        <w:tc>
          <w:tcPr>
            <w:tcW w:w="559" w:type="dxa"/>
            <w:vAlign w:val="center"/>
          </w:tcPr>
          <w:p w14:paraId="1C31715D" w14:textId="77777777" w:rsidR="005D280E" w:rsidRPr="005D280E" w:rsidRDefault="005D280E" w:rsidP="005D280E">
            <w:pPr>
              <w:spacing w:line="360" w:lineRule="auto"/>
              <w:ind w:firstLine="0"/>
              <w:jc w:val="center"/>
              <w:rPr>
                <w:sz w:val="18"/>
                <w:szCs w:val="18"/>
                <w:lang w:val="en-US"/>
              </w:rPr>
            </w:pPr>
            <w:r w:rsidRPr="005D280E">
              <w:rPr>
                <w:sz w:val="18"/>
                <w:szCs w:val="18"/>
                <w:lang w:val="en-US"/>
              </w:rPr>
              <w:t>.09</w:t>
            </w:r>
          </w:p>
        </w:tc>
        <w:tc>
          <w:tcPr>
            <w:tcW w:w="708" w:type="dxa"/>
            <w:vAlign w:val="center"/>
          </w:tcPr>
          <w:p w14:paraId="2FD6ACD1" w14:textId="77777777" w:rsidR="005D280E" w:rsidRPr="005D280E" w:rsidRDefault="005D280E" w:rsidP="005D280E">
            <w:pPr>
              <w:spacing w:line="360" w:lineRule="auto"/>
              <w:ind w:firstLine="0"/>
              <w:jc w:val="both"/>
              <w:rPr>
                <w:sz w:val="18"/>
                <w:szCs w:val="18"/>
                <w:lang w:val="en-US"/>
              </w:rPr>
            </w:pPr>
            <w:r w:rsidRPr="005D280E">
              <w:rPr>
                <w:sz w:val="18"/>
                <w:szCs w:val="18"/>
                <w:lang w:val="en-US"/>
              </w:rPr>
              <w:t>-.11</w:t>
            </w:r>
            <w:r w:rsidRPr="005D280E">
              <w:rPr>
                <w:sz w:val="18"/>
                <w:szCs w:val="18"/>
                <w:vertAlign w:val="superscript"/>
                <w:lang w:val="en-US"/>
              </w:rPr>
              <w:t>*</w:t>
            </w:r>
          </w:p>
        </w:tc>
        <w:tc>
          <w:tcPr>
            <w:tcW w:w="426" w:type="dxa"/>
            <w:vAlign w:val="center"/>
          </w:tcPr>
          <w:p w14:paraId="59B091F6" w14:textId="77777777" w:rsidR="005D280E" w:rsidRPr="005D280E" w:rsidRDefault="005D280E" w:rsidP="005D280E">
            <w:pPr>
              <w:spacing w:line="360" w:lineRule="auto"/>
              <w:ind w:firstLine="0"/>
              <w:jc w:val="center"/>
              <w:rPr>
                <w:sz w:val="18"/>
                <w:szCs w:val="18"/>
                <w:lang w:val="en-US"/>
              </w:rPr>
            </w:pPr>
          </w:p>
        </w:tc>
        <w:tc>
          <w:tcPr>
            <w:tcW w:w="708" w:type="dxa"/>
            <w:vAlign w:val="center"/>
          </w:tcPr>
          <w:p w14:paraId="65DC6182" w14:textId="77777777" w:rsidR="005D280E" w:rsidRPr="005D280E" w:rsidRDefault="005D280E" w:rsidP="005D280E">
            <w:pPr>
              <w:spacing w:line="360" w:lineRule="auto"/>
              <w:ind w:firstLine="0"/>
              <w:jc w:val="right"/>
              <w:rPr>
                <w:sz w:val="18"/>
                <w:szCs w:val="18"/>
              </w:rPr>
            </w:pPr>
            <w:r w:rsidRPr="005D280E">
              <w:rPr>
                <w:sz w:val="18"/>
                <w:szCs w:val="18"/>
              </w:rPr>
              <w:t>-.13</w:t>
            </w:r>
          </w:p>
        </w:tc>
        <w:tc>
          <w:tcPr>
            <w:tcW w:w="567" w:type="dxa"/>
            <w:vAlign w:val="center"/>
          </w:tcPr>
          <w:p w14:paraId="52959B95" w14:textId="77777777" w:rsidR="005D280E" w:rsidRPr="005D280E" w:rsidRDefault="005D280E" w:rsidP="005D280E">
            <w:pPr>
              <w:spacing w:line="360" w:lineRule="auto"/>
              <w:ind w:firstLine="0"/>
              <w:rPr>
                <w:sz w:val="18"/>
                <w:szCs w:val="18"/>
              </w:rPr>
            </w:pPr>
            <w:r w:rsidRPr="005D280E">
              <w:rPr>
                <w:sz w:val="18"/>
                <w:szCs w:val="18"/>
              </w:rPr>
              <w:t>.09</w:t>
            </w:r>
          </w:p>
        </w:tc>
        <w:tc>
          <w:tcPr>
            <w:tcW w:w="709" w:type="dxa"/>
            <w:vAlign w:val="center"/>
          </w:tcPr>
          <w:p w14:paraId="507E776C" w14:textId="77777777" w:rsidR="005D280E" w:rsidRPr="005D280E" w:rsidRDefault="005D280E" w:rsidP="005D280E">
            <w:pPr>
              <w:spacing w:line="360" w:lineRule="auto"/>
              <w:ind w:firstLine="0"/>
              <w:rPr>
                <w:sz w:val="18"/>
                <w:szCs w:val="18"/>
              </w:rPr>
            </w:pPr>
            <w:r w:rsidRPr="005D280E">
              <w:rPr>
                <w:sz w:val="18"/>
                <w:szCs w:val="18"/>
              </w:rPr>
              <w:t>-.07</w:t>
            </w:r>
          </w:p>
        </w:tc>
        <w:tc>
          <w:tcPr>
            <w:tcW w:w="425" w:type="dxa"/>
            <w:vAlign w:val="center"/>
          </w:tcPr>
          <w:p w14:paraId="1EB85157" w14:textId="77777777" w:rsidR="005D280E" w:rsidRPr="005D280E" w:rsidRDefault="005D280E" w:rsidP="005D280E">
            <w:pPr>
              <w:spacing w:line="360" w:lineRule="auto"/>
              <w:ind w:firstLine="0"/>
              <w:rPr>
                <w:sz w:val="18"/>
                <w:szCs w:val="18"/>
              </w:rPr>
            </w:pPr>
          </w:p>
        </w:tc>
        <w:tc>
          <w:tcPr>
            <w:tcW w:w="709" w:type="dxa"/>
            <w:vAlign w:val="center"/>
          </w:tcPr>
          <w:p w14:paraId="201527B0" w14:textId="77777777" w:rsidR="005D280E" w:rsidRPr="005D280E" w:rsidRDefault="005D280E" w:rsidP="005D280E">
            <w:pPr>
              <w:spacing w:line="360" w:lineRule="auto"/>
              <w:ind w:firstLine="0"/>
              <w:rPr>
                <w:sz w:val="18"/>
                <w:szCs w:val="18"/>
              </w:rPr>
            </w:pPr>
            <w:r w:rsidRPr="005D280E">
              <w:rPr>
                <w:sz w:val="18"/>
                <w:szCs w:val="18"/>
              </w:rPr>
              <w:t>-.09</w:t>
            </w:r>
          </w:p>
        </w:tc>
        <w:tc>
          <w:tcPr>
            <w:tcW w:w="567" w:type="dxa"/>
            <w:vAlign w:val="center"/>
          </w:tcPr>
          <w:p w14:paraId="66A03D70" w14:textId="77777777" w:rsidR="005D280E" w:rsidRPr="005D280E" w:rsidRDefault="005D280E" w:rsidP="005D280E">
            <w:pPr>
              <w:spacing w:line="360" w:lineRule="auto"/>
              <w:ind w:firstLine="0"/>
              <w:jc w:val="center"/>
              <w:rPr>
                <w:sz w:val="18"/>
                <w:szCs w:val="18"/>
              </w:rPr>
            </w:pPr>
            <w:r w:rsidRPr="005D280E">
              <w:rPr>
                <w:sz w:val="18"/>
                <w:szCs w:val="18"/>
              </w:rPr>
              <w:t>.08</w:t>
            </w:r>
          </w:p>
        </w:tc>
        <w:tc>
          <w:tcPr>
            <w:tcW w:w="709" w:type="dxa"/>
            <w:vAlign w:val="center"/>
          </w:tcPr>
          <w:p w14:paraId="2C61DBDD" w14:textId="77777777" w:rsidR="005D280E" w:rsidRPr="005D280E" w:rsidRDefault="005D280E" w:rsidP="005D280E">
            <w:pPr>
              <w:spacing w:line="360" w:lineRule="auto"/>
              <w:ind w:firstLine="0"/>
              <w:rPr>
                <w:sz w:val="18"/>
                <w:szCs w:val="18"/>
              </w:rPr>
            </w:pPr>
            <w:r w:rsidRPr="005D280E">
              <w:rPr>
                <w:sz w:val="18"/>
                <w:szCs w:val="18"/>
              </w:rPr>
              <w:t>-.05</w:t>
            </w:r>
          </w:p>
        </w:tc>
        <w:tc>
          <w:tcPr>
            <w:tcW w:w="425" w:type="dxa"/>
            <w:vAlign w:val="center"/>
          </w:tcPr>
          <w:p w14:paraId="413C6F86" w14:textId="77777777" w:rsidR="005D280E" w:rsidRPr="005D280E" w:rsidRDefault="005D280E" w:rsidP="005D280E">
            <w:pPr>
              <w:spacing w:line="360" w:lineRule="auto"/>
              <w:ind w:firstLine="0"/>
              <w:jc w:val="center"/>
              <w:rPr>
                <w:sz w:val="18"/>
                <w:szCs w:val="18"/>
              </w:rPr>
            </w:pPr>
          </w:p>
        </w:tc>
        <w:tc>
          <w:tcPr>
            <w:tcW w:w="709" w:type="dxa"/>
            <w:vAlign w:val="center"/>
          </w:tcPr>
          <w:p w14:paraId="468F3109" w14:textId="77777777" w:rsidR="005D280E" w:rsidRPr="005D280E" w:rsidRDefault="005D280E" w:rsidP="005D280E">
            <w:pPr>
              <w:spacing w:line="360" w:lineRule="auto"/>
              <w:ind w:firstLine="0"/>
              <w:jc w:val="right"/>
              <w:rPr>
                <w:sz w:val="18"/>
                <w:szCs w:val="18"/>
              </w:rPr>
            </w:pPr>
            <w:r w:rsidRPr="005D280E">
              <w:rPr>
                <w:sz w:val="18"/>
                <w:szCs w:val="18"/>
              </w:rPr>
              <w:t xml:space="preserve"> .08</w:t>
            </w:r>
          </w:p>
        </w:tc>
        <w:tc>
          <w:tcPr>
            <w:tcW w:w="567" w:type="dxa"/>
            <w:vAlign w:val="center"/>
          </w:tcPr>
          <w:p w14:paraId="7E58F970" w14:textId="77777777" w:rsidR="005D280E" w:rsidRPr="005D280E" w:rsidRDefault="005D280E" w:rsidP="005D280E">
            <w:pPr>
              <w:spacing w:line="360" w:lineRule="auto"/>
              <w:ind w:firstLine="0"/>
              <w:rPr>
                <w:sz w:val="18"/>
                <w:szCs w:val="18"/>
              </w:rPr>
            </w:pPr>
            <w:r w:rsidRPr="005D280E">
              <w:rPr>
                <w:sz w:val="18"/>
                <w:szCs w:val="18"/>
              </w:rPr>
              <w:t>.13</w:t>
            </w:r>
          </w:p>
        </w:tc>
        <w:tc>
          <w:tcPr>
            <w:tcW w:w="760" w:type="dxa"/>
            <w:vAlign w:val="center"/>
          </w:tcPr>
          <w:p w14:paraId="36662F5B" w14:textId="77777777" w:rsidR="005D280E" w:rsidRPr="005D280E" w:rsidRDefault="005D280E" w:rsidP="005D280E">
            <w:pPr>
              <w:spacing w:line="360" w:lineRule="auto"/>
              <w:ind w:firstLine="0"/>
              <w:jc w:val="both"/>
              <w:rPr>
                <w:sz w:val="18"/>
                <w:szCs w:val="18"/>
              </w:rPr>
            </w:pPr>
            <w:r w:rsidRPr="005D280E">
              <w:rPr>
                <w:sz w:val="18"/>
                <w:szCs w:val="18"/>
              </w:rPr>
              <w:t xml:space="preserve"> .05</w:t>
            </w:r>
          </w:p>
        </w:tc>
      </w:tr>
      <w:tr w:rsidR="005D280E" w:rsidRPr="005D280E" w14:paraId="5E81896D" w14:textId="77777777" w:rsidTr="00CE564B">
        <w:trPr>
          <w:trHeight w:val="267"/>
        </w:trPr>
        <w:tc>
          <w:tcPr>
            <w:tcW w:w="520" w:type="dxa"/>
          </w:tcPr>
          <w:p w14:paraId="178F19F9" w14:textId="77777777" w:rsidR="005D280E" w:rsidRPr="005D280E" w:rsidRDefault="005D280E" w:rsidP="005D280E">
            <w:pPr>
              <w:spacing w:line="360" w:lineRule="auto"/>
              <w:ind w:firstLine="0"/>
              <w:contextualSpacing w:val="0"/>
              <w:rPr>
                <w:rFonts w:eastAsia="Times New Roman"/>
                <w:sz w:val="18"/>
                <w:szCs w:val="18"/>
                <w:lang w:val="en-US"/>
              </w:rPr>
            </w:pPr>
          </w:p>
        </w:tc>
        <w:tc>
          <w:tcPr>
            <w:tcW w:w="2875" w:type="dxa"/>
            <w:vAlign w:val="center"/>
          </w:tcPr>
          <w:p w14:paraId="67E4339B" w14:textId="77777777" w:rsidR="005D280E" w:rsidRPr="005D280E" w:rsidRDefault="005D280E" w:rsidP="005D280E">
            <w:pPr>
              <w:spacing w:line="360" w:lineRule="auto"/>
              <w:ind w:firstLine="0"/>
              <w:contextualSpacing w:val="0"/>
              <w:rPr>
                <w:rFonts w:eastAsia="Times New Roman"/>
                <w:sz w:val="18"/>
                <w:szCs w:val="18"/>
                <w:lang w:val="en-US"/>
              </w:rPr>
            </w:pPr>
            <w:r w:rsidRPr="005D280E">
              <w:rPr>
                <w:rFonts w:eastAsia="Times New Roman"/>
                <w:sz w:val="18"/>
                <w:szCs w:val="18"/>
                <w:lang w:val="en-US"/>
              </w:rPr>
              <w:t>Sexuality decreases with age</w:t>
            </w:r>
          </w:p>
        </w:tc>
        <w:tc>
          <w:tcPr>
            <w:tcW w:w="815" w:type="dxa"/>
            <w:vAlign w:val="center"/>
          </w:tcPr>
          <w:p w14:paraId="389CAC75" w14:textId="77777777" w:rsidR="005D280E" w:rsidRPr="005D280E" w:rsidRDefault="005D280E" w:rsidP="005D280E">
            <w:pPr>
              <w:spacing w:line="360" w:lineRule="auto"/>
              <w:ind w:firstLine="0"/>
              <w:jc w:val="right"/>
              <w:rPr>
                <w:sz w:val="18"/>
                <w:szCs w:val="18"/>
                <w:lang w:val="en-US"/>
              </w:rPr>
            </w:pPr>
            <w:r w:rsidRPr="005D280E">
              <w:rPr>
                <w:sz w:val="18"/>
                <w:szCs w:val="18"/>
                <w:lang w:val="en-US"/>
              </w:rPr>
              <w:t>-.13</w:t>
            </w:r>
          </w:p>
        </w:tc>
        <w:tc>
          <w:tcPr>
            <w:tcW w:w="559" w:type="dxa"/>
            <w:vAlign w:val="center"/>
          </w:tcPr>
          <w:p w14:paraId="6D90D49A" w14:textId="77777777" w:rsidR="005D280E" w:rsidRPr="005D280E" w:rsidRDefault="005D280E" w:rsidP="005D280E">
            <w:pPr>
              <w:spacing w:line="360" w:lineRule="auto"/>
              <w:ind w:firstLine="0"/>
              <w:jc w:val="center"/>
              <w:rPr>
                <w:sz w:val="18"/>
                <w:szCs w:val="18"/>
                <w:lang w:val="en-US"/>
              </w:rPr>
            </w:pPr>
            <w:r w:rsidRPr="005D280E">
              <w:rPr>
                <w:sz w:val="18"/>
                <w:szCs w:val="18"/>
                <w:lang w:val="en-US"/>
              </w:rPr>
              <w:t>.07</w:t>
            </w:r>
          </w:p>
        </w:tc>
        <w:tc>
          <w:tcPr>
            <w:tcW w:w="708" w:type="dxa"/>
            <w:vAlign w:val="center"/>
          </w:tcPr>
          <w:p w14:paraId="6838F873" w14:textId="77777777" w:rsidR="005D280E" w:rsidRPr="005D280E" w:rsidRDefault="005D280E" w:rsidP="005D280E">
            <w:pPr>
              <w:spacing w:line="360" w:lineRule="auto"/>
              <w:ind w:firstLine="0"/>
              <w:jc w:val="both"/>
              <w:rPr>
                <w:sz w:val="18"/>
                <w:szCs w:val="18"/>
                <w:lang w:val="en-US"/>
              </w:rPr>
            </w:pPr>
            <w:r w:rsidRPr="005D280E">
              <w:rPr>
                <w:sz w:val="18"/>
                <w:szCs w:val="18"/>
                <w:lang w:val="en-US"/>
              </w:rPr>
              <w:t>-.08</w:t>
            </w:r>
          </w:p>
        </w:tc>
        <w:tc>
          <w:tcPr>
            <w:tcW w:w="426" w:type="dxa"/>
            <w:vAlign w:val="center"/>
          </w:tcPr>
          <w:p w14:paraId="6CA0522E" w14:textId="77777777" w:rsidR="005D280E" w:rsidRPr="005D280E" w:rsidRDefault="005D280E" w:rsidP="005D280E">
            <w:pPr>
              <w:spacing w:line="360" w:lineRule="auto"/>
              <w:ind w:firstLine="0"/>
              <w:jc w:val="center"/>
              <w:rPr>
                <w:sz w:val="18"/>
                <w:szCs w:val="18"/>
                <w:lang w:val="en-US"/>
              </w:rPr>
            </w:pPr>
          </w:p>
        </w:tc>
        <w:tc>
          <w:tcPr>
            <w:tcW w:w="708" w:type="dxa"/>
            <w:vAlign w:val="center"/>
          </w:tcPr>
          <w:p w14:paraId="5D7D98F5" w14:textId="77777777" w:rsidR="005D280E" w:rsidRPr="005D280E" w:rsidRDefault="005D280E" w:rsidP="005D280E">
            <w:pPr>
              <w:spacing w:line="360" w:lineRule="auto"/>
              <w:ind w:firstLine="0"/>
              <w:jc w:val="right"/>
              <w:rPr>
                <w:sz w:val="18"/>
                <w:szCs w:val="18"/>
              </w:rPr>
            </w:pPr>
            <w:r w:rsidRPr="005D280E">
              <w:rPr>
                <w:sz w:val="18"/>
                <w:szCs w:val="18"/>
              </w:rPr>
              <w:t>-.21</w:t>
            </w:r>
          </w:p>
        </w:tc>
        <w:tc>
          <w:tcPr>
            <w:tcW w:w="567" w:type="dxa"/>
            <w:vAlign w:val="center"/>
          </w:tcPr>
          <w:p w14:paraId="3661DEB9" w14:textId="77777777" w:rsidR="005D280E" w:rsidRPr="005D280E" w:rsidRDefault="005D280E" w:rsidP="005D280E">
            <w:pPr>
              <w:spacing w:line="360" w:lineRule="auto"/>
              <w:ind w:firstLine="0"/>
              <w:rPr>
                <w:sz w:val="18"/>
                <w:szCs w:val="18"/>
              </w:rPr>
            </w:pPr>
            <w:r w:rsidRPr="005D280E">
              <w:rPr>
                <w:sz w:val="18"/>
                <w:szCs w:val="18"/>
              </w:rPr>
              <w:t>.08</w:t>
            </w:r>
          </w:p>
        </w:tc>
        <w:tc>
          <w:tcPr>
            <w:tcW w:w="709" w:type="dxa"/>
            <w:vAlign w:val="center"/>
          </w:tcPr>
          <w:p w14:paraId="63AA3260" w14:textId="77777777" w:rsidR="005D280E" w:rsidRPr="005D280E" w:rsidRDefault="005D280E" w:rsidP="005D280E">
            <w:pPr>
              <w:spacing w:line="360" w:lineRule="auto"/>
              <w:ind w:firstLine="0"/>
              <w:rPr>
                <w:sz w:val="18"/>
                <w:szCs w:val="18"/>
              </w:rPr>
            </w:pPr>
            <w:r w:rsidRPr="005D280E">
              <w:rPr>
                <w:sz w:val="18"/>
                <w:szCs w:val="18"/>
              </w:rPr>
              <w:t>-.12</w:t>
            </w:r>
            <w:r w:rsidRPr="005D280E">
              <w:rPr>
                <w:sz w:val="18"/>
                <w:szCs w:val="18"/>
                <w:vertAlign w:val="superscript"/>
              </w:rPr>
              <w:t>**</w:t>
            </w:r>
          </w:p>
        </w:tc>
        <w:tc>
          <w:tcPr>
            <w:tcW w:w="425" w:type="dxa"/>
            <w:vAlign w:val="center"/>
          </w:tcPr>
          <w:p w14:paraId="135B7E8B" w14:textId="77777777" w:rsidR="005D280E" w:rsidRPr="005D280E" w:rsidRDefault="005D280E" w:rsidP="005D280E">
            <w:pPr>
              <w:spacing w:line="360" w:lineRule="auto"/>
              <w:ind w:firstLine="0"/>
              <w:rPr>
                <w:sz w:val="18"/>
                <w:szCs w:val="18"/>
              </w:rPr>
            </w:pPr>
          </w:p>
        </w:tc>
        <w:tc>
          <w:tcPr>
            <w:tcW w:w="709" w:type="dxa"/>
            <w:vAlign w:val="center"/>
          </w:tcPr>
          <w:p w14:paraId="38126307" w14:textId="77777777" w:rsidR="005D280E" w:rsidRPr="005D280E" w:rsidRDefault="005D280E" w:rsidP="005D280E">
            <w:pPr>
              <w:spacing w:line="360" w:lineRule="auto"/>
              <w:ind w:firstLine="0"/>
              <w:rPr>
                <w:sz w:val="18"/>
                <w:szCs w:val="18"/>
              </w:rPr>
            </w:pPr>
            <w:r w:rsidRPr="005D280E">
              <w:rPr>
                <w:sz w:val="18"/>
                <w:szCs w:val="18"/>
              </w:rPr>
              <w:t xml:space="preserve"> .08</w:t>
            </w:r>
          </w:p>
        </w:tc>
        <w:tc>
          <w:tcPr>
            <w:tcW w:w="567" w:type="dxa"/>
            <w:vAlign w:val="center"/>
          </w:tcPr>
          <w:p w14:paraId="346DD6CA" w14:textId="77777777" w:rsidR="005D280E" w:rsidRPr="005D280E" w:rsidRDefault="005D280E" w:rsidP="005D280E">
            <w:pPr>
              <w:spacing w:line="360" w:lineRule="auto"/>
              <w:ind w:firstLine="0"/>
              <w:jc w:val="center"/>
              <w:rPr>
                <w:sz w:val="18"/>
                <w:szCs w:val="18"/>
              </w:rPr>
            </w:pPr>
            <w:r w:rsidRPr="005D280E">
              <w:rPr>
                <w:sz w:val="18"/>
                <w:szCs w:val="18"/>
              </w:rPr>
              <w:t>.07</w:t>
            </w:r>
          </w:p>
        </w:tc>
        <w:tc>
          <w:tcPr>
            <w:tcW w:w="709" w:type="dxa"/>
            <w:vAlign w:val="center"/>
          </w:tcPr>
          <w:p w14:paraId="74D5D5A7" w14:textId="77777777" w:rsidR="005D280E" w:rsidRPr="005D280E" w:rsidRDefault="005D280E" w:rsidP="005D280E">
            <w:pPr>
              <w:spacing w:line="360" w:lineRule="auto"/>
              <w:ind w:firstLine="0"/>
              <w:rPr>
                <w:sz w:val="18"/>
                <w:szCs w:val="18"/>
              </w:rPr>
            </w:pPr>
            <w:r w:rsidRPr="005D280E">
              <w:rPr>
                <w:sz w:val="18"/>
                <w:szCs w:val="18"/>
              </w:rPr>
              <w:t xml:space="preserve"> .06</w:t>
            </w:r>
          </w:p>
        </w:tc>
        <w:tc>
          <w:tcPr>
            <w:tcW w:w="425" w:type="dxa"/>
            <w:vAlign w:val="center"/>
          </w:tcPr>
          <w:p w14:paraId="4A725271" w14:textId="77777777" w:rsidR="005D280E" w:rsidRPr="005D280E" w:rsidRDefault="005D280E" w:rsidP="005D280E">
            <w:pPr>
              <w:spacing w:line="360" w:lineRule="auto"/>
              <w:ind w:firstLine="0"/>
              <w:jc w:val="center"/>
              <w:rPr>
                <w:sz w:val="18"/>
                <w:szCs w:val="18"/>
              </w:rPr>
            </w:pPr>
          </w:p>
        </w:tc>
        <w:tc>
          <w:tcPr>
            <w:tcW w:w="709" w:type="dxa"/>
            <w:vAlign w:val="center"/>
          </w:tcPr>
          <w:p w14:paraId="1ED18CBF" w14:textId="77777777" w:rsidR="005D280E" w:rsidRPr="005D280E" w:rsidRDefault="005D280E" w:rsidP="005D280E">
            <w:pPr>
              <w:spacing w:line="360" w:lineRule="auto"/>
              <w:ind w:firstLine="0"/>
              <w:jc w:val="right"/>
              <w:rPr>
                <w:sz w:val="18"/>
                <w:szCs w:val="18"/>
              </w:rPr>
            </w:pPr>
            <w:r w:rsidRPr="005D280E">
              <w:rPr>
                <w:sz w:val="18"/>
                <w:szCs w:val="18"/>
              </w:rPr>
              <w:t>-.00</w:t>
            </w:r>
          </w:p>
        </w:tc>
        <w:tc>
          <w:tcPr>
            <w:tcW w:w="567" w:type="dxa"/>
            <w:vAlign w:val="center"/>
          </w:tcPr>
          <w:p w14:paraId="6811511A" w14:textId="77777777" w:rsidR="005D280E" w:rsidRPr="005D280E" w:rsidRDefault="005D280E" w:rsidP="005D280E">
            <w:pPr>
              <w:spacing w:line="360" w:lineRule="auto"/>
              <w:ind w:firstLine="0"/>
              <w:rPr>
                <w:sz w:val="18"/>
                <w:szCs w:val="18"/>
              </w:rPr>
            </w:pPr>
            <w:r w:rsidRPr="005D280E">
              <w:rPr>
                <w:sz w:val="18"/>
                <w:szCs w:val="18"/>
              </w:rPr>
              <w:t>.09</w:t>
            </w:r>
          </w:p>
        </w:tc>
        <w:tc>
          <w:tcPr>
            <w:tcW w:w="760" w:type="dxa"/>
            <w:vAlign w:val="center"/>
          </w:tcPr>
          <w:p w14:paraId="7B614ADA" w14:textId="77777777" w:rsidR="005D280E" w:rsidRPr="005D280E" w:rsidRDefault="005D280E" w:rsidP="005D280E">
            <w:pPr>
              <w:spacing w:line="360" w:lineRule="auto"/>
              <w:ind w:firstLine="0"/>
              <w:jc w:val="both"/>
              <w:rPr>
                <w:sz w:val="18"/>
                <w:szCs w:val="18"/>
              </w:rPr>
            </w:pPr>
            <w:r w:rsidRPr="005D280E">
              <w:rPr>
                <w:sz w:val="18"/>
                <w:szCs w:val="18"/>
              </w:rPr>
              <w:t>-.00</w:t>
            </w:r>
          </w:p>
        </w:tc>
      </w:tr>
      <w:tr w:rsidR="005D280E" w:rsidRPr="005D280E" w14:paraId="2D4CB2AD" w14:textId="77777777" w:rsidTr="00CE564B">
        <w:trPr>
          <w:trHeight w:val="267"/>
        </w:trPr>
        <w:tc>
          <w:tcPr>
            <w:tcW w:w="520" w:type="dxa"/>
          </w:tcPr>
          <w:p w14:paraId="2A81FABB" w14:textId="77777777" w:rsidR="005D280E" w:rsidRPr="005D280E" w:rsidRDefault="005D280E" w:rsidP="005D280E">
            <w:pPr>
              <w:spacing w:line="360" w:lineRule="auto"/>
              <w:ind w:firstLine="0"/>
              <w:contextualSpacing w:val="0"/>
              <w:rPr>
                <w:rFonts w:eastAsia="Times New Roman"/>
                <w:sz w:val="18"/>
                <w:szCs w:val="18"/>
                <w:lang w:val="en-US"/>
              </w:rPr>
            </w:pPr>
          </w:p>
        </w:tc>
        <w:tc>
          <w:tcPr>
            <w:tcW w:w="2875" w:type="dxa"/>
            <w:vAlign w:val="center"/>
          </w:tcPr>
          <w:p w14:paraId="577CB37F" w14:textId="77777777" w:rsidR="005D280E" w:rsidRPr="005D280E" w:rsidRDefault="005D280E" w:rsidP="005D280E">
            <w:pPr>
              <w:spacing w:line="360" w:lineRule="auto"/>
              <w:ind w:firstLine="0"/>
              <w:contextualSpacing w:val="0"/>
              <w:rPr>
                <w:rFonts w:eastAsia="Times New Roman"/>
                <w:sz w:val="18"/>
                <w:szCs w:val="18"/>
                <w:lang w:val="en-US"/>
              </w:rPr>
            </w:pPr>
            <w:r w:rsidRPr="005D280E">
              <w:rPr>
                <w:rFonts w:eastAsia="Times New Roman"/>
                <w:sz w:val="18"/>
                <w:szCs w:val="18"/>
                <w:lang w:val="en-US"/>
              </w:rPr>
              <w:t xml:space="preserve">Sexuality is beneficial </w:t>
            </w:r>
          </w:p>
        </w:tc>
        <w:tc>
          <w:tcPr>
            <w:tcW w:w="815" w:type="dxa"/>
            <w:vAlign w:val="center"/>
          </w:tcPr>
          <w:p w14:paraId="65FEE7A0" w14:textId="77777777" w:rsidR="005D280E" w:rsidRPr="005D280E" w:rsidRDefault="005D280E" w:rsidP="005D280E">
            <w:pPr>
              <w:spacing w:line="360" w:lineRule="auto"/>
              <w:ind w:firstLine="0"/>
              <w:jc w:val="right"/>
              <w:rPr>
                <w:sz w:val="18"/>
                <w:szCs w:val="18"/>
                <w:lang w:val="en-US"/>
              </w:rPr>
            </w:pPr>
            <w:r w:rsidRPr="005D280E">
              <w:rPr>
                <w:sz w:val="18"/>
                <w:szCs w:val="18"/>
                <w:lang w:val="en-US"/>
              </w:rPr>
              <w:t xml:space="preserve"> .09</w:t>
            </w:r>
          </w:p>
        </w:tc>
        <w:tc>
          <w:tcPr>
            <w:tcW w:w="559" w:type="dxa"/>
            <w:vAlign w:val="center"/>
          </w:tcPr>
          <w:p w14:paraId="7F08D2D1" w14:textId="77777777" w:rsidR="005D280E" w:rsidRPr="005D280E" w:rsidRDefault="005D280E" w:rsidP="005D280E">
            <w:pPr>
              <w:spacing w:line="360" w:lineRule="auto"/>
              <w:ind w:firstLine="0"/>
              <w:jc w:val="center"/>
              <w:rPr>
                <w:sz w:val="18"/>
                <w:szCs w:val="18"/>
                <w:lang w:val="en-US"/>
              </w:rPr>
            </w:pPr>
            <w:r w:rsidRPr="005D280E">
              <w:rPr>
                <w:sz w:val="18"/>
                <w:szCs w:val="18"/>
                <w:lang w:val="en-US"/>
              </w:rPr>
              <w:t>.08</w:t>
            </w:r>
          </w:p>
        </w:tc>
        <w:tc>
          <w:tcPr>
            <w:tcW w:w="708" w:type="dxa"/>
            <w:vAlign w:val="center"/>
          </w:tcPr>
          <w:p w14:paraId="108C9922" w14:textId="77777777" w:rsidR="005D280E" w:rsidRPr="005D280E" w:rsidRDefault="005D280E" w:rsidP="005D280E">
            <w:pPr>
              <w:spacing w:line="360" w:lineRule="auto"/>
              <w:ind w:firstLine="0"/>
              <w:jc w:val="both"/>
              <w:rPr>
                <w:sz w:val="18"/>
                <w:szCs w:val="18"/>
                <w:lang w:val="en-US"/>
              </w:rPr>
            </w:pPr>
            <w:r w:rsidRPr="005D280E">
              <w:rPr>
                <w:sz w:val="18"/>
                <w:szCs w:val="18"/>
                <w:lang w:val="en-US"/>
              </w:rPr>
              <w:t xml:space="preserve"> .04</w:t>
            </w:r>
          </w:p>
        </w:tc>
        <w:tc>
          <w:tcPr>
            <w:tcW w:w="426" w:type="dxa"/>
            <w:vAlign w:val="center"/>
          </w:tcPr>
          <w:p w14:paraId="7CDB74E8" w14:textId="77777777" w:rsidR="005D280E" w:rsidRPr="005D280E" w:rsidRDefault="005D280E" w:rsidP="005D280E">
            <w:pPr>
              <w:spacing w:line="360" w:lineRule="auto"/>
              <w:ind w:firstLine="0"/>
              <w:jc w:val="center"/>
              <w:rPr>
                <w:sz w:val="18"/>
                <w:szCs w:val="18"/>
                <w:lang w:val="en-US"/>
              </w:rPr>
            </w:pPr>
          </w:p>
        </w:tc>
        <w:tc>
          <w:tcPr>
            <w:tcW w:w="708" w:type="dxa"/>
            <w:vAlign w:val="center"/>
          </w:tcPr>
          <w:p w14:paraId="0A20D408" w14:textId="77777777" w:rsidR="005D280E" w:rsidRPr="005D280E" w:rsidRDefault="005D280E" w:rsidP="005D280E">
            <w:pPr>
              <w:spacing w:line="360" w:lineRule="auto"/>
              <w:ind w:firstLine="0"/>
              <w:jc w:val="right"/>
              <w:rPr>
                <w:sz w:val="18"/>
                <w:szCs w:val="18"/>
              </w:rPr>
            </w:pPr>
            <w:r w:rsidRPr="005D280E">
              <w:rPr>
                <w:sz w:val="18"/>
                <w:szCs w:val="18"/>
              </w:rPr>
              <w:t xml:space="preserve"> .41</w:t>
            </w:r>
          </w:p>
        </w:tc>
        <w:tc>
          <w:tcPr>
            <w:tcW w:w="567" w:type="dxa"/>
            <w:vAlign w:val="center"/>
          </w:tcPr>
          <w:p w14:paraId="2872F22D" w14:textId="77777777" w:rsidR="005D280E" w:rsidRPr="005D280E" w:rsidRDefault="005D280E" w:rsidP="005D280E">
            <w:pPr>
              <w:spacing w:line="360" w:lineRule="auto"/>
              <w:ind w:firstLine="0"/>
              <w:rPr>
                <w:sz w:val="18"/>
                <w:szCs w:val="18"/>
              </w:rPr>
            </w:pPr>
            <w:r w:rsidRPr="005D280E">
              <w:rPr>
                <w:sz w:val="18"/>
                <w:szCs w:val="18"/>
              </w:rPr>
              <w:t>.09</w:t>
            </w:r>
          </w:p>
        </w:tc>
        <w:tc>
          <w:tcPr>
            <w:tcW w:w="709" w:type="dxa"/>
            <w:vAlign w:val="center"/>
          </w:tcPr>
          <w:p w14:paraId="5CC175D2" w14:textId="77777777" w:rsidR="005D280E" w:rsidRPr="005D280E" w:rsidRDefault="005D280E" w:rsidP="005D280E">
            <w:pPr>
              <w:spacing w:line="360" w:lineRule="auto"/>
              <w:ind w:firstLine="0"/>
              <w:rPr>
                <w:sz w:val="18"/>
                <w:szCs w:val="18"/>
              </w:rPr>
            </w:pPr>
            <w:r w:rsidRPr="005D280E">
              <w:rPr>
                <w:sz w:val="18"/>
                <w:szCs w:val="18"/>
              </w:rPr>
              <w:t xml:space="preserve"> .21</w:t>
            </w:r>
            <w:r w:rsidRPr="005D280E">
              <w:rPr>
                <w:sz w:val="18"/>
                <w:szCs w:val="18"/>
                <w:vertAlign w:val="superscript"/>
              </w:rPr>
              <w:t>***</w:t>
            </w:r>
          </w:p>
        </w:tc>
        <w:tc>
          <w:tcPr>
            <w:tcW w:w="425" w:type="dxa"/>
            <w:vAlign w:val="center"/>
          </w:tcPr>
          <w:p w14:paraId="04D1F274" w14:textId="77777777" w:rsidR="005D280E" w:rsidRPr="005D280E" w:rsidRDefault="005D280E" w:rsidP="005D280E">
            <w:pPr>
              <w:spacing w:line="360" w:lineRule="auto"/>
              <w:ind w:firstLine="0"/>
              <w:rPr>
                <w:sz w:val="18"/>
                <w:szCs w:val="18"/>
              </w:rPr>
            </w:pPr>
          </w:p>
        </w:tc>
        <w:tc>
          <w:tcPr>
            <w:tcW w:w="709" w:type="dxa"/>
            <w:vAlign w:val="center"/>
          </w:tcPr>
          <w:p w14:paraId="054EF49B" w14:textId="77777777" w:rsidR="005D280E" w:rsidRPr="005D280E" w:rsidRDefault="005D280E" w:rsidP="005D280E">
            <w:pPr>
              <w:spacing w:line="360" w:lineRule="auto"/>
              <w:ind w:firstLine="0"/>
              <w:rPr>
                <w:sz w:val="18"/>
                <w:szCs w:val="18"/>
              </w:rPr>
            </w:pPr>
            <w:r w:rsidRPr="005D280E">
              <w:rPr>
                <w:sz w:val="18"/>
                <w:szCs w:val="18"/>
              </w:rPr>
              <w:t xml:space="preserve"> .24</w:t>
            </w:r>
          </w:p>
        </w:tc>
        <w:tc>
          <w:tcPr>
            <w:tcW w:w="567" w:type="dxa"/>
            <w:vAlign w:val="center"/>
          </w:tcPr>
          <w:p w14:paraId="410A9515" w14:textId="77777777" w:rsidR="005D280E" w:rsidRPr="005D280E" w:rsidRDefault="005D280E" w:rsidP="005D280E">
            <w:pPr>
              <w:spacing w:line="360" w:lineRule="auto"/>
              <w:ind w:firstLine="0"/>
              <w:jc w:val="center"/>
              <w:rPr>
                <w:sz w:val="18"/>
                <w:szCs w:val="18"/>
              </w:rPr>
            </w:pPr>
            <w:r w:rsidRPr="005D280E">
              <w:rPr>
                <w:sz w:val="18"/>
                <w:szCs w:val="18"/>
              </w:rPr>
              <w:t>.09</w:t>
            </w:r>
          </w:p>
        </w:tc>
        <w:tc>
          <w:tcPr>
            <w:tcW w:w="709" w:type="dxa"/>
            <w:vAlign w:val="center"/>
          </w:tcPr>
          <w:p w14:paraId="4E061800" w14:textId="77777777" w:rsidR="005D280E" w:rsidRPr="005D280E" w:rsidRDefault="005D280E" w:rsidP="005D280E">
            <w:pPr>
              <w:spacing w:line="360" w:lineRule="auto"/>
              <w:ind w:firstLine="0"/>
              <w:rPr>
                <w:sz w:val="18"/>
                <w:szCs w:val="18"/>
              </w:rPr>
            </w:pPr>
            <w:r w:rsidRPr="005D280E">
              <w:rPr>
                <w:sz w:val="18"/>
                <w:szCs w:val="18"/>
              </w:rPr>
              <w:t xml:space="preserve"> .13</w:t>
            </w:r>
            <w:r w:rsidRPr="005D280E">
              <w:rPr>
                <w:sz w:val="18"/>
                <w:szCs w:val="18"/>
                <w:vertAlign w:val="superscript"/>
              </w:rPr>
              <w:t>**</w:t>
            </w:r>
          </w:p>
        </w:tc>
        <w:tc>
          <w:tcPr>
            <w:tcW w:w="425" w:type="dxa"/>
            <w:vAlign w:val="center"/>
          </w:tcPr>
          <w:p w14:paraId="5AD39BE1" w14:textId="77777777" w:rsidR="005D280E" w:rsidRPr="005D280E" w:rsidRDefault="005D280E" w:rsidP="005D280E">
            <w:pPr>
              <w:spacing w:line="360" w:lineRule="auto"/>
              <w:ind w:firstLine="0"/>
              <w:jc w:val="center"/>
              <w:rPr>
                <w:sz w:val="18"/>
                <w:szCs w:val="18"/>
              </w:rPr>
            </w:pPr>
          </w:p>
        </w:tc>
        <w:tc>
          <w:tcPr>
            <w:tcW w:w="709" w:type="dxa"/>
            <w:vAlign w:val="center"/>
          </w:tcPr>
          <w:p w14:paraId="030FE574" w14:textId="77777777" w:rsidR="005D280E" w:rsidRPr="005D280E" w:rsidRDefault="005D280E" w:rsidP="005D280E">
            <w:pPr>
              <w:spacing w:line="360" w:lineRule="auto"/>
              <w:ind w:firstLine="0"/>
              <w:jc w:val="right"/>
              <w:rPr>
                <w:sz w:val="18"/>
                <w:szCs w:val="18"/>
              </w:rPr>
            </w:pPr>
            <w:r w:rsidRPr="005D280E">
              <w:rPr>
                <w:sz w:val="18"/>
                <w:szCs w:val="18"/>
              </w:rPr>
              <w:t xml:space="preserve"> .06</w:t>
            </w:r>
          </w:p>
        </w:tc>
        <w:tc>
          <w:tcPr>
            <w:tcW w:w="567" w:type="dxa"/>
            <w:vAlign w:val="center"/>
          </w:tcPr>
          <w:p w14:paraId="13E23709" w14:textId="77777777" w:rsidR="005D280E" w:rsidRPr="005D280E" w:rsidRDefault="005D280E" w:rsidP="005D280E">
            <w:pPr>
              <w:spacing w:line="360" w:lineRule="auto"/>
              <w:ind w:firstLine="0"/>
              <w:rPr>
                <w:sz w:val="18"/>
                <w:szCs w:val="18"/>
              </w:rPr>
            </w:pPr>
            <w:r w:rsidRPr="005D280E">
              <w:rPr>
                <w:sz w:val="18"/>
                <w:szCs w:val="18"/>
              </w:rPr>
              <w:t>.15</w:t>
            </w:r>
          </w:p>
        </w:tc>
        <w:tc>
          <w:tcPr>
            <w:tcW w:w="760" w:type="dxa"/>
            <w:vAlign w:val="center"/>
          </w:tcPr>
          <w:p w14:paraId="686607F8" w14:textId="77777777" w:rsidR="005D280E" w:rsidRPr="005D280E" w:rsidRDefault="005D280E" w:rsidP="005D280E">
            <w:pPr>
              <w:spacing w:line="360" w:lineRule="auto"/>
              <w:ind w:firstLine="0"/>
              <w:jc w:val="both"/>
              <w:rPr>
                <w:sz w:val="18"/>
                <w:szCs w:val="18"/>
              </w:rPr>
            </w:pPr>
            <w:r w:rsidRPr="005D280E">
              <w:rPr>
                <w:sz w:val="18"/>
                <w:szCs w:val="18"/>
              </w:rPr>
              <w:t xml:space="preserve"> .03</w:t>
            </w:r>
          </w:p>
        </w:tc>
      </w:tr>
      <w:tr w:rsidR="005D280E" w:rsidRPr="005D280E" w14:paraId="24F1F3DB" w14:textId="77777777" w:rsidTr="00CE564B">
        <w:trPr>
          <w:trHeight w:val="267"/>
        </w:trPr>
        <w:tc>
          <w:tcPr>
            <w:tcW w:w="3395" w:type="dxa"/>
            <w:gridSpan w:val="2"/>
            <w:tcBorders>
              <w:bottom w:val="single" w:sz="4" w:space="0" w:color="auto"/>
            </w:tcBorders>
          </w:tcPr>
          <w:p w14:paraId="726F5ACE" w14:textId="77777777" w:rsidR="005D280E" w:rsidRPr="005D280E" w:rsidRDefault="005D280E" w:rsidP="005D280E">
            <w:pPr>
              <w:spacing w:line="360" w:lineRule="auto"/>
              <w:ind w:firstLine="0"/>
              <w:contextualSpacing w:val="0"/>
              <w:rPr>
                <w:rFonts w:eastAsia="Times New Roman"/>
                <w:sz w:val="18"/>
                <w:szCs w:val="18"/>
                <w:lang w:val="en-US"/>
              </w:rPr>
            </w:pPr>
            <w:r w:rsidRPr="005D280E">
              <w:rPr>
                <w:rFonts w:eastAsia="Times New Roman"/>
                <w:i/>
                <w:sz w:val="18"/>
                <w:szCs w:val="18"/>
                <w:lang w:val="en-GB"/>
              </w:rPr>
              <w:t xml:space="preserve"> </w:t>
            </w:r>
            <w:r w:rsidRPr="005D280E">
              <w:rPr>
                <w:rFonts w:eastAsia="Times New Roman"/>
                <w:sz w:val="18"/>
                <w:szCs w:val="18"/>
              </w:rPr>
              <w:t xml:space="preserve"> </w:t>
            </w:r>
            <w:r w:rsidRPr="005D280E">
              <w:rPr>
                <w:rFonts w:eastAsia="Times New Roman"/>
                <w:i/>
                <w:sz w:val="18"/>
                <w:szCs w:val="18"/>
              </w:rPr>
              <w:t>R</w:t>
            </w:r>
            <w:r w:rsidRPr="005D280E">
              <w:rPr>
                <w:rFonts w:eastAsia="Times New Roman"/>
                <w:i/>
                <w:sz w:val="18"/>
                <w:szCs w:val="18"/>
                <w:vertAlign w:val="superscript"/>
              </w:rPr>
              <w:t>2</w:t>
            </w:r>
          </w:p>
        </w:tc>
        <w:tc>
          <w:tcPr>
            <w:tcW w:w="815" w:type="dxa"/>
            <w:tcBorders>
              <w:bottom w:val="single" w:sz="4" w:space="0" w:color="auto"/>
            </w:tcBorders>
            <w:vAlign w:val="center"/>
          </w:tcPr>
          <w:p w14:paraId="34FB8760" w14:textId="77777777" w:rsidR="005D280E" w:rsidRPr="005D280E" w:rsidRDefault="005D280E" w:rsidP="005D280E">
            <w:pPr>
              <w:spacing w:line="360" w:lineRule="auto"/>
              <w:ind w:firstLine="0"/>
              <w:rPr>
                <w:sz w:val="18"/>
                <w:szCs w:val="18"/>
                <w:lang w:val="en-US"/>
              </w:rPr>
            </w:pPr>
          </w:p>
        </w:tc>
        <w:tc>
          <w:tcPr>
            <w:tcW w:w="559" w:type="dxa"/>
            <w:tcBorders>
              <w:bottom w:val="single" w:sz="4" w:space="0" w:color="auto"/>
            </w:tcBorders>
            <w:vAlign w:val="center"/>
          </w:tcPr>
          <w:p w14:paraId="30852F24" w14:textId="77777777" w:rsidR="005D280E" w:rsidRPr="005D280E" w:rsidRDefault="005D280E" w:rsidP="005D280E">
            <w:pPr>
              <w:spacing w:line="360" w:lineRule="auto"/>
              <w:ind w:firstLine="0"/>
              <w:jc w:val="center"/>
              <w:rPr>
                <w:sz w:val="18"/>
                <w:szCs w:val="18"/>
                <w:lang w:val="en-US"/>
              </w:rPr>
            </w:pPr>
            <w:r w:rsidRPr="005D280E">
              <w:rPr>
                <w:sz w:val="18"/>
                <w:szCs w:val="18"/>
                <w:lang w:val="en-US"/>
              </w:rPr>
              <w:t>.23</w:t>
            </w:r>
          </w:p>
        </w:tc>
        <w:tc>
          <w:tcPr>
            <w:tcW w:w="708" w:type="dxa"/>
            <w:tcBorders>
              <w:bottom w:val="single" w:sz="4" w:space="0" w:color="auto"/>
            </w:tcBorders>
            <w:vAlign w:val="center"/>
          </w:tcPr>
          <w:p w14:paraId="006E3393" w14:textId="77777777" w:rsidR="005D280E" w:rsidRPr="005D280E" w:rsidRDefault="005D280E" w:rsidP="005D280E">
            <w:pPr>
              <w:spacing w:line="360" w:lineRule="auto"/>
              <w:ind w:firstLine="0"/>
              <w:rPr>
                <w:sz w:val="18"/>
                <w:szCs w:val="18"/>
                <w:lang w:val="en-US"/>
              </w:rPr>
            </w:pPr>
          </w:p>
        </w:tc>
        <w:tc>
          <w:tcPr>
            <w:tcW w:w="426" w:type="dxa"/>
            <w:tcBorders>
              <w:bottom w:val="single" w:sz="4" w:space="0" w:color="auto"/>
            </w:tcBorders>
            <w:vAlign w:val="center"/>
          </w:tcPr>
          <w:p w14:paraId="1EBD4A6C" w14:textId="77777777" w:rsidR="005D280E" w:rsidRPr="005D280E" w:rsidRDefault="005D280E" w:rsidP="005D280E">
            <w:pPr>
              <w:spacing w:line="360" w:lineRule="auto"/>
              <w:ind w:firstLine="0"/>
              <w:jc w:val="center"/>
              <w:rPr>
                <w:sz w:val="18"/>
                <w:szCs w:val="18"/>
                <w:lang w:val="en-US"/>
              </w:rPr>
            </w:pPr>
          </w:p>
        </w:tc>
        <w:tc>
          <w:tcPr>
            <w:tcW w:w="708" w:type="dxa"/>
            <w:tcBorders>
              <w:bottom w:val="single" w:sz="4" w:space="0" w:color="auto"/>
            </w:tcBorders>
            <w:vAlign w:val="center"/>
          </w:tcPr>
          <w:p w14:paraId="5EDCD7AB" w14:textId="77777777" w:rsidR="005D280E" w:rsidRPr="005D280E" w:rsidRDefault="005D280E" w:rsidP="005D280E">
            <w:pPr>
              <w:spacing w:line="360" w:lineRule="auto"/>
              <w:ind w:firstLine="0"/>
              <w:rPr>
                <w:sz w:val="18"/>
                <w:szCs w:val="18"/>
              </w:rPr>
            </w:pPr>
          </w:p>
        </w:tc>
        <w:tc>
          <w:tcPr>
            <w:tcW w:w="567" w:type="dxa"/>
            <w:tcBorders>
              <w:bottom w:val="single" w:sz="4" w:space="0" w:color="auto"/>
            </w:tcBorders>
            <w:vAlign w:val="center"/>
          </w:tcPr>
          <w:p w14:paraId="594A9692" w14:textId="77777777" w:rsidR="005D280E" w:rsidRPr="005D280E" w:rsidRDefault="005D280E" w:rsidP="005D280E">
            <w:pPr>
              <w:spacing w:line="360" w:lineRule="auto"/>
              <w:ind w:firstLine="0"/>
              <w:rPr>
                <w:sz w:val="18"/>
                <w:szCs w:val="18"/>
              </w:rPr>
            </w:pPr>
            <w:r w:rsidRPr="005D280E">
              <w:rPr>
                <w:sz w:val="18"/>
                <w:szCs w:val="18"/>
              </w:rPr>
              <w:t>.28</w:t>
            </w:r>
          </w:p>
        </w:tc>
        <w:tc>
          <w:tcPr>
            <w:tcW w:w="709" w:type="dxa"/>
            <w:tcBorders>
              <w:bottom w:val="single" w:sz="4" w:space="0" w:color="auto"/>
            </w:tcBorders>
            <w:vAlign w:val="center"/>
          </w:tcPr>
          <w:p w14:paraId="1D7F404C" w14:textId="77777777" w:rsidR="005D280E" w:rsidRPr="005D280E" w:rsidRDefault="005D280E" w:rsidP="005D280E">
            <w:pPr>
              <w:spacing w:line="360" w:lineRule="auto"/>
              <w:ind w:firstLine="0"/>
              <w:rPr>
                <w:sz w:val="18"/>
                <w:szCs w:val="18"/>
              </w:rPr>
            </w:pPr>
          </w:p>
        </w:tc>
        <w:tc>
          <w:tcPr>
            <w:tcW w:w="425" w:type="dxa"/>
            <w:tcBorders>
              <w:bottom w:val="single" w:sz="4" w:space="0" w:color="auto"/>
            </w:tcBorders>
            <w:vAlign w:val="center"/>
          </w:tcPr>
          <w:p w14:paraId="35D2749C" w14:textId="77777777" w:rsidR="005D280E" w:rsidRPr="005D280E" w:rsidRDefault="005D280E" w:rsidP="005D280E">
            <w:pPr>
              <w:spacing w:line="360" w:lineRule="auto"/>
              <w:ind w:firstLine="0"/>
              <w:rPr>
                <w:sz w:val="18"/>
                <w:szCs w:val="18"/>
              </w:rPr>
            </w:pPr>
          </w:p>
        </w:tc>
        <w:tc>
          <w:tcPr>
            <w:tcW w:w="709" w:type="dxa"/>
            <w:tcBorders>
              <w:bottom w:val="single" w:sz="4" w:space="0" w:color="auto"/>
            </w:tcBorders>
            <w:vAlign w:val="center"/>
          </w:tcPr>
          <w:p w14:paraId="65D045B5" w14:textId="77777777" w:rsidR="005D280E" w:rsidRPr="005D280E" w:rsidRDefault="005D280E" w:rsidP="005D280E">
            <w:pPr>
              <w:spacing w:line="360" w:lineRule="auto"/>
              <w:ind w:firstLine="0"/>
              <w:rPr>
                <w:sz w:val="18"/>
                <w:szCs w:val="18"/>
              </w:rPr>
            </w:pPr>
          </w:p>
        </w:tc>
        <w:tc>
          <w:tcPr>
            <w:tcW w:w="567" w:type="dxa"/>
            <w:tcBorders>
              <w:bottom w:val="single" w:sz="4" w:space="0" w:color="auto"/>
            </w:tcBorders>
            <w:vAlign w:val="center"/>
          </w:tcPr>
          <w:p w14:paraId="020F2413" w14:textId="77777777" w:rsidR="005D280E" w:rsidRPr="005D280E" w:rsidRDefault="005D280E" w:rsidP="005D280E">
            <w:pPr>
              <w:spacing w:line="360" w:lineRule="auto"/>
              <w:ind w:firstLine="0"/>
              <w:jc w:val="center"/>
              <w:rPr>
                <w:sz w:val="18"/>
                <w:szCs w:val="18"/>
              </w:rPr>
            </w:pPr>
            <w:r w:rsidRPr="005D280E">
              <w:rPr>
                <w:sz w:val="18"/>
                <w:szCs w:val="18"/>
              </w:rPr>
              <w:t>.18</w:t>
            </w:r>
          </w:p>
        </w:tc>
        <w:tc>
          <w:tcPr>
            <w:tcW w:w="709" w:type="dxa"/>
            <w:tcBorders>
              <w:bottom w:val="single" w:sz="4" w:space="0" w:color="auto"/>
            </w:tcBorders>
            <w:vAlign w:val="center"/>
          </w:tcPr>
          <w:p w14:paraId="19E78EEC" w14:textId="77777777" w:rsidR="005D280E" w:rsidRPr="005D280E" w:rsidRDefault="005D280E" w:rsidP="005D280E">
            <w:pPr>
              <w:spacing w:line="360" w:lineRule="auto"/>
              <w:ind w:firstLine="0"/>
              <w:jc w:val="center"/>
              <w:rPr>
                <w:sz w:val="18"/>
                <w:szCs w:val="18"/>
              </w:rPr>
            </w:pPr>
          </w:p>
        </w:tc>
        <w:tc>
          <w:tcPr>
            <w:tcW w:w="425" w:type="dxa"/>
            <w:tcBorders>
              <w:bottom w:val="single" w:sz="4" w:space="0" w:color="auto"/>
            </w:tcBorders>
            <w:vAlign w:val="center"/>
          </w:tcPr>
          <w:p w14:paraId="6362B90B" w14:textId="77777777" w:rsidR="005D280E" w:rsidRPr="005D280E" w:rsidRDefault="005D280E" w:rsidP="005D280E">
            <w:pPr>
              <w:spacing w:line="360" w:lineRule="auto"/>
              <w:ind w:firstLine="0"/>
              <w:jc w:val="center"/>
              <w:rPr>
                <w:sz w:val="18"/>
                <w:szCs w:val="18"/>
              </w:rPr>
            </w:pPr>
          </w:p>
        </w:tc>
        <w:tc>
          <w:tcPr>
            <w:tcW w:w="709" w:type="dxa"/>
            <w:tcBorders>
              <w:bottom w:val="single" w:sz="4" w:space="0" w:color="auto"/>
            </w:tcBorders>
            <w:vAlign w:val="center"/>
          </w:tcPr>
          <w:p w14:paraId="5D61CC83" w14:textId="77777777" w:rsidR="005D280E" w:rsidRPr="005D280E" w:rsidRDefault="005D280E" w:rsidP="005D280E">
            <w:pPr>
              <w:spacing w:line="360" w:lineRule="auto"/>
              <w:ind w:firstLine="0"/>
              <w:jc w:val="both"/>
              <w:rPr>
                <w:sz w:val="18"/>
                <w:szCs w:val="18"/>
              </w:rPr>
            </w:pPr>
          </w:p>
        </w:tc>
        <w:tc>
          <w:tcPr>
            <w:tcW w:w="567" w:type="dxa"/>
            <w:tcBorders>
              <w:bottom w:val="single" w:sz="4" w:space="0" w:color="auto"/>
            </w:tcBorders>
            <w:vAlign w:val="center"/>
          </w:tcPr>
          <w:p w14:paraId="0BEF9E8D" w14:textId="77777777" w:rsidR="005D280E" w:rsidRPr="005D280E" w:rsidRDefault="005D280E" w:rsidP="005D280E">
            <w:pPr>
              <w:spacing w:line="360" w:lineRule="auto"/>
              <w:ind w:firstLine="0"/>
              <w:rPr>
                <w:sz w:val="18"/>
                <w:szCs w:val="18"/>
              </w:rPr>
            </w:pPr>
            <w:r w:rsidRPr="005D280E">
              <w:rPr>
                <w:sz w:val="18"/>
                <w:szCs w:val="18"/>
              </w:rPr>
              <w:t>.13</w:t>
            </w:r>
          </w:p>
        </w:tc>
        <w:tc>
          <w:tcPr>
            <w:tcW w:w="760" w:type="dxa"/>
            <w:tcBorders>
              <w:bottom w:val="single" w:sz="4" w:space="0" w:color="auto"/>
            </w:tcBorders>
            <w:vAlign w:val="center"/>
          </w:tcPr>
          <w:p w14:paraId="02A23C5A" w14:textId="77777777" w:rsidR="005D280E" w:rsidRPr="005D280E" w:rsidRDefault="005D280E" w:rsidP="005D280E">
            <w:pPr>
              <w:spacing w:line="360" w:lineRule="auto"/>
              <w:ind w:firstLine="0"/>
              <w:rPr>
                <w:sz w:val="18"/>
                <w:szCs w:val="18"/>
              </w:rPr>
            </w:pPr>
          </w:p>
        </w:tc>
      </w:tr>
    </w:tbl>
    <w:p w14:paraId="6D1CFE55" w14:textId="77777777" w:rsidR="002C10AF" w:rsidRPr="007F3010" w:rsidRDefault="002C10AF" w:rsidP="002C10AF">
      <w:pPr>
        <w:ind w:firstLine="0"/>
        <w:contextualSpacing w:val="0"/>
        <w:rPr>
          <w:rFonts w:eastAsia="Times New Roman"/>
          <w:i/>
          <w:szCs w:val="24"/>
          <w:lang w:val="en-GB"/>
        </w:rPr>
      </w:pPr>
    </w:p>
    <w:p w14:paraId="0C55F78C" w14:textId="77777777" w:rsidR="002C10AF" w:rsidRPr="00B91B93" w:rsidRDefault="002C10AF" w:rsidP="002C10AF">
      <w:pPr>
        <w:spacing w:line="240" w:lineRule="auto"/>
        <w:ind w:firstLine="0"/>
        <w:contextualSpacing w:val="0"/>
        <w:rPr>
          <w:rFonts w:eastAsia="Times New Roman"/>
          <w:b/>
          <w:sz w:val="16"/>
          <w:szCs w:val="16"/>
          <w:lang w:val="en-GB"/>
        </w:rPr>
      </w:pPr>
    </w:p>
    <w:p w14:paraId="5906624A" w14:textId="77777777" w:rsidR="002C10AF" w:rsidRPr="00B91B93" w:rsidRDefault="002C10AF" w:rsidP="002C10AF">
      <w:pPr>
        <w:spacing w:line="240" w:lineRule="auto"/>
        <w:ind w:firstLine="0"/>
        <w:contextualSpacing w:val="0"/>
        <w:rPr>
          <w:rFonts w:eastAsia="Times New Roman"/>
          <w:b/>
          <w:sz w:val="16"/>
          <w:szCs w:val="16"/>
          <w:lang w:val="en-GB"/>
        </w:rPr>
      </w:pPr>
    </w:p>
    <w:p w14:paraId="64F5A612" w14:textId="77777777" w:rsidR="002C10AF" w:rsidRPr="00B91B93" w:rsidRDefault="002C10AF" w:rsidP="002C10AF">
      <w:pPr>
        <w:spacing w:line="240" w:lineRule="auto"/>
        <w:ind w:firstLine="0"/>
        <w:contextualSpacing w:val="0"/>
        <w:rPr>
          <w:rFonts w:eastAsia="Times New Roman"/>
          <w:szCs w:val="24"/>
          <w:lang w:val="en-GB"/>
        </w:rPr>
      </w:pPr>
    </w:p>
    <w:p w14:paraId="3EF0DDAD" w14:textId="77777777" w:rsidR="002C10AF" w:rsidRPr="00462A1F" w:rsidRDefault="002C10AF" w:rsidP="002C10AF">
      <w:pPr>
        <w:rPr>
          <w:lang w:val="en-US"/>
        </w:rPr>
      </w:pPr>
    </w:p>
    <w:p w14:paraId="39750738" w14:textId="77777777" w:rsidR="002C10AF" w:rsidRDefault="002C10AF" w:rsidP="002C10AF">
      <w:pPr>
        <w:rPr>
          <w:lang w:val="en-US"/>
        </w:rPr>
      </w:pPr>
    </w:p>
    <w:p w14:paraId="59A2D339" w14:textId="77777777" w:rsidR="002C10AF" w:rsidRDefault="002C10AF" w:rsidP="002C10AF">
      <w:pPr>
        <w:pStyle w:val="NoSpacing"/>
        <w:rPr>
          <w:lang w:val="en-US"/>
        </w:rPr>
      </w:pPr>
    </w:p>
    <w:p w14:paraId="568E106A" w14:textId="77777777" w:rsidR="002C10AF" w:rsidRDefault="002C10AF" w:rsidP="002C10AF">
      <w:pPr>
        <w:pStyle w:val="NoSpacing"/>
        <w:rPr>
          <w:lang w:val="en-US"/>
        </w:rPr>
      </w:pPr>
    </w:p>
    <w:p w14:paraId="2318A321" w14:textId="77777777" w:rsidR="002C10AF" w:rsidRDefault="002C10AF" w:rsidP="002C10AF">
      <w:pPr>
        <w:pStyle w:val="NoSpacing"/>
        <w:rPr>
          <w:lang w:val="en-US"/>
        </w:rPr>
      </w:pPr>
    </w:p>
    <w:p w14:paraId="0336DCB1" w14:textId="77777777" w:rsidR="002C10AF" w:rsidRDefault="002C10AF" w:rsidP="002C10AF">
      <w:pPr>
        <w:pStyle w:val="NoSpacing"/>
        <w:rPr>
          <w:lang w:val="en-US"/>
        </w:rPr>
      </w:pPr>
    </w:p>
    <w:p w14:paraId="6ABD3283" w14:textId="77777777" w:rsidR="002C10AF" w:rsidRDefault="002C10AF" w:rsidP="002C10AF">
      <w:pPr>
        <w:pStyle w:val="NoSpacing"/>
        <w:rPr>
          <w:lang w:val="en-US"/>
        </w:rPr>
      </w:pPr>
    </w:p>
    <w:p w14:paraId="7747BEFB" w14:textId="77777777" w:rsidR="002C10AF" w:rsidRDefault="002C10AF" w:rsidP="002C10AF">
      <w:pPr>
        <w:pStyle w:val="NoSpacing"/>
        <w:rPr>
          <w:lang w:val="en-US"/>
        </w:rPr>
      </w:pPr>
    </w:p>
    <w:p w14:paraId="1676898A" w14:textId="77777777" w:rsidR="002C10AF" w:rsidRDefault="002C10AF" w:rsidP="002C10AF">
      <w:pPr>
        <w:pStyle w:val="NoSpacing"/>
        <w:rPr>
          <w:lang w:val="en-US"/>
        </w:rPr>
      </w:pPr>
    </w:p>
    <w:p w14:paraId="5C872B67" w14:textId="77777777" w:rsidR="002C10AF" w:rsidRDefault="002C10AF" w:rsidP="002C10AF">
      <w:pPr>
        <w:pStyle w:val="NoSpacing"/>
        <w:rPr>
          <w:lang w:val="en-US"/>
        </w:rPr>
      </w:pPr>
    </w:p>
    <w:p w14:paraId="4898F811" w14:textId="77777777" w:rsidR="002C10AF" w:rsidRDefault="002C10AF" w:rsidP="002C10AF">
      <w:pPr>
        <w:pStyle w:val="NoSpacing"/>
        <w:rPr>
          <w:lang w:val="en-US"/>
        </w:rPr>
      </w:pPr>
    </w:p>
    <w:p w14:paraId="30A2E9A0" w14:textId="08A55FCC" w:rsidR="002C10AF" w:rsidRPr="005D6FFF" w:rsidRDefault="002C10AF" w:rsidP="002C10AF">
      <w:pPr>
        <w:pStyle w:val="NoSpacing"/>
        <w:rPr>
          <w:lang w:val="en-US"/>
        </w:rPr>
      </w:pPr>
    </w:p>
    <w:p w14:paraId="74E96FAC" w14:textId="77777777" w:rsidR="002C10AF" w:rsidRPr="007222E9" w:rsidRDefault="002C10AF" w:rsidP="002C10AF">
      <w:pPr>
        <w:ind w:firstLine="0"/>
        <w:rPr>
          <w:szCs w:val="24"/>
          <w:lang w:val="en-US"/>
        </w:rPr>
      </w:pPr>
      <w:r w:rsidRPr="00876A09">
        <w:rPr>
          <w:rFonts w:eastAsia="Times New Roman"/>
          <w:i/>
          <w:szCs w:val="24"/>
          <w:lang w:val="en-GB"/>
        </w:rPr>
        <w:t>Note.</w:t>
      </w:r>
      <w:r>
        <w:rPr>
          <w:rFonts w:eastAsia="Times New Roman"/>
          <w:szCs w:val="24"/>
          <w:lang w:val="en-GB"/>
        </w:rPr>
        <w:t xml:space="preserve"> </w:t>
      </w:r>
      <w:r w:rsidRPr="007222E9">
        <w:rPr>
          <w:rFonts w:eastAsia="Times New Roman"/>
          <w:szCs w:val="24"/>
          <w:vertAlign w:val="superscript"/>
          <w:lang w:val="en-US"/>
        </w:rPr>
        <w:t>*</w:t>
      </w:r>
      <w:r w:rsidRPr="007222E9">
        <w:rPr>
          <w:rFonts w:eastAsia="Times New Roman"/>
          <w:i/>
          <w:szCs w:val="24"/>
          <w:lang w:val="en-US"/>
        </w:rPr>
        <w:t>p</w:t>
      </w:r>
      <w:r w:rsidRPr="007222E9">
        <w:rPr>
          <w:rFonts w:eastAsia="Times New Roman"/>
          <w:szCs w:val="24"/>
          <w:lang w:val="en-US"/>
        </w:rPr>
        <w:t xml:space="preserve"> &lt; 0.05. </w:t>
      </w:r>
      <w:r w:rsidRPr="007222E9">
        <w:rPr>
          <w:rFonts w:eastAsia="Times New Roman"/>
          <w:szCs w:val="24"/>
          <w:vertAlign w:val="superscript"/>
          <w:lang w:val="en-US"/>
        </w:rPr>
        <w:t>**</w:t>
      </w:r>
      <w:r w:rsidRPr="007222E9">
        <w:rPr>
          <w:rFonts w:eastAsia="Times New Roman"/>
          <w:i/>
          <w:szCs w:val="24"/>
          <w:lang w:val="en-US"/>
        </w:rPr>
        <w:t>p</w:t>
      </w:r>
      <w:r w:rsidRPr="007222E9">
        <w:rPr>
          <w:rFonts w:eastAsia="Times New Roman"/>
          <w:szCs w:val="24"/>
          <w:lang w:val="en-US"/>
        </w:rPr>
        <w:t xml:space="preserve"> &lt; 0.01. </w:t>
      </w:r>
      <w:r w:rsidRPr="007222E9">
        <w:rPr>
          <w:rFonts w:eastAsia="Times New Roman"/>
          <w:szCs w:val="24"/>
          <w:vertAlign w:val="superscript"/>
          <w:lang w:val="en-US"/>
        </w:rPr>
        <w:t>***</w:t>
      </w:r>
      <w:r w:rsidRPr="007222E9">
        <w:rPr>
          <w:rFonts w:eastAsia="Times New Roman"/>
          <w:i/>
          <w:szCs w:val="24"/>
          <w:lang w:val="en-US"/>
        </w:rPr>
        <w:t>p</w:t>
      </w:r>
      <w:r w:rsidRPr="007222E9">
        <w:rPr>
          <w:rFonts w:eastAsia="Times New Roman"/>
          <w:szCs w:val="24"/>
          <w:lang w:val="en-US"/>
        </w:rPr>
        <w:t xml:space="preserve"> &lt; 0.001</w:t>
      </w:r>
    </w:p>
    <w:p w14:paraId="21668088" w14:textId="77777777" w:rsidR="002C10AF" w:rsidRPr="007F3010" w:rsidRDefault="00AE78B0" w:rsidP="002C10AF">
      <w:pPr>
        <w:ind w:firstLine="0"/>
        <w:contextualSpacing w:val="0"/>
        <w:rPr>
          <w:rFonts w:eastAsia="Times New Roman"/>
          <w:b/>
          <w:color w:val="FF0000"/>
          <w:szCs w:val="24"/>
          <w:lang w:val="en-GB"/>
        </w:rPr>
      </w:pPr>
      <w:r w:rsidRPr="0039745B">
        <w:rPr>
          <w:szCs w:val="24"/>
          <w:lang w:val="en-US"/>
        </w:rPr>
        <w:br w:type="page"/>
      </w:r>
      <w:r w:rsidR="002C10AF" w:rsidRPr="007F3010">
        <w:rPr>
          <w:rFonts w:eastAsia="Times New Roman"/>
          <w:b/>
          <w:szCs w:val="24"/>
          <w:lang w:val="en-GB"/>
        </w:rPr>
        <w:lastRenderedPageBreak/>
        <w:t xml:space="preserve">Table </w:t>
      </w:r>
      <w:r w:rsidR="002C10AF">
        <w:rPr>
          <w:rFonts w:eastAsia="Times New Roman"/>
          <w:b/>
          <w:szCs w:val="24"/>
          <w:lang w:val="en-GB"/>
        </w:rPr>
        <w:t>4</w:t>
      </w:r>
    </w:p>
    <w:p w14:paraId="745DADC1" w14:textId="77777777" w:rsidR="002C10AF" w:rsidRPr="007F3010" w:rsidRDefault="002C10AF" w:rsidP="002C10AF">
      <w:pPr>
        <w:ind w:firstLine="0"/>
        <w:contextualSpacing w:val="0"/>
        <w:rPr>
          <w:rFonts w:eastAsia="Times New Roman"/>
          <w:i/>
          <w:szCs w:val="24"/>
          <w:lang w:val="en-GB"/>
        </w:rPr>
      </w:pPr>
      <w:r>
        <w:rPr>
          <w:rFonts w:eastAsia="Times New Roman"/>
          <w:i/>
          <w:szCs w:val="24"/>
          <w:lang w:val="en-GB"/>
        </w:rPr>
        <w:t xml:space="preserve">Masturbation frequency </w:t>
      </w:r>
      <w:r w:rsidRPr="007F3010">
        <w:rPr>
          <w:rFonts w:eastAsia="Times New Roman"/>
          <w:i/>
          <w:szCs w:val="24"/>
          <w:lang w:val="en-GB"/>
        </w:rPr>
        <w:t xml:space="preserve">in </w:t>
      </w:r>
      <w:r>
        <w:rPr>
          <w:rFonts w:eastAsia="Times New Roman"/>
          <w:i/>
          <w:szCs w:val="24"/>
          <w:lang w:val="en-GB"/>
        </w:rPr>
        <w:t>wo</w:t>
      </w:r>
      <w:r w:rsidRPr="007F3010">
        <w:rPr>
          <w:rFonts w:eastAsia="Times New Roman"/>
          <w:i/>
          <w:szCs w:val="24"/>
          <w:lang w:val="en-GB"/>
        </w:rPr>
        <w:t>men during the past month, by sociodemog</w:t>
      </w:r>
      <w:r>
        <w:rPr>
          <w:rFonts w:eastAsia="Times New Roman"/>
          <w:i/>
          <w:szCs w:val="24"/>
          <w:lang w:val="en-GB"/>
        </w:rPr>
        <w:t>raphic factors, health factors,</w:t>
      </w:r>
      <w:r w:rsidRPr="00EB3BC3">
        <w:rPr>
          <w:rFonts w:eastAsia="Times New Roman"/>
          <w:i/>
          <w:szCs w:val="24"/>
          <w:lang w:val="en-GB"/>
        </w:rPr>
        <w:t xml:space="preserve"> sexual behaviour, satisfaction</w:t>
      </w:r>
      <w:r>
        <w:rPr>
          <w:rFonts w:eastAsia="Times New Roman"/>
          <w:i/>
          <w:szCs w:val="24"/>
          <w:lang w:val="en-GB"/>
        </w:rPr>
        <w:t>,</w:t>
      </w:r>
      <w:r w:rsidRPr="00EB3BC3">
        <w:rPr>
          <w:rFonts w:eastAsia="Times New Roman"/>
          <w:i/>
          <w:szCs w:val="24"/>
          <w:lang w:val="en-GB"/>
        </w:rPr>
        <w:t xml:space="preserve"> and attitudes towards sexuality, separately for each country (weighted data)</w:t>
      </w:r>
    </w:p>
    <w:tbl>
      <w:tblPr>
        <w:tblpPr w:leftFromText="180" w:rightFromText="180" w:vertAnchor="page" w:horzAnchor="margin" w:tblpY="3121"/>
        <w:tblW w:w="12191" w:type="dxa"/>
        <w:tblLayout w:type="fixed"/>
        <w:tblLook w:val="04A0" w:firstRow="1" w:lastRow="0" w:firstColumn="1" w:lastColumn="0" w:noHBand="0" w:noVBand="1"/>
      </w:tblPr>
      <w:tblGrid>
        <w:gridCol w:w="520"/>
        <w:gridCol w:w="2598"/>
        <w:gridCol w:w="851"/>
        <w:gridCol w:w="567"/>
        <w:gridCol w:w="709"/>
        <w:gridCol w:w="284"/>
        <w:gridCol w:w="567"/>
        <w:gridCol w:w="567"/>
        <w:gridCol w:w="708"/>
        <w:gridCol w:w="284"/>
        <w:gridCol w:w="709"/>
        <w:gridCol w:w="708"/>
        <w:gridCol w:w="851"/>
        <w:gridCol w:w="283"/>
        <w:gridCol w:w="567"/>
        <w:gridCol w:w="709"/>
        <w:gridCol w:w="709"/>
      </w:tblGrid>
      <w:tr w:rsidR="007272F3" w:rsidRPr="007272F3" w14:paraId="22A4EED6" w14:textId="77777777" w:rsidTr="00CE564B">
        <w:trPr>
          <w:trHeight w:val="222"/>
        </w:trPr>
        <w:tc>
          <w:tcPr>
            <w:tcW w:w="520" w:type="dxa"/>
            <w:tcBorders>
              <w:top w:val="single" w:sz="4" w:space="0" w:color="auto"/>
            </w:tcBorders>
          </w:tcPr>
          <w:p w14:paraId="2C0D187B" w14:textId="77777777" w:rsidR="007272F3" w:rsidRPr="007272F3" w:rsidRDefault="007272F3" w:rsidP="007272F3">
            <w:pPr>
              <w:spacing w:line="360" w:lineRule="auto"/>
              <w:ind w:firstLine="0"/>
              <w:contextualSpacing w:val="0"/>
              <w:rPr>
                <w:rFonts w:eastAsia="Times New Roman"/>
                <w:i/>
                <w:sz w:val="18"/>
                <w:szCs w:val="18"/>
                <w:lang w:val="en-GB"/>
              </w:rPr>
            </w:pPr>
          </w:p>
        </w:tc>
        <w:tc>
          <w:tcPr>
            <w:tcW w:w="2598" w:type="dxa"/>
            <w:tcBorders>
              <w:top w:val="single" w:sz="4" w:space="0" w:color="auto"/>
            </w:tcBorders>
          </w:tcPr>
          <w:p w14:paraId="0D70E94C" w14:textId="77777777" w:rsidR="007272F3" w:rsidRPr="007272F3" w:rsidRDefault="007272F3" w:rsidP="007272F3">
            <w:pPr>
              <w:spacing w:line="360" w:lineRule="auto"/>
              <w:ind w:firstLine="0"/>
              <w:contextualSpacing w:val="0"/>
              <w:rPr>
                <w:rFonts w:eastAsia="Times New Roman"/>
                <w:i/>
                <w:sz w:val="18"/>
                <w:szCs w:val="18"/>
                <w:lang w:val="en-GB"/>
              </w:rPr>
            </w:pPr>
          </w:p>
        </w:tc>
        <w:tc>
          <w:tcPr>
            <w:tcW w:w="2127" w:type="dxa"/>
            <w:gridSpan w:val="3"/>
            <w:tcBorders>
              <w:top w:val="single" w:sz="4" w:space="0" w:color="auto"/>
              <w:bottom w:val="single" w:sz="4" w:space="0" w:color="auto"/>
            </w:tcBorders>
          </w:tcPr>
          <w:p w14:paraId="3FB2CE71" w14:textId="77777777" w:rsidR="007272F3" w:rsidRPr="007272F3" w:rsidRDefault="007272F3" w:rsidP="007272F3">
            <w:pPr>
              <w:spacing w:line="360" w:lineRule="auto"/>
              <w:ind w:firstLine="0"/>
              <w:contextualSpacing w:val="0"/>
              <w:jc w:val="center"/>
              <w:rPr>
                <w:rFonts w:eastAsia="Times New Roman"/>
                <w:b/>
                <w:sz w:val="18"/>
                <w:szCs w:val="18"/>
              </w:rPr>
            </w:pPr>
            <w:r w:rsidRPr="007272F3">
              <w:rPr>
                <w:rFonts w:eastAsia="Times New Roman"/>
                <w:b/>
                <w:sz w:val="18"/>
                <w:szCs w:val="18"/>
              </w:rPr>
              <w:t>Norway (</w:t>
            </w:r>
            <w:r w:rsidRPr="007272F3">
              <w:rPr>
                <w:rFonts w:eastAsia="Times New Roman"/>
                <w:b/>
                <w:i/>
                <w:sz w:val="18"/>
                <w:szCs w:val="18"/>
              </w:rPr>
              <w:t xml:space="preserve">n </w:t>
            </w:r>
            <w:r w:rsidRPr="007272F3">
              <w:rPr>
                <w:rFonts w:eastAsia="Times New Roman"/>
                <w:b/>
                <w:sz w:val="18"/>
                <w:szCs w:val="18"/>
              </w:rPr>
              <w:t xml:space="preserve">= 536) </w:t>
            </w:r>
          </w:p>
        </w:tc>
        <w:tc>
          <w:tcPr>
            <w:tcW w:w="284" w:type="dxa"/>
            <w:tcBorders>
              <w:top w:val="single" w:sz="4" w:space="0" w:color="auto"/>
            </w:tcBorders>
          </w:tcPr>
          <w:p w14:paraId="49A6A9FB" w14:textId="77777777" w:rsidR="007272F3" w:rsidRPr="007272F3" w:rsidRDefault="007272F3" w:rsidP="007272F3">
            <w:pPr>
              <w:spacing w:line="360" w:lineRule="auto"/>
              <w:ind w:firstLine="0"/>
              <w:contextualSpacing w:val="0"/>
              <w:jc w:val="center"/>
              <w:rPr>
                <w:rFonts w:eastAsia="Times New Roman"/>
                <w:b/>
                <w:sz w:val="18"/>
                <w:szCs w:val="18"/>
                <w:lang w:val="en-GB"/>
              </w:rPr>
            </w:pPr>
          </w:p>
        </w:tc>
        <w:tc>
          <w:tcPr>
            <w:tcW w:w="1842" w:type="dxa"/>
            <w:gridSpan w:val="3"/>
            <w:tcBorders>
              <w:top w:val="single" w:sz="4" w:space="0" w:color="auto"/>
              <w:bottom w:val="single" w:sz="4" w:space="0" w:color="auto"/>
            </w:tcBorders>
          </w:tcPr>
          <w:p w14:paraId="19D3CF5D" w14:textId="77777777" w:rsidR="007272F3" w:rsidRPr="007272F3" w:rsidRDefault="007272F3" w:rsidP="007272F3">
            <w:pPr>
              <w:spacing w:line="360" w:lineRule="auto"/>
              <w:ind w:firstLine="0"/>
              <w:contextualSpacing w:val="0"/>
              <w:jc w:val="center"/>
              <w:rPr>
                <w:rFonts w:eastAsia="Times New Roman"/>
                <w:b/>
                <w:sz w:val="18"/>
                <w:szCs w:val="18"/>
              </w:rPr>
            </w:pPr>
            <w:proofErr w:type="spellStart"/>
            <w:r w:rsidRPr="007272F3">
              <w:rPr>
                <w:rFonts w:eastAsia="Times New Roman"/>
                <w:b/>
                <w:sz w:val="18"/>
                <w:szCs w:val="18"/>
              </w:rPr>
              <w:t>Denmark</w:t>
            </w:r>
            <w:proofErr w:type="spellEnd"/>
            <w:r w:rsidRPr="007272F3">
              <w:rPr>
                <w:rFonts w:eastAsia="Times New Roman"/>
                <w:b/>
                <w:sz w:val="18"/>
                <w:szCs w:val="18"/>
              </w:rPr>
              <w:t xml:space="preserve"> (</w:t>
            </w:r>
            <w:r w:rsidRPr="007272F3">
              <w:rPr>
                <w:rFonts w:eastAsia="Times New Roman"/>
                <w:b/>
                <w:i/>
                <w:sz w:val="18"/>
                <w:szCs w:val="18"/>
              </w:rPr>
              <w:t>n</w:t>
            </w:r>
            <w:r w:rsidRPr="007272F3">
              <w:rPr>
                <w:rFonts w:eastAsia="Times New Roman"/>
                <w:b/>
                <w:sz w:val="18"/>
                <w:szCs w:val="18"/>
              </w:rPr>
              <w:t xml:space="preserve"> = 399)</w:t>
            </w:r>
          </w:p>
        </w:tc>
        <w:tc>
          <w:tcPr>
            <w:tcW w:w="284" w:type="dxa"/>
            <w:tcBorders>
              <w:top w:val="single" w:sz="4" w:space="0" w:color="auto"/>
            </w:tcBorders>
          </w:tcPr>
          <w:p w14:paraId="6DC6D9B5" w14:textId="77777777" w:rsidR="007272F3" w:rsidRPr="007272F3" w:rsidRDefault="007272F3" w:rsidP="007272F3">
            <w:pPr>
              <w:spacing w:line="360" w:lineRule="auto"/>
              <w:ind w:firstLine="0"/>
              <w:contextualSpacing w:val="0"/>
              <w:jc w:val="center"/>
              <w:rPr>
                <w:rFonts w:eastAsia="Times New Roman"/>
                <w:b/>
                <w:sz w:val="18"/>
                <w:szCs w:val="18"/>
                <w:lang w:val="en-GB"/>
              </w:rPr>
            </w:pPr>
          </w:p>
        </w:tc>
        <w:tc>
          <w:tcPr>
            <w:tcW w:w="2268" w:type="dxa"/>
            <w:gridSpan w:val="3"/>
            <w:tcBorders>
              <w:top w:val="single" w:sz="4" w:space="0" w:color="auto"/>
              <w:bottom w:val="single" w:sz="4" w:space="0" w:color="auto"/>
            </w:tcBorders>
          </w:tcPr>
          <w:p w14:paraId="009AD411" w14:textId="77777777" w:rsidR="007272F3" w:rsidRPr="007272F3" w:rsidRDefault="007272F3" w:rsidP="007272F3">
            <w:pPr>
              <w:spacing w:line="360" w:lineRule="auto"/>
              <w:ind w:firstLine="0"/>
              <w:contextualSpacing w:val="0"/>
              <w:jc w:val="center"/>
              <w:rPr>
                <w:rFonts w:eastAsia="Times New Roman"/>
                <w:b/>
                <w:sz w:val="18"/>
                <w:szCs w:val="18"/>
              </w:rPr>
            </w:pPr>
            <w:proofErr w:type="spellStart"/>
            <w:r w:rsidRPr="007272F3">
              <w:rPr>
                <w:rFonts w:eastAsia="Times New Roman"/>
                <w:b/>
                <w:sz w:val="18"/>
                <w:szCs w:val="18"/>
              </w:rPr>
              <w:t>Belgium</w:t>
            </w:r>
            <w:proofErr w:type="spellEnd"/>
            <w:r w:rsidRPr="007272F3">
              <w:rPr>
                <w:rFonts w:eastAsia="Times New Roman"/>
                <w:b/>
                <w:sz w:val="18"/>
                <w:szCs w:val="18"/>
              </w:rPr>
              <w:t xml:space="preserve"> (</w:t>
            </w:r>
            <w:r w:rsidRPr="007272F3">
              <w:rPr>
                <w:rFonts w:eastAsia="Times New Roman"/>
                <w:b/>
                <w:i/>
                <w:sz w:val="18"/>
                <w:szCs w:val="18"/>
              </w:rPr>
              <w:t>n</w:t>
            </w:r>
            <w:r w:rsidRPr="007272F3">
              <w:rPr>
                <w:rFonts w:eastAsia="Times New Roman"/>
                <w:b/>
                <w:sz w:val="18"/>
                <w:szCs w:val="18"/>
              </w:rPr>
              <w:t xml:space="preserve"> = 361)</w:t>
            </w:r>
          </w:p>
        </w:tc>
        <w:tc>
          <w:tcPr>
            <w:tcW w:w="283" w:type="dxa"/>
            <w:tcBorders>
              <w:top w:val="single" w:sz="4" w:space="0" w:color="auto"/>
            </w:tcBorders>
          </w:tcPr>
          <w:p w14:paraId="4EC64573" w14:textId="77777777" w:rsidR="007272F3" w:rsidRPr="007272F3" w:rsidRDefault="007272F3" w:rsidP="007272F3">
            <w:pPr>
              <w:spacing w:line="360" w:lineRule="auto"/>
              <w:ind w:firstLine="0"/>
              <w:contextualSpacing w:val="0"/>
              <w:jc w:val="center"/>
              <w:rPr>
                <w:rFonts w:eastAsia="Times New Roman"/>
                <w:b/>
                <w:sz w:val="18"/>
                <w:szCs w:val="18"/>
                <w:lang w:val="en-GB"/>
              </w:rPr>
            </w:pPr>
          </w:p>
        </w:tc>
        <w:tc>
          <w:tcPr>
            <w:tcW w:w="1985" w:type="dxa"/>
            <w:gridSpan w:val="3"/>
            <w:tcBorders>
              <w:top w:val="single" w:sz="4" w:space="0" w:color="auto"/>
              <w:bottom w:val="single" w:sz="4" w:space="0" w:color="auto"/>
            </w:tcBorders>
          </w:tcPr>
          <w:p w14:paraId="27632C3D" w14:textId="77777777" w:rsidR="007272F3" w:rsidRPr="007272F3" w:rsidRDefault="007272F3" w:rsidP="007272F3">
            <w:pPr>
              <w:spacing w:line="360" w:lineRule="auto"/>
              <w:ind w:firstLine="0"/>
              <w:contextualSpacing w:val="0"/>
              <w:jc w:val="center"/>
              <w:rPr>
                <w:rFonts w:eastAsia="Times New Roman"/>
                <w:b/>
                <w:sz w:val="18"/>
                <w:szCs w:val="18"/>
              </w:rPr>
            </w:pPr>
            <w:r w:rsidRPr="007272F3">
              <w:rPr>
                <w:rFonts w:eastAsia="Times New Roman"/>
                <w:b/>
                <w:sz w:val="18"/>
                <w:szCs w:val="18"/>
              </w:rPr>
              <w:t>Portugal (</w:t>
            </w:r>
            <w:r w:rsidRPr="007272F3">
              <w:rPr>
                <w:rFonts w:eastAsia="Times New Roman"/>
                <w:b/>
                <w:i/>
                <w:sz w:val="18"/>
                <w:szCs w:val="18"/>
              </w:rPr>
              <w:t>n</w:t>
            </w:r>
            <w:r w:rsidRPr="007272F3">
              <w:rPr>
                <w:rFonts w:eastAsia="Times New Roman"/>
                <w:b/>
                <w:sz w:val="18"/>
                <w:szCs w:val="18"/>
              </w:rPr>
              <w:t xml:space="preserve"> = 179)</w:t>
            </w:r>
          </w:p>
        </w:tc>
      </w:tr>
      <w:tr w:rsidR="007272F3" w:rsidRPr="007272F3" w14:paraId="644B5814" w14:textId="77777777" w:rsidTr="00CE564B">
        <w:trPr>
          <w:trHeight w:val="222"/>
        </w:trPr>
        <w:tc>
          <w:tcPr>
            <w:tcW w:w="520" w:type="dxa"/>
            <w:tcBorders>
              <w:bottom w:val="single" w:sz="4" w:space="0" w:color="auto"/>
            </w:tcBorders>
          </w:tcPr>
          <w:p w14:paraId="2C6B56F1" w14:textId="77777777" w:rsidR="007272F3" w:rsidRPr="007272F3" w:rsidRDefault="007272F3" w:rsidP="007272F3">
            <w:pPr>
              <w:spacing w:line="360" w:lineRule="auto"/>
              <w:ind w:firstLine="0"/>
              <w:contextualSpacing w:val="0"/>
              <w:rPr>
                <w:rFonts w:eastAsia="Times New Roman"/>
                <w:b/>
                <w:sz w:val="18"/>
                <w:szCs w:val="18"/>
                <w:lang w:val="en-GB"/>
              </w:rPr>
            </w:pPr>
          </w:p>
        </w:tc>
        <w:tc>
          <w:tcPr>
            <w:tcW w:w="2598" w:type="dxa"/>
            <w:tcBorders>
              <w:bottom w:val="single" w:sz="4" w:space="0" w:color="auto"/>
            </w:tcBorders>
          </w:tcPr>
          <w:p w14:paraId="2CF3352B" w14:textId="77777777" w:rsidR="007272F3" w:rsidRPr="007272F3" w:rsidRDefault="007272F3" w:rsidP="007272F3">
            <w:pPr>
              <w:spacing w:line="360" w:lineRule="auto"/>
              <w:ind w:firstLine="0"/>
              <w:contextualSpacing w:val="0"/>
              <w:rPr>
                <w:rFonts w:eastAsia="Times New Roman"/>
                <w:b/>
                <w:sz w:val="18"/>
                <w:szCs w:val="18"/>
                <w:lang w:val="en-GB"/>
              </w:rPr>
            </w:pPr>
          </w:p>
        </w:tc>
        <w:tc>
          <w:tcPr>
            <w:tcW w:w="851" w:type="dxa"/>
            <w:tcBorders>
              <w:top w:val="single" w:sz="4" w:space="0" w:color="auto"/>
              <w:bottom w:val="single" w:sz="4" w:space="0" w:color="auto"/>
            </w:tcBorders>
          </w:tcPr>
          <w:p w14:paraId="094B6F64" w14:textId="77777777" w:rsidR="007272F3" w:rsidRPr="007272F3" w:rsidRDefault="007272F3" w:rsidP="007272F3">
            <w:pPr>
              <w:spacing w:line="360" w:lineRule="auto"/>
              <w:ind w:firstLine="0"/>
              <w:contextualSpacing w:val="0"/>
              <w:jc w:val="center"/>
              <w:rPr>
                <w:rFonts w:eastAsia="Times New Roman"/>
                <w:b/>
                <w:i/>
                <w:sz w:val="18"/>
                <w:szCs w:val="18"/>
                <w:lang w:val="en-GB"/>
              </w:rPr>
            </w:pPr>
            <w:r w:rsidRPr="007272F3">
              <w:rPr>
                <w:rFonts w:eastAsia="Times New Roman"/>
                <w:i/>
                <w:sz w:val="18"/>
                <w:szCs w:val="18"/>
              </w:rPr>
              <w:t>B</w:t>
            </w:r>
          </w:p>
        </w:tc>
        <w:tc>
          <w:tcPr>
            <w:tcW w:w="567" w:type="dxa"/>
            <w:tcBorders>
              <w:top w:val="single" w:sz="4" w:space="0" w:color="auto"/>
              <w:bottom w:val="single" w:sz="4" w:space="0" w:color="auto"/>
            </w:tcBorders>
          </w:tcPr>
          <w:p w14:paraId="2DFD0EB8" w14:textId="77777777" w:rsidR="007272F3" w:rsidRPr="007272F3" w:rsidRDefault="007272F3" w:rsidP="007272F3">
            <w:pPr>
              <w:spacing w:line="360" w:lineRule="auto"/>
              <w:ind w:firstLine="0"/>
              <w:contextualSpacing w:val="0"/>
              <w:jc w:val="center"/>
              <w:rPr>
                <w:rFonts w:eastAsia="Times New Roman"/>
                <w:sz w:val="18"/>
                <w:szCs w:val="18"/>
                <w:lang w:val="en-GB"/>
              </w:rPr>
            </w:pPr>
            <w:r w:rsidRPr="007272F3">
              <w:rPr>
                <w:rFonts w:eastAsia="Times New Roman"/>
                <w:bCs/>
                <w:i/>
                <w:iCs/>
                <w:sz w:val="18"/>
                <w:szCs w:val="18"/>
              </w:rPr>
              <w:t>SE</w:t>
            </w:r>
          </w:p>
        </w:tc>
        <w:tc>
          <w:tcPr>
            <w:tcW w:w="709" w:type="dxa"/>
            <w:tcBorders>
              <w:top w:val="single" w:sz="4" w:space="0" w:color="auto"/>
              <w:bottom w:val="single" w:sz="4" w:space="0" w:color="auto"/>
            </w:tcBorders>
          </w:tcPr>
          <w:p w14:paraId="602A75F1" w14:textId="77777777" w:rsidR="007272F3" w:rsidRPr="007272F3" w:rsidRDefault="007272F3" w:rsidP="007272F3">
            <w:pPr>
              <w:spacing w:line="360" w:lineRule="auto"/>
              <w:ind w:firstLine="0"/>
              <w:contextualSpacing w:val="0"/>
              <w:jc w:val="center"/>
              <w:rPr>
                <w:rFonts w:eastAsia="Times New Roman"/>
                <w:b/>
                <w:i/>
                <w:sz w:val="18"/>
                <w:szCs w:val="18"/>
                <w:lang w:val="en-GB"/>
              </w:rPr>
            </w:pPr>
            <w:r w:rsidRPr="007272F3">
              <w:rPr>
                <w:rFonts w:eastAsia="Times New Roman"/>
                <w:i/>
                <w:sz w:val="18"/>
                <w:szCs w:val="18"/>
              </w:rPr>
              <w:t>β</w:t>
            </w:r>
          </w:p>
        </w:tc>
        <w:tc>
          <w:tcPr>
            <w:tcW w:w="284" w:type="dxa"/>
            <w:tcBorders>
              <w:bottom w:val="single" w:sz="4" w:space="0" w:color="auto"/>
            </w:tcBorders>
          </w:tcPr>
          <w:p w14:paraId="57FB9B3B" w14:textId="77777777" w:rsidR="007272F3" w:rsidRPr="007272F3" w:rsidRDefault="007272F3" w:rsidP="007272F3">
            <w:pPr>
              <w:spacing w:line="360" w:lineRule="auto"/>
              <w:ind w:firstLine="0"/>
              <w:contextualSpacing w:val="0"/>
              <w:jc w:val="center"/>
              <w:rPr>
                <w:rFonts w:eastAsia="Times New Roman"/>
                <w:sz w:val="18"/>
                <w:szCs w:val="18"/>
                <w:lang w:val="en-GB"/>
              </w:rPr>
            </w:pPr>
          </w:p>
        </w:tc>
        <w:tc>
          <w:tcPr>
            <w:tcW w:w="567" w:type="dxa"/>
            <w:tcBorders>
              <w:top w:val="single" w:sz="4" w:space="0" w:color="auto"/>
              <w:bottom w:val="single" w:sz="4" w:space="0" w:color="auto"/>
            </w:tcBorders>
          </w:tcPr>
          <w:p w14:paraId="6A7F09DC" w14:textId="77777777" w:rsidR="007272F3" w:rsidRPr="007272F3" w:rsidRDefault="007272F3" w:rsidP="007272F3">
            <w:pPr>
              <w:spacing w:line="360" w:lineRule="auto"/>
              <w:ind w:firstLine="0"/>
              <w:contextualSpacing w:val="0"/>
              <w:jc w:val="center"/>
              <w:rPr>
                <w:rFonts w:eastAsia="Times New Roman"/>
                <w:i/>
                <w:sz w:val="18"/>
                <w:szCs w:val="18"/>
                <w:lang w:val="en-GB"/>
              </w:rPr>
            </w:pPr>
            <w:r w:rsidRPr="007272F3">
              <w:rPr>
                <w:rFonts w:eastAsia="Times New Roman"/>
                <w:i/>
                <w:sz w:val="18"/>
                <w:szCs w:val="18"/>
              </w:rPr>
              <w:t>B</w:t>
            </w:r>
          </w:p>
        </w:tc>
        <w:tc>
          <w:tcPr>
            <w:tcW w:w="567" w:type="dxa"/>
            <w:tcBorders>
              <w:top w:val="single" w:sz="4" w:space="0" w:color="auto"/>
              <w:bottom w:val="single" w:sz="4" w:space="0" w:color="auto"/>
            </w:tcBorders>
          </w:tcPr>
          <w:p w14:paraId="26AA3E8D" w14:textId="77777777" w:rsidR="007272F3" w:rsidRPr="007272F3" w:rsidRDefault="007272F3" w:rsidP="007272F3">
            <w:pPr>
              <w:spacing w:line="360" w:lineRule="auto"/>
              <w:ind w:firstLine="0"/>
              <w:contextualSpacing w:val="0"/>
              <w:jc w:val="center"/>
              <w:rPr>
                <w:rFonts w:eastAsia="Times New Roman"/>
                <w:sz w:val="18"/>
                <w:szCs w:val="18"/>
                <w:lang w:val="en-GB"/>
              </w:rPr>
            </w:pPr>
            <w:r w:rsidRPr="007272F3">
              <w:rPr>
                <w:rFonts w:eastAsia="Times New Roman"/>
                <w:bCs/>
                <w:i/>
                <w:iCs/>
                <w:sz w:val="18"/>
                <w:szCs w:val="18"/>
              </w:rPr>
              <w:t>SE</w:t>
            </w:r>
          </w:p>
        </w:tc>
        <w:tc>
          <w:tcPr>
            <w:tcW w:w="708" w:type="dxa"/>
            <w:tcBorders>
              <w:top w:val="single" w:sz="4" w:space="0" w:color="auto"/>
              <w:bottom w:val="single" w:sz="4" w:space="0" w:color="auto"/>
            </w:tcBorders>
          </w:tcPr>
          <w:p w14:paraId="6C2E63D6" w14:textId="77777777" w:rsidR="007272F3" w:rsidRPr="007272F3" w:rsidRDefault="007272F3" w:rsidP="007272F3">
            <w:pPr>
              <w:spacing w:line="360" w:lineRule="auto"/>
              <w:ind w:firstLine="0"/>
              <w:contextualSpacing w:val="0"/>
              <w:jc w:val="center"/>
              <w:rPr>
                <w:rFonts w:eastAsia="Times New Roman"/>
                <w:sz w:val="18"/>
                <w:szCs w:val="18"/>
                <w:lang w:val="en-GB"/>
              </w:rPr>
            </w:pPr>
            <w:r w:rsidRPr="007272F3">
              <w:rPr>
                <w:rFonts w:eastAsia="Times New Roman"/>
                <w:i/>
                <w:sz w:val="18"/>
                <w:szCs w:val="18"/>
              </w:rPr>
              <w:t>β</w:t>
            </w:r>
          </w:p>
        </w:tc>
        <w:tc>
          <w:tcPr>
            <w:tcW w:w="284" w:type="dxa"/>
            <w:tcBorders>
              <w:bottom w:val="single" w:sz="4" w:space="0" w:color="auto"/>
            </w:tcBorders>
          </w:tcPr>
          <w:p w14:paraId="4AB906EC" w14:textId="77777777" w:rsidR="007272F3" w:rsidRPr="007272F3" w:rsidRDefault="007272F3" w:rsidP="007272F3">
            <w:pPr>
              <w:spacing w:line="360" w:lineRule="auto"/>
              <w:ind w:firstLine="0"/>
              <w:contextualSpacing w:val="0"/>
              <w:jc w:val="center"/>
              <w:rPr>
                <w:rFonts w:eastAsia="Times New Roman"/>
                <w:sz w:val="18"/>
                <w:szCs w:val="18"/>
                <w:lang w:val="en-GB"/>
              </w:rPr>
            </w:pPr>
          </w:p>
        </w:tc>
        <w:tc>
          <w:tcPr>
            <w:tcW w:w="709" w:type="dxa"/>
            <w:tcBorders>
              <w:top w:val="single" w:sz="4" w:space="0" w:color="auto"/>
              <w:bottom w:val="single" w:sz="4" w:space="0" w:color="auto"/>
            </w:tcBorders>
          </w:tcPr>
          <w:p w14:paraId="374B6114" w14:textId="77777777" w:rsidR="007272F3" w:rsidRPr="007272F3" w:rsidRDefault="007272F3" w:rsidP="007272F3">
            <w:pPr>
              <w:spacing w:line="360" w:lineRule="auto"/>
              <w:ind w:firstLine="0"/>
              <w:contextualSpacing w:val="0"/>
              <w:jc w:val="center"/>
              <w:rPr>
                <w:rFonts w:eastAsia="Times New Roman"/>
                <w:i/>
                <w:sz w:val="18"/>
                <w:szCs w:val="18"/>
                <w:lang w:val="en-GB"/>
              </w:rPr>
            </w:pPr>
            <w:r w:rsidRPr="007272F3">
              <w:rPr>
                <w:rFonts w:eastAsia="Times New Roman"/>
                <w:i/>
                <w:sz w:val="18"/>
                <w:szCs w:val="18"/>
              </w:rPr>
              <w:t>B</w:t>
            </w:r>
          </w:p>
        </w:tc>
        <w:tc>
          <w:tcPr>
            <w:tcW w:w="708" w:type="dxa"/>
            <w:tcBorders>
              <w:top w:val="single" w:sz="4" w:space="0" w:color="auto"/>
              <w:bottom w:val="single" w:sz="4" w:space="0" w:color="auto"/>
            </w:tcBorders>
          </w:tcPr>
          <w:p w14:paraId="61D811D5" w14:textId="77777777" w:rsidR="007272F3" w:rsidRPr="007272F3" w:rsidRDefault="007272F3" w:rsidP="007272F3">
            <w:pPr>
              <w:spacing w:line="360" w:lineRule="auto"/>
              <w:ind w:firstLine="0"/>
              <w:contextualSpacing w:val="0"/>
              <w:jc w:val="center"/>
              <w:rPr>
                <w:rFonts w:eastAsia="Times New Roman"/>
                <w:sz w:val="18"/>
                <w:szCs w:val="18"/>
                <w:lang w:val="en-GB"/>
              </w:rPr>
            </w:pPr>
            <w:r w:rsidRPr="007272F3">
              <w:rPr>
                <w:rFonts w:eastAsia="Times New Roman"/>
                <w:bCs/>
                <w:i/>
                <w:iCs/>
                <w:sz w:val="18"/>
                <w:szCs w:val="18"/>
              </w:rPr>
              <w:t>SE</w:t>
            </w:r>
          </w:p>
        </w:tc>
        <w:tc>
          <w:tcPr>
            <w:tcW w:w="851" w:type="dxa"/>
            <w:tcBorders>
              <w:top w:val="single" w:sz="4" w:space="0" w:color="auto"/>
              <w:bottom w:val="single" w:sz="4" w:space="0" w:color="auto"/>
            </w:tcBorders>
          </w:tcPr>
          <w:p w14:paraId="393102DA" w14:textId="77777777" w:rsidR="007272F3" w:rsidRPr="007272F3" w:rsidRDefault="007272F3" w:rsidP="007272F3">
            <w:pPr>
              <w:spacing w:line="360" w:lineRule="auto"/>
              <w:ind w:firstLine="0"/>
              <w:contextualSpacing w:val="0"/>
              <w:jc w:val="center"/>
              <w:rPr>
                <w:rFonts w:eastAsia="Times New Roman"/>
                <w:i/>
                <w:sz w:val="18"/>
                <w:szCs w:val="18"/>
                <w:lang w:val="en-GB"/>
              </w:rPr>
            </w:pPr>
            <w:r w:rsidRPr="007272F3">
              <w:rPr>
                <w:rFonts w:eastAsia="Times New Roman"/>
                <w:i/>
                <w:sz w:val="18"/>
                <w:szCs w:val="18"/>
              </w:rPr>
              <w:t>β</w:t>
            </w:r>
          </w:p>
        </w:tc>
        <w:tc>
          <w:tcPr>
            <w:tcW w:w="283" w:type="dxa"/>
            <w:tcBorders>
              <w:bottom w:val="single" w:sz="4" w:space="0" w:color="auto"/>
            </w:tcBorders>
          </w:tcPr>
          <w:p w14:paraId="2847434F" w14:textId="77777777" w:rsidR="007272F3" w:rsidRPr="007272F3" w:rsidRDefault="007272F3" w:rsidP="007272F3">
            <w:pPr>
              <w:spacing w:line="360" w:lineRule="auto"/>
              <w:ind w:firstLine="0"/>
              <w:contextualSpacing w:val="0"/>
              <w:jc w:val="center"/>
              <w:rPr>
                <w:rFonts w:eastAsia="Times New Roman"/>
                <w:sz w:val="18"/>
                <w:szCs w:val="18"/>
                <w:lang w:val="en-GB"/>
              </w:rPr>
            </w:pPr>
          </w:p>
        </w:tc>
        <w:tc>
          <w:tcPr>
            <w:tcW w:w="567" w:type="dxa"/>
            <w:tcBorders>
              <w:top w:val="single" w:sz="4" w:space="0" w:color="auto"/>
              <w:bottom w:val="single" w:sz="4" w:space="0" w:color="auto"/>
            </w:tcBorders>
          </w:tcPr>
          <w:p w14:paraId="50EDE692" w14:textId="77777777" w:rsidR="007272F3" w:rsidRPr="007272F3" w:rsidRDefault="007272F3" w:rsidP="007272F3">
            <w:pPr>
              <w:spacing w:line="360" w:lineRule="auto"/>
              <w:ind w:firstLine="0"/>
              <w:contextualSpacing w:val="0"/>
              <w:jc w:val="center"/>
              <w:rPr>
                <w:rFonts w:eastAsia="Times New Roman"/>
                <w:i/>
                <w:sz w:val="18"/>
                <w:szCs w:val="18"/>
                <w:lang w:val="en-GB"/>
              </w:rPr>
            </w:pPr>
            <w:r w:rsidRPr="007272F3">
              <w:rPr>
                <w:rFonts w:eastAsia="Times New Roman"/>
                <w:i/>
                <w:sz w:val="18"/>
                <w:szCs w:val="18"/>
              </w:rPr>
              <w:t>B</w:t>
            </w:r>
          </w:p>
        </w:tc>
        <w:tc>
          <w:tcPr>
            <w:tcW w:w="709" w:type="dxa"/>
            <w:tcBorders>
              <w:top w:val="single" w:sz="4" w:space="0" w:color="auto"/>
              <w:bottom w:val="single" w:sz="4" w:space="0" w:color="auto"/>
            </w:tcBorders>
          </w:tcPr>
          <w:p w14:paraId="51B343B5" w14:textId="77777777" w:rsidR="007272F3" w:rsidRPr="007272F3" w:rsidRDefault="007272F3" w:rsidP="007272F3">
            <w:pPr>
              <w:spacing w:line="360" w:lineRule="auto"/>
              <w:ind w:firstLine="0"/>
              <w:contextualSpacing w:val="0"/>
              <w:jc w:val="center"/>
              <w:rPr>
                <w:rFonts w:eastAsia="Times New Roman"/>
                <w:sz w:val="18"/>
                <w:szCs w:val="18"/>
                <w:lang w:val="en-GB"/>
              </w:rPr>
            </w:pPr>
            <w:r w:rsidRPr="007272F3">
              <w:rPr>
                <w:rFonts w:eastAsia="Times New Roman"/>
                <w:bCs/>
                <w:i/>
                <w:iCs/>
                <w:sz w:val="18"/>
                <w:szCs w:val="18"/>
              </w:rPr>
              <w:t>SE</w:t>
            </w:r>
          </w:p>
        </w:tc>
        <w:tc>
          <w:tcPr>
            <w:tcW w:w="709" w:type="dxa"/>
            <w:tcBorders>
              <w:top w:val="single" w:sz="4" w:space="0" w:color="auto"/>
              <w:bottom w:val="single" w:sz="4" w:space="0" w:color="auto"/>
            </w:tcBorders>
          </w:tcPr>
          <w:p w14:paraId="65395A55" w14:textId="77777777" w:rsidR="007272F3" w:rsidRPr="007272F3" w:rsidRDefault="007272F3" w:rsidP="007272F3">
            <w:pPr>
              <w:spacing w:line="360" w:lineRule="auto"/>
              <w:ind w:firstLine="0"/>
              <w:contextualSpacing w:val="0"/>
              <w:jc w:val="center"/>
              <w:rPr>
                <w:rFonts w:eastAsia="Times New Roman"/>
                <w:i/>
                <w:sz w:val="18"/>
                <w:szCs w:val="18"/>
                <w:lang w:val="en-GB"/>
              </w:rPr>
            </w:pPr>
            <w:r w:rsidRPr="007272F3">
              <w:rPr>
                <w:rFonts w:eastAsia="Times New Roman"/>
                <w:i/>
                <w:sz w:val="18"/>
                <w:szCs w:val="18"/>
              </w:rPr>
              <w:t>β</w:t>
            </w:r>
          </w:p>
        </w:tc>
      </w:tr>
      <w:tr w:rsidR="007272F3" w:rsidRPr="007272F3" w14:paraId="2B0F1AD1" w14:textId="77777777" w:rsidTr="00CE564B">
        <w:trPr>
          <w:trHeight w:val="267"/>
        </w:trPr>
        <w:tc>
          <w:tcPr>
            <w:tcW w:w="3118" w:type="dxa"/>
            <w:gridSpan w:val="2"/>
            <w:tcBorders>
              <w:top w:val="single" w:sz="4" w:space="0" w:color="auto"/>
            </w:tcBorders>
          </w:tcPr>
          <w:p w14:paraId="397ED201" w14:textId="77777777" w:rsidR="007272F3" w:rsidRPr="007272F3" w:rsidRDefault="007272F3" w:rsidP="007272F3">
            <w:pPr>
              <w:spacing w:line="360" w:lineRule="auto"/>
              <w:ind w:firstLine="0"/>
              <w:rPr>
                <w:rFonts w:eastAsia="Times New Roman"/>
                <w:sz w:val="18"/>
                <w:szCs w:val="18"/>
                <w:lang w:val="en-GB"/>
              </w:rPr>
            </w:pPr>
            <w:r w:rsidRPr="007272F3">
              <w:rPr>
                <w:rFonts w:eastAsia="Times New Roman"/>
                <w:i/>
                <w:sz w:val="18"/>
                <w:szCs w:val="18"/>
                <w:lang w:val="en-GB"/>
              </w:rPr>
              <w:t>Sociodemographic  factors</w:t>
            </w:r>
          </w:p>
        </w:tc>
        <w:tc>
          <w:tcPr>
            <w:tcW w:w="851" w:type="dxa"/>
            <w:vAlign w:val="center"/>
          </w:tcPr>
          <w:p w14:paraId="514B48EE" w14:textId="77777777" w:rsidR="007272F3" w:rsidRPr="007272F3" w:rsidRDefault="007272F3" w:rsidP="007272F3">
            <w:pPr>
              <w:spacing w:line="360" w:lineRule="auto"/>
              <w:ind w:firstLine="0"/>
              <w:jc w:val="center"/>
              <w:rPr>
                <w:sz w:val="18"/>
                <w:szCs w:val="18"/>
                <w:lang w:val="en-US"/>
              </w:rPr>
            </w:pPr>
          </w:p>
        </w:tc>
        <w:tc>
          <w:tcPr>
            <w:tcW w:w="567" w:type="dxa"/>
            <w:vAlign w:val="center"/>
          </w:tcPr>
          <w:p w14:paraId="5039A0C3" w14:textId="77777777" w:rsidR="007272F3" w:rsidRPr="007272F3" w:rsidRDefault="007272F3" w:rsidP="007272F3">
            <w:pPr>
              <w:spacing w:line="360" w:lineRule="auto"/>
              <w:ind w:firstLine="0"/>
              <w:jc w:val="center"/>
              <w:rPr>
                <w:sz w:val="18"/>
                <w:szCs w:val="18"/>
                <w:lang w:val="en-US"/>
              </w:rPr>
            </w:pPr>
          </w:p>
        </w:tc>
        <w:tc>
          <w:tcPr>
            <w:tcW w:w="709" w:type="dxa"/>
            <w:vAlign w:val="center"/>
          </w:tcPr>
          <w:p w14:paraId="4DD92B8F" w14:textId="77777777" w:rsidR="007272F3" w:rsidRPr="007272F3" w:rsidRDefault="007272F3" w:rsidP="007272F3">
            <w:pPr>
              <w:spacing w:line="360" w:lineRule="auto"/>
              <w:ind w:firstLine="0"/>
              <w:jc w:val="center"/>
              <w:rPr>
                <w:sz w:val="18"/>
                <w:szCs w:val="18"/>
                <w:lang w:val="en-US"/>
              </w:rPr>
            </w:pPr>
          </w:p>
        </w:tc>
        <w:tc>
          <w:tcPr>
            <w:tcW w:w="284" w:type="dxa"/>
            <w:vAlign w:val="center"/>
          </w:tcPr>
          <w:p w14:paraId="1F68FB2C" w14:textId="77777777" w:rsidR="007272F3" w:rsidRPr="007272F3" w:rsidRDefault="007272F3" w:rsidP="007272F3">
            <w:pPr>
              <w:spacing w:line="360" w:lineRule="auto"/>
              <w:ind w:firstLine="0"/>
              <w:jc w:val="center"/>
              <w:rPr>
                <w:sz w:val="18"/>
                <w:szCs w:val="18"/>
                <w:lang w:val="en-US"/>
              </w:rPr>
            </w:pPr>
          </w:p>
        </w:tc>
        <w:tc>
          <w:tcPr>
            <w:tcW w:w="567" w:type="dxa"/>
            <w:vAlign w:val="center"/>
          </w:tcPr>
          <w:p w14:paraId="197881E1" w14:textId="77777777" w:rsidR="007272F3" w:rsidRPr="007272F3" w:rsidRDefault="007272F3" w:rsidP="007272F3">
            <w:pPr>
              <w:spacing w:line="360" w:lineRule="auto"/>
              <w:ind w:firstLine="0"/>
              <w:rPr>
                <w:sz w:val="18"/>
                <w:szCs w:val="18"/>
              </w:rPr>
            </w:pPr>
          </w:p>
        </w:tc>
        <w:tc>
          <w:tcPr>
            <w:tcW w:w="567" w:type="dxa"/>
            <w:vAlign w:val="center"/>
          </w:tcPr>
          <w:p w14:paraId="3F1B65BC" w14:textId="77777777" w:rsidR="007272F3" w:rsidRPr="007272F3" w:rsidRDefault="007272F3" w:rsidP="007272F3">
            <w:pPr>
              <w:spacing w:line="360" w:lineRule="auto"/>
              <w:ind w:firstLine="0"/>
              <w:rPr>
                <w:sz w:val="18"/>
                <w:szCs w:val="18"/>
              </w:rPr>
            </w:pPr>
          </w:p>
        </w:tc>
        <w:tc>
          <w:tcPr>
            <w:tcW w:w="708" w:type="dxa"/>
            <w:vAlign w:val="center"/>
          </w:tcPr>
          <w:p w14:paraId="191AC4B3" w14:textId="77777777" w:rsidR="007272F3" w:rsidRPr="007272F3" w:rsidRDefault="007272F3" w:rsidP="007272F3">
            <w:pPr>
              <w:spacing w:line="360" w:lineRule="auto"/>
              <w:ind w:firstLine="0"/>
              <w:rPr>
                <w:sz w:val="18"/>
                <w:szCs w:val="18"/>
              </w:rPr>
            </w:pPr>
          </w:p>
        </w:tc>
        <w:tc>
          <w:tcPr>
            <w:tcW w:w="284" w:type="dxa"/>
            <w:vAlign w:val="center"/>
          </w:tcPr>
          <w:p w14:paraId="32F8D3FB" w14:textId="77777777" w:rsidR="007272F3" w:rsidRPr="007272F3" w:rsidRDefault="007272F3" w:rsidP="007272F3">
            <w:pPr>
              <w:spacing w:line="360" w:lineRule="auto"/>
              <w:ind w:firstLine="0"/>
              <w:rPr>
                <w:sz w:val="18"/>
                <w:szCs w:val="18"/>
              </w:rPr>
            </w:pPr>
          </w:p>
        </w:tc>
        <w:tc>
          <w:tcPr>
            <w:tcW w:w="709" w:type="dxa"/>
            <w:vAlign w:val="center"/>
          </w:tcPr>
          <w:p w14:paraId="0EE90C91" w14:textId="77777777" w:rsidR="007272F3" w:rsidRPr="007272F3" w:rsidRDefault="007272F3" w:rsidP="007272F3">
            <w:pPr>
              <w:spacing w:line="360" w:lineRule="auto"/>
              <w:ind w:firstLine="0"/>
              <w:jc w:val="center"/>
              <w:rPr>
                <w:sz w:val="18"/>
                <w:szCs w:val="18"/>
              </w:rPr>
            </w:pPr>
          </w:p>
        </w:tc>
        <w:tc>
          <w:tcPr>
            <w:tcW w:w="708" w:type="dxa"/>
            <w:vAlign w:val="center"/>
          </w:tcPr>
          <w:p w14:paraId="1D93DBFD" w14:textId="77777777" w:rsidR="007272F3" w:rsidRPr="007272F3" w:rsidRDefault="007272F3" w:rsidP="007272F3">
            <w:pPr>
              <w:spacing w:line="360" w:lineRule="auto"/>
              <w:ind w:firstLine="0"/>
              <w:jc w:val="center"/>
              <w:rPr>
                <w:sz w:val="18"/>
                <w:szCs w:val="18"/>
              </w:rPr>
            </w:pPr>
          </w:p>
        </w:tc>
        <w:tc>
          <w:tcPr>
            <w:tcW w:w="851" w:type="dxa"/>
            <w:vAlign w:val="center"/>
          </w:tcPr>
          <w:p w14:paraId="4C6B2D0F" w14:textId="77777777" w:rsidR="007272F3" w:rsidRPr="007272F3" w:rsidRDefault="007272F3" w:rsidP="007272F3">
            <w:pPr>
              <w:spacing w:line="360" w:lineRule="auto"/>
              <w:ind w:firstLine="0"/>
              <w:jc w:val="center"/>
              <w:rPr>
                <w:sz w:val="18"/>
                <w:szCs w:val="18"/>
              </w:rPr>
            </w:pPr>
          </w:p>
        </w:tc>
        <w:tc>
          <w:tcPr>
            <w:tcW w:w="283" w:type="dxa"/>
            <w:vAlign w:val="center"/>
          </w:tcPr>
          <w:p w14:paraId="46AC8279" w14:textId="77777777" w:rsidR="007272F3" w:rsidRPr="007272F3" w:rsidRDefault="007272F3" w:rsidP="007272F3">
            <w:pPr>
              <w:spacing w:line="360" w:lineRule="auto"/>
              <w:ind w:firstLine="0"/>
              <w:jc w:val="center"/>
              <w:rPr>
                <w:sz w:val="18"/>
                <w:szCs w:val="18"/>
              </w:rPr>
            </w:pPr>
          </w:p>
        </w:tc>
        <w:tc>
          <w:tcPr>
            <w:tcW w:w="567" w:type="dxa"/>
            <w:vAlign w:val="center"/>
          </w:tcPr>
          <w:p w14:paraId="6316369E" w14:textId="77777777" w:rsidR="007272F3" w:rsidRPr="007272F3" w:rsidRDefault="007272F3" w:rsidP="007272F3">
            <w:pPr>
              <w:spacing w:line="360" w:lineRule="auto"/>
              <w:ind w:firstLine="0"/>
              <w:jc w:val="both"/>
              <w:rPr>
                <w:sz w:val="18"/>
                <w:szCs w:val="18"/>
              </w:rPr>
            </w:pPr>
          </w:p>
        </w:tc>
        <w:tc>
          <w:tcPr>
            <w:tcW w:w="709" w:type="dxa"/>
            <w:vAlign w:val="center"/>
          </w:tcPr>
          <w:p w14:paraId="663A435B" w14:textId="77777777" w:rsidR="007272F3" w:rsidRPr="007272F3" w:rsidRDefault="007272F3" w:rsidP="007272F3">
            <w:pPr>
              <w:spacing w:line="360" w:lineRule="auto"/>
              <w:ind w:firstLine="0"/>
              <w:rPr>
                <w:sz w:val="18"/>
                <w:szCs w:val="18"/>
              </w:rPr>
            </w:pPr>
          </w:p>
        </w:tc>
        <w:tc>
          <w:tcPr>
            <w:tcW w:w="709" w:type="dxa"/>
            <w:vAlign w:val="center"/>
          </w:tcPr>
          <w:p w14:paraId="6436F2D7" w14:textId="77777777" w:rsidR="007272F3" w:rsidRPr="007272F3" w:rsidRDefault="007272F3" w:rsidP="007272F3">
            <w:pPr>
              <w:spacing w:line="360" w:lineRule="auto"/>
              <w:ind w:firstLine="0"/>
              <w:rPr>
                <w:sz w:val="18"/>
                <w:szCs w:val="18"/>
              </w:rPr>
            </w:pPr>
          </w:p>
        </w:tc>
      </w:tr>
      <w:tr w:rsidR="007272F3" w:rsidRPr="007272F3" w14:paraId="67DD218D" w14:textId="77777777" w:rsidTr="00CE564B">
        <w:trPr>
          <w:trHeight w:val="267"/>
        </w:trPr>
        <w:tc>
          <w:tcPr>
            <w:tcW w:w="520" w:type="dxa"/>
          </w:tcPr>
          <w:p w14:paraId="7D848F4D" w14:textId="77777777" w:rsidR="007272F3" w:rsidRPr="007272F3" w:rsidRDefault="007272F3" w:rsidP="007272F3">
            <w:pPr>
              <w:spacing w:line="360" w:lineRule="auto"/>
              <w:ind w:firstLine="0"/>
              <w:rPr>
                <w:rFonts w:eastAsia="Times New Roman"/>
                <w:sz w:val="18"/>
                <w:szCs w:val="18"/>
                <w:lang w:val="en-GB"/>
              </w:rPr>
            </w:pPr>
          </w:p>
        </w:tc>
        <w:tc>
          <w:tcPr>
            <w:tcW w:w="2598" w:type="dxa"/>
            <w:vAlign w:val="center"/>
          </w:tcPr>
          <w:p w14:paraId="617A72D5" w14:textId="77777777" w:rsidR="007272F3" w:rsidRPr="007272F3" w:rsidRDefault="007272F3" w:rsidP="007272F3">
            <w:pPr>
              <w:spacing w:line="360" w:lineRule="auto"/>
              <w:ind w:firstLine="0"/>
              <w:rPr>
                <w:rFonts w:eastAsia="Times New Roman"/>
                <w:sz w:val="18"/>
                <w:szCs w:val="18"/>
                <w:lang w:val="en-GB"/>
              </w:rPr>
            </w:pPr>
            <w:r w:rsidRPr="007272F3">
              <w:rPr>
                <w:rFonts w:eastAsia="Times New Roman"/>
                <w:sz w:val="18"/>
                <w:szCs w:val="18"/>
                <w:lang w:val="en-GB"/>
              </w:rPr>
              <w:t>Age</w:t>
            </w:r>
          </w:p>
        </w:tc>
        <w:tc>
          <w:tcPr>
            <w:tcW w:w="851" w:type="dxa"/>
            <w:vAlign w:val="center"/>
          </w:tcPr>
          <w:p w14:paraId="31944AF1" w14:textId="77777777" w:rsidR="007272F3" w:rsidRPr="007272F3" w:rsidRDefault="007272F3" w:rsidP="007272F3">
            <w:pPr>
              <w:spacing w:line="360" w:lineRule="auto"/>
              <w:ind w:firstLine="0"/>
              <w:jc w:val="right"/>
              <w:rPr>
                <w:sz w:val="18"/>
                <w:szCs w:val="18"/>
                <w:lang w:val="en-US"/>
              </w:rPr>
            </w:pPr>
            <w:r w:rsidRPr="007272F3">
              <w:rPr>
                <w:sz w:val="18"/>
                <w:szCs w:val="18"/>
                <w:lang w:val="en-US"/>
              </w:rPr>
              <w:t>-.02</w:t>
            </w:r>
          </w:p>
        </w:tc>
        <w:tc>
          <w:tcPr>
            <w:tcW w:w="567" w:type="dxa"/>
            <w:vAlign w:val="center"/>
          </w:tcPr>
          <w:p w14:paraId="210BD92B"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.01</w:t>
            </w:r>
          </w:p>
        </w:tc>
        <w:tc>
          <w:tcPr>
            <w:tcW w:w="709" w:type="dxa"/>
            <w:vAlign w:val="center"/>
          </w:tcPr>
          <w:p w14:paraId="5E970363"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-.08</w:t>
            </w:r>
          </w:p>
        </w:tc>
        <w:tc>
          <w:tcPr>
            <w:tcW w:w="284" w:type="dxa"/>
            <w:vAlign w:val="center"/>
          </w:tcPr>
          <w:p w14:paraId="6269D2B7" w14:textId="77777777" w:rsidR="007272F3" w:rsidRPr="007272F3" w:rsidRDefault="007272F3" w:rsidP="007272F3">
            <w:pPr>
              <w:spacing w:line="360" w:lineRule="auto"/>
              <w:ind w:firstLine="0"/>
              <w:jc w:val="center"/>
              <w:rPr>
                <w:color w:val="0070C0"/>
                <w:sz w:val="18"/>
                <w:szCs w:val="18"/>
                <w:lang w:val="en-US"/>
              </w:rPr>
            </w:pPr>
          </w:p>
        </w:tc>
        <w:tc>
          <w:tcPr>
            <w:tcW w:w="567" w:type="dxa"/>
            <w:vAlign w:val="center"/>
          </w:tcPr>
          <w:p w14:paraId="10C5A9F3" w14:textId="77777777" w:rsidR="007272F3" w:rsidRPr="007272F3" w:rsidRDefault="007272F3" w:rsidP="007272F3">
            <w:pPr>
              <w:spacing w:line="360" w:lineRule="auto"/>
              <w:ind w:firstLine="0"/>
              <w:jc w:val="right"/>
              <w:rPr>
                <w:sz w:val="18"/>
                <w:szCs w:val="18"/>
              </w:rPr>
            </w:pPr>
            <w:r w:rsidRPr="007272F3">
              <w:rPr>
                <w:sz w:val="18"/>
                <w:szCs w:val="18"/>
              </w:rPr>
              <w:t>-.03</w:t>
            </w:r>
          </w:p>
        </w:tc>
        <w:tc>
          <w:tcPr>
            <w:tcW w:w="567" w:type="dxa"/>
            <w:vAlign w:val="center"/>
          </w:tcPr>
          <w:p w14:paraId="0A157F3C" w14:textId="77777777" w:rsidR="007272F3" w:rsidRPr="007272F3" w:rsidRDefault="007272F3" w:rsidP="007272F3">
            <w:pPr>
              <w:spacing w:line="360" w:lineRule="auto"/>
              <w:ind w:firstLine="0"/>
              <w:rPr>
                <w:sz w:val="18"/>
                <w:szCs w:val="18"/>
              </w:rPr>
            </w:pPr>
            <w:r w:rsidRPr="007272F3">
              <w:rPr>
                <w:sz w:val="18"/>
                <w:szCs w:val="18"/>
              </w:rPr>
              <w:t>.01</w:t>
            </w:r>
          </w:p>
        </w:tc>
        <w:tc>
          <w:tcPr>
            <w:tcW w:w="708" w:type="dxa"/>
            <w:vAlign w:val="center"/>
          </w:tcPr>
          <w:p w14:paraId="75BEDDDC" w14:textId="77777777" w:rsidR="007272F3" w:rsidRPr="007272F3" w:rsidRDefault="007272F3" w:rsidP="007272F3">
            <w:pPr>
              <w:spacing w:line="360" w:lineRule="auto"/>
              <w:ind w:firstLine="0"/>
              <w:rPr>
                <w:sz w:val="18"/>
                <w:szCs w:val="18"/>
              </w:rPr>
            </w:pPr>
            <w:r w:rsidRPr="007272F3">
              <w:rPr>
                <w:sz w:val="18"/>
                <w:szCs w:val="18"/>
              </w:rPr>
              <w:t>-.13</w:t>
            </w:r>
            <w:r w:rsidRPr="007272F3">
              <w:rPr>
                <w:sz w:val="18"/>
                <w:szCs w:val="18"/>
                <w:vertAlign w:val="superscript"/>
              </w:rPr>
              <w:t>**</w:t>
            </w:r>
          </w:p>
        </w:tc>
        <w:tc>
          <w:tcPr>
            <w:tcW w:w="284" w:type="dxa"/>
            <w:vAlign w:val="center"/>
          </w:tcPr>
          <w:p w14:paraId="3652428C" w14:textId="77777777" w:rsidR="007272F3" w:rsidRPr="007272F3" w:rsidRDefault="007272F3" w:rsidP="007272F3">
            <w:pPr>
              <w:spacing w:line="360" w:lineRule="auto"/>
              <w:ind w:firstLine="0"/>
              <w:rPr>
                <w:color w:val="0070C0"/>
                <w:sz w:val="18"/>
                <w:szCs w:val="18"/>
              </w:rPr>
            </w:pPr>
          </w:p>
        </w:tc>
        <w:tc>
          <w:tcPr>
            <w:tcW w:w="709" w:type="dxa"/>
            <w:vAlign w:val="center"/>
          </w:tcPr>
          <w:p w14:paraId="0CCFD7FE" w14:textId="77777777" w:rsidR="007272F3" w:rsidRPr="007272F3" w:rsidRDefault="007272F3" w:rsidP="007272F3">
            <w:pPr>
              <w:spacing w:line="360" w:lineRule="auto"/>
              <w:ind w:firstLine="0"/>
              <w:jc w:val="right"/>
              <w:rPr>
                <w:sz w:val="18"/>
                <w:szCs w:val="18"/>
              </w:rPr>
            </w:pPr>
            <w:r w:rsidRPr="007272F3">
              <w:rPr>
                <w:sz w:val="18"/>
                <w:szCs w:val="18"/>
              </w:rPr>
              <w:t>-.01</w:t>
            </w:r>
          </w:p>
        </w:tc>
        <w:tc>
          <w:tcPr>
            <w:tcW w:w="708" w:type="dxa"/>
            <w:vAlign w:val="center"/>
          </w:tcPr>
          <w:p w14:paraId="1C9DEAAA" w14:textId="77777777" w:rsidR="007272F3" w:rsidRPr="007272F3" w:rsidRDefault="007272F3" w:rsidP="007272F3">
            <w:pPr>
              <w:spacing w:line="360" w:lineRule="auto"/>
              <w:ind w:firstLine="0"/>
              <w:jc w:val="center"/>
              <w:rPr>
                <w:sz w:val="18"/>
                <w:szCs w:val="18"/>
              </w:rPr>
            </w:pPr>
            <w:r w:rsidRPr="007272F3">
              <w:rPr>
                <w:sz w:val="18"/>
                <w:szCs w:val="18"/>
              </w:rPr>
              <w:t>.01</w:t>
            </w:r>
          </w:p>
        </w:tc>
        <w:tc>
          <w:tcPr>
            <w:tcW w:w="851" w:type="dxa"/>
            <w:vAlign w:val="center"/>
          </w:tcPr>
          <w:p w14:paraId="714048DB" w14:textId="77777777" w:rsidR="007272F3" w:rsidRPr="007272F3" w:rsidRDefault="007272F3" w:rsidP="007272F3">
            <w:pPr>
              <w:spacing w:line="360" w:lineRule="auto"/>
              <w:ind w:firstLine="0"/>
              <w:jc w:val="center"/>
              <w:rPr>
                <w:sz w:val="18"/>
                <w:szCs w:val="18"/>
              </w:rPr>
            </w:pPr>
            <w:r w:rsidRPr="007272F3">
              <w:rPr>
                <w:sz w:val="18"/>
                <w:szCs w:val="18"/>
              </w:rPr>
              <w:t>-.02</w:t>
            </w:r>
          </w:p>
        </w:tc>
        <w:tc>
          <w:tcPr>
            <w:tcW w:w="283" w:type="dxa"/>
            <w:vAlign w:val="center"/>
          </w:tcPr>
          <w:p w14:paraId="4A37F63D" w14:textId="77777777" w:rsidR="007272F3" w:rsidRPr="007272F3" w:rsidRDefault="007272F3" w:rsidP="007272F3">
            <w:pPr>
              <w:spacing w:line="360" w:lineRule="auto"/>
              <w:ind w:firstLine="0"/>
              <w:jc w:val="center"/>
              <w:rPr>
                <w:color w:val="0070C0"/>
                <w:sz w:val="18"/>
                <w:szCs w:val="18"/>
              </w:rPr>
            </w:pPr>
          </w:p>
        </w:tc>
        <w:tc>
          <w:tcPr>
            <w:tcW w:w="567" w:type="dxa"/>
            <w:vAlign w:val="center"/>
          </w:tcPr>
          <w:p w14:paraId="5FEE6597" w14:textId="77777777" w:rsidR="007272F3" w:rsidRPr="007272F3" w:rsidRDefault="007272F3" w:rsidP="007272F3">
            <w:pPr>
              <w:spacing w:line="360" w:lineRule="auto"/>
              <w:ind w:firstLine="0"/>
              <w:jc w:val="right"/>
              <w:rPr>
                <w:sz w:val="18"/>
                <w:szCs w:val="18"/>
              </w:rPr>
            </w:pPr>
            <w:r w:rsidRPr="007272F3">
              <w:rPr>
                <w:sz w:val="18"/>
                <w:szCs w:val="18"/>
              </w:rPr>
              <w:t>-.01</w:t>
            </w:r>
          </w:p>
        </w:tc>
        <w:tc>
          <w:tcPr>
            <w:tcW w:w="709" w:type="dxa"/>
            <w:vAlign w:val="center"/>
          </w:tcPr>
          <w:p w14:paraId="57BC2D1E" w14:textId="77777777" w:rsidR="007272F3" w:rsidRPr="007272F3" w:rsidRDefault="007272F3" w:rsidP="007272F3">
            <w:pPr>
              <w:spacing w:line="360" w:lineRule="auto"/>
              <w:ind w:firstLine="0"/>
              <w:rPr>
                <w:sz w:val="18"/>
                <w:szCs w:val="18"/>
              </w:rPr>
            </w:pPr>
            <w:r w:rsidRPr="007272F3">
              <w:rPr>
                <w:sz w:val="18"/>
                <w:szCs w:val="18"/>
              </w:rPr>
              <w:t>.02</w:t>
            </w:r>
          </w:p>
        </w:tc>
        <w:tc>
          <w:tcPr>
            <w:tcW w:w="709" w:type="dxa"/>
            <w:vAlign w:val="center"/>
          </w:tcPr>
          <w:p w14:paraId="691BBAE0" w14:textId="77777777" w:rsidR="007272F3" w:rsidRPr="007272F3" w:rsidRDefault="007272F3" w:rsidP="007272F3">
            <w:pPr>
              <w:spacing w:line="360" w:lineRule="auto"/>
              <w:ind w:firstLine="0"/>
              <w:jc w:val="center"/>
              <w:rPr>
                <w:sz w:val="18"/>
                <w:szCs w:val="18"/>
              </w:rPr>
            </w:pPr>
            <w:r w:rsidRPr="007272F3">
              <w:rPr>
                <w:sz w:val="18"/>
                <w:szCs w:val="18"/>
              </w:rPr>
              <w:t>-.03</w:t>
            </w:r>
          </w:p>
        </w:tc>
      </w:tr>
      <w:tr w:rsidR="007272F3" w:rsidRPr="007272F3" w14:paraId="1944527D" w14:textId="77777777" w:rsidTr="00CE564B">
        <w:trPr>
          <w:trHeight w:val="267"/>
        </w:trPr>
        <w:tc>
          <w:tcPr>
            <w:tcW w:w="520" w:type="dxa"/>
          </w:tcPr>
          <w:p w14:paraId="295D19EE" w14:textId="77777777" w:rsidR="007272F3" w:rsidRPr="007272F3" w:rsidRDefault="007272F3" w:rsidP="007272F3">
            <w:pPr>
              <w:spacing w:line="360" w:lineRule="auto"/>
              <w:ind w:firstLine="0"/>
              <w:contextualSpacing w:val="0"/>
              <w:rPr>
                <w:rFonts w:eastAsia="Times New Roman"/>
                <w:sz w:val="18"/>
                <w:szCs w:val="18"/>
                <w:lang w:val="en-GB"/>
              </w:rPr>
            </w:pPr>
          </w:p>
        </w:tc>
        <w:tc>
          <w:tcPr>
            <w:tcW w:w="2598" w:type="dxa"/>
            <w:vAlign w:val="center"/>
          </w:tcPr>
          <w:p w14:paraId="73B89507" w14:textId="77777777" w:rsidR="007272F3" w:rsidRPr="007272F3" w:rsidRDefault="007272F3" w:rsidP="007272F3">
            <w:pPr>
              <w:spacing w:line="360" w:lineRule="auto"/>
              <w:ind w:firstLine="0"/>
              <w:contextualSpacing w:val="0"/>
              <w:rPr>
                <w:rFonts w:eastAsia="Times New Roman"/>
                <w:sz w:val="18"/>
                <w:szCs w:val="18"/>
                <w:lang w:val="en-GB"/>
              </w:rPr>
            </w:pPr>
            <w:r w:rsidRPr="007272F3">
              <w:rPr>
                <w:rFonts w:eastAsia="Times New Roman"/>
                <w:sz w:val="18"/>
                <w:szCs w:val="18"/>
                <w:lang w:val="en-GB"/>
              </w:rPr>
              <w:t>Education</w:t>
            </w:r>
          </w:p>
        </w:tc>
        <w:tc>
          <w:tcPr>
            <w:tcW w:w="851" w:type="dxa"/>
            <w:vAlign w:val="center"/>
          </w:tcPr>
          <w:p w14:paraId="0B3A1805" w14:textId="77777777" w:rsidR="007272F3" w:rsidRPr="007272F3" w:rsidRDefault="007272F3" w:rsidP="007272F3">
            <w:pPr>
              <w:spacing w:line="360" w:lineRule="auto"/>
              <w:ind w:firstLine="0"/>
              <w:jc w:val="right"/>
              <w:rPr>
                <w:sz w:val="18"/>
                <w:szCs w:val="18"/>
                <w:lang w:val="en-US"/>
              </w:rPr>
            </w:pPr>
            <w:r w:rsidRPr="007272F3">
              <w:rPr>
                <w:sz w:val="18"/>
                <w:szCs w:val="18"/>
                <w:lang w:val="en-US"/>
              </w:rPr>
              <w:t xml:space="preserve">  .07</w:t>
            </w:r>
          </w:p>
        </w:tc>
        <w:tc>
          <w:tcPr>
            <w:tcW w:w="567" w:type="dxa"/>
            <w:vAlign w:val="center"/>
          </w:tcPr>
          <w:p w14:paraId="4EB82FA3"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.07</w:t>
            </w:r>
          </w:p>
        </w:tc>
        <w:tc>
          <w:tcPr>
            <w:tcW w:w="709" w:type="dxa"/>
            <w:vAlign w:val="center"/>
          </w:tcPr>
          <w:p w14:paraId="0B08666C"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.04</w:t>
            </w:r>
          </w:p>
        </w:tc>
        <w:tc>
          <w:tcPr>
            <w:tcW w:w="284" w:type="dxa"/>
            <w:vAlign w:val="center"/>
          </w:tcPr>
          <w:p w14:paraId="5C4DE76B" w14:textId="77777777" w:rsidR="007272F3" w:rsidRPr="007272F3" w:rsidRDefault="007272F3" w:rsidP="007272F3">
            <w:pPr>
              <w:spacing w:line="360" w:lineRule="auto"/>
              <w:ind w:firstLine="0"/>
              <w:jc w:val="center"/>
              <w:rPr>
                <w:color w:val="0070C0"/>
                <w:sz w:val="18"/>
                <w:szCs w:val="18"/>
                <w:lang w:val="en-US"/>
              </w:rPr>
            </w:pPr>
          </w:p>
        </w:tc>
        <w:tc>
          <w:tcPr>
            <w:tcW w:w="567" w:type="dxa"/>
            <w:vAlign w:val="center"/>
          </w:tcPr>
          <w:p w14:paraId="33B3D7D4" w14:textId="77777777" w:rsidR="007272F3" w:rsidRPr="007272F3" w:rsidRDefault="007272F3" w:rsidP="007272F3">
            <w:pPr>
              <w:spacing w:line="360" w:lineRule="auto"/>
              <w:ind w:firstLine="0"/>
              <w:jc w:val="right"/>
              <w:rPr>
                <w:sz w:val="18"/>
                <w:szCs w:val="18"/>
                <w:lang w:val="en-US"/>
              </w:rPr>
            </w:pPr>
            <w:r w:rsidRPr="007272F3">
              <w:rPr>
                <w:sz w:val="18"/>
                <w:szCs w:val="18"/>
                <w:lang w:val="en-US"/>
              </w:rPr>
              <w:t xml:space="preserve"> .03</w:t>
            </w:r>
          </w:p>
        </w:tc>
        <w:tc>
          <w:tcPr>
            <w:tcW w:w="567" w:type="dxa"/>
            <w:vAlign w:val="center"/>
          </w:tcPr>
          <w:p w14:paraId="156B9F55" w14:textId="77777777" w:rsidR="007272F3" w:rsidRPr="007272F3" w:rsidRDefault="007272F3" w:rsidP="007272F3">
            <w:pPr>
              <w:spacing w:line="360" w:lineRule="auto"/>
              <w:ind w:firstLine="0"/>
              <w:rPr>
                <w:sz w:val="18"/>
                <w:szCs w:val="18"/>
                <w:lang w:val="en-US"/>
              </w:rPr>
            </w:pPr>
            <w:r w:rsidRPr="007272F3">
              <w:rPr>
                <w:sz w:val="18"/>
                <w:szCs w:val="18"/>
                <w:lang w:val="en-US"/>
              </w:rPr>
              <w:t>.06</w:t>
            </w:r>
          </w:p>
        </w:tc>
        <w:tc>
          <w:tcPr>
            <w:tcW w:w="708" w:type="dxa"/>
            <w:vAlign w:val="center"/>
          </w:tcPr>
          <w:p w14:paraId="5CCC4603" w14:textId="77777777" w:rsidR="007272F3" w:rsidRPr="007272F3" w:rsidRDefault="007272F3" w:rsidP="007272F3">
            <w:pPr>
              <w:spacing w:line="360" w:lineRule="auto"/>
              <w:ind w:firstLine="0"/>
              <w:rPr>
                <w:sz w:val="18"/>
                <w:szCs w:val="18"/>
                <w:lang w:val="en-US"/>
              </w:rPr>
            </w:pPr>
            <w:r w:rsidRPr="007272F3">
              <w:rPr>
                <w:sz w:val="18"/>
                <w:szCs w:val="18"/>
                <w:lang w:val="en-US"/>
              </w:rPr>
              <w:t xml:space="preserve"> .03</w:t>
            </w:r>
          </w:p>
        </w:tc>
        <w:tc>
          <w:tcPr>
            <w:tcW w:w="284" w:type="dxa"/>
            <w:vAlign w:val="center"/>
          </w:tcPr>
          <w:p w14:paraId="23A6BB88" w14:textId="77777777" w:rsidR="007272F3" w:rsidRPr="007272F3" w:rsidRDefault="007272F3" w:rsidP="007272F3">
            <w:pPr>
              <w:spacing w:line="360" w:lineRule="auto"/>
              <w:ind w:firstLine="0"/>
              <w:rPr>
                <w:color w:val="0070C0"/>
                <w:sz w:val="18"/>
                <w:szCs w:val="18"/>
                <w:lang w:val="en-US"/>
              </w:rPr>
            </w:pPr>
          </w:p>
        </w:tc>
        <w:tc>
          <w:tcPr>
            <w:tcW w:w="709" w:type="dxa"/>
            <w:vAlign w:val="center"/>
          </w:tcPr>
          <w:p w14:paraId="4E750D19" w14:textId="77777777" w:rsidR="007272F3" w:rsidRPr="007272F3" w:rsidRDefault="007272F3" w:rsidP="007272F3">
            <w:pPr>
              <w:spacing w:line="360" w:lineRule="auto"/>
              <w:ind w:firstLine="0"/>
              <w:jc w:val="right"/>
              <w:rPr>
                <w:sz w:val="18"/>
                <w:szCs w:val="18"/>
                <w:lang w:val="en-US"/>
              </w:rPr>
            </w:pPr>
            <w:r w:rsidRPr="007272F3">
              <w:rPr>
                <w:sz w:val="18"/>
                <w:szCs w:val="18"/>
                <w:lang w:val="en-US"/>
              </w:rPr>
              <w:t>.08</w:t>
            </w:r>
          </w:p>
        </w:tc>
        <w:tc>
          <w:tcPr>
            <w:tcW w:w="708" w:type="dxa"/>
            <w:vAlign w:val="center"/>
          </w:tcPr>
          <w:p w14:paraId="7B8456DD"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.09</w:t>
            </w:r>
          </w:p>
        </w:tc>
        <w:tc>
          <w:tcPr>
            <w:tcW w:w="851" w:type="dxa"/>
            <w:vAlign w:val="center"/>
          </w:tcPr>
          <w:p w14:paraId="1F0553DF"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.05</w:t>
            </w:r>
          </w:p>
        </w:tc>
        <w:tc>
          <w:tcPr>
            <w:tcW w:w="283" w:type="dxa"/>
            <w:vAlign w:val="center"/>
          </w:tcPr>
          <w:p w14:paraId="2A6F67F5" w14:textId="77777777" w:rsidR="007272F3" w:rsidRPr="007272F3" w:rsidRDefault="007272F3" w:rsidP="007272F3">
            <w:pPr>
              <w:spacing w:line="360" w:lineRule="auto"/>
              <w:ind w:firstLine="0"/>
              <w:jc w:val="center"/>
              <w:rPr>
                <w:color w:val="0070C0"/>
                <w:sz w:val="18"/>
                <w:szCs w:val="18"/>
                <w:lang w:val="en-US"/>
              </w:rPr>
            </w:pPr>
          </w:p>
        </w:tc>
        <w:tc>
          <w:tcPr>
            <w:tcW w:w="567" w:type="dxa"/>
            <w:vAlign w:val="center"/>
          </w:tcPr>
          <w:p w14:paraId="0EF3E298" w14:textId="77777777" w:rsidR="007272F3" w:rsidRPr="007272F3" w:rsidRDefault="007272F3" w:rsidP="007272F3">
            <w:pPr>
              <w:spacing w:line="360" w:lineRule="auto"/>
              <w:ind w:firstLine="0"/>
              <w:jc w:val="right"/>
              <w:rPr>
                <w:sz w:val="18"/>
                <w:szCs w:val="18"/>
                <w:lang w:val="en-US"/>
              </w:rPr>
            </w:pPr>
            <w:r w:rsidRPr="007272F3">
              <w:rPr>
                <w:sz w:val="18"/>
                <w:szCs w:val="18"/>
                <w:lang w:val="en-US"/>
              </w:rPr>
              <w:t>.00</w:t>
            </w:r>
          </w:p>
        </w:tc>
        <w:tc>
          <w:tcPr>
            <w:tcW w:w="709" w:type="dxa"/>
            <w:vAlign w:val="center"/>
          </w:tcPr>
          <w:p w14:paraId="3D48AAB9" w14:textId="77777777" w:rsidR="007272F3" w:rsidRPr="007272F3" w:rsidRDefault="007272F3" w:rsidP="007272F3">
            <w:pPr>
              <w:spacing w:line="360" w:lineRule="auto"/>
              <w:ind w:firstLine="0"/>
              <w:rPr>
                <w:sz w:val="18"/>
                <w:szCs w:val="18"/>
                <w:lang w:val="en-US"/>
              </w:rPr>
            </w:pPr>
            <w:r w:rsidRPr="007272F3">
              <w:rPr>
                <w:sz w:val="18"/>
                <w:szCs w:val="18"/>
                <w:lang w:val="en-US"/>
              </w:rPr>
              <w:t>.11</w:t>
            </w:r>
          </w:p>
        </w:tc>
        <w:tc>
          <w:tcPr>
            <w:tcW w:w="709" w:type="dxa"/>
            <w:vAlign w:val="center"/>
          </w:tcPr>
          <w:p w14:paraId="27CA5C51"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.00</w:t>
            </w:r>
          </w:p>
        </w:tc>
      </w:tr>
      <w:tr w:rsidR="007272F3" w:rsidRPr="007272F3" w14:paraId="26E31BD6" w14:textId="77777777" w:rsidTr="00CE564B">
        <w:trPr>
          <w:trHeight w:val="267"/>
        </w:trPr>
        <w:tc>
          <w:tcPr>
            <w:tcW w:w="520" w:type="dxa"/>
          </w:tcPr>
          <w:p w14:paraId="6D1D4EB0" w14:textId="77777777" w:rsidR="007272F3" w:rsidRPr="007272F3" w:rsidRDefault="007272F3" w:rsidP="007272F3">
            <w:pPr>
              <w:spacing w:line="360" w:lineRule="auto"/>
              <w:ind w:firstLine="0"/>
              <w:contextualSpacing w:val="0"/>
              <w:rPr>
                <w:rFonts w:eastAsia="Times New Roman"/>
                <w:sz w:val="18"/>
                <w:szCs w:val="18"/>
                <w:lang w:val="en-GB"/>
              </w:rPr>
            </w:pPr>
          </w:p>
        </w:tc>
        <w:tc>
          <w:tcPr>
            <w:tcW w:w="2598" w:type="dxa"/>
            <w:vAlign w:val="center"/>
          </w:tcPr>
          <w:p w14:paraId="1860A881" w14:textId="77777777" w:rsidR="007272F3" w:rsidRPr="007272F3" w:rsidRDefault="007272F3" w:rsidP="007272F3">
            <w:pPr>
              <w:spacing w:line="360" w:lineRule="auto"/>
              <w:ind w:firstLine="0"/>
              <w:contextualSpacing w:val="0"/>
              <w:rPr>
                <w:rFonts w:eastAsia="Times New Roman"/>
                <w:sz w:val="18"/>
                <w:szCs w:val="18"/>
                <w:lang w:val="en-GB"/>
              </w:rPr>
            </w:pPr>
            <w:r w:rsidRPr="007272F3">
              <w:rPr>
                <w:rFonts w:eastAsia="Times New Roman"/>
                <w:sz w:val="18"/>
                <w:szCs w:val="18"/>
                <w:lang w:val="en-GB"/>
              </w:rPr>
              <w:t xml:space="preserve">Religiosity </w:t>
            </w:r>
          </w:p>
        </w:tc>
        <w:tc>
          <w:tcPr>
            <w:tcW w:w="851" w:type="dxa"/>
            <w:vAlign w:val="center"/>
          </w:tcPr>
          <w:p w14:paraId="4F2D2C5D" w14:textId="77777777" w:rsidR="007272F3" w:rsidRPr="007272F3" w:rsidRDefault="007272F3" w:rsidP="007272F3">
            <w:pPr>
              <w:spacing w:line="360" w:lineRule="auto"/>
              <w:ind w:firstLine="0"/>
              <w:jc w:val="right"/>
              <w:rPr>
                <w:sz w:val="18"/>
                <w:szCs w:val="18"/>
                <w:lang w:val="en-US"/>
              </w:rPr>
            </w:pPr>
            <w:r w:rsidRPr="007272F3">
              <w:rPr>
                <w:sz w:val="18"/>
                <w:szCs w:val="18"/>
                <w:lang w:val="en-US"/>
              </w:rPr>
              <w:t>-.02</w:t>
            </w:r>
          </w:p>
        </w:tc>
        <w:tc>
          <w:tcPr>
            <w:tcW w:w="567" w:type="dxa"/>
            <w:vAlign w:val="center"/>
          </w:tcPr>
          <w:p w14:paraId="130BBAEA"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.03</w:t>
            </w:r>
          </w:p>
        </w:tc>
        <w:tc>
          <w:tcPr>
            <w:tcW w:w="709" w:type="dxa"/>
            <w:vAlign w:val="center"/>
          </w:tcPr>
          <w:p w14:paraId="440E4F4A"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-.03</w:t>
            </w:r>
          </w:p>
        </w:tc>
        <w:tc>
          <w:tcPr>
            <w:tcW w:w="284" w:type="dxa"/>
            <w:vAlign w:val="center"/>
          </w:tcPr>
          <w:p w14:paraId="7404B122" w14:textId="77777777" w:rsidR="007272F3" w:rsidRPr="007272F3" w:rsidRDefault="007272F3" w:rsidP="007272F3">
            <w:pPr>
              <w:spacing w:line="360" w:lineRule="auto"/>
              <w:ind w:firstLine="0"/>
              <w:jc w:val="center"/>
              <w:rPr>
                <w:color w:val="0070C0"/>
                <w:sz w:val="18"/>
                <w:szCs w:val="18"/>
                <w:lang w:val="en-US"/>
              </w:rPr>
            </w:pPr>
          </w:p>
        </w:tc>
        <w:tc>
          <w:tcPr>
            <w:tcW w:w="567" w:type="dxa"/>
            <w:vAlign w:val="center"/>
          </w:tcPr>
          <w:p w14:paraId="730C4ABA" w14:textId="77777777" w:rsidR="007272F3" w:rsidRPr="007272F3" w:rsidRDefault="007272F3" w:rsidP="007272F3">
            <w:pPr>
              <w:spacing w:line="360" w:lineRule="auto"/>
              <w:ind w:firstLine="0"/>
              <w:jc w:val="right"/>
              <w:rPr>
                <w:sz w:val="18"/>
                <w:szCs w:val="18"/>
                <w:lang w:val="en-US"/>
              </w:rPr>
            </w:pPr>
            <w:r w:rsidRPr="007272F3">
              <w:rPr>
                <w:sz w:val="18"/>
                <w:szCs w:val="18"/>
                <w:lang w:val="en-US"/>
              </w:rPr>
              <w:t>-.00</w:t>
            </w:r>
          </w:p>
        </w:tc>
        <w:tc>
          <w:tcPr>
            <w:tcW w:w="567" w:type="dxa"/>
            <w:vAlign w:val="center"/>
          </w:tcPr>
          <w:p w14:paraId="399BB8A2" w14:textId="77777777" w:rsidR="007272F3" w:rsidRPr="007272F3" w:rsidRDefault="007272F3" w:rsidP="007272F3">
            <w:pPr>
              <w:spacing w:line="360" w:lineRule="auto"/>
              <w:ind w:firstLine="0"/>
              <w:rPr>
                <w:sz w:val="18"/>
                <w:szCs w:val="18"/>
                <w:lang w:val="en-US"/>
              </w:rPr>
            </w:pPr>
            <w:r w:rsidRPr="007272F3">
              <w:rPr>
                <w:sz w:val="18"/>
                <w:szCs w:val="18"/>
                <w:lang w:val="en-US"/>
              </w:rPr>
              <w:t>.03</w:t>
            </w:r>
          </w:p>
        </w:tc>
        <w:tc>
          <w:tcPr>
            <w:tcW w:w="708" w:type="dxa"/>
            <w:vAlign w:val="center"/>
          </w:tcPr>
          <w:p w14:paraId="2606EA75" w14:textId="77777777" w:rsidR="007272F3" w:rsidRPr="007272F3" w:rsidRDefault="007272F3" w:rsidP="007272F3">
            <w:pPr>
              <w:spacing w:line="360" w:lineRule="auto"/>
              <w:ind w:firstLine="0"/>
              <w:rPr>
                <w:sz w:val="18"/>
                <w:szCs w:val="18"/>
                <w:lang w:val="en-US"/>
              </w:rPr>
            </w:pPr>
            <w:r w:rsidRPr="007272F3">
              <w:rPr>
                <w:sz w:val="18"/>
                <w:szCs w:val="18"/>
                <w:lang w:val="en-US"/>
              </w:rPr>
              <w:t>-.00</w:t>
            </w:r>
          </w:p>
        </w:tc>
        <w:tc>
          <w:tcPr>
            <w:tcW w:w="284" w:type="dxa"/>
            <w:vAlign w:val="center"/>
          </w:tcPr>
          <w:p w14:paraId="725D488B" w14:textId="77777777" w:rsidR="007272F3" w:rsidRPr="007272F3" w:rsidRDefault="007272F3" w:rsidP="007272F3">
            <w:pPr>
              <w:spacing w:line="360" w:lineRule="auto"/>
              <w:ind w:firstLine="0"/>
              <w:rPr>
                <w:color w:val="0070C0"/>
                <w:sz w:val="18"/>
                <w:szCs w:val="18"/>
                <w:lang w:val="en-US"/>
              </w:rPr>
            </w:pPr>
          </w:p>
        </w:tc>
        <w:tc>
          <w:tcPr>
            <w:tcW w:w="709" w:type="dxa"/>
            <w:vAlign w:val="center"/>
          </w:tcPr>
          <w:p w14:paraId="7FB4E59E" w14:textId="77777777" w:rsidR="007272F3" w:rsidRPr="007272F3" w:rsidRDefault="007272F3" w:rsidP="007272F3">
            <w:pPr>
              <w:spacing w:line="360" w:lineRule="auto"/>
              <w:ind w:firstLine="0"/>
              <w:jc w:val="right"/>
              <w:rPr>
                <w:sz w:val="18"/>
                <w:szCs w:val="18"/>
                <w:lang w:val="en-US"/>
              </w:rPr>
            </w:pPr>
            <w:r w:rsidRPr="007272F3">
              <w:rPr>
                <w:sz w:val="18"/>
                <w:szCs w:val="18"/>
                <w:lang w:val="en-US"/>
              </w:rPr>
              <w:t>-.02</w:t>
            </w:r>
          </w:p>
        </w:tc>
        <w:tc>
          <w:tcPr>
            <w:tcW w:w="708" w:type="dxa"/>
            <w:vAlign w:val="center"/>
          </w:tcPr>
          <w:p w14:paraId="59D9D89B"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.03</w:t>
            </w:r>
          </w:p>
        </w:tc>
        <w:tc>
          <w:tcPr>
            <w:tcW w:w="851" w:type="dxa"/>
            <w:vAlign w:val="center"/>
          </w:tcPr>
          <w:p w14:paraId="1557960B"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-.04</w:t>
            </w:r>
          </w:p>
        </w:tc>
        <w:tc>
          <w:tcPr>
            <w:tcW w:w="283" w:type="dxa"/>
            <w:vAlign w:val="center"/>
          </w:tcPr>
          <w:p w14:paraId="5C23CE67" w14:textId="77777777" w:rsidR="007272F3" w:rsidRPr="007272F3" w:rsidRDefault="007272F3" w:rsidP="007272F3">
            <w:pPr>
              <w:spacing w:line="360" w:lineRule="auto"/>
              <w:ind w:firstLine="0"/>
              <w:jc w:val="center"/>
              <w:rPr>
                <w:color w:val="0070C0"/>
                <w:sz w:val="18"/>
                <w:szCs w:val="18"/>
                <w:lang w:val="en-US"/>
              </w:rPr>
            </w:pPr>
          </w:p>
        </w:tc>
        <w:tc>
          <w:tcPr>
            <w:tcW w:w="567" w:type="dxa"/>
            <w:vAlign w:val="center"/>
          </w:tcPr>
          <w:p w14:paraId="64B23E46" w14:textId="77777777" w:rsidR="007272F3" w:rsidRPr="007272F3" w:rsidRDefault="007272F3" w:rsidP="007272F3">
            <w:pPr>
              <w:spacing w:line="360" w:lineRule="auto"/>
              <w:ind w:firstLine="0"/>
              <w:jc w:val="right"/>
              <w:rPr>
                <w:sz w:val="18"/>
                <w:szCs w:val="18"/>
                <w:lang w:val="en-US"/>
              </w:rPr>
            </w:pPr>
            <w:r w:rsidRPr="007272F3">
              <w:rPr>
                <w:sz w:val="18"/>
                <w:szCs w:val="18"/>
                <w:lang w:val="en-US"/>
              </w:rPr>
              <w:t>.00</w:t>
            </w:r>
          </w:p>
        </w:tc>
        <w:tc>
          <w:tcPr>
            <w:tcW w:w="709" w:type="dxa"/>
            <w:vAlign w:val="center"/>
          </w:tcPr>
          <w:p w14:paraId="250C031C" w14:textId="77777777" w:rsidR="007272F3" w:rsidRPr="007272F3" w:rsidRDefault="007272F3" w:rsidP="007272F3">
            <w:pPr>
              <w:spacing w:line="360" w:lineRule="auto"/>
              <w:ind w:firstLine="0"/>
              <w:rPr>
                <w:sz w:val="18"/>
                <w:szCs w:val="18"/>
                <w:lang w:val="en-US"/>
              </w:rPr>
            </w:pPr>
            <w:r w:rsidRPr="007272F3">
              <w:rPr>
                <w:sz w:val="18"/>
                <w:szCs w:val="18"/>
                <w:lang w:val="en-US"/>
              </w:rPr>
              <w:t>.03</w:t>
            </w:r>
          </w:p>
        </w:tc>
        <w:tc>
          <w:tcPr>
            <w:tcW w:w="709" w:type="dxa"/>
            <w:vAlign w:val="center"/>
          </w:tcPr>
          <w:p w14:paraId="58E0106D"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.01</w:t>
            </w:r>
          </w:p>
        </w:tc>
      </w:tr>
      <w:tr w:rsidR="007272F3" w:rsidRPr="007272F3" w14:paraId="65A33F08" w14:textId="77777777" w:rsidTr="00CE564B">
        <w:trPr>
          <w:trHeight w:val="267"/>
        </w:trPr>
        <w:tc>
          <w:tcPr>
            <w:tcW w:w="520" w:type="dxa"/>
          </w:tcPr>
          <w:p w14:paraId="71AFAC58" w14:textId="77777777" w:rsidR="007272F3" w:rsidRPr="007272F3" w:rsidRDefault="007272F3" w:rsidP="007272F3">
            <w:pPr>
              <w:spacing w:line="360" w:lineRule="auto"/>
              <w:ind w:firstLine="0"/>
              <w:contextualSpacing w:val="0"/>
              <w:rPr>
                <w:rFonts w:eastAsia="Times New Roman"/>
                <w:sz w:val="18"/>
                <w:szCs w:val="18"/>
                <w:lang w:val="en-GB"/>
              </w:rPr>
            </w:pPr>
          </w:p>
        </w:tc>
        <w:tc>
          <w:tcPr>
            <w:tcW w:w="2598" w:type="dxa"/>
            <w:vAlign w:val="center"/>
          </w:tcPr>
          <w:p w14:paraId="7B73905F" w14:textId="77777777" w:rsidR="007272F3" w:rsidRPr="007272F3" w:rsidRDefault="007272F3" w:rsidP="007272F3">
            <w:pPr>
              <w:spacing w:line="360" w:lineRule="auto"/>
              <w:ind w:firstLine="0"/>
              <w:contextualSpacing w:val="0"/>
              <w:rPr>
                <w:rFonts w:eastAsia="Times New Roman"/>
                <w:sz w:val="18"/>
                <w:szCs w:val="18"/>
                <w:lang w:val="en-GB"/>
              </w:rPr>
            </w:pPr>
            <w:r w:rsidRPr="007272F3">
              <w:rPr>
                <w:rFonts w:eastAsia="Times New Roman"/>
                <w:sz w:val="18"/>
                <w:szCs w:val="18"/>
                <w:lang w:val="en-GB"/>
              </w:rPr>
              <w:t>Relationship status</w:t>
            </w:r>
          </w:p>
        </w:tc>
        <w:tc>
          <w:tcPr>
            <w:tcW w:w="851" w:type="dxa"/>
            <w:vAlign w:val="center"/>
          </w:tcPr>
          <w:p w14:paraId="1B7675A4" w14:textId="77777777" w:rsidR="007272F3" w:rsidRPr="007272F3" w:rsidRDefault="007272F3" w:rsidP="007272F3">
            <w:pPr>
              <w:spacing w:line="360" w:lineRule="auto"/>
              <w:ind w:firstLine="0"/>
              <w:jc w:val="right"/>
              <w:rPr>
                <w:sz w:val="18"/>
                <w:szCs w:val="18"/>
                <w:lang w:val="en-US"/>
              </w:rPr>
            </w:pPr>
            <w:r w:rsidRPr="007272F3">
              <w:rPr>
                <w:sz w:val="18"/>
                <w:szCs w:val="18"/>
                <w:lang w:val="en-US"/>
              </w:rPr>
              <w:t xml:space="preserve">  -.36</w:t>
            </w:r>
          </w:p>
        </w:tc>
        <w:tc>
          <w:tcPr>
            <w:tcW w:w="567" w:type="dxa"/>
            <w:vAlign w:val="center"/>
          </w:tcPr>
          <w:p w14:paraId="2A8BC210"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.11</w:t>
            </w:r>
          </w:p>
        </w:tc>
        <w:tc>
          <w:tcPr>
            <w:tcW w:w="709" w:type="dxa"/>
            <w:vAlign w:val="center"/>
          </w:tcPr>
          <w:p w14:paraId="4EA09D1A"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-.16</w:t>
            </w:r>
            <w:r w:rsidRPr="007272F3">
              <w:rPr>
                <w:sz w:val="18"/>
                <w:szCs w:val="18"/>
                <w:vertAlign w:val="superscript"/>
                <w:lang w:val="en-US"/>
              </w:rPr>
              <w:t>***</w:t>
            </w:r>
          </w:p>
        </w:tc>
        <w:tc>
          <w:tcPr>
            <w:tcW w:w="284" w:type="dxa"/>
            <w:vAlign w:val="center"/>
          </w:tcPr>
          <w:p w14:paraId="02B7DE9E" w14:textId="77777777" w:rsidR="007272F3" w:rsidRPr="007272F3" w:rsidRDefault="007272F3" w:rsidP="007272F3">
            <w:pPr>
              <w:spacing w:line="360" w:lineRule="auto"/>
              <w:ind w:firstLine="0"/>
              <w:jc w:val="center"/>
              <w:rPr>
                <w:color w:val="0070C0"/>
                <w:sz w:val="18"/>
                <w:szCs w:val="18"/>
                <w:lang w:val="en-US"/>
              </w:rPr>
            </w:pPr>
          </w:p>
        </w:tc>
        <w:tc>
          <w:tcPr>
            <w:tcW w:w="567" w:type="dxa"/>
            <w:vAlign w:val="center"/>
          </w:tcPr>
          <w:p w14:paraId="62E403A7" w14:textId="77777777" w:rsidR="007272F3" w:rsidRPr="007272F3" w:rsidRDefault="007272F3" w:rsidP="007272F3">
            <w:pPr>
              <w:spacing w:line="360" w:lineRule="auto"/>
              <w:ind w:firstLine="0"/>
              <w:jc w:val="right"/>
              <w:rPr>
                <w:sz w:val="18"/>
                <w:szCs w:val="18"/>
                <w:lang w:val="en-US"/>
              </w:rPr>
            </w:pPr>
            <w:r w:rsidRPr="007272F3">
              <w:rPr>
                <w:sz w:val="18"/>
                <w:szCs w:val="18"/>
                <w:lang w:val="en-US"/>
              </w:rPr>
              <w:t>-.22</w:t>
            </w:r>
          </w:p>
        </w:tc>
        <w:tc>
          <w:tcPr>
            <w:tcW w:w="567" w:type="dxa"/>
            <w:vAlign w:val="center"/>
          </w:tcPr>
          <w:p w14:paraId="606CF69C" w14:textId="77777777" w:rsidR="007272F3" w:rsidRPr="007272F3" w:rsidRDefault="007272F3" w:rsidP="007272F3">
            <w:pPr>
              <w:spacing w:line="360" w:lineRule="auto"/>
              <w:ind w:firstLine="0"/>
              <w:rPr>
                <w:sz w:val="18"/>
                <w:szCs w:val="18"/>
                <w:lang w:val="en-US"/>
              </w:rPr>
            </w:pPr>
            <w:r w:rsidRPr="007272F3">
              <w:rPr>
                <w:sz w:val="18"/>
                <w:szCs w:val="18"/>
                <w:lang w:val="en-US"/>
              </w:rPr>
              <w:t>.13</w:t>
            </w:r>
          </w:p>
        </w:tc>
        <w:tc>
          <w:tcPr>
            <w:tcW w:w="708" w:type="dxa"/>
            <w:vAlign w:val="center"/>
          </w:tcPr>
          <w:p w14:paraId="4F3DA074" w14:textId="77777777" w:rsidR="007272F3" w:rsidRPr="007272F3" w:rsidRDefault="007272F3" w:rsidP="007272F3">
            <w:pPr>
              <w:spacing w:line="360" w:lineRule="auto"/>
              <w:ind w:firstLine="0"/>
              <w:rPr>
                <w:sz w:val="18"/>
                <w:szCs w:val="18"/>
                <w:lang w:val="en-US"/>
              </w:rPr>
            </w:pPr>
            <w:r w:rsidRPr="007272F3">
              <w:rPr>
                <w:sz w:val="18"/>
                <w:szCs w:val="18"/>
                <w:lang w:val="en-US"/>
              </w:rPr>
              <w:t>-.09</w:t>
            </w:r>
          </w:p>
        </w:tc>
        <w:tc>
          <w:tcPr>
            <w:tcW w:w="284" w:type="dxa"/>
            <w:vAlign w:val="center"/>
          </w:tcPr>
          <w:p w14:paraId="0A415D8F" w14:textId="77777777" w:rsidR="007272F3" w:rsidRPr="007272F3" w:rsidRDefault="007272F3" w:rsidP="007272F3">
            <w:pPr>
              <w:spacing w:line="360" w:lineRule="auto"/>
              <w:ind w:firstLine="0"/>
              <w:rPr>
                <w:color w:val="0070C0"/>
                <w:sz w:val="18"/>
                <w:szCs w:val="18"/>
                <w:lang w:val="en-US"/>
              </w:rPr>
            </w:pPr>
          </w:p>
        </w:tc>
        <w:tc>
          <w:tcPr>
            <w:tcW w:w="709" w:type="dxa"/>
            <w:vAlign w:val="center"/>
          </w:tcPr>
          <w:p w14:paraId="08AEDB25" w14:textId="77777777" w:rsidR="007272F3" w:rsidRPr="007272F3" w:rsidRDefault="007272F3" w:rsidP="007272F3">
            <w:pPr>
              <w:spacing w:line="360" w:lineRule="auto"/>
              <w:ind w:firstLine="0"/>
              <w:jc w:val="right"/>
              <w:rPr>
                <w:sz w:val="18"/>
                <w:szCs w:val="18"/>
                <w:lang w:val="en-US"/>
              </w:rPr>
            </w:pPr>
            <w:r w:rsidRPr="007272F3">
              <w:rPr>
                <w:sz w:val="18"/>
                <w:szCs w:val="18"/>
                <w:lang w:val="en-US"/>
              </w:rPr>
              <w:t>-.39</w:t>
            </w:r>
          </w:p>
        </w:tc>
        <w:tc>
          <w:tcPr>
            <w:tcW w:w="708" w:type="dxa"/>
            <w:vAlign w:val="center"/>
          </w:tcPr>
          <w:p w14:paraId="3719C3A7"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.12</w:t>
            </w:r>
          </w:p>
        </w:tc>
        <w:tc>
          <w:tcPr>
            <w:tcW w:w="851" w:type="dxa"/>
            <w:vAlign w:val="center"/>
          </w:tcPr>
          <w:p w14:paraId="7273B3C2"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-.19</w:t>
            </w:r>
            <w:r w:rsidRPr="007272F3">
              <w:rPr>
                <w:sz w:val="18"/>
                <w:szCs w:val="18"/>
                <w:vertAlign w:val="superscript"/>
                <w:lang w:val="en-US"/>
              </w:rPr>
              <w:t>***</w:t>
            </w:r>
          </w:p>
        </w:tc>
        <w:tc>
          <w:tcPr>
            <w:tcW w:w="283" w:type="dxa"/>
            <w:vAlign w:val="center"/>
          </w:tcPr>
          <w:p w14:paraId="5BC40E5D" w14:textId="77777777" w:rsidR="007272F3" w:rsidRPr="007272F3" w:rsidRDefault="007272F3" w:rsidP="007272F3">
            <w:pPr>
              <w:spacing w:line="360" w:lineRule="auto"/>
              <w:ind w:firstLine="0"/>
              <w:jc w:val="center"/>
              <w:rPr>
                <w:color w:val="0070C0"/>
                <w:sz w:val="18"/>
                <w:szCs w:val="18"/>
                <w:lang w:val="en-US"/>
              </w:rPr>
            </w:pPr>
          </w:p>
        </w:tc>
        <w:tc>
          <w:tcPr>
            <w:tcW w:w="567" w:type="dxa"/>
            <w:vAlign w:val="center"/>
          </w:tcPr>
          <w:p w14:paraId="0B67ED6A" w14:textId="77777777" w:rsidR="007272F3" w:rsidRPr="007272F3" w:rsidRDefault="007272F3" w:rsidP="007272F3">
            <w:pPr>
              <w:spacing w:line="360" w:lineRule="auto"/>
              <w:ind w:firstLine="0"/>
              <w:jc w:val="right"/>
              <w:rPr>
                <w:sz w:val="18"/>
                <w:szCs w:val="18"/>
                <w:lang w:val="en-US"/>
              </w:rPr>
            </w:pPr>
            <w:r w:rsidRPr="007272F3">
              <w:rPr>
                <w:sz w:val="18"/>
                <w:szCs w:val="18"/>
                <w:lang w:val="en-US"/>
              </w:rPr>
              <w:t>-.27</w:t>
            </w:r>
          </w:p>
        </w:tc>
        <w:tc>
          <w:tcPr>
            <w:tcW w:w="709" w:type="dxa"/>
            <w:vAlign w:val="center"/>
          </w:tcPr>
          <w:p w14:paraId="2D0BB701" w14:textId="77777777" w:rsidR="007272F3" w:rsidRPr="007272F3" w:rsidRDefault="007272F3" w:rsidP="007272F3">
            <w:pPr>
              <w:spacing w:line="360" w:lineRule="auto"/>
              <w:ind w:firstLine="0"/>
              <w:rPr>
                <w:sz w:val="18"/>
                <w:szCs w:val="18"/>
                <w:lang w:val="en-US"/>
              </w:rPr>
            </w:pPr>
            <w:r w:rsidRPr="007272F3">
              <w:rPr>
                <w:sz w:val="18"/>
                <w:szCs w:val="18"/>
                <w:lang w:val="en-US"/>
              </w:rPr>
              <w:t>.19</w:t>
            </w:r>
          </w:p>
        </w:tc>
        <w:tc>
          <w:tcPr>
            <w:tcW w:w="709" w:type="dxa"/>
            <w:vAlign w:val="center"/>
          </w:tcPr>
          <w:p w14:paraId="35785D62"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-.12</w:t>
            </w:r>
          </w:p>
        </w:tc>
      </w:tr>
      <w:tr w:rsidR="007272F3" w:rsidRPr="007272F3" w14:paraId="0D0362AA" w14:textId="77777777" w:rsidTr="00CE564B">
        <w:trPr>
          <w:trHeight w:val="267"/>
        </w:trPr>
        <w:tc>
          <w:tcPr>
            <w:tcW w:w="3118" w:type="dxa"/>
            <w:gridSpan w:val="2"/>
          </w:tcPr>
          <w:p w14:paraId="42B60C38" w14:textId="77777777" w:rsidR="007272F3" w:rsidRPr="007272F3" w:rsidRDefault="007272F3" w:rsidP="007272F3">
            <w:pPr>
              <w:spacing w:line="360" w:lineRule="auto"/>
              <w:ind w:firstLine="0"/>
              <w:contextualSpacing w:val="0"/>
              <w:rPr>
                <w:rFonts w:eastAsia="Times New Roman"/>
                <w:sz w:val="18"/>
                <w:szCs w:val="18"/>
                <w:lang w:val="en-GB"/>
              </w:rPr>
            </w:pPr>
            <w:r w:rsidRPr="007272F3">
              <w:rPr>
                <w:rFonts w:eastAsia="Times New Roman"/>
                <w:i/>
                <w:sz w:val="18"/>
                <w:szCs w:val="18"/>
                <w:lang w:val="en-GB"/>
              </w:rPr>
              <w:t>Health factors</w:t>
            </w:r>
          </w:p>
        </w:tc>
        <w:tc>
          <w:tcPr>
            <w:tcW w:w="851" w:type="dxa"/>
            <w:vAlign w:val="center"/>
          </w:tcPr>
          <w:p w14:paraId="5CFF92EA" w14:textId="77777777" w:rsidR="007272F3" w:rsidRPr="007272F3" w:rsidRDefault="007272F3" w:rsidP="007272F3">
            <w:pPr>
              <w:spacing w:line="360" w:lineRule="auto"/>
              <w:ind w:firstLine="0"/>
              <w:jc w:val="right"/>
              <w:rPr>
                <w:sz w:val="18"/>
                <w:szCs w:val="18"/>
                <w:lang w:val="en-US"/>
              </w:rPr>
            </w:pPr>
          </w:p>
        </w:tc>
        <w:tc>
          <w:tcPr>
            <w:tcW w:w="567" w:type="dxa"/>
            <w:vAlign w:val="center"/>
          </w:tcPr>
          <w:p w14:paraId="53B3FB4A" w14:textId="77777777" w:rsidR="007272F3" w:rsidRPr="007272F3" w:rsidRDefault="007272F3" w:rsidP="007272F3">
            <w:pPr>
              <w:spacing w:line="360" w:lineRule="auto"/>
              <w:ind w:firstLine="0"/>
              <w:jc w:val="center"/>
              <w:rPr>
                <w:sz w:val="18"/>
                <w:szCs w:val="18"/>
                <w:lang w:val="en-US"/>
              </w:rPr>
            </w:pPr>
          </w:p>
        </w:tc>
        <w:tc>
          <w:tcPr>
            <w:tcW w:w="709" w:type="dxa"/>
            <w:vAlign w:val="center"/>
          </w:tcPr>
          <w:p w14:paraId="3ABC2F62" w14:textId="77777777" w:rsidR="007272F3" w:rsidRPr="007272F3" w:rsidRDefault="007272F3" w:rsidP="007272F3">
            <w:pPr>
              <w:spacing w:line="360" w:lineRule="auto"/>
              <w:ind w:firstLine="0"/>
              <w:jc w:val="center"/>
              <w:rPr>
                <w:sz w:val="18"/>
                <w:szCs w:val="18"/>
                <w:lang w:val="en-US"/>
              </w:rPr>
            </w:pPr>
          </w:p>
        </w:tc>
        <w:tc>
          <w:tcPr>
            <w:tcW w:w="284" w:type="dxa"/>
            <w:vAlign w:val="center"/>
          </w:tcPr>
          <w:p w14:paraId="607292D9" w14:textId="77777777" w:rsidR="007272F3" w:rsidRPr="007272F3" w:rsidRDefault="007272F3" w:rsidP="007272F3">
            <w:pPr>
              <w:spacing w:line="360" w:lineRule="auto"/>
              <w:ind w:firstLine="0"/>
              <w:rPr>
                <w:color w:val="0070C0"/>
                <w:sz w:val="18"/>
                <w:szCs w:val="18"/>
                <w:lang w:val="en-US"/>
              </w:rPr>
            </w:pPr>
          </w:p>
        </w:tc>
        <w:tc>
          <w:tcPr>
            <w:tcW w:w="567" w:type="dxa"/>
            <w:vAlign w:val="center"/>
          </w:tcPr>
          <w:p w14:paraId="26787D47" w14:textId="77777777" w:rsidR="007272F3" w:rsidRPr="007272F3" w:rsidRDefault="007272F3" w:rsidP="007272F3">
            <w:pPr>
              <w:spacing w:line="360" w:lineRule="auto"/>
              <w:ind w:firstLine="0"/>
              <w:jc w:val="right"/>
              <w:rPr>
                <w:sz w:val="18"/>
                <w:szCs w:val="18"/>
                <w:lang w:val="en-US"/>
              </w:rPr>
            </w:pPr>
          </w:p>
        </w:tc>
        <w:tc>
          <w:tcPr>
            <w:tcW w:w="567" w:type="dxa"/>
            <w:vAlign w:val="center"/>
          </w:tcPr>
          <w:p w14:paraId="776ADC97" w14:textId="77777777" w:rsidR="007272F3" w:rsidRPr="007272F3" w:rsidRDefault="007272F3" w:rsidP="007272F3">
            <w:pPr>
              <w:spacing w:line="360" w:lineRule="auto"/>
              <w:ind w:firstLine="0"/>
              <w:rPr>
                <w:sz w:val="18"/>
                <w:szCs w:val="18"/>
                <w:lang w:val="en-US"/>
              </w:rPr>
            </w:pPr>
          </w:p>
        </w:tc>
        <w:tc>
          <w:tcPr>
            <w:tcW w:w="708" w:type="dxa"/>
            <w:vAlign w:val="center"/>
          </w:tcPr>
          <w:p w14:paraId="599D77DA" w14:textId="77777777" w:rsidR="007272F3" w:rsidRPr="007272F3" w:rsidRDefault="007272F3" w:rsidP="007272F3">
            <w:pPr>
              <w:spacing w:line="360" w:lineRule="auto"/>
              <w:ind w:firstLine="0"/>
              <w:rPr>
                <w:sz w:val="18"/>
                <w:szCs w:val="18"/>
                <w:lang w:val="en-US"/>
              </w:rPr>
            </w:pPr>
          </w:p>
        </w:tc>
        <w:tc>
          <w:tcPr>
            <w:tcW w:w="284" w:type="dxa"/>
            <w:vAlign w:val="center"/>
          </w:tcPr>
          <w:p w14:paraId="090BCEB9" w14:textId="77777777" w:rsidR="007272F3" w:rsidRPr="007272F3" w:rsidRDefault="007272F3" w:rsidP="007272F3">
            <w:pPr>
              <w:spacing w:line="360" w:lineRule="auto"/>
              <w:ind w:firstLine="0"/>
              <w:rPr>
                <w:color w:val="0070C0"/>
                <w:sz w:val="18"/>
                <w:szCs w:val="18"/>
                <w:lang w:val="en-US"/>
              </w:rPr>
            </w:pPr>
          </w:p>
        </w:tc>
        <w:tc>
          <w:tcPr>
            <w:tcW w:w="709" w:type="dxa"/>
            <w:vAlign w:val="center"/>
          </w:tcPr>
          <w:p w14:paraId="25065198" w14:textId="77777777" w:rsidR="007272F3" w:rsidRPr="007272F3" w:rsidRDefault="007272F3" w:rsidP="007272F3">
            <w:pPr>
              <w:spacing w:line="360" w:lineRule="auto"/>
              <w:ind w:firstLine="0"/>
              <w:jc w:val="right"/>
              <w:rPr>
                <w:sz w:val="18"/>
                <w:szCs w:val="18"/>
                <w:lang w:val="en-US"/>
              </w:rPr>
            </w:pPr>
          </w:p>
        </w:tc>
        <w:tc>
          <w:tcPr>
            <w:tcW w:w="708" w:type="dxa"/>
            <w:vAlign w:val="center"/>
          </w:tcPr>
          <w:p w14:paraId="7E750B82" w14:textId="77777777" w:rsidR="007272F3" w:rsidRPr="007272F3" w:rsidRDefault="007272F3" w:rsidP="007272F3">
            <w:pPr>
              <w:spacing w:line="360" w:lineRule="auto"/>
              <w:ind w:firstLine="0"/>
              <w:jc w:val="center"/>
              <w:rPr>
                <w:sz w:val="18"/>
                <w:szCs w:val="18"/>
                <w:lang w:val="en-US"/>
              </w:rPr>
            </w:pPr>
          </w:p>
        </w:tc>
        <w:tc>
          <w:tcPr>
            <w:tcW w:w="851" w:type="dxa"/>
            <w:vAlign w:val="center"/>
          </w:tcPr>
          <w:p w14:paraId="6B476B84" w14:textId="77777777" w:rsidR="007272F3" w:rsidRPr="007272F3" w:rsidRDefault="007272F3" w:rsidP="007272F3">
            <w:pPr>
              <w:spacing w:line="360" w:lineRule="auto"/>
              <w:ind w:firstLine="0"/>
              <w:jc w:val="center"/>
              <w:rPr>
                <w:sz w:val="18"/>
                <w:szCs w:val="18"/>
                <w:lang w:val="en-US"/>
              </w:rPr>
            </w:pPr>
          </w:p>
        </w:tc>
        <w:tc>
          <w:tcPr>
            <w:tcW w:w="283" w:type="dxa"/>
            <w:vAlign w:val="center"/>
          </w:tcPr>
          <w:p w14:paraId="2DF4995F" w14:textId="77777777" w:rsidR="007272F3" w:rsidRPr="007272F3" w:rsidRDefault="007272F3" w:rsidP="007272F3">
            <w:pPr>
              <w:spacing w:line="360" w:lineRule="auto"/>
              <w:ind w:firstLine="0"/>
              <w:rPr>
                <w:color w:val="0070C0"/>
                <w:sz w:val="18"/>
                <w:szCs w:val="18"/>
                <w:lang w:val="en-US"/>
              </w:rPr>
            </w:pPr>
          </w:p>
        </w:tc>
        <w:tc>
          <w:tcPr>
            <w:tcW w:w="567" w:type="dxa"/>
            <w:vAlign w:val="center"/>
          </w:tcPr>
          <w:p w14:paraId="1BAC9314" w14:textId="77777777" w:rsidR="007272F3" w:rsidRPr="007272F3" w:rsidRDefault="007272F3" w:rsidP="007272F3">
            <w:pPr>
              <w:spacing w:line="360" w:lineRule="auto"/>
              <w:ind w:firstLine="0"/>
              <w:jc w:val="right"/>
              <w:rPr>
                <w:sz w:val="18"/>
                <w:szCs w:val="18"/>
                <w:lang w:val="en-US"/>
              </w:rPr>
            </w:pPr>
          </w:p>
        </w:tc>
        <w:tc>
          <w:tcPr>
            <w:tcW w:w="709" w:type="dxa"/>
            <w:vAlign w:val="center"/>
          </w:tcPr>
          <w:p w14:paraId="46931745" w14:textId="77777777" w:rsidR="007272F3" w:rsidRPr="007272F3" w:rsidRDefault="007272F3" w:rsidP="007272F3">
            <w:pPr>
              <w:spacing w:line="360" w:lineRule="auto"/>
              <w:ind w:firstLine="0"/>
              <w:rPr>
                <w:sz w:val="18"/>
                <w:szCs w:val="18"/>
                <w:lang w:val="en-US"/>
              </w:rPr>
            </w:pPr>
          </w:p>
        </w:tc>
        <w:tc>
          <w:tcPr>
            <w:tcW w:w="709" w:type="dxa"/>
            <w:vAlign w:val="center"/>
          </w:tcPr>
          <w:p w14:paraId="13F083F7" w14:textId="77777777" w:rsidR="007272F3" w:rsidRPr="007272F3" w:rsidRDefault="007272F3" w:rsidP="007272F3">
            <w:pPr>
              <w:spacing w:line="360" w:lineRule="auto"/>
              <w:ind w:firstLine="0"/>
              <w:jc w:val="center"/>
              <w:rPr>
                <w:sz w:val="18"/>
                <w:szCs w:val="18"/>
                <w:lang w:val="en-US"/>
              </w:rPr>
            </w:pPr>
          </w:p>
        </w:tc>
      </w:tr>
      <w:tr w:rsidR="007272F3" w:rsidRPr="007272F3" w14:paraId="727E8D0F" w14:textId="77777777" w:rsidTr="00CE564B">
        <w:trPr>
          <w:trHeight w:val="267"/>
        </w:trPr>
        <w:tc>
          <w:tcPr>
            <w:tcW w:w="520" w:type="dxa"/>
          </w:tcPr>
          <w:p w14:paraId="55ECD59E" w14:textId="77777777" w:rsidR="007272F3" w:rsidRPr="007272F3" w:rsidRDefault="007272F3" w:rsidP="007272F3">
            <w:pPr>
              <w:spacing w:line="360" w:lineRule="auto"/>
              <w:ind w:firstLine="0"/>
              <w:contextualSpacing w:val="0"/>
              <w:rPr>
                <w:rFonts w:eastAsia="Times New Roman"/>
                <w:sz w:val="18"/>
                <w:szCs w:val="18"/>
                <w:lang w:val="en-GB"/>
              </w:rPr>
            </w:pPr>
          </w:p>
        </w:tc>
        <w:tc>
          <w:tcPr>
            <w:tcW w:w="2598" w:type="dxa"/>
            <w:vAlign w:val="center"/>
          </w:tcPr>
          <w:p w14:paraId="79CC01A3" w14:textId="77777777" w:rsidR="007272F3" w:rsidRPr="007272F3" w:rsidRDefault="007272F3" w:rsidP="007272F3">
            <w:pPr>
              <w:spacing w:line="360" w:lineRule="auto"/>
              <w:ind w:firstLine="0"/>
              <w:contextualSpacing w:val="0"/>
              <w:rPr>
                <w:rFonts w:eastAsia="Times New Roman"/>
                <w:sz w:val="18"/>
                <w:szCs w:val="18"/>
                <w:lang w:val="en-GB"/>
              </w:rPr>
            </w:pPr>
            <w:r w:rsidRPr="007272F3">
              <w:rPr>
                <w:rFonts w:eastAsia="Times New Roman"/>
                <w:sz w:val="18"/>
                <w:szCs w:val="18"/>
                <w:lang w:val="en-GB"/>
              </w:rPr>
              <w:t>Self-perceived health</w:t>
            </w:r>
          </w:p>
        </w:tc>
        <w:tc>
          <w:tcPr>
            <w:tcW w:w="851" w:type="dxa"/>
            <w:vAlign w:val="center"/>
          </w:tcPr>
          <w:p w14:paraId="2267B1FE" w14:textId="77777777" w:rsidR="007272F3" w:rsidRPr="007272F3" w:rsidRDefault="007272F3" w:rsidP="007272F3">
            <w:pPr>
              <w:spacing w:line="360" w:lineRule="auto"/>
              <w:ind w:firstLine="0"/>
              <w:jc w:val="right"/>
              <w:rPr>
                <w:sz w:val="18"/>
                <w:szCs w:val="18"/>
                <w:lang w:val="en-US"/>
              </w:rPr>
            </w:pPr>
            <w:r w:rsidRPr="007272F3">
              <w:rPr>
                <w:sz w:val="18"/>
                <w:szCs w:val="18"/>
                <w:lang w:val="en-US"/>
              </w:rPr>
              <w:t>.01</w:t>
            </w:r>
          </w:p>
        </w:tc>
        <w:tc>
          <w:tcPr>
            <w:tcW w:w="567" w:type="dxa"/>
            <w:vAlign w:val="center"/>
          </w:tcPr>
          <w:p w14:paraId="7F2426C6"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.05</w:t>
            </w:r>
          </w:p>
        </w:tc>
        <w:tc>
          <w:tcPr>
            <w:tcW w:w="709" w:type="dxa"/>
            <w:vAlign w:val="center"/>
          </w:tcPr>
          <w:p w14:paraId="28F08167"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.01</w:t>
            </w:r>
          </w:p>
        </w:tc>
        <w:tc>
          <w:tcPr>
            <w:tcW w:w="284" w:type="dxa"/>
            <w:vAlign w:val="center"/>
          </w:tcPr>
          <w:p w14:paraId="2DA10F7B" w14:textId="77777777" w:rsidR="007272F3" w:rsidRPr="007272F3" w:rsidRDefault="007272F3" w:rsidP="007272F3">
            <w:pPr>
              <w:spacing w:line="360" w:lineRule="auto"/>
              <w:ind w:firstLine="0"/>
              <w:jc w:val="center"/>
              <w:rPr>
                <w:color w:val="0070C0"/>
                <w:sz w:val="18"/>
                <w:szCs w:val="18"/>
                <w:lang w:val="en-US"/>
              </w:rPr>
            </w:pPr>
          </w:p>
        </w:tc>
        <w:tc>
          <w:tcPr>
            <w:tcW w:w="567" w:type="dxa"/>
            <w:vAlign w:val="center"/>
          </w:tcPr>
          <w:p w14:paraId="16DBAAF7" w14:textId="10741D34" w:rsidR="007272F3" w:rsidRPr="007272F3" w:rsidRDefault="007272F3" w:rsidP="007272F3">
            <w:pPr>
              <w:spacing w:line="360" w:lineRule="auto"/>
              <w:ind w:firstLine="0"/>
              <w:jc w:val="right"/>
              <w:rPr>
                <w:sz w:val="18"/>
                <w:szCs w:val="18"/>
                <w:lang w:val="en-US"/>
              </w:rPr>
            </w:pPr>
            <w:r w:rsidRPr="007272F3">
              <w:rPr>
                <w:sz w:val="18"/>
                <w:szCs w:val="18"/>
                <w:lang w:val="en-US"/>
              </w:rPr>
              <w:t>.05</w:t>
            </w:r>
          </w:p>
        </w:tc>
        <w:tc>
          <w:tcPr>
            <w:tcW w:w="567" w:type="dxa"/>
            <w:vAlign w:val="center"/>
          </w:tcPr>
          <w:p w14:paraId="043A91F0" w14:textId="77777777" w:rsidR="007272F3" w:rsidRPr="007272F3" w:rsidRDefault="007272F3" w:rsidP="007272F3">
            <w:pPr>
              <w:spacing w:line="360" w:lineRule="auto"/>
              <w:ind w:firstLine="0"/>
              <w:rPr>
                <w:sz w:val="18"/>
                <w:szCs w:val="18"/>
                <w:lang w:val="en-US"/>
              </w:rPr>
            </w:pPr>
            <w:r w:rsidRPr="007272F3">
              <w:rPr>
                <w:sz w:val="18"/>
                <w:szCs w:val="18"/>
                <w:lang w:val="en-US"/>
              </w:rPr>
              <w:t>.05</w:t>
            </w:r>
          </w:p>
        </w:tc>
        <w:tc>
          <w:tcPr>
            <w:tcW w:w="708" w:type="dxa"/>
            <w:vAlign w:val="center"/>
          </w:tcPr>
          <w:p w14:paraId="55FD4D3F" w14:textId="77777777" w:rsidR="007272F3" w:rsidRPr="007272F3" w:rsidRDefault="007272F3" w:rsidP="007272F3">
            <w:pPr>
              <w:spacing w:line="360" w:lineRule="auto"/>
              <w:ind w:firstLine="0"/>
              <w:rPr>
                <w:sz w:val="18"/>
                <w:szCs w:val="18"/>
                <w:lang w:val="en-US"/>
              </w:rPr>
            </w:pPr>
            <w:r w:rsidRPr="007272F3">
              <w:rPr>
                <w:sz w:val="18"/>
                <w:szCs w:val="18"/>
                <w:lang w:val="en-US"/>
              </w:rPr>
              <w:t>.05</w:t>
            </w:r>
          </w:p>
        </w:tc>
        <w:tc>
          <w:tcPr>
            <w:tcW w:w="284" w:type="dxa"/>
            <w:vAlign w:val="center"/>
          </w:tcPr>
          <w:p w14:paraId="71895867" w14:textId="77777777" w:rsidR="007272F3" w:rsidRPr="007272F3" w:rsidRDefault="007272F3" w:rsidP="007272F3">
            <w:pPr>
              <w:spacing w:line="360" w:lineRule="auto"/>
              <w:ind w:firstLine="0"/>
              <w:rPr>
                <w:color w:val="0070C0"/>
                <w:sz w:val="18"/>
                <w:szCs w:val="18"/>
                <w:lang w:val="en-US"/>
              </w:rPr>
            </w:pPr>
          </w:p>
        </w:tc>
        <w:tc>
          <w:tcPr>
            <w:tcW w:w="709" w:type="dxa"/>
            <w:vAlign w:val="center"/>
          </w:tcPr>
          <w:p w14:paraId="3D11648C" w14:textId="77777777" w:rsidR="007272F3" w:rsidRPr="007272F3" w:rsidRDefault="007272F3" w:rsidP="007272F3">
            <w:pPr>
              <w:spacing w:line="360" w:lineRule="auto"/>
              <w:ind w:firstLine="0"/>
              <w:jc w:val="right"/>
              <w:rPr>
                <w:sz w:val="18"/>
                <w:szCs w:val="18"/>
              </w:rPr>
            </w:pPr>
            <w:r w:rsidRPr="007272F3">
              <w:rPr>
                <w:sz w:val="18"/>
                <w:szCs w:val="18"/>
                <w:lang w:val="en-US"/>
              </w:rPr>
              <w:t>-</w:t>
            </w:r>
            <w:r w:rsidRPr="007272F3">
              <w:rPr>
                <w:sz w:val="18"/>
                <w:szCs w:val="18"/>
              </w:rPr>
              <w:t>.01</w:t>
            </w:r>
          </w:p>
        </w:tc>
        <w:tc>
          <w:tcPr>
            <w:tcW w:w="708" w:type="dxa"/>
            <w:vAlign w:val="center"/>
          </w:tcPr>
          <w:p w14:paraId="5F4B35E2" w14:textId="77777777" w:rsidR="007272F3" w:rsidRPr="007272F3" w:rsidRDefault="007272F3" w:rsidP="007272F3">
            <w:pPr>
              <w:spacing w:line="360" w:lineRule="auto"/>
              <w:ind w:firstLine="0"/>
              <w:jc w:val="center"/>
              <w:rPr>
                <w:sz w:val="18"/>
                <w:szCs w:val="18"/>
              </w:rPr>
            </w:pPr>
            <w:r w:rsidRPr="007272F3">
              <w:rPr>
                <w:sz w:val="18"/>
                <w:szCs w:val="18"/>
              </w:rPr>
              <w:t>.07</w:t>
            </w:r>
          </w:p>
        </w:tc>
        <w:tc>
          <w:tcPr>
            <w:tcW w:w="851" w:type="dxa"/>
            <w:vAlign w:val="center"/>
          </w:tcPr>
          <w:p w14:paraId="635F15F0" w14:textId="77777777" w:rsidR="007272F3" w:rsidRPr="007272F3" w:rsidRDefault="007272F3" w:rsidP="007272F3">
            <w:pPr>
              <w:spacing w:line="360" w:lineRule="auto"/>
              <w:ind w:firstLine="0"/>
              <w:jc w:val="center"/>
              <w:rPr>
                <w:sz w:val="18"/>
                <w:szCs w:val="18"/>
              </w:rPr>
            </w:pPr>
            <w:r w:rsidRPr="007272F3">
              <w:rPr>
                <w:sz w:val="18"/>
                <w:szCs w:val="18"/>
              </w:rPr>
              <w:t>-.01</w:t>
            </w:r>
          </w:p>
        </w:tc>
        <w:tc>
          <w:tcPr>
            <w:tcW w:w="283" w:type="dxa"/>
            <w:vAlign w:val="center"/>
          </w:tcPr>
          <w:p w14:paraId="51D9752C" w14:textId="77777777" w:rsidR="007272F3" w:rsidRPr="007272F3" w:rsidRDefault="007272F3" w:rsidP="007272F3">
            <w:pPr>
              <w:spacing w:line="360" w:lineRule="auto"/>
              <w:ind w:firstLine="0"/>
              <w:jc w:val="center"/>
              <w:rPr>
                <w:color w:val="0070C0"/>
                <w:sz w:val="18"/>
                <w:szCs w:val="18"/>
              </w:rPr>
            </w:pPr>
          </w:p>
        </w:tc>
        <w:tc>
          <w:tcPr>
            <w:tcW w:w="567" w:type="dxa"/>
            <w:vAlign w:val="center"/>
          </w:tcPr>
          <w:p w14:paraId="1E7102C9" w14:textId="77777777" w:rsidR="007272F3" w:rsidRPr="007272F3" w:rsidRDefault="007272F3" w:rsidP="007272F3">
            <w:pPr>
              <w:spacing w:line="360" w:lineRule="auto"/>
              <w:ind w:firstLine="0"/>
              <w:jc w:val="right"/>
              <w:rPr>
                <w:sz w:val="18"/>
                <w:szCs w:val="18"/>
              </w:rPr>
            </w:pPr>
            <w:r w:rsidRPr="007272F3">
              <w:rPr>
                <w:sz w:val="18"/>
                <w:szCs w:val="18"/>
              </w:rPr>
              <w:t xml:space="preserve"> -.04</w:t>
            </w:r>
          </w:p>
        </w:tc>
        <w:tc>
          <w:tcPr>
            <w:tcW w:w="709" w:type="dxa"/>
            <w:vAlign w:val="center"/>
          </w:tcPr>
          <w:p w14:paraId="70849EC6" w14:textId="77777777" w:rsidR="007272F3" w:rsidRPr="007272F3" w:rsidRDefault="007272F3" w:rsidP="007272F3">
            <w:pPr>
              <w:spacing w:line="360" w:lineRule="auto"/>
              <w:ind w:firstLine="0"/>
              <w:rPr>
                <w:sz w:val="18"/>
                <w:szCs w:val="18"/>
              </w:rPr>
            </w:pPr>
            <w:r w:rsidRPr="007272F3">
              <w:rPr>
                <w:sz w:val="18"/>
                <w:szCs w:val="18"/>
              </w:rPr>
              <w:t>.10</w:t>
            </w:r>
          </w:p>
        </w:tc>
        <w:tc>
          <w:tcPr>
            <w:tcW w:w="709" w:type="dxa"/>
            <w:vAlign w:val="center"/>
          </w:tcPr>
          <w:p w14:paraId="2ACC1641" w14:textId="77777777" w:rsidR="007272F3" w:rsidRPr="007272F3" w:rsidRDefault="007272F3" w:rsidP="007272F3">
            <w:pPr>
              <w:spacing w:line="360" w:lineRule="auto"/>
              <w:ind w:firstLine="0"/>
              <w:jc w:val="center"/>
              <w:rPr>
                <w:sz w:val="18"/>
                <w:szCs w:val="18"/>
              </w:rPr>
            </w:pPr>
            <w:r w:rsidRPr="007272F3">
              <w:rPr>
                <w:sz w:val="18"/>
                <w:szCs w:val="18"/>
              </w:rPr>
              <w:t>-.03</w:t>
            </w:r>
          </w:p>
        </w:tc>
      </w:tr>
      <w:tr w:rsidR="007272F3" w:rsidRPr="007272F3" w14:paraId="26B991E8" w14:textId="77777777" w:rsidTr="00CE564B">
        <w:trPr>
          <w:trHeight w:val="267"/>
        </w:trPr>
        <w:tc>
          <w:tcPr>
            <w:tcW w:w="520" w:type="dxa"/>
          </w:tcPr>
          <w:p w14:paraId="7BF6634B" w14:textId="77777777" w:rsidR="007272F3" w:rsidRPr="007272F3" w:rsidRDefault="007272F3" w:rsidP="007272F3">
            <w:pPr>
              <w:spacing w:line="360" w:lineRule="auto"/>
              <w:ind w:firstLine="0"/>
              <w:contextualSpacing w:val="0"/>
              <w:rPr>
                <w:rFonts w:eastAsia="Times New Roman"/>
                <w:sz w:val="18"/>
                <w:szCs w:val="18"/>
                <w:lang w:val="en-GB"/>
              </w:rPr>
            </w:pPr>
          </w:p>
        </w:tc>
        <w:tc>
          <w:tcPr>
            <w:tcW w:w="2598" w:type="dxa"/>
            <w:vAlign w:val="center"/>
          </w:tcPr>
          <w:p w14:paraId="364C3559" w14:textId="77777777" w:rsidR="007272F3" w:rsidRPr="007272F3" w:rsidRDefault="007272F3" w:rsidP="007272F3">
            <w:pPr>
              <w:spacing w:line="360" w:lineRule="auto"/>
              <w:ind w:firstLine="0"/>
              <w:contextualSpacing w:val="0"/>
              <w:rPr>
                <w:rFonts w:eastAsia="Times New Roman"/>
                <w:sz w:val="18"/>
                <w:szCs w:val="18"/>
                <w:lang w:val="en-GB"/>
              </w:rPr>
            </w:pPr>
            <w:r w:rsidRPr="007272F3">
              <w:rPr>
                <w:rFonts w:eastAsia="Times New Roman"/>
                <w:sz w:val="18"/>
                <w:szCs w:val="18"/>
                <w:lang w:val="en-GB"/>
              </w:rPr>
              <w:t>Depression</w:t>
            </w:r>
          </w:p>
        </w:tc>
        <w:tc>
          <w:tcPr>
            <w:tcW w:w="851" w:type="dxa"/>
            <w:vAlign w:val="center"/>
          </w:tcPr>
          <w:p w14:paraId="24A76FF9" w14:textId="77777777" w:rsidR="007272F3" w:rsidRPr="007272F3" w:rsidRDefault="007272F3" w:rsidP="007272F3">
            <w:pPr>
              <w:spacing w:line="360" w:lineRule="auto"/>
              <w:ind w:firstLine="0"/>
              <w:jc w:val="right"/>
              <w:rPr>
                <w:sz w:val="18"/>
                <w:szCs w:val="18"/>
                <w:lang w:val="en-US"/>
              </w:rPr>
            </w:pPr>
            <w:r w:rsidRPr="007272F3">
              <w:rPr>
                <w:sz w:val="18"/>
                <w:szCs w:val="18"/>
                <w:lang w:val="en-US"/>
              </w:rPr>
              <w:t xml:space="preserve"> .15</w:t>
            </w:r>
          </w:p>
        </w:tc>
        <w:tc>
          <w:tcPr>
            <w:tcW w:w="567" w:type="dxa"/>
            <w:vAlign w:val="center"/>
          </w:tcPr>
          <w:p w14:paraId="467F78BA"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.09</w:t>
            </w:r>
          </w:p>
        </w:tc>
        <w:tc>
          <w:tcPr>
            <w:tcW w:w="709" w:type="dxa"/>
            <w:vAlign w:val="center"/>
          </w:tcPr>
          <w:p w14:paraId="2347462C"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.08</w:t>
            </w:r>
          </w:p>
        </w:tc>
        <w:tc>
          <w:tcPr>
            <w:tcW w:w="284" w:type="dxa"/>
            <w:vAlign w:val="center"/>
          </w:tcPr>
          <w:p w14:paraId="005BCE38" w14:textId="77777777" w:rsidR="007272F3" w:rsidRPr="007272F3" w:rsidRDefault="007272F3" w:rsidP="007272F3">
            <w:pPr>
              <w:spacing w:line="360" w:lineRule="auto"/>
              <w:ind w:firstLine="0"/>
              <w:jc w:val="center"/>
              <w:rPr>
                <w:color w:val="0070C0"/>
                <w:sz w:val="18"/>
                <w:szCs w:val="18"/>
                <w:lang w:val="en-US"/>
              </w:rPr>
            </w:pPr>
          </w:p>
        </w:tc>
        <w:tc>
          <w:tcPr>
            <w:tcW w:w="567" w:type="dxa"/>
            <w:vAlign w:val="center"/>
          </w:tcPr>
          <w:p w14:paraId="5D02F1B7" w14:textId="77777777" w:rsidR="007272F3" w:rsidRPr="007272F3" w:rsidRDefault="007272F3" w:rsidP="007272F3">
            <w:pPr>
              <w:spacing w:line="360" w:lineRule="auto"/>
              <w:ind w:firstLine="0"/>
              <w:jc w:val="right"/>
              <w:rPr>
                <w:sz w:val="18"/>
                <w:szCs w:val="18"/>
              </w:rPr>
            </w:pPr>
            <w:r w:rsidRPr="007272F3">
              <w:rPr>
                <w:sz w:val="18"/>
                <w:szCs w:val="18"/>
              </w:rPr>
              <w:t xml:space="preserve"> -.05</w:t>
            </w:r>
          </w:p>
        </w:tc>
        <w:tc>
          <w:tcPr>
            <w:tcW w:w="567" w:type="dxa"/>
            <w:vAlign w:val="center"/>
          </w:tcPr>
          <w:p w14:paraId="54FFDC3D" w14:textId="77777777" w:rsidR="007272F3" w:rsidRPr="007272F3" w:rsidRDefault="007272F3" w:rsidP="007272F3">
            <w:pPr>
              <w:spacing w:line="360" w:lineRule="auto"/>
              <w:ind w:firstLine="0"/>
              <w:rPr>
                <w:sz w:val="18"/>
                <w:szCs w:val="18"/>
              </w:rPr>
            </w:pPr>
            <w:r w:rsidRPr="007272F3">
              <w:rPr>
                <w:sz w:val="18"/>
                <w:szCs w:val="18"/>
              </w:rPr>
              <w:t>.11</w:t>
            </w:r>
          </w:p>
        </w:tc>
        <w:tc>
          <w:tcPr>
            <w:tcW w:w="708" w:type="dxa"/>
            <w:vAlign w:val="center"/>
          </w:tcPr>
          <w:p w14:paraId="76B0E174" w14:textId="77777777" w:rsidR="007272F3" w:rsidRPr="007272F3" w:rsidRDefault="007272F3" w:rsidP="007272F3">
            <w:pPr>
              <w:spacing w:line="360" w:lineRule="auto"/>
              <w:ind w:firstLine="0"/>
              <w:rPr>
                <w:sz w:val="18"/>
                <w:szCs w:val="18"/>
              </w:rPr>
            </w:pPr>
            <w:r w:rsidRPr="007272F3">
              <w:rPr>
                <w:sz w:val="18"/>
                <w:szCs w:val="18"/>
              </w:rPr>
              <w:t>-.02</w:t>
            </w:r>
          </w:p>
        </w:tc>
        <w:tc>
          <w:tcPr>
            <w:tcW w:w="284" w:type="dxa"/>
            <w:vAlign w:val="center"/>
          </w:tcPr>
          <w:p w14:paraId="7AC62269" w14:textId="77777777" w:rsidR="007272F3" w:rsidRPr="007272F3" w:rsidRDefault="007272F3" w:rsidP="007272F3">
            <w:pPr>
              <w:spacing w:line="360" w:lineRule="auto"/>
              <w:ind w:firstLine="0"/>
              <w:rPr>
                <w:color w:val="0070C0"/>
                <w:sz w:val="18"/>
                <w:szCs w:val="18"/>
              </w:rPr>
            </w:pPr>
          </w:p>
        </w:tc>
        <w:tc>
          <w:tcPr>
            <w:tcW w:w="709" w:type="dxa"/>
            <w:vAlign w:val="center"/>
          </w:tcPr>
          <w:p w14:paraId="1E231F57" w14:textId="77777777" w:rsidR="007272F3" w:rsidRPr="007272F3" w:rsidRDefault="007272F3" w:rsidP="007272F3">
            <w:pPr>
              <w:spacing w:line="360" w:lineRule="auto"/>
              <w:ind w:firstLine="0"/>
              <w:jc w:val="right"/>
              <w:rPr>
                <w:sz w:val="18"/>
                <w:szCs w:val="18"/>
              </w:rPr>
            </w:pPr>
            <w:r w:rsidRPr="007272F3">
              <w:rPr>
                <w:sz w:val="18"/>
                <w:szCs w:val="18"/>
              </w:rPr>
              <w:t>-.02</w:t>
            </w:r>
          </w:p>
        </w:tc>
        <w:tc>
          <w:tcPr>
            <w:tcW w:w="708" w:type="dxa"/>
            <w:vAlign w:val="center"/>
          </w:tcPr>
          <w:p w14:paraId="4476168F" w14:textId="77777777" w:rsidR="007272F3" w:rsidRPr="007272F3" w:rsidRDefault="007272F3" w:rsidP="007272F3">
            <w:pPr>
              <w:spacing w:line="360" w:lineRule="auto"/>
              <w:ind w:firstLine="0"/>
              <w:jc w:val="center"/>
              <w:rPr>
                <w:sz w:val="18"/>
                <w:szCs w:val="18"/>
              </w:rPr>
            </w:pPr>
            <w:r w:rsidRPr="007272F3">
              <w:rPr>
                <w:sz w:val="18"/>
                <w:szCs w:val="18"/>
              </w:rPr>
              <w:t>.09</w:t>
            </w:r>
          </w:p>
        </w:tc>
        <w:tc>
          <w:tcPr>
            <w:tcW w:w="851" w:type="dxa"/>
            <w:vAlign w:val="center"/>
          </w:tcPr>
          <w:p w14:paraId="014C5082" w14:textId="77777777" w:rsidR="007272F3" w:rsidRPr="007272F3" w:rsidRDefault="007272F3" w:rsidP="007272F3">
            <w:pPr>
              <w:spacing w:line="360" w:lineRule="auto"/>
              <w:ind w:firstLine="0"/>
              <w:jc w:val="center"/>
              <w:rPr>
                <w:sz w:val="18"/>
                <w:szCs w:val="18"/>
              </w:rPr>
            </w:pPr>
            <w:r w:rsidRPr="007272F3">
              <w:rPr>
                <w:sz w:val="18"/>
                <w:szCs w:val="18"/>
              </w:rPr>
              <w:t>-.01</w:t>
            </w:r>
          </w:p>
        </w:tc>
        <w:tc>
          <w:tcPr>
            <w:tcW w:w="283" w:type="dxa"/>
            <w:vAlign w:val="center"/>
          </w:tcPr>
          <w:p w14:paraId="67B9358F" w14:textId="77777777" w:rsidR="007272F3" w:rsidRPr="007272F3" w:rsidRDefault="007272F3" w:rsidP="007272F3">
            <w:pPr>
              <w:spacing w:line="360" w:lineRule="auto"/>
              <w:ind w:firstLine="0"/>
              <w:jc w:val="center"/>
              <w:rPr>
                <w:color w:val="0070C0"/>
                <w:sz w:val="18"/>
                <w:szCs w:val="18"/>
              </w:rPr>
            </w:pPr>
          </w:p>
        </w:tc>
        <w:tc>
          <w:tcPr>
            <w:tcW w:w="567" w:type="dxa"/>
            <w:vAlign w:val="center"/>
          </w:tcPr>
          <w:p w14:paraId="4748A0D7" w14:textId="77777777" w:rsidR="007272F3" w:rsidRPr="007272F3" w:rsidRDefault="007272F3" w:rsidP="007272F3">
            <w:pPr>
              <w:spacing w:line="360" w:lineRule="auto"/>
              <w:ind w:firstLine="0"/>
              <w:jc w:val="right"/>
              <w:rPr>
                <w:sz w:val="18"/>
                <w:szCs w:val="18"/>
              </w:rPr>
            </w:pPr>
            <w:r w:rsidRPr="007272F3">
              <w:rPr>
                <w:sz w:val="18"/>
                <w:szCs w:val="18"/>
              </w:rPr>
              <w:t>-.12</w:t>
            </w:r>
          </w:p>
        </w:tc>
        <w:tc>
          <w:tcPr>
            <w:tcW w:w="709" w:type="dxa"/>
            <w:vAlign w:val="center"/>
          </w:tcPr>
          <w:p w14:paraId="484F4101" w14:textId="77777777" w:rsidR="007272F3" w:rsidRPr="007272F3" w:rsidRDefault="007272F3" w:rsidP="007272F3">
            <w:pPr>
              <w:spacing w:line="360" w:lineRule="auto"/>
              <w:ind w:firstLine="0"/>
              <w:rPr>
                <w:sz w:val="18"/>
                <w:szCs w:val="18"/>
              </w:rPr>
            </w:pPr>
            <w:r w:rsidRPr="007272F3">
              <w:rPr>
                <w:sz w:val="18"/>
                <w:szCs w:val="18"/>
              </w:rPr>
              <w:t>.13</w:t>
            </w:r>
          </w:p>
        </w:tc>
        <w:tc>
          <w:tcPr>
            <w:tcW w:w="709" w:type="dxa"/>
            <w:vAlign w:val="center"/>
          </w:tcPr>
          <w:p w14:paraId="237DA898" w14:textId="77777777" w:rsidR="007272F3" w:rsidRPr="007272F3" w:rsidRDefault="007272F3" w:rsidP="007272F3">
            <w:pPr>
              <w:spacing w:line="360" w:lineRule="auto"/>
              <w:ind w:firstLine="0"/>
              <w:jc w:val="center"/>
              <w:rPr>
                <w:sz w:val="18"/>
                <w:szCs w:val="18"/>
              </w:rPr>
            </w:pPr>
            <w:r w:rsidRPr="007272F3">
              <w:rPr>
                <w:sz w:val="18"/>
                <w:szCs w:val="18"/>
              </w:rPr>
              <w:t>-.08</w:t>
            </w:r>
          </w:p>
        </w:tc>
      </w:tr>
      <w:tr w:rsidR="007272F3" w:rsidRPr="007272F3" w14:paraId="4DB51F6B" w14:textId="77777777" w:rsidTr="00CE564B">
        <w:trPr>
          <w:trHeight w:val="267"/>
        </w:trPr>
        <w:tc>
          <w:tcPr>
            <w:tcW w:w="3118" w:type="dxa"/>
            <w:gridSpan w:val="2"/>
          </w:tcPr>
          <w:p w14:paraId="381F3E15" w14:textId="77777777" w:rsidR="007272F3" w:rsidRPr="007272F3" w:rsidRDefault="007272F3" w:rsidP="007272F3">
            <w:pPr>
              <w:keepNext/>
              <w:spacing w:line="360" w:lineRule="auto"/>
              <w:ind w:firstLine="0"/>
              <w:contextualSpacing w:val="0"/>
              <w:outlineLvl w:val="3"/>
              <w:rPr>
                <w:rFonts w:eastAsia="Times New Roman"/>
                <w:i/>
                <w:sz w:val="18"/>
                <w:szCs w:val="18"/>
                <w:lang w:val="en-GB"/>
              </w:rPr>
            </w:pPr>
            <w:r w:rsidRPr="007272F3">
              <w:rPr>
                <w:rFonts w:eastAsia="Times New Roman"/>
                <w:i/>
                <w:sz w:val="18"/>
                <w:szCs w:val="18"/>
                <w:lang w:val="en-GB"/>
              </w:rPr>
              <w:t>Sexual behaviour and satisfaction</w:t>
            </w:r>
          </w:p>
        </w:tc>
        <w:tc>
          <w:tcPr>
            <w:tcW w:w="851" w:type="dxa"/>
            <w:vAlign w:val="center"/>
          </w:tcPr>
          <w:p w14:paraId="219D8C70" w14:textId="77777777" w:rsidR="007272F3" w:rsidRPr="007272F3" w:rsidRDefault="007272F3" w:rsidP="007272F3">
            <w:pPr>
              <w:spacing w:line="360" w:lineRule="auto"/>
              <w:ind w:firstLine="0"/>
              <w:jc w:val="right"/>
              <w:rPr>
                <w:sz w:val="18"/>
                <w:szCs w:val="18"/>
                <w:lang w:val="en-US"/>
              </w:rPr>
            </w:pPr>
          </w:p>
        </w:tc>
        <w:tc>
          <w:tcPr>
            <w:tcW w:w="567" w:type="dxa"/>
            <w:vAlign w:val="center"/>
          </w:tcPr>
          <w:p w14:paraId="3421723D" w14:textId="77777777" w:rsidR="007272F3" w:rsidRPr="007272F3" w:rsidRDefault="007272F3" w:rsidP="007272F3">
            <w:pPr>
              <w:spacing w:line="360" w:lineRule="auto"/>
              <w:ind w:firstLine="0"/>
              <w:jc w:val="center"/>
              <w:rPr>
                <w:sz w:val="18"/>
                <w:szCs w:val="18"/>
                <w:lang w:val="en-US"/>
              </w:rPr>
            </w:pPr>
          </w:p>
        </w:tc>
        <w:tc>
          <w:tcPr>
            <w:tcW w:w="709" w:type="dxa"/>
            <w:vAlign w:val="center"/>
          </w:tcPr>
          <w:p w14:paraId="022867EE" w14:textId="77777777" w:rsidR="007272F3" w:rsidRPr="007272F3" w:rsidRDefault="007272F3" w:rsidP="007272F3">
            <w:pPr>
              <w:spacing w:line="360" w:lineRule="auto"/>
              <w:ind w:firstLine="0"/>
              <w:jc w:val="center"/>
              <w:rPr>
                <w:sz w:val="18"/>
                <w:szCs w:val="18"/>
                <w:lang w:val="en-US"/>
              </w:rPr>
            </w:pPr>
          </w:p>
        </w:tc>
        <w:tc>
          <w:tcPr>
            <w:tcW w:w="284" w:type="dxa"/>
            <w:vAlign w:val="center"/>
          </w:tcPr>
          <w:p w14:paraId="6327B9CD" w14:textId="77777777" w:rsidR="007272F3" w:rsidRPr="007272F3" w:rsidRDefault="007272F3" w:rsidP="007272F3">
            <w:pPr>
              <w:spacing w:line="360" w:lineRule="auto"/>
              <w:ind w:firstLine="0"/>
              <w:rPr>
                <w:color w:val="0070C0"/>
                <w:sz w:val="18"/>
                <w:szCs w:val="18"/>
                <w:lang w:val="en-US"/>
              </w:rPr>
            </w:pPr>
          </w:p>
        </w:tc>
        <w:tc>
          <w:tcPr>
            <w:tcW w:w="567" w:type="dxa"/>
            <w:vAlign w:val="center"/>
          </w:tcPr>
          <w:p w14:paraId="060FCAFD" w14:textId="77777777" w:rsidR="007272F3" w:rsidRPr="007272F3" w:rsidRDefault="007272F3" w:rsidP="007272F3">
            <w:pPr>
              <w:spacing w:line="360" w:lineRule="auto"/>
              <w:ind w:firstLine="0"/>
              <w:jc w:val="right"/>
              <w:rPr>
                <w:sz w:val="18"/>
                <w:szCs w:val="18"/>
              </w:rPr>
            </w:pPr>
          </w:p>
        </w:tc>
        <w:tc>
          <w:tcPr>
            <w:tcW w:w="567" w:type="dxa"/>
            <w:vAlign w:val="center"/>
          </w:tcPr>
          <w:p w14:paraId="26EB0A67" w14:textId="77777777" w:rsidR="007272F3" w:rsidRPr="007272F3" w:rsidRDefault="007272F3" w:rsidP="007272F3">
            <w:pPr>
              <w:spacing w:line="360" w:lineRule="auto"/>
              <w:ind w:firstLine="0"/>
              <w:rPr>
                <w:sz w:val="18"/>
                <w:szCs w:val="18"/>
              </w:rPr>
            </w:pPr>
          </w:p>
        </w:tc>
        <w:tc>
          <w:tcPr>
            <w:tcW w:w="708" w:type="dxa"/>
            <w:vAlign w:val="center"/>
          </w:tcPr>
          <w:p w14:paraId="21FAD7A1" w14:textId="77777777" w:rsidR="007272F3" w:rsidRPr="007272F3" w:rsidRDefault="007272F3" w:rsidP="007272F3">
            <w:pPr>
              <w:spacing w:line="360" w:lineRule="auto"/>
              <w:ind w:firstLine="0"/>
              <w:rPr>
                <w:sz w:val="18"/>
                <w:szCs w:val="18"/>
              </w:rPr>
            </w:pPr>
          </w:p>
        </w:tc>
        <w:tc>
          <w:tcPr>
            <w:tcW w:w="284" w:type="dxa"/>
            <w:vAlign w:val="center"/>
          </w:tcPr>
          <w:p w14:paraId="2F2EF688" w14:textId="77777777" w:rsidR="007272F3" w:rsidRPr="007272F3" w:rsidRDefault="007272F3" w:rsidP="007272F3">
            <w:pPr>
              <w:spacing w:line="360" w:lineRule="auto"/>
              <w:ind w:firstLine="0"/>
              <w:rPr>
                <w:color w:val="0070C0"/>
                <w:sz w:val="18"/>
                <w:szCs w:val="18"/>
              </w:rPr>
            </w:pPr>
          </w:p>
        </w:tc>
        <w:tc>
          <w:tcPr>
            <w:tcW w:w="709" w:type="dxa"/>
            <w:vAlign w:val="center"/>
          </w:tcPr>
          <w:p w14:paraId="37B49E57" w14:textId="77777777" w:rsidR="007272F3" w:rsidRPr="007272F3" w:rsidRDefault="007272F3" w:rsidP="007272F3">
            <w:pPr>
              <w:spacing w:line="360" w:lineRule="auto"/>
              <w:ind w:firstLine="0"/>
              <w:jc w:val="right"/>
              <w:rPr>
                <w:sz w:val="18"/>
                <w:szCs w:val="18"/>
              </w:rPr>
            </w:pPr>
          </w:p>
        </w:tc>
        <w:tc>
          <w:tcPr>
            <w:tcW w:w="708" w:type="dxa"/>
            <w:vAlign w:val="center"/>
          </w:tcPr>
          <w:p w14:paraId="272B4EC4" w14:textId="77777777" w:rsidR="007272F3" w:rsidRPr="007272F3" w:rsidRDefault="007272F3" w:rsidP="007272F3">
            <w:pPr>
              <w:spacing w:line="360" w:lineRule="auto"/>
              <w:ind w:firstLine="0"/>
              <w:jc w:val="center"/>
              <w:rPr>
                <w:sz w:val="18"/>
                <w:szCs w:val="18"/>
              </w:rPr>
            </w:pPr>
          </w:p>
        </w:tc>
        <w:tc>
          <w:tcPr>
            <w:tcW w:w="851" w:type="dxa"/>
            <w:vAlign w:val="center"/>
          </w:tcPr>
          <w:p w14:paraId="437982E7" w14:textId="77777777" w:rsidR="007272F3" w:rsidRPr="007272F3" w:rsidRDefault="007272F3" w:rsidP="007272F3">
            <w:pPr>
              <w:spacing w:line="360" w:lineRule="auto"/>
              <w:ind w:firstLine="0"/>
              <w:jc w:val="center"/>
              <w:rPr>
                <w:sz w:val="18"/>
                <w:szCs w:val="18"/>
              </w:rPr>
            </w:pPr>
          </w:p>
        </w:tc>
        <w:tc>
          <w:tcPr>
            <w:tcW w:w="283" w:type="dxa"/>
            <w:vAlign w:val="center"/>
          </w:tcPr>
          <w:p w14:paraId="279FBF9F" w14:textId="77777777" w:rsidR="007272F3" w:rsidRPr="007272F3" w:rsidRDefault="007272F3" w:rsidP="007272F3">
            <w:pPr>
              <w:spacing w:line="360" w:lineRule="auto"/>
              <w:ind w:firstLine="0"/>
              <w:rPr>
                <w:color w:val="0070C0"/>
                <w:sz w:val="18"/>
                <w:szCs w:val="18"/>
              </w:rPr>
            </w:pPr>
          </w:p>
        </w:tc>
        <w:tc>
          <w:tcPr>
            <w:tcW w:w="567" w:type="dxa"/>
            <w:vAlign w:val="center"/>
          </w:tcPr>
          <w:p w14:paraId="3686F939" w14:textId="77777777" w:rsidR="007272F3" w:rsidRPr="007272F3" w:rsidRDefault="007272F3" w:rsidP="007272F3">
            <w:pPr>
              <w:spacing w:line="360" w:lineRule="auto"/>
              <w:ind w:firstLine="0"/>
              <w:jc w:val="right"/>
              <w:rPr>
                <w:sz w:val="18"/>
                <w:szCs w:val="18"/>
              </w:rPr>
            </w:pPr>
          </w:p>
        </w:tc>
        <w:tc>
          <w:tcPr>
            <w:tcW w:w="709" w:type="dxa"/>
            <w:vAlign w:val="center"/>
          </w:tcPr>
          <w:p w14:paraId="7313DDF7" w14:textId="77777777" w:rsidR="007272F3" w:rsidRPr="007272F3" w:rsidRDefault="007272F3" w:rsidP="007272F3">
            <w:pPr>
              <w:spacing w:line="360" w:lineRule="auto"/>
              <w:ind w:firstLine="0"/>
              <w:rPr>
                <w:sz w:val="18"/>
                <w:szCs w:val="18"/>
              </w:rPr>
            </w:pPr>
          </w:p>
        </w:tc>
        <w:tc>
          <w:tcPr>
            <w:tcW w:w="709" w:type="dxa"/>
            <w:vAlign w:val="center"/>
          </w:tcPr>
          <w:p w14:paraId="5C3739E6" w14:textId="77777777" w:rsidR="007272F3" w:rsidRPr="007272F3" w:rsidRDefault="007272F3" w:rsidP="007272F3">
            <w:pPr>
              <w:spacing w:line="360" w:lineRule="auto"/>
              <w:ind w:firstLine="0"/>
              <w:jc w:val="center"/>
              <w:rPr>
                <w:sz w:val="18"/>
                <w:szCs w:val="18"/>
              </w:rPr>
            </w:pPr>
          </w:p>
        </w:tc>
      </w:tr>
      <w:tr w:rsidR="007272F3" w:rsidRPr="007272F3" w14:paraId="18D07059" w14:textId="77777777" w:rsidTr="00CE564B">
        <w:trPr>
          <w:trHeight w:val="267"/>
        </w:trPr>
        <w:tc>
          <w:tcPr>
            <w:tcW w:w="520" w:type="dxa"/>
          </w:tcPr>
          <w:p w14:paraId="3883372B" w14:textId="77777777" w:rsidR="007272F3" w:rsidRPr="007272F3" w:rsidRDefault="007272F3" w:rsidP="007272F3">
            <w:pPr>
              <w:spacing w:line="360" w:lineRule="auto"/>
              <w:ind w:firstLine="0"/>
              <w:contextualSpacing w:val="0"/>
              <w:rPr>
                <w:rFonts w:eastAsia="Times New Roman"/>
                <w:sz w:val="18"/>
                <w:szCs w:val="18"/>
                <w:lang w:val="en-GB"/>
              </w:rPr>
            </w:pPr>
          </w:p>
        </w:tc>
        <w:tc>
          <w:tcPr>
            <w:tcW w:w="2598" w:type="dxa"/>
            <w:vAlign w:val="center"/>
          </w:tcPr>
          <w:p w14:paraId="1CE84AA9" w14:textId="77777777" w:rsidR="007272F3" w:rsidRPr="007272F3" w:rsidRDefault="007272F3" w:rsidP="007272F3">
            <w:pPr>
              <w:spacing w:line="360" w:lineRule="auto"/>
              <w:ind w:firstLine="0"/>
              <w:contextualSpacing w:val="0"/>
              <w:rPr>
                <w:rFonts w:eastAsia="Times New Roman"/>
                <w:sz w:val="18"/>
                <w:szCs w:val="18"/>
                <w:lang w:val="en-GB"/>
              </w:rPr>
            </w:pPr>
            <w:r w:rsidRPr="007272F3">
              <w:rPr>
                <w:rFonts w:eastAsia="Times New Roman"/>
                <w:sz w:val="18"/>
                <w:szCs w:val="18"/>
                <w:lang w:val="en-GB"/>
              </w:rPr>
              <w:t>Satisfaction with sexual activity</w:t>
            </w:r>
          </w:p>
        </w:tc>
        <w:tc>
          <w:tcPr>
            <w:tcW w:w="851" w:type="dxa"/>
            <w:vAlign w:val="center"/>
          </w:tcPr>
          <w:p w14:paraId="1684E74D" w14:textId="77777777" w:rsidR="007272F3" w:rsidRPr="007272F3" w:rsidRDefault="007272F3" w:rsidP="007272F3">
            <w:pPr>
              <w:spacing w:line="360" w:lineRule="auto"/>
              <w:ind w:firstLine="0"/>
              <w:jc w:val="right"/>
              <w:rPr>
                <w:sz w:val="18"/>
                <w:szCs w:val="18"/>
                <w:lang w:val="en-US"/>
              </w:rPr>
            </w:pPr>
            <w:r w:rsidRPr="007272F3">
              <w:rPr>
                <w:sz w:val="18"/>
                <w:szCs w:val="18"/>
                <w:lang w:val="en-US"/>
              </w:rPr>
              <w:t>-.11</w:t>
            </w:r>
          </w:p>
        </w:tc>
        <w:tc>
          <w:tcPr>
            <w:tcW w:w="567" w:type="dxa"/>
            <w:vAlign w:val="center"/>
          </w:tcPr>
          <w:p w14:paraId="03AA2767"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.05</w:t>
            </w:r>
          </w:p>
        </w:tc>
        <w:tc>
          <w:tcPr>
            <w:tcW w:w="709" w:type="dxa"/>
            <w:vAlign w:val="center"/>
          </w:tcPr>
          <w:p w14:paraId="31B65743"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-.12</w:t>
            </w:r>
            <w:r w:rsidRPr="007272F3">
              <w:rPr>
                <w:sz w:val="18"/>
                <w:szCs w:val="18"/>
                <w:vertAlign w:val="superscript"/>
                <w:lang w:val="en-US"/>
              </w:rPr>
              <w:t>*</w:t>
            </w:r>
          </w:p>
        </w:tc>
        <w:tc>
          <w:tcPr>
            <w:tcW w:w="284" w:type="dxa"/>
            <w:vAlign w:val="center"/>
          </w:tcPr>
          <w:p w14:paraId="3B3E6BB3" w14:textId="77777777" w:rsidR="007272F3" w:rsidRPr="007272F3" w:rsidRDefault="007272F3" w:rsidP="007272F3">
            <w:pPr>
              <w:spacing w:line="360" w:lineRule="auto"/>
              <w:ind w:firstLine="0"/>
              <w:jc w:val="center"/>
              <w:rPr>
                <w:color w:val="0070C0"/>
                <w:sz w:val="18"/>
                <w:szCs w:val="18"/>
                <w:lang w:val="en-US"/>
              </w:rPr>
            </w:pPr>
          </w:p>
        </w:tc>
        <w:tc>
          <w:tcPr>
            <w:tcW w:w="567" w:type="dxa"/>
            <w:vAlign w:val="center"/>
          </w:tcPr>
          <w:p w14:paraId="64B67B01" w14:textId="77777777" w:rsidR="007272F3" w:rsidRPr="007272F3" w:rsidRDefault="007272F3" w:rsidP="007272F3">
            <w:pPr>
              <w:spacing w:line="360" w:lineRule="auto"/>
              <w:ind w:firstLine="0"/>
              <w:jc w:val="right"/>
              <w:rPr>
                <w:sz w:val="18"/>
                <w:szCs w:val="18"/>
              </w:rPr>
            </w:pPr>
            <w:r w:rsidRPr="007272F3">
              <w:rPr>
                <w:sz w:val="18"/>
                <w:szCs w:val="18"/>
              </w:rPr>
              <w:t>-.20</w:t>
            </w:r>
          </w:p>
        </w:tc>
        <w:tc>
          <w:tcPr>
            <w:tcW w:w="567" w:type="dxa"/>
            <w:vAlign w:val="center"/>
          </w:tcPr>
          <w:p w14:paraId="4799D26B" w14:textId="77777777" w:rsidR="007272F3" w:rsidRPr="007272F3" w:rsidRDefault="007272F3" w:rsidP="007272F3">
            <w:pPr>
              <w:spacing w:line="360" w:lineRule="auto"/>
              <w:ind w:firstLine="0"/>
              <w:rPr>
                <w:sz w:val="18"/>
                <w:szCs w:val="18"/>
              </w:rPr>
            </w:pPr>
            <w:r w:rsidRPr="007272F3">
              <w:rPr>
                <w:sz w:val="18"/>
                <w:szCs w:val="18"/>
              </w:rPr>
              <w:t>.05</w:t>
            </w:r>
          </w:p>
        </w:tc>
        <w:tc>
          <w:tcPr>
            <w:tcW w:w="708" w:type="dxa"/>
            <w:vAlign w:val="center"/>
          </w:tcPr>
          <w:p w14:paraId="732A32C7" w14:textId="77777777" w:rsidR="007272F3" w:rsidRPr="007272F3" w:rsidRDefault="007272F3" w:rsidP="007272F3">
            <w:pPr>
              <w:spacing w:line="360" w:lineRule="auto"/>
              <w:ind w:firstLine="0"/>
              <w:rPr>
                <w:sz w:val="18"/>
                <w:szCs w:val="18"/>
              </w:rPr>
            </w:pPr>
            <w:r w:rsidRPr="007272F3">
              <w:rPr>
                <w:sz w:val="18"/>
                <w:szCs w:val="18"/>
              </w:rPr>
              <w:t>-.25</w:t>
            </w:r>
            <w:r w:rsidRPr="007272F3">
              <w:rPr>
                <w:sz w:val="18"/>
                <w:szCs w:val="18"/>
                <w:vertAlign w:val="superscript"/>
                <w:lang w:val="en-US"/>
              </w:rPr>
              <w:t>***</w:t>
            </w:r>
          </w:p>
        </w:tc>
        <w:tc>
          <w:tcPr>
            <w:tcW w:w="284" w:type="dxa"/>
            <w:vAlign w:val="center"/>
          </w:tcPr>
          <w:p w14:paraId="34EAE951" w14:textId="77777777" w:rsidR="007272F3" w:rsidRPr="007272F3" w:rsidRDefault="007272F3" w:rsidP="007272F3">
            <w:pPr>
              <w:spacing w:line="360" w:lineRule="auto"/>
              <w:ind w:firstLine="0"/>
              <w:rPr>
                <w:color w:val="0070C0"/>
                <w:sz w:val="18"/>
                <w:szCs w:val="18"/>
              </w:rPr>
            </w:pPr>
          </w:p>
        </w:tc>
        <w:tc>
          <w:tcPr>
            <w:tcW w:w="709" w:type="dxa"/>
            <w:vAlign w:val="center"/>
          </w:tcPr>
          <w:p w14:paraId="330586FE" w14:textId="77777777" w:rsidR="007272F3" w:rsidRPr="007272F3" w:rsidRDefault="007272F3" w:rsidP="007272F3">
            <w:pPr>
              <w:spacing w:line="360" w:lineRule="auto"/>
              <w:ind w:firstLine="0"/>
              <w:jc w:val="right"/>
              <w:rPr>
                <w:sz w:val="18"/>
                <w:szCs w:val="18"/>
              </w:rPr>
            </w:pPr>
            <w:r w:rsidRPr="007272F3">
              <w:rPr>
                <w:sz w:val="18"/>
                <w:szCs w:val="18"/>
              </w:rPr>
              <w:t>-.18</w:t>
            </w:r>
          </w:p>
        </w:tc>
        <w:tc>
          <w:tcPr>
            <w:tcW w:w="708" w:type="dxa"/>
            <w:vAlign w:val="center"/>
          </w:tcPr>
          <w:p w14:paraId="76188B72" w14:textId="77777777" w:rsidR="007272F3" w:rsidRPr="007272F3" w:rsidRDefault="007272F3" w:rsidP="007272F3">
            <w:pPr>
              <w:spacing w:line="360" w:lineRule="auto"/>
              <w:ind w:firstLine="0"/>
              <w:jc w:val="center"/>
              <w:rPr>
                <w:sz w:val="18"/>
                <w:szCs w:val="18"/>
              </w:rPr>
            </w:pPr>
            <w:r w:rsidRPr="007272F3">
              <w:rPr>
                <w:sz w:val="18"/>
                <w:szCs w:val="18"/>
              </w:rPr>
              <w:t>.05</w:t>
            </w:r>
          </w:p>
        </w:tc>
        <w:tc>
          <w:tcPr>
            <w:tcW w:w="851" w:type="dxa"/>
            <w:vAlign w:val="center"/>
          </w:tcPr>
          <w:p w14:paraId="26AA9811" w14:textId="77777777" w:rsidR="007272F3" w:rsidRPr="007272F3" w:rsidRDefault="007272F3" w:rsidP="007272F3">
            <w:pPr>
              <w:spacing w:line="360" w:lineRule="auto"/>
              <w:ind w:firstLine="0"/>
              <w:jc w:val="center"/>
              <w:rPr>
                <w:sz w:val="18"/>
                <w:szCs w:val="18"/>
              </w:rPr>
            </w:pPr>
            <w:r w:rsidRPr="007272F3">
              <w:rPr>
                <w:sz w:val="18"/>
                <w:szCs w:val="18"/>
              </w:rPr>
              <w:t>-.19</w:t>
            </w:r>
            <w:r w:rsidRPr="007272F3">
              <w:rPr>
                <w:sz w:val="18"/>
                <w:szCs w:val="18"/>
                <w:vertAlign w:val="superscript"/>
                <w:lang w:val="en-US"/>
              </w:rPr>
              <w:t>***</w:t>
            </w:r>
          </w:p>
        </w:tc>
        <w:tc>
          <w:tcPr>
            <w:tcW w:w="283" w:type="dxa"/>
            <w:vAlign w:val="center"/>
          </w:tcPr>
          <w:p w14:paraId="79987D31" w14:textId="77777777" w:rsidR="007272F3" w:rsidRPr="007272F3" w:rsidRDefault="007272F3" w:rsidP="007272F3">
            <w:pPr>
              <w:spacing w:line="360" w:lineRule="auto"/>
              <w:ind w:firstLine="0"/>
              <w:jc w:val="center"/>
              <w:rPr>
                <w:color w:val="0070C0"/>
                <w:sz w:val="18"/>
                <w:szCs w:val="18"/>
              </w:rPr>
            </w:pPr>
          </w:p>
        </w:tc>
        <w:tc>
          <w:tcPr>
            <w:tcW w:w="567" w:type="dxa"/>
            <w:vAlign w:val="center"/>
          </w:tcPr>
          <w:p w14:paraId="6A07C9C4" w14:textId="77777777" w:rsidR="007272F3" w:rsidRPr="007272F3" w:rsidRDefault="007272F3" w:rsidP="007272F3">
            <w:pPr>
              <w:spacing w:line="360" w:lineRule="auto"/>
              <w:ind w:firstLine="0"/>
              <w:jc w:val="right"/>
              <w:rPr>
                <w:sz w:val="18"/>
                <w:szCs w:val="18"/>
              </w:rPr>
            </w:pPr>
            <w:r w:rsidRPr="007272F3">
              <w:rPr>
                <w:sz w:val="18"/>
                <w:szCs w:val="18"/>
              </w:rPr>
              <w:t>.05</w:t>
            </w:r>
          </w:p>
        </w:tc>
        <w:tc>
          <w:tcPr>
            <w:tcW w:w="709" w:type="dxa"/>
            <w:vAlign w:val="center"/>
          </w:tcPr>
          <w:p w14:paraId="47D465E7" w14:textId="77777777" w:rsidR="007272F3" w:rsidRPr="007272F3" w:rsidRDefault="007272F3" w:rsidP="007272F3">
            <w:pPr>
              <w:spacing w:line="360" w:lineRule="auto"/>
              <w:ind w:firstLine="0"/>
              <w:rPr>
                <w:sz w:val="18"/>
                <w:szCs w:val="18"/>
              </w:rPr>
            </w:pPr>
            <w:r w:rsidRPr="007272F3">
              <w:rPr>
                <w:sz w:val="18"/>
                <w:szCs w:val="18"/>
              </w:rPr>
              <w:t>.10</w:t>
            </w:r>
          </w:p>
        </w:tc>
        <w:tc>
          <w:tcPr>
            <w:tcW w:w="709" w:type="dxa"/>
            <w:vAlign w:val="center"/>
          </w:tcPr>
          <w:p w14:paraId="3A5638DE" w14:textId="77777777" w:rsidR="007272F3" w:rsidRPr="007272F3" w:rsidRDefault="007272F3" w:rsidP="007272F3">
            <w:pPr>
              <w:spacing w:line="360" w:lineRule="auto"/>
              <w:ind w:firstLine="0"/>
              <w:jc w:val="center"/>
              <w:rPr>
                <w:sz w:val="18"/>
                <w:szCs w:val="18"/>
              </w:rPr>
            </w:pPr>
            <w:r w:rsidRPr="007272F3">
              <w:rPr>
                <w:sz w:val="18"/>
                <w:szCs w:val="18"/>
              </w:rPr>
              <w:t>.05</w:t>
            </w:r>
          </w:p>
        </w:tc>
      </w:tr>
      <w:tr w:rsidR="007272F3" w:rsidRPr="007272F3" w14:paraId="48921162" w14:textId="77777777" w:rsidTr="00CE564B">
        <w:trPr>
          <w:trHeight w:val="267"/>
        </w:trPr>
        <w:tc>
          <w:tcPr>
            <w:tcW w:w="520" w:type="dxa"/>
          </w:tcPr>
          <w:p w14:paraId="0F72B5B1" w14:textId="77777777" w:rsidR="007272F3" w:rsidRPr="007272F3" w:rsidRDefault="007272F3" w:rsidP="007272F3">
            <w:pPr>
              <w:spacing w:line="360" w:lineRule="auto"/>
              <w:ind w:firstLine="0"/>
              <w:contextualSpacing w:val="0"/>
              <w:rPr>
                <w:rFonts w:eastAsia="Times New Roman"/>
                <w:sz w:val="18"/>
                <w:szCs w:val="18"/>
                <w:lang w:val="en-GB"/>
              </w:rPr>
            </w:pPr>
          </w:p>
        </w:tc>
        <w:tc>
          <w:tcPr>
            <w:tcW w:w="2598" w:type="dxa"/>
            <w:vAlign w:val="center"/>
          </w:tcPr>
          <w:p w14:paraId="3EB0F2FC" w14:textId="77777777" w:rsidR="007272F3" w:rsidRPr="007272F3" w:rsidRDefault="007272F3" w:rsidP="007272F3">
            <w:pPr>
              <w:spacing w:line="360" w:lineRule="auto"/>
              <w:ind w:firstLine="0"/>
              <w:contextualSpacing w:val="0"/>
              <w:rPr>
                <w:rFonts w:eastAsia="Times New Roman"/>
                <w:sz w:val="18"/>
                <w:szCs w:val="18"/>
                <w:lang w:val="en-GB"/>
              </w:rPr>
            </w:pPr>
            <w:r w:rsidRPr="007272F3">
              <w:rPr>
                <w:rFonts w:eastAsia="Times New Roman"/>
                <w:sz w:val="18"/>
                <w:szCs w:val="18"/>
                <w:lang w:val="en-GB"/>
              </w:rPr>
              <w:t>Intercourse activity past month</w:t>
            </w:r>
          </w:p>
        </w:tc>
        <w:tc>
          <w:tcPr>
            <w:tcW w:w="851" w:type="dxa"/>
            <w:vAlign w:val="center"/>
          </w:tcPr>
          <w:p w14:paraId="2566836B" w14:textId="77777777" w:rsidR="007272F3" w:rsidRPr="007272F3" w:rsidRDefault="007272F3" w:rsidP="007272F3">
            <w:pPr>
              <w:spacing w:line="360" w:lineRule="auto"/>
              <w:ind w:firstLine="0"/>
              <w:jc w:val="right"/>
              <w:rPr>
                <w:sz w:val="18"/>
                <w:szCs w:val="18"/>
                <w:lang w:val="en-US"/>
              </w:rPr>
            </w:pPr>
            <w:r w:rsidRPr="007272F3">
              <w:rPr>
                <w:sz w:val="18"/>
                <w:szCs w:val="18"/>
                <w:lang w:val="en-US"/>
              </w:rPr>
              <w:t>.10</w:t>
            </w:r>
          </w:p>
        </w:tc>
        <w:tc>
          <w:tcPr>
            <w:tcW w:w="567" w:type="dxa"/>
            <w:vAlign w:val="center"/>
          </w:tcPr>
          <w:p w14:paraId="68CC597D"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.04</w:t>
            </w:r>
          </w:p>
        </w:tc>
        <w:tc>
          <w:tcPr>
            <w:tcW w:w="709" w:type="dxa"/>
            <w:vAlign w:val="center"/>
          </w:tcPr>
          <w:p w14:paraId="02920467"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.14</w:t>
            </w:r>
            <w:r w:rsidRPr="007272F3">
              <w:rPr>
                <w:sz w:val="18"/>
                <w:szCs w:val="18"/>
                <w:vertAlign w:val="superscript"/>
                <w:lang w:val="en-US"/>
              </w:rPr>
              <w:t>*</w:t>
            </w:r>
          </w:p>
        </w:tc>
        <w:tc>
          <w:tcPr>
            <w:tcW w:w="284" w:type="dxa"/>
            <w:vAlign w:val="center"/>
          </w:tcPr>
          <w:p w14:paraId="36BF9DCA" w14:textId="77777777" w:rsidR="007272F3" w:rsidRPr="007272F3" w:rsidRDefault="007272F3" w:rsidP="007272F3">
            <w:pPr>
              <w:spacing w:line="360" w:lineRule="auto"/>
              <w:ind w:firstLine="0"/>
              <w:jc w:val="center"/>
              <w:rPr>
                <w:color w:val="0070C0"/>
                <w:sz w:val="18"/>
                <w:szCs w:val="18"/>
                <w:lang w:val="en-US"/>
              </w:rPr>
            </w:pPr>
          </w:p>
        </w:tc>
        <w:tc>
          <w:tcPr>
            <w:tcW w:w="567" w:type="dxa"/>
            <w:vAlign w:val="center"/>
          </w:tcPr>
          <w:p w14:paraId="701514F7" w14:textId="77777777" w:rsidR="007272F3" w:rsidRPr="007272F3" w:rsidRDefault="007272F3" w:rsidP="007272F3">
            <w:pPr>
              <w:spacing w:line="360" w:lineRule="auto"/>
              <w:ind w:firstLine="0"/>
              <w:jc w:val="right"/>
              <w:rPr>
                <w:sz w:val="18"/>
                <w:szCs w:val="18"/>
              </w:rPr>
            </w:pPr>
            <w:r w:rsidRPr="007272F3">
              <w:rPr>
                <w:sz w:val="18"/>
                <w:szCs w:val="18"/>
              </w:rPr>
              <w:t>.02</w:t>
            </w:r>
          </w:p>
        </w:tc>
        <w:tc>
          <w:tcPr>
            <w:tcW w:w="567" w:type="dxa"/>
            <w:vAlign w:val="center"/>
          </w:tcPr>
          <w:p w14:paraId="73D23C9E" w14:textId="77777777" w:rsidR="007272F3" w:rsidRPr="007272F3" w:rsidRDefault="007272F3" w:rsidP="007272F3">
            <w:pPr>
              <w:spacing w:line="360" w:lineRule="auto"/>
              <w:ind w:firstLine="0"/>
              <w:rPr>
                <w:sz w:val="18"/>
                <w:szCs w:val="18"/>
              </w:rPr>
            </w:pPr>
            <w:r w:rsidRPr="007272F3">
              <w:rPr>
                <w:sz w:val="18"/>
                <w:szCs w:val="18"/>
              </w:rPr>
              <w:t>.04</w:t>
            </w:r>
          </w:p>
        </w:tc>
        <w:tc>
          <w:tcPr>
            <w:tcW w:w="708" w:type="dxa"/>
            <w:vAlign w:val="center"/>
          </w:tcPr>
          <w:p w14:paraId="636C6106" w14:textId="77777777" w:rsidR="007272F3" w:rsidRPr="007272F3" w:rsidRDefault="007272F3" w:rsidP="007272F3">
            <w:pPr>
              <w:spacing w:line="360" w:lineRule="auto"/>
              <w:ind w:firstLine="0"/>
              <w:rPr>
                <w:sz w:val="18"/>
                <w:szCs w:val="18"/>
              </w:rPr>
            </w:pPr>
            <w:r w:rsidRPr="007272F3">
              <w:rPr>
                <w:sz w:val="18"/>
                <w:szCs w:val="18"/>
              </w:rPr>
              <w:t>.03</w:t>
            </w:r>
          </w:p>
        </w:tc>
        <w:tc>
          <w:tcPr>
            <w:tcW w:w="284" w:type="dxa"/>
            <w:vAlign w:val="center"/>
          </w:tcPr>
          <w:p w14:paraId="4FD3051C" w14:textId="77777777" w:rsidR="007272F3" w:rsidRPr="007272F3" w:rsidRDefault="007272F3" w:rsidP="007272F3">
            <w:pPr>
              <w:spacing w:line="360" w:lineRule="auto"/>
              <w:ind w:firstLine="0"/>
              <w:rPr>
                <w:color w:val="0070C0"/>
                <w:sz w:val="18"/>
                <w:szCs w:val="18"/>
              </w:rPr>
            </w:pPr>
          </w:p>
        </w:tc>
        <w:tc>
          <w:tcPr>
            <w:tcW w:w="709" w:type="dxa"/>
            <w:vAlign w:val="center"/>
          </w:tcPr>
          <w:p w14:paraId="6D77EC85" w14:textId="77777777" w:rsidR="007272F3" w:rsidRPr="007272F3" w:rsidRDefault="007272F3" w:rsidP="007272F3">
            <w:pPr>
              <w:spacing w:line="360" w:lineRule="auto"/>
              <w:ind w:firstLine="0"/>
              <w:jc w:val="right"/>
              <w:rPr>
                <w:sz w:val="18"/>
                <w:szCs w:val="18"/>
              </w:rPr>
            </w:pPr>
            <w:r w:rsidRPr="007272F3">
              <w:rPr>
                <w:sz w:val="18"/>
                <w:szCs w:val="18"/>
              </w:rPr>
              <w:t xml:space="preserve"> .</w:t>
            </w:r>
            <w:r w:rsidRPr="007272F3">
              <w:rPr>
                <w:sz w:val="18"/>
                <w:szCs w:val="18"/>
                <w:lang w:val="en-US"/>
              </w:rPr>
              <w:t>21</w:t>
            </w:r>
          </w:p>
        </w:tc>
        <w:tc>
          <w:tcPr>
            <w:tcW w:w="708" w:type="dxa"/>
            <w:vAlign w:val="center"/>
          </w:tcPr>
          <w:p w14:paraId="2CB992FE" w14:textId="77777777" w:rsidR="007272F3" w:rsidRPr="007272F3" w:rsidRDefault="007272F3" w:rsidP="007272F3">
            <w:pPr>
              <w:spacing w:line="360" w:lineRule="auto"/>
              <w:ind w:firstLine="0"/>
              <w:jc w:val="center"/>
              <w:rPr>
                <w:sz w:val="18"/>
                <w:szCs w:val="18"/>
              </w:rPr>
            </w:pPr>
            <w:r w:rsidRPr="007272F3">
              <w:rPr>
                <w:sz w:val="18"/>
                <w:szCs w:val="18"/>
              </w:rPr>
              <w:t>.05</w:t>
            </w:r>
          </w:p>
        </w:tc>
        <w:tc>
          <w:tcPr>
            <w:tcW w:w="851" w:type="dxa"/>
            <w:vAlign w:val="center"/>
          </w:tcPr>
          <w:p w14:paraId="6648EAAB" w14:textId="77777777" w:rsidR="007272F3" w:rsidRPr="007272F3" w:rsidRDefault="007272F3" w:rsidP="007272F3">
            <w:pPr>
              <w:spacing w:line="360" w:lineRule="auto"/>
              <w:ind w:firstLine="0"/>
              <w:jc w:val="center"/>
              <w:rPr>
                <w:sz w:val="18"/>
                <w:szCs w:val="18"/>
              </w:rPr>
            </w:pPr>
            <w:r w:rsidRPr="007272F3">
              <w:rPr>
                <w:sz w:val="18"/>
                <w:szCs w:val="18"/>
              </w:rPr>
              <w:t>.26</w:t>
            </w:r>
            <w:r w:rsidRPr="007272F3">
              <w:rPr>
                <w:sz w:val="18"/>
                <w:szCs w:val="18"/>
                <w:vertAlign w:val="superscript"/>
              </w:rPr>
              <w:t>***</w:t>
            </w:r>
          </w:p>
        </w:tc>
        <w:tc>
          <w:tcPr>
            <w:tcW w:w="283" w:type="dxa"/>
            <w:vAlign w:val="center"/>
          </w:tcPr>
          <w:p w14:paraId="165F9E81" w14:textId="77777777" w:rsidR="007272F3" w:rsidRPr="007272F3" w:rsidRDefault="007272F3" w:rsidP="007272F3">
            <w:pPr>
              <w:spacing w:line="360" w:lineRule="auto"/>
              <w:ind w:firstLine="0"/>
              <w:jc w:val="center"/>
              <w:rPr>
                <w:color w:val="0070C0"/>
                <w:sz w:val="18"/>
                <w:szCs w:val="18"/>
              </w:rPr>
            </w:pPr>
          </w:p>
        </w:tc>
        <w:tc>
          <w:tcPr>
            <w:tcW w:w="567" w:type="dxa"/>
            <w:vAlign w:val="center"/>
          </w:tcPr>
          <w:p w14:paraId="6D50826B" w14:textId="77777777" w:rsidR="007272F3" w:rsidRPr="007272F3" w:rsidRDefault="007272F3" w:rsidP="007272F3">
            <w:pPr>
              <w:spacing w:line="360" w:lineRule="auto"/>
              <w:ind w:firstLine="0"/>
              <w:jc w:val="right"/>
              <w:rPr>
                <w:sz w:val="18"/>
                <w:szCs w:val="18"/>
              </w:rPr>
            </w:pPr>
            <w:r w:rsidRPr="007272F3">
              <w:rPr>
                <w:sz w:val="18"/>
                <w:szCs w:val="18"/>
              </w:rPr>
              <w:t>.09</w:t>
            </w:r>
          </w:p>
        </w:tc>
        <w:tc>
          <w:tcPr>
            <w:tcW w:w="709" w:type="dxa"/>
            <w:vAlign w:val="center"/>
          </w:tcPr>
          <w:p w14:paraId="44A82E9E" w14:textId="77777777" w:rsidR="007272F3" w:rsidRPr="007272F3" w:rsidRDefault="007272F3" w:rsidP="007272F3">
            <w:pPr>
              <w:spacing w:line="360" w:lineRule="auto"/>
              <w:ind w:firstLine="0"/>
              <w:rPr>
                <w:sz w:val="18"/>
                <w:szCs w:val="18"/>
              </w:rPr>
            </w:pPr>
            <w:r w:rsidRPr="007272F3">
              <w:rPr>
                <w:sz w:val="18"/>
                <w:szCs w:val="18"/>
              </w:rPr>
              <w:t>.07</w:t>
            </w:r>
          </w:p>
        </w:tc>
        <w:tc>
          <w:tcPr>
            <w:tcW w:w="709" w:type="dxa"/>
            <w:vAlign w:val="center"/>
          </w:tcPr>
          <w:p w14:paraId="03114509" w14:textId="77777777" w:rsidR="007272F3" w:rsidRPr="007272F3" w:rsidRDefault="007272F3" w:rsidP="007272F3">
            <w:pPr>
              <w:spacing w:line="360" w:lineRule="auto"/>
              <w:ind w:firstLine="0"/>
              <w:jc w:val="center"/>
              <w:rPr>
                <w:sz w:val="18"/>
                <w:szCs w:val="18"/>
              </w:rPr>
            </w:pPr>
            <w:r w:rsidRPr="007272F3">
              <w:rPr>
                <w:sz w:val="18"/>
                <w:szCs w:val="18"/>
              </w:rPr>
              <w:t>.14</w:t>
            </w:r>
          </w:p>
        </w:tc>
      </w:tr>
      <w:tr w:rsidR="007272F3" w:rsidRPr="007272F3" w14:paraId="008B1908" w14:textId="77777777" w:rsidTr="00CE564B">
        <w:trPr>
          <w:trHeight w:val="267"/>
        </w:trPr>
        <w:tc>
          <w:tcPr>
            <w:tcW w:w="3118" w:type="dxa"/>
            <w:gridSpan w:val="2"/>
          </w:tcPr>
          <w:p w14:paraId="26B1AF67" w14:textId="77777777" w:rsidR="007272F3" w:rsidRPr="007272F3" w:rsidRDefault="007272F3" w:rsidP="007272F3">
            <w:pPr>
              <w:spacing w:line="360" w:lineRule="auto"/>
              <w:ind w:firstLine="0"/>
              <w:contextualSpacing w:val="0"/>
              <w:rPr>
                <w:rFonts w:eastAsia="Times New Roman"/>
                <w:sz w:val="18"/>
                <w:szCs w:val="18"/>
                <w:lang w:val="en-GB"/>
              </w:rPr>
            </w:pPr>
            <w:r w:rsidRPr="007272F3">
              <w:rPr>
                <w:rFonts w:eastAsia="Times New Roman"/>
                <w:i/>
                <w:sz w:val="18"/>
                <w:szCs w:val="18"/>
                <w:lang w:val="en-GB"/>
              </w:rPr>
              <w:t>Attitudes towards sexuality</w:t>
            </w:r>
          </w:p>
        </w:tc>
        <w:tc>
          <w:tcPr>
            <w:tcW w:w="851" w:type="dxa"/>
            <w:vAlign w:val="center"/>
          </w:tcPr>
          <w:p w14:paraId="09A2C1E3" w14:textId="77777777" w:rsidR="007272F3" w:rsidRPr="007272F3" w:rsidRDefault="007272F3" w:rsidP="007272F3">
            <w:pPr>
              <w:spacing w:line="360" w:lineRule="auto"/>
              <w:ind w:firstLine="0"/>
              <w:jc w:val="right"/>
              <w:rPr>
                <w:sz w:val="18"/>
                <w:szCs w:val="18"/>
                <w:lang w:val="en-US"/>
              </w:rPr>
            </w:pPr>
          </w:p>
        </w:tc>
        <w:tc>
          <w:tcPr>
            <w:tcW w:w="567" w:type="dxa"/>
            <w:vAlign w:val="center"/>
          </w:tcPr>
          <w:p w14:paraId="43F4CF2C" w14:textId="77777777" w:rsidR="007272F3" w:rsidRPr="007272F3" w:rsidRDefault="007272F3" w:rsidP="007272F3">
            <w:pPr>
              <w:spacing w:line="360" w:lineRule="auto"/>
              <w:ind w:firstLine="0"/>
              <w:jc w:val="center"/>
              <w:rPr>
                <w:sz w:val="18"/>
                <w:szCs w:val="18"/>
                <w:lang w:val="en-US"/>
              </w:rPr>
            </w:pPr>
          </w:p>
        </w:tc>
        <w:tc>
          <w:tcPr>
            <w:tcW w:w="709" w:type="dxa"/>
            <w:vAlign w:val="center"/>
          </w:tcPr>
          <w:p w14:paraId="21BC9D2F" w14:textId="77777777" w:rsidR="007272F3" w:rsidRPr="007272F3" w:rsidRDefault="007272F3" w:rsidP="007272F3">
            <w:pPr>
              <w:spacing w:line="360" w:lineRule="auto"/>
              <w:ind w:firstLine="0"/>
              <w:jc w:val="center"/>
              <w:rPr>
                <w:sz w:val="18"/>
                <w:szCs w:val="18"/>
                <w:lang w:val="en-US"/>
              </w:rPr>
            </w:pPr>
          </w:p>
        </w:tc>
        <w:tc>
          <w:tcPr>
            <w:tcW w:w="284" w:type="dxa"/>
            <w:vAlign w:val="center"/>
          </w:tcPr>
          <w:p w14:paraId="5BE6D184" w14:textId="77777777" w:rsidR="007272F3" w:rsidRPr="007272F3" w:rsidRDefault="007272F3" w:rsidP="007272F3">
            <w:pPr>
              <w:spacing w:line="360" w:lineRule="auto"/>
              <w:ind w:firstLine="0"/>
              <w:rPr>
                <w:color w:val="0070C0"/>
                <w:sz w:val="18"/>
                <w:szCs w:val="18"/>
                <w:lang w:val="en-US"/>
              </w:rPr>
            </w:pPr>
          </w:p>
        </w:tc>
        <w:tc>
          <w:tcPr>
            <w:tcW w:w="567" w:type="dxa"/>
            <w:vAlign w:val="center"/>
          </w:tcPr>
          <w:p w14:paraId="41008CB2" w14:textId="77777777" w:rsidR="007272F3" w:rsidRPr="007272F3" w:rsidRDefault="007272F3" w:rsidP="007272F3">
            <w:pPr>
              <w:spacing w:line="360" w:lineRule="auto"/>
              <w:ind w:firstLine="0"/>
              <w:jc w:val="right"/>
              <w:rPr>
                <w:sz w:val="18"/>
                <w:szCs w:val="18"/>
              </w:rPr>
            </w:pPr>
          </w:p>
        </w:tc>
        <w:tc>
          <w:tcPr>
            <w:tcW w:w="567" w:type="dxa"/>
            <w:vAlign w:val="center"/>
          </w:tcPr>
          <w:p w14:paraId="4D22570A" w14:textId="77777777" w:rsidR="007272F3" w:rsidRPr="007272F3" w:rsidRDefault="007272F3" w:rsidP="007272F3">
            <w:pPr>
              <w:spacing w:line="360" w:lineRule="auto"/>
              <w:ind w:firstLine="0"/>
              <w:rPr>
                <w:sz w:val="18"/>
                <w:szCs w:val="18"/>
              </w:rPr>
            </w:pPr>
          </w:p>
        </w:tc>
        <w:tc>
          <w:tcPr>
            <w:tcW w:w="708" w:type="dxa"/>
            <w:vAlign w:val="center"/>
          </w:tcPr>
          <w:p w14:paraId="3971F453" w14:textId="77777777" w:rsidR="007272F3" w:rsidRPr="007272F3" w:rsidRDefault="007272F3" w:rsidP="007272F3">
            <w:pPr>
              <w:spacing w:line="360" w:lineRule="auto"/>
              <w:ind w:firstLine="0"/>
              <w:rPr>
                <w:sz w:val="18"/>
                <w:szCs w:val="18"/>
              </w:rPr>
            </w:pPr>
          </w:p>
        </w:tc>
        <w:tc>
          <w:tcPr>
            <w:tcW w:w="284" w:type="dxa"/>
            <w:vAlign w:val="center"/>
          </w:tcPr>
          <w:p w14:paraId="63B6D7E3" w14:textId="77777777" w:rsidR="007272F3" w:rsidRPr="007272F3" w:rsidRDefault="007272F3" w:rsidP="007272F3">
            <w:pPr>
              <w:spacing w:line="360" w:lineRule="auto"/>
              <w:ind w:firstLine="0"/>
              <w:rPr>
                <w:color w:val="0070C0"/>
                <w:sz w:val="18"/>
                <w:szCs w:val="18"/>
              </w:rPr>
            </w:pPr>
          </w:p>
        </w:tc>
        <w:tc>
          <w:tcPr>
            <w:tcW w:w="709" w:type="dxa"/>
            <w:vAlign w:val="center"/>
          </w:tcPr>
          <w:p w14:paraId="78850118" w14:textId="77777777" w:rsidR="007272F3" w:rsidRPr="007272F3" w:rsidRDefault="007272F3" w:rsidP="007272F3">
            <w:pPr>
              <w:spacing w:line="360" w:lineRule="auto"/>
              <w:ind w:firstLine="0"/>
              <w:jc w:val="right"/>
              <w:rPr>
                <w:sz w:val="18"/>
                <w:szCs w:val="18"/>
              </w:rPr>
            </w:pPr>
          </w:p>
        </w:tc>
        <w:tc>
          <w:tcPr>
            <w:tcW w:w="708" w:type="dxa"/>
            <w:vAlign w:val="center"/>
          </w:tcPr>
          <w:p w14:paraId="2187E98F" w14:textId="77777777" w:rsidR="007272F3" w:rsidRPr="007272F3" w:rsidRDefault="007272F3" w:rsidP="007272F3">
            <w:pPr>
              <w:spacing w:line="360" w:lineRule="auto"/>
              <w:ind w:firstLine="0"/>
              <w:jc w:val="center"/>
              <w:rPr>
                <w:sz w:val="18"/>
                <w:szCs w:val="18"/>
              </w:rPr>
            </w:pPr>
          </w:p>
        </w:tc>
        <w:tc>
          <w:tcPr>
            <w:tcW w:w="851" w:type="dxa"/>
            <w:vAlign w:val="center"/>
          </w:tcPr>
          <w:p w14:paraId="7617E5E4" w14:textId="77777777" w:rsidR="007272F3" w:rsidRPr="007272F3" w:rsidRDefault="007272F3" w:rsidP="007272F3">
            <w:pPr>
              <w:spacing w:line="360" w:lineRule="auto"/>
              <w:ind w:firstLine="0"/>
              <w:jc w:val="center"/>
              <w:rPr>
                <w:sz w:val="18"/>
                <w:szCs w:val="18"/>
              </w:rPr>
            </w:pPr>
          </w:p>
        </w:tc>
        <w:tc>
          <w:tcPr>
            <w:tcW w:w="283" w:type="dxa"/>
            <w:vAlign w:val="center"/>
          </w:tcPr>
          <w:p w14:paraId="0DDB5EF5" w14:textId="77777777" w:rsidR="007272F3" w:rsidRPr="007272F3" w:rsidRDefault="007272F3" w:rsidP="007272F3">
            <w:pPr>
              <w:spacing w:line="360" w:lineRule="auto"/>
              <w:ind w:firstLine="0"/>
              <w:rPr>
                <w:color w:val="0070C0"/>
                <w:sz w:val="18"/>
                <w:szCs w:val="18"/>
              </w:rPr>
            </w:pPr>
          </w:p>
        </w:tc>
        <w:tc>
          <w:tcPr>
            <w:tcW w:w="567" w:type="dxa"/>
            <w:vAlign w:val="center"/>
          </w:tcPr>
          <w:p w14:paraId="33D68BAF" w14:textId="77777777" w:rsidR="007272F3" w:rsidRPr="007272F3" w:rsidRDefault="007272F3" w:rsidP="007272F3">
            <w:pPr>
              <w:spacing w:line="360" w:lineRule="auto"/>
              <w:ind w:firstLine="0"/>
              <w:jc w:val="right"/>
              <w:rPr>
                <w:sz w:val="18"/>
                <w:szCs w:val="18"/>
              </w:rPr>
            </w:pPr>
          </w:p>
        </w:tc>
        <w:tc>
          <w:tcPr>
            <w:tcW w:w="709" w:type="dxa"/>
            <w:vAlign w:val="center"/>
          </w:tcPr>
          <w:p w14:paraId="48B998A2" w14:textId="77777777" w:rsidR="007272F3" w:rsidRPr="007272F3" w:rsidRDefault="007272F3" w:rsidP="007272F3">
            <w:pPr>
              <w:spacing w:line="360" w:lineRule="auto"/>
              <w:ind w:firstLine="0"/>
              <w:rPr>
                <w:sz w:val="18"/>
                <w:szCs w:val="18"/>
              </w:rPr>
            </w:pPr>
          </w:p>
        </w:tc>
        <w:tc>
          <w:tcPr>
            <w:tcW w:w="709" w:type="dxa"/>
            <w:vAlign w:val="center"/>
          </w:tcPr>
          <w:p w14:paraId="13215373" w14:textId="77777777" w:rsidR="007272F3" w:rsidRPr="007272F3" w:rsidRDefault="007272F3" w:rsidP="007272F3">
            <w:pPr>
              <w:spacing w:line="360" w:lineRule="auto"/>
              <w:ind w:firstLine="0"/>
              <w:jc w:val="center"/>
              <w:rPr>
                <w:sz w:val="18"/>
                <w:szCs w:val="18"/>
              </w:rPr>
            </w:pPr>
          </w:p>
        </w:tc>
      </w:tr>
      <w:tr w:rsidR="007272F3" w:rsidRPr="007272F3" w14:paraId="5BD9383A" w14:textId="77777777" w:rsidTr="00CE564B">
        <w:trPr>
          <w:trHeight w:val="267"/>
        </w:trPr>
        <w:tc>
          <w:tcPr>
            <w:tcW w:w="520" w:type="dxa"/>
          </w:tcPr>
          <w:p w14:paraId="734BE87F" w14:textId="77777777" w:rsidR="007272F3" w:rsidRPr="007272F3" w:rsidRDefault="007272F3" w:rsidP="007272F3">
            <w:pPr>
              <w:spacing w:line="360" w:lineRule="auto"/>
              <w:ind w:firstLine="0"/>
              <w:contextualSpacing w:val="0"/>
              <w:rPr>
                <w:rFonts w:eastAsia="Times New Roman"/>
                <w:sz w:val="18"/>
                <w:szCs w:val="18"/>
                <w:lang w:val="en-GB"/>
              </w:rPr>
            </w:pPr>
          </w:p>
        </w:tc>
        <w:tc>
          <w:tcPr>
            <w:tcW w:w="2598" w:type="dxa"/>
            <w:vAlign w:val="center"/>
          </w:tcPr>
          <w:p w14:paraId="422350DD" w14:textId="77777777" w:rsidR="007272F3" w:rsidRPr="007272F3" w:rsidRDefault="007272F3" w:rsidP="007272F3">
            <w:pPr>
              <w:spacing w:line="360" w:lineRule="auto"/>
              <w:ind w:firstLine="0"/>
              <w:contextualSpacing w:val="0"/>
              <w:rPr>
                <w:rFonts w:eastAsia="Times New Roman"/>
                <w:sz w:val="18"/>
                <w:szCs w:val="18"/>
                <w:lang w:val="en-GB"/>
              </w:rPr>
            </w:pPr>
            <w:r w:rsidRPr="007272F3">
              <w:rPr>
                <w:rFonts w:eastAsia="Times New Roman"/>
                <w:sz w:val="18"/>
                <w:szCs w:val="18"/>
                <w:lang w:val="en-GB"/>
              </w:rPr>
              <w:t>Sex is for love</w:t>
            </w:r>
          </w:p>
        </w:tc>
        <w:tc>
          <w:tcPr>
            <w:tcW w:w="851" w:type="dxa"/>
            <w:vAlign w:val="center"/>
          </w:tcPr>
          <w:p w14:paraId="5FE215E9" w14:textId="77777777" w:rsidR="007272F3" w:rsidRPr="007272F3" w:rsidRDefault="007272F3" w:rsidP="007272F3">
            <w:pPr>
              <w:spacing w:line="360" w:lineRule="auto"/>
              <w:ind w:firstLine="0"/>
              <w:jc w:val="right"/>
              <w:rPr>
                <w:sz w:val="18"/>
                <w:szCs w:val="18"/>
                <w:vertAlign w:val="subscript"/>
                <w:lang w:val="en-US"/>
              </w:rPr>
            </w:pPr>
            <w:r w:rsidRPr="007272F3">
              <w:rPr>
                <w:sz w:val="18"/>
                <w:szCs w:val="18"/>
                <w:lang w:val="en-US"/>
              </w:rPr>
              <w:t>-.15</w:t>
            </w:r>
          </w:p>
        </w:tc>
        <w:tc>
          <w:tcPr>
            <w:tcW w:w="567" w:type="dxa"/>
            <w:vAlign w:val="center"/>
          </w:tcPr>
          <w:p w14:paraId="7F6F6D7F"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.05</w:t>
            </w:r>
          </w:p>
        </w:tc>
        <w:tc>
          <w:tcPr>
            <w:tcW w:w="709" w:type="dxa"/>
            <w:vAlign w:val="center"/>
          </w:tcPr>
          <w:p w14:paraId="70C8A9E1" w14:textId="77777777" w:rsidR="007272F3" w:rsidRPr="007272F3" w:rsidRDefault="007272F3" w:rsidP="007272F3">
            <w:pPr>
              <w:spacing w:line="360" w:lineRule="auto"/>
              <w:ind w:firstLine="0"/>
              <w:jc w:val="center"/>
              <w:rPr>
                <w:sz w:val="18"/>
                <w:szCs w:val="18"/>
                <w:vertAlign w:val="subscript"/>
                <w:lang w:val="en-US"/>
              </w:rPr>
            </w:pPr>
            <w:r w:rsidRPr="007272F3">
              <w:rPr>
                <w:sz w:val="18"/>
                <w:szCs w:val="18"/>
                <w:lang w:val="en-US"/>
              </w:rPr>
              <w:t>-.13</w:t>
            </w:r>
            <w:r w:rsidRPr="007272F3">
              <w:rPr>
                <w:sz w:val="18"/>
                <w:szCs w:val="18"/>
                <w:vertAlign w:val="superscript"/>
                <w:lang w:val="en-US"/>
              </w:rPr>
              <w:t>**</w:t>
            </w:r>
          </w:p>
        </w:tc>
        <w:tc>
          <w:tcPr>
            <w:tcW w:w="284" w:type="dxa"/>
            <w:vAlign w:val="center"/>
          </w:tcPr>
          <w:p w14:paraId="5D2A099C" w14:textId="77777777" w:rsidR="007272F3" w:rsidRPr="007272F3" w:rsidRDefault="007272F3" w:rsidP="007272F3">
            <w:pPr>
              <w:spacing w:line="360" w:lineRule="auto"/>
              <w:ind w:firstLine="0"/>
              <w:jc w:val="center"/>
              <w:rPr>
                <w:color w:val="0070C0"/>
                <w:sz w:val="18"/>
                <w:szCs w:val="18"/>
                <w:lang w:val="en-US"/>
              </w:rPr>
            </w:pPr>
          </w:p>
        </w:tc>
        <w:tc>
          <w:tcPr>
            <w:tcW w:w="567" w:type="dxa"/>
            <w:vAlign w:val="center"/>
          </w:tcPr>
          <w:p w14:paraId="30BF7CAA" w14:textId="77777777" w:rsidR="007272F3" w:rsidRPr="007272F3" w:rsidRDefault="007272F3" w:rsidP="007272F3">
            <w:pPr>
              <w:spacing w:line="360" w:lineRule="auto"/>
              <w:ind w:firstLine="0"/>
              <w:jc w:val="right"/>
              <w:rPr>
                <w:sz w:val="18"/>
                <w:szCs w:val="18"/>
                <w:vertAlign w:val="superscript"/>
              </w:rPr>
            </w:pPr>
            <w:r w:rsidRPr="007272F3">
              <w:rPr>
                <w:sz w:val="18"/>
                <w:szCs w:val="18"/>
                <w:lang w:val="en-US"/>
              </w:rPr>
              <w:t>-.07</w:t>
            </w:r>
          </w:p>
        </w:tc>
        <w:tc>
          <w:tcPr>
            <w:tcW w:w="567" w:type="dxa"/>
            <w:vAlign w:val="center"/>
          </w:tcPr>
          <w:p w14:paraId="3D1E5B2D" w14:textId="77777777" w:rsidR="007272F3" w:rsidRPr="007272F3" w:rsidRDefault="007272F3" w:rsidP="007272F3">
            <w:pPr>
              <w:spacing w:line="360" w:lineRule="auto"/>
              <w:ind w:firstLine="0"/>
              <w:rPr>
                <w:sz w:val="18"/>
                <w:szCs w:val="18"/>
              </w:rPr>
            </w:pPr>
            <w:r w:rsidRPr="007272F3">
              <w:rPr>
                <w:sz w:val="18"/>
                <w:szCs w:val="18"/>
              </w:rPr>
              <w:t>.05</w:t>
            </w:r>
          </w:p>
        </w:tc>
        <w:tc>
          <w:tcPr>
            <w:tcW w:w="708" w:type="dxa"/>
            <w:vAlign w:val="center"/>
          </w:tcPr>
          <w:p w14:paraId="509CA9E2" w14:textId="77777777" w:rsidR="007272F3" w:rsidRPr="007272F3" w:rsidRDefault="007272F3" w:rsidP="007272F3">
            <w:pPr>
              <w:spacing w:line="360" w:lineRule="auto"/>
              <w:ind w:firstLine="0"/>
              <w:rPr>
                <w:sz w:val="18"/>
                <w:szCs w:val="18"/>
                <w:vertAlign w:val="superscript"/>
              </w:rPr>
            </w:pPr>
            <w:r w:rsidRPr="007272F3">
              <w:rPr>
                <w:sz w:val="18"/>
                <w:szCs w:val="18"/>
                <w:lang w:val="en-US"/>
              </w:rPr>
              <w:t>-.08</w:t>
            </w:r>
          </w:p>
        </w:tc>
        <w:tc>
          <w:tcPr>
            <w:tcW w:w="284" w:type="dxa"/>
            <w:vAlign w:val="center"/>
          </w:tcPr>
          <w:p w14:paraId="252E2975" w14:textId="77777777" w:rsidR="007272F3" w:rsidRPr="007272F3" w:rsidRDefault="007272F3" w:rsidP="007272F3">
            <w:pPr>
              <w:spacing w:line="360" w:lineRule="auto"/>
              <w:ind w:firstLine="0"/>
              <w:rPr>
                <w:color w:val="0070C0"/>
                <w:sz w:val="18"/>
                <w:szCs w:val="18"/>
              </w:rPr>
            </w:pPr>
          </w:p>
        </w:tc>
        <w:tc>
          <w:tcPr>
            <w:tcW w:w="709" w:type="dxa"/>
            <w:vAlign w:val="center"/>
          </w:tcPr>
          <w:p w14:paraId="76F9259F" w14:textId="77777777" w:rsidR="007272F3" w:rsidRPr="007272F3" w:rsidRDefault="007272F3" w:rsidP="007272F3">
            <w:pPr>
              <w:spacing w:line="360" w:lineRule="auto"/>
              <w:ind w:firstLine="0"/>
              <w:jc w:val="right"/>
              <w:rPr>
                <w:sz w:val="18"/>
                <w:szCs w:val="18"/>
                <w:vertAlign w:val="superscript"/>
              </w:rPr>
            </w:pPr>
            <w:r w:rsidRPr="007272F3">
              <w:rPr>
                <w:sz w:val="18"/>
                <w:szCs w:val="18"/>
              </w:rPr>
              <w:t>-.05</w:t>
            </w:r>
          </w:p>
        </w:tc>
        <w:tc>
          <w:tcPr>
            <w:tcW w:w="708" w:type="dxa"/>
            <w:vAlign w:val="center"/>
          </w:tcPr>
          <w:p w14:paraId="4F2546D6" w14:textId="77777777" w:rsidR="007272F3" w:rsidRPr="007272F3" w:rsidRDefault="007272F3" w:rsidP="007272F3">
            <w:pPr>
              <w:spacing w:line="360" w:lineRule="auto"/>
              <w:ind w:firstLine="0"/>
              <w:jc w:val="center"/>
              <w:rPr>
                <w:sz w:val="18"/>
                <w:szCs w:val="18"/>
              </w:rPr>
            </w:pPr>
            <w:r w:rsidRPr="007272F3">
              <w:rPr>
                <w:sz w:val="18"/>
                <w:szCs w:val="18"/>
              </w:rPr>
              <w:t>.05</w:t>
            </w:r>
          </w:p>
        </w:tc>
        <w:tc>
          <w:tcPr>
            <w:tcW w:w="851" w:type="dxa"/>
            <w:vAlign w:val="center"/>
          </w:tcPr>
          <w:p w14:paraId="641B662B" w14:textId="77777777" w:rsidR="007272F3" w:rsidRPr="007272F3" w:rsidRDefault="007272F3" w:rsidP="007272F3">
            <w:pPr>
              <w:spacing w:line="360" w:lineRule="auto"/>
              <w:ind w:firstLine="0"/>
              <w:jc w:val="center"/>
              <w:rPr>
                <w:sz w:val="18"/>
                <w:szCs w:val="18"/>
                <w:vertAlign w:val="superscript"/>
              </w:rPr>
            </w:pPr>
            <w:r w:rsidRPr="007272F3">
              <w:rPr>
                <w:sz w:val="18"/>
                <w:szCs w:val="18"/>
              </w:rPr>
              <w:t>-.06</w:t>
            </w:r>
          </w:p>
        </w:tc>
        <w:tc>
          <w:tcPr>
            <w:tcW w:w="283" w:type="dxa"/>
            <w:vAlign w:val="center"/>
          </w:tcPr>
          <w:p w14:paraId="0A2B6514" w14:textId="77777777" w:rsidR="007272F3" w:rsidRPr="007272F3" w:rsidRDefault="007272F3" w:rsidP="007272F3">
            <w:pPr>
              <w:spacing w:line="360" w:lineRule="auto"/>
              <w:ind w:firstLine="0"/>
              <w:jc w:val="center"/>
              <w:rPr>
                <w:color w:val="0070C0"/>
                <w:sz w:val="18"/>
                <w:szCs w:val="18"/>
              </w:rPr>
            </w:pPr>
          </w:p>
        </w:tc>
        <w:tc>
          <w:tcPr>
            <w:tcW w:w="567" w:type="dxa"/>
            <w:vAlign w:val="center"/>
          </w:tcPr>
          <w:p w14:paraId="3DD1617E" w14:textId="77777777" w:rsidR="007272F3" w:rsidRPr="007272F3" w:rsidRDefault="007272F3" w:rsidP="007272F3">
            <w:pPr>
              <w:spacing w:line="360" w:lineRule="auto"/>
              <w:ind w:firstLine="0"/>
              <w:jc w:val="right"/>
              <w:rPr>
                <w:sz w:val="18"/>
                <w:szCs w:val="18"/>
                <w:vertAlign w:val="superscript"/>
              </w:rPr>
            </w:pPr>
            <w:r w:rsidRPr="007272F3">
              <w:rPr>
                <w:sz w:val="18"/>
                <w:szCs w:val="18"/>
              </w:rPr>
              <w:t>-.12</w:t>
            </w:r>
          </w:p>
        </w:tc>
        <w:tc>
          <w:tcPr>
            <w:tcW w:w="709" w:type="dxa"/>
            <w:vAlign w:val="center"/>
          </w:tcPr>
          <w:p w14:paraId="24960594" w14:textId="77777777" w:rsidR="007272F3" w:rsidRPr="007272F3" w:rsidRDefault="007272F3" w:rsidP="007272F3">
            <w:pPr>
              <w:spacing w:line="360" w:lineRule="auto"/>
              <w:ind w:firstLine="0"/>
              <w:rPr>
                <w:sz w:val="18"/>
                <w:szCs w:val="18"/>
              </w:rPr>
            </w:pPr>
            <w:r w:rsidRPr="007272F3">
              <w:rPr>
                <w:sz w:val="18"/>
                <w:szCs w:val="18"/>
              </w:rPr>
              <w:t>.06</w:t>
            </w:r>
          </w:p>
        </w:tc>
        <w:tc>
          <w:tcPr>
            <w:tcW w:w="709" w:type="dxa"/>
            <w:vAlign w:val="center"/>
          </w:tcPr>
          <w:p w14:paraId="2A60BA56" w14:textId="77777777" w:rsidR="007272F3" w:rsidRPr="007272F3" w:rsidRDefault="007272F3" w:rsidP="007272F3">
            <w:pPr>
              <w:spacing w:line="360" w:lineRule="auto"/>
              <w:ind w:firstLine="0"/>
              <w:jc w:val="center"/>
              <w:rPr>
                <w:sz w:val="18"/>
                <w:szCs w:val="18"/>
                <w:vertAlign w:val="superscript"/>
              </w:rPr>
            </w:pPr>
            <w:r w:rsidRPr="007272F3">
              <w:rPr>
                <w:sz w:val="18"/>
                <w:szCs w:val="18"/>
              </w:rPr>
              <w:t>-.16</w:t>
            </w:r>
            <w:r w:rsidRPr="007272F3">
              <w:rPr>
                <w:sz w:val="18"/>
                <w:szCs w:val="18"/>
                <w:vertAlign w:val="superscript"/>
              </w:rPr>
              <w:t>*</w:t>
            </w:r>
          </w:p>
        </w:tc>
      </w:tr>
      <w:tr w:rsidR="007272F3" w:rsidRPr="007272F3" w14:paraId="6F3AEA57" w14:textId="77777777" w:rsidTr="00CE564B">
        <w:trPr>
          <w:trHeight w:val="267"/>
        </w:trPr>
        <w:tc>
          <w:tcPr>
            <w:tcW w:w="520" w:type="dxa"/>
          </w:tcPr>
          <w:p w14:paraId="374EF1BF" w14:textId="77777777" w:rsidR="007272F3" w:rsidRPr="007272F3" w:rsidRDefault="007272F3" w:rsidP="007272F3">
            <w:pPr>
              <w:spacing w:line="360" w:lineRule="auto"/>
              <w:ind w:firstLine="0"/>
              <w:contextualSpacing w:val="0"/>
              <w:rPr>
                <w:rFonts w:eastAsia="Times New Roman"/>
                <w:sz w:val="18"/>
                <w:szCs w:val="18"/>
                <w:lang w:val="en-GB"/>
              </w:rPr>
            </w:pPr>
          </w:p>
        </w:tc>
        <w:tc>
          <w:tcPr>
            <w:tcW w:w="2598" w:type="dxa"/>
            <w:vAlign w:val="center"/>
          </w:tcPr>
          <w:p w14:paraId="6A9CFCB5" w14:textId="77777777" w:rsidR="007272F3" w:rsidRPr="007272F3" w:rsidRDefault="007272F3" w:rsidP="007272F3">
            <w:pPr>
              <w:spacing w:line="360" w:lineRule="auto"/>
              <w:ind w:firstLine="0"/>
              <w:contextualSpacing w:val="0"/>
              <w:rPr>
                <w:rFonts w:eastAsia="Times New Roman"/>
                <w:sz w:val="18"/>
                <w:szCs w:val="18"/>
                <w:lang w:val="en-GB"/>
              </w:rPr>
            </w:pPr>
            <w:r w:rsidRPr="007272F3">
              <w:rPr>
                <w:rFonts w:eastAsia="Times New Roman"/>
                <w:sz w:val="18"/>
                <w:szCs w:val="18"/>
                <w:lang w:val="en-GB"/>
              </w:rPr>
              <w:t>Sexualized society</w:t>
            </w:r>
          </w:p>
        </w:tc>
        <w:tc>
          <w:tcPr>
            <w:tcW w:w="851" w:type="dxa"/>
            <w:vAlign w:val="center"/>
          </w:tcPr>
          <w:p w14:paraId="2397A12B" w14:textId="77777777" w:rsidR="007272F3" w:rsidRPr="007272F3" w:rsidRDefault="007272F3" w:rsidP="007272F3">
            <w:pPr>
              <w:spacing w:line="360" w:lineRule="auto"/>
              <w:ind w:firstLine="0"/>
              <w:jc w:val="right"/>
              <w:rPr>
                <w:sz w:val="18"/>
                <w:szCs w:val="18"/>
                <w:lang w:val="en-US"/>
              </w:rPr>
            </w:pPr>
            <w:r w:rsidRPr="007272F3">
              <w:rPr>
                <w:sz w:val="18"/>
                <w:szCs w:val="18"/>
                <w:lang w:val="en-US"/>
              </w:rPr>
              <w:t>-.01</w:t>
            </w:r>
          </w:p>
        </w:tc>
        <w:tc>
          <w:tcPr>
            <w:tcW w:w="567" w:type="dxa"/>
            <w:vAlign w:val="center"/>
          </w:tcPr>
          <w:p w14:paraId="0B0EBA4D"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.07</w:t>
            </w:r>
          </w:p>
        </w:tc>
        <w:tc>
          <w:tcPr>
            <w:tcW w:w="709" w:type="dxa"/>
            <w:vAlign w:val="center"/>
          </w:tcPr>
          <w:p w14:paraId="4F0DE0FB"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-.01</w:t>
            </w:r>
          </w:p>
        </w:tc>
        <w:tc>
          <w:tcPr>
            <w:tcW w:w="284" w:type="dxa"/>
            <w:vAlign w:val="center"/>
          </w:tcPr>
          <w:p w14:paraId="627CE22F" w14:textId="77777777" w:rsidR="007272F3" w:rsidRPr="007272F3" w:rsidRDefault="007272F3" w:rsidP="007272F3">
            <w:pPr>
              <w:spacing w:line="360" w:lineRule="auto"/>
              <w:ind w:firstLine="0"/>
              <w:jc w:val="center"/>
              <w:rPr>
                <w:color w:val="0070C0"/>
                <w:sz w:val="18"/>
                <w:szCs w:val="18"/>
                <w:lang w:val="en-US"/>
              </w:rPr>
            </w:pPr>
          </w:p>
        </w:tc>
        <w:tc>
          <w:tcPr>
            <w:tcW w:w="567" w:type="dxa"/>
            <w:vAlign w:val="center"/>
          </w:tcPr>
          <w:p w14:paraId="6BFE1F94" w14:textId="77777777" w:rsidR="007272F3" w:rsidRPr="007272F3" w:rsidRDefault="007272F3" w:rsidP="007272F3">
            <w:pPr>
              <w:spacing w:line="360" w:lineRule="auto"/>
              <w:ind w:firstLine="0"/>
              <w:jc w:val="right"/>
              <w:rPr>
                <w:sz w:val="18"/>
                <w:szCs w:val="18"/>
              </w:rPr>
            </w:pPr>
            <w:r w:rsidRPr="007272F3">
              <w:rPr>
                <w:sz w:val="18"/>
                <w:szCs w:val="18"/>
              </w:rPr>
              <w:t>-.06</w:t>
            </w:r>
          </w:p>
        </w:tc>
        <w:tc>
          <w:tcPr>
            <w:tcW w:w="567" w:type="dxa"/>
            <w:vAlign w:val="center"/>
          </w:tcPr>
          <w:p w14:paraId="0F0E704C" w14:textId="77777777" w:rsidR="007272F3" w:rsidRPr="007272F3" w:rsidRDefault="007272F3" w:rsidP="007272F3">
            <w:pPr>
              <w:spacing w:line="360" w:lineRule="auto"/>
              <w:ind w:firstLine="0"/>
              <w:rPr>
                <w:sz w:val="18"/>
                <w:szCs w:val="18"/>
              </w:rPr>
            </w:pPr>
            <w:r w:rsidRPr="007272F3">
              <w:rPr>
                <w:sz w:val="18"/>
                <w:szCs w:val="18"/>
              </w:rPr>
              <w:t>.07</w:t>
            </w:r>
          </w:p>
        </w:tc>
        <w:tc>
          <w:tcPr>
            <w:tcW w:w="708" w:type="dxa"/>
            <w:vAlign w:val="center"/>
          </w:tcPr>
          <w:p w14:paraId="37F6CD15" w14:textId="77777777" w:rsidR="007272F3" w:rsidRPr="007272F3" w:rsidRDefault="007272F3" w:rsidP="007272F3">
            <w:pPr>
              <w:spacing w:line="360" w:lineRule="auto"/>
              <w:ind w:firstLine="0"/>
              <w:rPr>
                <w:sz w:val="18"/>
                <w:szCs w:val="18"/>
              </w:rPr>
            </w:pPr>
            <w:r w:rsidRPr="007272F3">
              <w:rPr>
                <w:sz w:val="18"/>
                <w:szCs w:val="18"/>
              </w:rPr>
              <w:t>-.05</w:t>
            </w:r>
          </w:p>
        </w:tc>
        <w:tc>
          <w:tcPr>
            <w:tcW w:w="284" w:type="dxa"/>
            <w:vAlign w:val="center"/>
          </w:tcPr>
          <w:p w14:paraId="12265E52" w14:textId="77777777" w:rsidR="007272F3" w:rsidRPr="007272F3" w:rsidRDefault="007272F3" w:rsidP="007272F3">
            <w:pPr>
              <w:spacing w:line="360" w:lineRule="auto"/>
              <w:ind w:firstLine="0"/>
              <w:rPr>
                <w:color w:val="0070C0"/>
                <w:sz w:val="18"/>
                <w:szCs w:val="18"/>
              </w:rPr>
            </w:pPr>
          </w:p>
        </w:tc>
        <w:tc>
          <w:tcPr>
            <w:tcW w:w="709" w:type="dxa"/>
            <w:vAlign w:val="center"/>
          </w:tcPr>
          <w:p w14:paraId="64FD3266" w14:textId="77777777" w:rsidR="007272F3" w:rsidRPr="007272F3" w:rsidRDefault="007272F3" w:rsidP="007272F3">
            <w:pPr>
              <w:spacing w:line="360" w:lineRule="auto"/>
              <w:ind w:firstLine="0"/>
              <w:jc w:val="right"/>
              <w:rPr>
                <w:sz w:val="18"/>
                <w:szCs w:val="18"/>
              </w:rPr>
            </w:pPr>
            <w:r w:rsidRPr="007272F3">
              <w:rPr>
                <w:sz w:val="18"/>
                <w:szCs w:val="18"/>
              </w:rPr>
              <w:t>-.12</w:t>
            </w:r>
          </w:p>
        </w:tc>
        <w:tc>
          <w:tcPr>
            <w:tcW w:w="708" w:type="dxa"/>
            <w:vAlign w:val="center"/>
          </w:tcPr>
          <w:p w14:paraId="60835F40" w14:textId="77777777" w:rsidR="007272F3" w:rsidRPr="007272F3" w:rsidRDefault="007272F3" w:rsidP="007272F3">
            <w:pPr>
              <w:spacing w:line="360" w:lineRule="auto"/>
              <w:ind w:firstLine="0"/>
              <w:jc w:val="center"/>
              <w:rPr>
                <w:sz w:val="18"/>
                <w:szCs w:val="18"/>
              </w:rPr>
            </w:pPr>
            <w:r w:rsidRPr="007272F3">
              <w:rPr>
                <w:sz w:val="18"/>
                <w:szCs w:val="18"/>
              </w:rPr>
              <w:t>.07</w:t>
            </w:r>
          </w:p>
        </w:tc>
        <w:tc>
          <w:tcPr>
            <w:tcW w:w="851" w:type="dxa"/>
            <w:vAlign w:val="center"/>
          </w:tcPr>
          <w:p w14:paraId="2AE9FF2E" w14:textId="77777777" w:rsidR="007272F3" w:rsidRPr="007272F3" w:rsidRDefault="007272F3" w:rsidP="007272F3">
            <w:pPr>
              <w:spacing w:line="360" w:lineRule="auto"/>
              <w:ind w:firstLine="0"/>
              <w:jc w:val="center"/>
              <w:rPr>
                <w:sz w:val="18"/>
                <w:szCs w:val="18"/>
              </w:rPr>
            </w:pPr>
            <w:r w:rsidRPr="007272F3">
              <w:rPr>
                <w:sz w:val="18"/>
                <w:szCs w:val="18"/>
              </w:rPr>
              <w:t>-.09</w:t>
            </w:r>
          </w:p>
        </w:tc>
        <w:tc>
          <w:tcPr>
            <w:tcW w:w="283" w:type="dxa"/>
            <w:vAlign w:val="center"/>
          </w:tcPr>
          <w:p w14:paraId="6DEF54E2" w14:textId="77777777" w:rsidR="007272F3" w:rsidRPr="007272F3" w:rsidRDefault="007272F3" w:rsidP="007272F3">
            <w:pPr>
              <w:spacing w:line="360" w:lineRule="auto"/>
              <w:ind w:firstLine="0"/>
              <w:jc w:val="center"/>
              <w:rPr>
                <w:color w:val="0070C0"/>
                <w:sz w:val="18"/>
                <w:szCs w:val="18"/>
              </w:rPr>
            </w:pPr>
          </w:p>
        </w:tc>
        <w:tc>
          <w:tcPr>
            <w:tcW w:w="567" w:type="dxa"/>
            <w:vAlign w:val="center"/>
          </w:tcPr>
          <w:p w14:paraId="119865C1" w14:textId="77777777" w:rsidR="007272F3" w:rsidRPr="007272F3" w:rsidRDefault="007272F3" w:rsidP="007272F3">
            <w:pPr>
              <w:spacing w:line="360" w:lineRule="auto"/>
              <w:ind w:firstLine="0"/>
              <w:jc w:val="right"/>
              <w:rPr>
                <w:sz w:val="18"/>
                <w:szCs w:val="18"/>
              </w:rPr>
            </w:pPr>
            <w:r w:rsidRPr="007272F3">
              <w:rPr>
                <w:sz w:val="18"/>
                <w:szCs w:val="18"/>
              </w:rPr>
              <w:t xml:space="preserve"> -.05</w:t>
            </w:r>
          </w:p>
        </w:tc>
        <w:tc>
          <w:tcPr>
            <w:tcW w:w="709" w:type="dxa"/>
            <w:vAlign w:val="center"/>
          </w:tcPr>
          <w:p w14:paraId="1E845623" w14:textId="77777777" w:rsidR="007272F3" w:rsidRPr="007272F3" w:rsidRDefault="007272F3" w:rsidP="007272F3">
            <w:pPr>
              <w:spacing w:line="360" w:lineRule="auto"/>
              <w:ind w:firstLine="0"/>
              <w:rPr>
                <w:sz w:val="18"/>
                <w:szCs w:val="18"/>
              </w:rPr>
            </w:pPr>
            <w:r w:rsidRPr="007272F3">
              <w:rPr>
                <w:sz w:val="18"/>
                <w:szCs w:val="18"/>
              </w:rPr>
              <w:t>.09</w:t>
            </w:r>
          </w:p>
        </w:tc>
        <w:tc>
          <w:tcPr>
            <w:tcW w:w="709" w:type="dxa"/>
            <w:vAlign w:val="center"/>
          </w:tcPr>
          <w:p w14:paraId="55E938F5" w14:textId="77777777" w:rsidR="007272F3" w:rsidRPr="007272F3" w:rsidRDefault="007272F3" w:rsidP="007272F3">
            <w:pPr>
              <w:spacing w:line="360" w:lineRule="auto"/>
              <w:ind w:firstLine="0"/>
              <w:jc w:val="center"/>
              <w:rPr>
                <w:sz w:val="18"/>
                <w:szCs w:val="18"/>
              </w:rPr>
            </w:pPr>
            <w:r w:rsidRPr="007272F3">
              <w:rPr>
                <w:sz w:val="18"/>
                <w:szCs w:val="18"/>
              </w:rPr>
              <w:t>-.04</w:t>
            </w:r>
          </w:p>
        </w:tc>
      </w:tr>
      <w:tr w:rsidR="007272F3" w:rsidRPr="007272F3" w14:paraId="3EA20BA3" w14:textId="77777777" w:rsidTr="00CE564B">
        <w:trPr>
          <w:trHeight w:val="267"/>
        </w:trPr>
        <w:tc>
          <w:tcPr>
            <w:tcW w:w="520" w:type="dxa"/>
          </w:tcPr>
          <w:p w14:paraId="423CF58E" w14:textId="77777777" w:rsidR="007272F3" w:rsidRPr="007272F3" w:rsidRDefault="007272F3" w:rsidP="007272F3">
            <w:pPr>
              <w:spacing w:line="360" w:lineRule="auto"/>
              <w:ind w:firstLine="0"/>
              <w:contextualSpacing w:val="0"/>
              <w:rPr>
                <w:rFonts w:eastAsia="Times New Roman"/>
                <w:sz w:val="18"/>
                <w:szCs w:val="18"/>
                <w:lang w:val="en-US"/>
              </w:rPr>
            </w:pPr>
          </w:p>
        </w:tc>
        <w:tc>
          <w:tcPr>
            <w:tcW w:w="2598" w:type="dxa"/>
            <w:vAlign w:val="center"/>
          </w:tcPr>
          <w:p w14:paraId="37A51C6E" w14:textId="77777777" w:rsidR="007272F3" w:rsidRPr="007272F3" w:rsidRDefault="007272F3" w:rsidP="007272F3">
            <w:pPr>
              <w:spacing w:line="360" w:lineRule="auto"/>
              <w:ind w:firstLine="0"/>
              <w:contextualSpacing w:val="0"/>
              <w:rPr>
                <w:rFonts w:eastAsia="Times New Roman"/>
                <w:sz w:val="18"/>
                <w:szCs w:val="18"/>
                <w:lang w:val="en-US"/>
              </w:rPr>
            </w:pPr>
            <w:r w:rsidRPr="007272F3">
              <w:rPr>
                <w:rFonts w:eastAsia="Times New Roman"/>
                <w:sz w:val="18"/>
                <w:szCs w:val="18"/>
                <w:lang w:val="en-US"/>
              </w:rPr>
              <w:t>Sexuality decreases with age</w:t>
            </w:r>
          </w:p>
        </w:tc>
        <w:tc>
          <w:tcPr>
            <w:tcW w:w="851" w:type="dxa"/>
            <w:vAlign w:val="center"/>
          </w:tcPr>
          <w:p w14:paraId="54408B9D" w14:textId="77777777" w:rsidR="007272F3" w:rsidRPr="007272F3" w:rsidRDefault="007272F3" w:rsidP="007272F3">
            <w:pPr>
              <w:spacing w:line="360" w:lineRule="auto"/>
              <w:ind w:firstLine="0"/>
              <w:jc w:val="right"/>
              <w:rPr>
                <w:sz w:val="18"/>
                <w:szCs w:val="18"/>
                <w:lang w:val="en-US"/>
              </w:rPr>
            </w:pPr>
            <w:r w:rsidRPr="007272F3">
              <w:rPr>
                <w:sz w:val="18"/>
                <w:szCs w:val="18"/>
                <w:lang w:val="en-US"/>
              </w:rPr>
              <w:t>-.04</w:t>
            </w:r>
          </w:p>
        </w:tc>
        <w:tc>
          <w:tcPr>
            <w:tcW w:w="567" w:type="dxa"/>
            <w:vAlign w:val="center"/>
          </w:tcPr>
          <w:p w14:paraId="4B38F634"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.05</w:t>
            </w:r>
          </w:p>
        </w:tc>
        <w:tc>
          <w:tcPr>
            <w:tcW w:w="709" w:type="dxa"/>
            <w:vAlign w:val="center"/>
          </w:tcPr>
          <w:p w14:paraId="6349FF82"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-.04</w:t>
            </w:r>
          </w:p>
        </w:tc>
        <w:tc>
          <w:tcPr>
            <w:tcW w:w="284" w:type="dxa"/>
            <w:vAlign w:val="center"/>
          </w:tcPr>
          <w:p w14:paraId="28DBF72B" w14:textId="77777777" w:rsidR="007272F3" w:rsidRPr="007272F3" w:rsidRDefault="007272F3" w:rsidP="007272F3">
            <w:pPr>
              <w:spacing w:line="360" w:lineRule="auto"/>
              <w:ind w:firstLine="0"/>
              <w:jc w:val="center"/>
              <w:rPr>
                <w:color w:val="0070C0"/>
                <w:sz w:val="18"/>
                <w:szCs w:val="18"/>
                <w:lang w:val="en-US"/>
              </w:rPr>
            </w:pPr>
          </w:p>
        </w:tc>
        <w:tc>
          <w:tcPr>
            <w:tcW w:w="567" w:type="dxa"/>
            <w:vAlign w:val="center"/>
          </w:tcPr>
          <w:p w14:paraId="19A5F767" w14:textId="77777777" w:rsidR="007272F3" w:rsidRPr="007272F3" w:rsidRDefault="007272F3" w:rsidP="007272F3">
            <w:pPr>
              <w:spacing w:line="360" w:lineRule="auto"/>
              <w:ind w:firstLine="0"/>
              <w:jc w:val="right"/>
              <w:rPr>
                <w:sz w:val="18"/>
                <w:szCs w:val="18"/>
              </w:rPr>
            </w:pPr>
            <w:r w:rsidRPr="007272F3">
              <w:rPr>
                <w:sz w:val="18"/>
                <w:szCs w:val="18"/>
              </w:rPr>
              <w:t>-.06</w:t>
            </w:r>
          </w:p>
        </w:tc>
        <w:tc>
          <w:tcPr>
            <w:tcW w:w="567" w:type="dxa"/>
            <w:vAlign w:val="center"/>
          </w:tcPr>
          <w:p w14:paraId="0F10E889" w14:textId="77777777" w:rsidR="007272F3" w:rsidRPr="007272F3" w:rsidRDefault="007272F3" w:rsidP="007272F3">
            <w:pPr>
              <w:spacing w:line="360" w:lineRule="auto"/>
              <w:ind w:firstLine="0"/>
              <w:rPr>
                <w:sz w:val="18"/>
                <w:szCs w:val="18"/>
              </w:rPr>
            </w:pPr>
            <w:r w:rsidRPr="007272F3">
              <w:rPr>
                <w:sz w:val="18"/>
                <w:szCs w:val="18"/>
              </w:rPr>
              <w:t>.05</w:t>
            </w:r>
          </w:p>
        </w:tc>
        <w:tc>
          <w:tcPr>
            <w:tcW w:w="708" w:type="dxa"/>
            <w:vAlign w:val="center"/>
          </w:tcPr>
          <w:p w14:paraId="16B59980" w14:textId="77777777" w:rsidR="007272F3" w:rsidRPr="007272F3" w:rsidRDefault="007272F3" w:rsidP="007272F3">
            <w:pPr>
              <w:spacing w:line="360" w:lineRule="auto"/>
              <w:ind w:firstLine="0"/>
              <w:rPr>
                <w:sz w:val="18"/>
                <w:szCs w:val="18"/>
              </w:rPr>
            </w:pPr>
            <w:r w:rsidRPr="007272F3">
              <w:rPr>
                <w:sz w:val="18"/>
                <w:szCs w:val="18"/>
              </w:rPr>
              <w:t>-.07</w:t>
            </w:r>
          </w:p>
        </w:tc>
        <w:tc>
          <w:tcPr>
            <w:tcW w:w="284" w:type="dxa"/>
            <w:vAlign w:val="center"/>
          </w:tcPr>
          <w:p w14:paraId="4FCE9326" w14:textId="77777777" w:rsidR="007272F3" w:rsidRPr="007272F3" w:rsidRDefault="007272F3" w:rsidP="007272F3">
            <w:pPr>
              <w:spacing w:line="360" w:lineRule="auto"/>
              <w:ind w:firstLine="0"/>
              <w:rPr>
                <w:color w:val="0070C0"/>
                <w:sz w:val="18"/>
                <w:szCs w:val="18"/>
              </w:rPr>
            </w:pPr>
          </w:p>
        </w:tc>
        <w:tc>
          <w:tcPr>
            <w:tcW w:w="709" w:type="dxa"/>
            <w:vAlign w:val="center"/>
          </w:tcPr>
          <w:p w14:paraId="42EFF5DE" w14:textId="77777777" w:rsidR="007272F3" w:rsidRPr="007272F3" w:rsidRDefault="007272F3" w:rsidP="007272F3">
            <w:pPr>
              <w:spacing w:line="360" w:lineRule="auto"/>
              <w:ind w:firstLine="0"/>
              <w:jc w:val="right"/>
              <w:rPr>
                <w:sz w:val="18"/>
                <w:szCs w:val="18"/>
              </w:rPr>
            </w:pPr>
            <w:r w:rsidRPr="007272F3">
              <w:rPr>
                <w:sz w:val="18"/>
                <w:szCs w:val="18"/>
              </w:rPr>
              <w:t xml:space="preserve"> -.08</w:t>
            </w:r>
          </w:p>
        </w:tc>
        <w:tc>
          <w:tcPr>
            <w:tcW w:w="708" w:type="dxa"/>
            <w:vAlign w:val="center"/>
          </w:tcPr>
          <w:p w14:paraId="0AB8100E" w14:textId="77777777" w:rsidR="007272F3" w:rsidRPr="007272F3" w:rsidRDefault="007272F3" w:rsidP="007272F3">
            <w:pPr>
              <w:spacing w:line="360" w:lineRule="auto"/>
              <w:ind w:firstLine="0"/>
              <w:jc w:val="center"/>
              <w:rPr>
                <w:sz w:val="18"/>
                <w:szCs w:val="18"/>
              </w:rPr>
            </w:pPr>
            <w:r w:rsidRPr="007272F3">
              <w:rPr>
                <w:sz w:val="18"/>
                <w:szCs w:val="18"/>
              </w:rPr>
              <w:t>.05</w:t>
            </w:r>
          </w:p>
        </w:tc>
        <w:tc>
          <w:tcPr>
            <w:tcW w:w="851" w:type="dxa"/>
            <w:vAlign w:val="center"/>
          </w:tcPr>
          <w:p w14:paraId="524CAAB9" w14:textId="77777777" w:rsidR="007272F3" w:rsidRPr="007272F3" w:rsidRDefault="007272F3" w:rsidP="007272F3">
            <w:pPr>
              <w:spacing w:line="360" w:lineRule="auto"/>
              <w:ind w:firstLine="0"/>
              <w:jc w:val="center"/>
              <w:rPr>
                <w:sz w:val="18"/>
                <w:szCs w:val="18"/>
              </w:rPr>
            </w:pPr>
            <w:r w:rsidRPr="007272F3">
              <w:rPr>
                <w:sz w:val="18"/>
                <w:szCs w:val="18"/>
              </w:rPr>
              <w:t>-.08</w:t>
            </w:r>
          </w:p>
        </w:tc>
        <w:tc>
          <w:tcPr>
            <w:tcW w:w="283" w:type="dxa"/>
            <w:vAlign w:val="center"/>
          </w:tcPr>
          <w:p w14:paraId="623E598A" w14:textId="77777777" w:rsidR="007272F3" w:rsidRPr="007272F3" w:rsidRDefault="007272F3" w:rsidP="007272F3">
            <w:pPr>
              <w:spacing w:line="360" w:lineRule="auto"/>
              <w:ind w:firstLine="0"/>
              <w:jc w:val="center"/>
              <w:rPr>
                <w:color w:val="0070C0"/>
                <w:sz w:val="18"/>
                <w:szCs w:val="18"/>
              </w:rPr>
            </w:pPr>
          </w:p>
        </w:tc>
        <w:tc>
          <w:tcPr>
            <w:tcW w:w="567" w:type="dxa"/>
            <w:vAlign w:val="center"/>
          </w:tcPr>
          <w:p w14:paraId="0CFDF746" w14:textId="77777777" w:rsidR="007272F3" w:rsidRPr="007272F3" w:rsidRDefault="007272F3" w:rsidP="007272F3">
            <w:pPr>
              <w:spacing w:line="360" w:lineRule="auto"/>
              <w:ind w:firstLine="0"/>
              <w:jc w:val="right"/>
              <w:rPr>
                <w:sz w:val="18"/>
                <w:szCs w:val="18"/>
              </w:rPr>
            </w:pPr>
            <w:r w:rsidRPr="007272F3">
              <w:rPr>
                <w:sz w:val="18"/>
                <w:szCs w:val="18"/>
              </w:rPr>
              <w:t>-.04</w:t>
            </w:r>
          </w:p>
        </w:tc>
        <w:tc>
          <w:tcPr>
            <w:tcW w:w="709" w:type="dxa"/>
            <w:vAlign w:val="center"/>
          </w:tcPr>
          <w:p w14:paraId="060400BD" w14:textId="77777777" w:rsidR="007272F3" w:rsidRPr="007272F3" w:rsidRDefault="007272F3" w:rsidP="007272F3">
            <w:pPr>
              <w:spacing w:line="360" w:lineRule="auto"/>
              <w:ind w:firstLine="0"/>
              <w:rPr>
                <w:sz w:val="18"/>
                <w:szCs w:val="18"/>
              </w:rPr>
            </w:pPr>
            <w:r w:rsidRPr="007272F3">
              <w:rPr>
                <w:sz w:val="18"/>
                <w:szCs w:val="18"/>
              </w:rPr>
              <w:t>.07</w:t>
            </w:r>
          </w:p>
        </w:tc>
        <w:tc>
          <w:tcPr>
            <w:tcW w:w="709" w:type="dxa"/>
            <w:vAlign w:val="center"/>
          </w:tcPr>
          <w:p w14:paraId="629D1100" w14:textId="77777777" w:rsidR="007272F3" w:rsidRPr="007272F3" w:rsidRDefault="007272F3" w:rsidP="007272F3">
            <w:pPr>
              <w:spacing w:line="360" w:lineRule="auto"/>
              <w:ind w:firstLine="0"/>
              <w:jc w:val="center"/>
              <w:rPr>
                <w:sz w:val="18"/>
                <w:szCs w:val="18"/>
              </w:rPr>
            </w:pPr>
            <w:r w:rsidRPr="007272F3">
              <w:rPr>
                <w:sz w:val="18"/>
                <w:szCs w:val="18"/>
              </w:rPr>
              <w:t>-.05</w:t>
            </w:r>
          </w:p>
        </w:tc>
      </w:tr>
      <w:tr w:rsidR="007272F3" w:rsidRPr="007272F3" w14:paraId="4019B5CE" w14:textId="77777777" w:rsidTr="00CE564B">
        <w:trPr>
          <w:trHeight w:val="267"/>
        </w:trPr>
        <w:tc>
          <w:tcPr>
            <w:tcW w:w="520" w:type="dxa"/>
          </w:tcPr>
          <w:p w14:paraId="69A52F80" w14:textId="77777777" w:rsidR="007272F3" w:rsidRPr="007272F3" w:rsidRDefault="007272F3" w:rsidP="007272F3">
            <w:pPr>
              <w:spacing w:line="360" w:lineRule="auto"/>
              <w:ind w:firstLine="0"/>
              <w:contextualSpacing w:val="0"/>
              <w:rPr>
                <w:rFonts w:eastAsia="Times New Roman"/>
                <w:sz w:val="18"/>
                <w:szCs w:val="18"/>
                <w:lang w:val="en-US"/>
              </w:rPr>
            </w:pPr>
          </w:p>
        </w:tc>
        <w:tc>
          <w:tcPr>
            <w:tcW w:w="2598" w:type="dxa"/>
            <w:vAlign w:val="center"/>
          </w:tcPr>
          <w:p w14:paraId="011C1FB0" w14:textId="77777777" w:rsidR="007272F3" w:rsidRPr="007272F3" w:rsidRDefault="007272F3" w:rsidP="007272F3">
            <w:pPr>
              <w:spacing w:line="360" w:lineRule="auto"/>
              <w:ind w:firstLine="0"/>
              <w:contextualSpacing w:val="0"/>
              <w:rPr>
                <w:rFonts w:eastAsia="Times New Roman"/>
                <w:sz w:val="18"/>
                <w:szCs w:val="18"/>
                <w:lang w:val="en-US"/>
              </w:rPr>
            </w:pPr>
            <w:r w:rsidRPr="007272F3">
              <w:rPr>
                <w:rFonts w:eastAsia="Times New Roman"/>
                <w:sz w:val="18"/>
                <w:szCs w:val="18"/>
                <w:lang w:val="en-US"/>
              </w:rPr>
              <w:t xml:space="preserve">Sexuality is beneficial </w:t>
            </w:r>
          </w:p>
        </w:tc>
        <w:tc>
          <w:tcPr>
            <w:tcW w:w="851" w:type="dxa"/>
            <w:vAlign w:val="center"/>
          </w:tcPr>
          <w:p w14:paraId="2EF862C7" w14:textId="77777777" w:rsidR="007272F3" w:rsidRPr="007272F3" w:rsidRDefault="007272F3" w:rsidP="007272F3">
            <w:pPr>
              <w:spacing w:line="360" w:lineRule="auto"/>
              <w:ind w:firstLine="0"/>
              <w:jc w:val="right"/>
              <w:rPr>
                <w:sz w:val="18"/>
                <w:szCs w:val="18"/>
                <w:lang w:val="en-US"/>
              </w:rPr>
            </w:pPr>
            <w:r w:rsidRPr="007272F3">
              <w:rPr>
                <w:sz w:val="18"/>
                <w:szCs w:val="18"/>
                <w:lang w:val="en-US"/>
              </w:rPr>
              <w:t xml:space="preserve"> .10</w:t>
            </w:r>
          </w:p>
        </w:tc>
        <w:tc>
          <w:tcPr>
            <w:tcW w:w="567" w:type="dxa"/>
            <w:vAlign w:val="center"/>
          </w:tcPr>
          <w:p w14:paraId="09F23CD8"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.06</w:t>
            </w:r>
          </w:p>
        </w:tc>
        <w:tc>
          <w:tcPr>
            <w:tcW w:w="709" w:type="dxa"/>
            <w:vAlign w:val="center"/>
          </w:tcPr>
          <w:p w14:paraId="2D14F390" w14:textId="56CAC73B" w:rsidR="007272F3" w:rsidRPr="007272F3" w:rsidRDefault="007272F3" w:rsidP="007272F3">
            <w:pPr>
              <w:spacing w:line="360" w:lineRule="auto"/>
              <w:ind w:firstLine="0"/>
              <w:jc w:val="center"/>
              <w:rPr>
                <w:sz w:val="18"/>
                <w:szCs w:val="18"/>
                <w:lang w:val="en-US"/>
              </w:rPr>
            </w:pPr>
            <w:r w:rsidRPr="007272F3">
              <w:rPr>
                <w:sz w:val="18"/>
                <w:szCs w:val="18"/>
                <w:lang w:val="en-US"/>
              </w:rPr>
              <w:t>.0</w:t>
            </w:r>
            <w:r w:rsidR="00311C20">
              <w:rPr>
                <w:sz w:val="18"/>
                <w:szCs w:val="18"/>
                <w:lang w:val="en-US"/>
              </w:rPr>
              <w:t>7</w:t>
            </w:r>
          </w:p>
        </w:tc>
        <w:tc>
          <w:tcPr>
            <w:tcW w:w="284" w:type="dxa"/>
            <w:vAlign w:val="center"/>
          </w:tcPr>
          <w:p w14:paraId="17D0A947" w14:textId="77777777" w:rsidR="007272F3" w:rsidRPr="007272F3" w:rsidRDefault="007272F3" w:rsidP="007272F3">
            <w:pPr>
              <w:spacing w:line="360" w:lineRule="auto"/>
              <w:ind w:firstLine="0"/>
              <w:jc w:val="center"/>
              <w:rPr>
                <w:color w:val="0070C0"/>
                <w:sz w:val="18"/>
                <w:szCs w:val="18"/>
                <w:lang w:val="en-US"/>
              </w:rPr>
            </w:pPr>
          </w:p>
        </w:tc>
        <w:tc>
          <w:tcPr>
            <w:tcW w:w="567" w:type="dxa"/>
            <w:vAlign w:val="center"/>
          </w:tcPr>
          <w:p w14:paraId="3AFACF57" w14:textId="77777777" w:rsidR="007272F3" w:rsidRPr="007272F3" w:rsidRDefault="007272F3" w:rsidP="007272F3">
            <w:pPr>
              <w:spacing w:line="360" w:lineRule="auto"/>
              <w:ind w:firstLine="0"/>
              <w:jc w:val="right"/>
              <w:rPr>
                <w:sz w:val="18"/>
                <w:szCs w:val="18"/>
              </w:rPr>
            </w:pPr>
            <w:r w:rsidRPr="007272F3">
              <w:rPr>
                <w:sz w:val="18"/>
                <w:szCs w:val="18"/>
              </w:rPr>
              <w:t xml:space="preserve"> .16</w:t>
            </w:r>
          </w:p>
        </w:tc>
        <w:tc>
          <w:tcPr>
            <w:tcW w:w="567" w:type="dxa"/>
            <w:vAlign w:val="center"/>
          </w:tcPr>
          <w:p w14:paraId="42F103D3" w14:textId="77777777" w:rsidR="007272F3" w:rsidRPr="007272F3" w:rsidRDefault="007272F3" w:rsidP="007272F3">
            <w:pPr>
              <w:spacing w:line="360" w:lineRule="auto"/>
              <w:ind w:firstLine="0"/>
              <w:rPr>
                <w:sz w:val="18"/>
                <w:szCs w:val="18"/>
              </w:rPr>
            </w:pPr>
            <w:r w:rsidRPr="007272F3">
              <w:rPr>
                <w:sz w:val="18"/>
                <w:szCs w:val="18"/>
              </w:rPr>
              <w:t>.06</w:t>
            </w:r>
          </w:p>
        </w:tc>
        <w:tc>
          <w:tcPr>
            <w:tcW w:w="708" w:type="dxa"/>
            <w:vAlign w:val="center"/>
          </w:tcPr>
          <w:p w14:paraId="332C9543" w14:textId="77777777" w:rsidR="007272F3" w:rsidRPr="007272F3" w:rsidRDefault="007272F3" w:rsidP="007272F3">
            <w:pPr>
              <w:spacing w:line="360" w:lineRule="auto"/>
              <w:ind w:firstLine="0"/>
              <w:rPr>
                <w:sz w:val="18"/>
                <w:szCs w:val="18"/>
              </w:rPr>
            </w:pPr>
            <w:r w:rsidRPr="007272F3">
              <w:rPr>
                <w:sz w:val="18"/>
                <w:szCs w:val="18"/>
              </w:rPr>
              <w:t xml:space="preserve"> .14</w:t>
            </w:r>
            <w:r w:rsidRPr="007272F3">
              <w:rPr>
                <w:sz w:val="18"/>
                <w:szCs w:val="18"/>
                <w:vertAlign w:val="superscript"/>
              </w:rPr>
              <w:t>**</w:t>
            </w:r>
          </w:p>
        </w:tc>
        <w:tc>
          <w:tcPr>
            <w:tcW w:w="284" w:type="dxa"/>
            <w:vAlign w:val="center"/>
          </w:tcPr>
          <w:p w14:paraId="5066FC7D" w14:textId="77777777" w:rsidR="007272F3" w:rsidRPr="007272F3" w:rsidRDefault="007272F3" w:rsidP="007272F3">
            <w:pPr>
              <w:spacing w:line="360" w:lineRule="auto"/>
              <w:ind w:firstLine="0"/>
              <w:rPr>
                <w:color w:val="0070C0"/>
                <w:sz w:val="18"/>
                <w:szCs w:val="18"/>
              </w:rPr>
            </w:pPr>
          </w:p>
        </w:tc>
        <w:tc>
          <w:tcPr>
            <w:tcW w:w="709" w:type="dxa"/>
            <w:vAlign w:val="center"/>
          </w:tcPr>
          <w:p w14:paraId="19F11663" w14:textId="77777777" w:rsidR="007272F3" w:rsidRPr="007272F3" w:rsidRDefault="007272F3" w:rsidP="007272F3">
            <w:pPr>
              <w:spacing w:line="360" w:lineRule="auto"/>
              <w:ind w:firstLine="0"/>
              <w:jc w:val="right"/>
              <w:rPr>
                <w:sz w:val="18"/>
                <w:szCs w:val="18"/>
              </w:rPr>
            </w:pPr>
            <w:r w:rsidRPr="007272F3">
              <w:rPr>
                <w:sz w:val="18"/>
                <w:szCs w:val="18"/>
              </w:rPr>
              <w:t xml:space="preserve"> .13</w:t>
            </w:r>
          </w:p>
        </w:tc>
        <w:tc>
          <w:tcPr>
            <w:tcW w:w="708" w:type="dxa"/>
            <w:vAlign w:val="center"/>
          </w:tcPr>
          <w:p w14:paraId="50F498AC" w14:textId="77777777" w:rsidR="007272F3" w:rsidRPr="007272F3" w:rsidRDefault="007272F3" w:rsidP="007272F3">
            <w:pPr>
              <w:spacing w:line="360" w:lineRule="auto"/>
              <w:ind w:firstLine="0"/>
              <w:jc w:val="center"/>
              <w:rPr>
                <w:sz w:val="18"/>
                <w:szCs w:val="18"/>
              </w:rPr>
            </w:pPr>
            <w:r w:rsidRPr="007272F3">
              <w:rPr>
                <w:sz w:val="18"/>
                <w:szCs w:val="18"/>
              </w:rPr>
              <w:t>.06</w:t>
            </w:r>
          </w:p>
        </w:tc>
        <w:tc>
          <w:tcPr>
            <w:tcW w:w="851" w:type="dxa"/>
            <w:vAlign w:val="center"/>
          </w:tcPr>
          <w:p w14:paraId="5291EDFA" w14:textId="77777777" w:rsidR="007272F3" w:rsidRPr="007272F3" w:rsidRDefault="007272F3" w:rsidP="007272F3">
            <w:pPr>
              <w:spacing w:line="360" w:lineRule="auto"/>
              <w:ind w:firstLine="0"/>
              <w:jc w:val="center"/>
              <w:rPr>
                <w:sz w:val="18"/>
                <w:szCs w:val="18"/>
              </w:rPr>
            </w:pPr>
            <w:r w:rsidRPr="007272F3">
              <w:rPr>
                <w:sz w:val="18"/>
                <w:szCs w:val="18"/>
              </w:rPr>
              <w:t>.12</w:t>
            </w:r>
            <w:r w:rsidRPr="007272F3">
              <w:rPr>
                <w:sz w:val="18"/>
                <w:szCs w:val="18"/>
                <w:vertAlign w:val="superscript"/>
              </w:rPr>
              <w:t>*</w:t>
            </w:r>
          </w:p>
        </w:tc>
        <w:tc>
          <w:tcPr>
            <w:tcW w:w="283" w:type="dxa"/>
            <w:vAlign w:val="center"/>
          </w:tcPr>
          <w:p w14:paraId="43637473" w14:textId="77777777" w:rsidR="007272F3" w:rsidRPr="007272F3" w:rsidRDefault="007272F3" w:rsidP="007272F3">
            <w:pPr>
              <w:spacing w:line="360" w:lineRule="auto"/>
              <w:ind w:firstLine="0"/>
              <w:jc w:val="center"/>
              <w:rPr>
                <w:color w:val="0070C0"/>
                <w:sz w:val="18"/>
                <w:szCs w:val="18"/>
              </w:rPr>
            </w:pPr>
          </w:p>
        </w:tc>
        <w:tc>
          <w:tcPr>
            <w:tcW w:w="567" w:type="dxa"/>
            <w:vAlign w:val="center"/>
          </w:tcPr>
          <w:p w14:paraId="59773771" w14:textId="77777777" w:rsidR="007272F3" w:rsidRPr="007272F3" w:rsidRDefault="007272F3" w:rsidP="007272F3">
            <w:pPr>
              <w:spacing w:line="360" w:lineRule="auto"/>
              <w:ind w:firstLine="0"/>
              <w:jc w:val="right"/>
              <w:rPr>
                <w:sz w:val="18"/>
                <w:szCs w:val="18"/>
              </w:rPr>
            </w:pPr>
            <w:r w:rsidRPr="007272F3">
              <w:rPr>
                <w:sz w:val="18"/>
                <w:szCs w:val="18"/>
              </w:rPr>
              <w:t xml:space="preserve"> .07</w:t>
            </w:r>
          </w:p>
        </w:tc>
        <w:tc>
          <w:tcPr>
            <w:tcW w:w="709" w:type="dxa"/>
            <w:vAlign w:val="center"/>
          </w:tcPr>
          <w:p w14:paraId="4D96D7D2" w14:textId="77777777" w:rsidR="007272F3" w:rsidRPr="007272F3" w:rsidRDefault="007272F3" w:rsidP="007272F3">
            <w:pPr>
              <w:spacing w:line="360" w:lineRule="auto"/>
              <w:ind w:firstLine="0"/>
              <w:rPr>
                <w:sz w:val="18"/>
                <w:szCs w:val="18"/>
              </w:rPr>
            </w:pPr>
            <w:r w:rsidRPr="007272F3">
              <w:rPr>
                <w:sz w:val="18"/>
                <w:szCs w:val="18"/>
              </w:rPr>
              <w:t>.09</w:t>
            </w:r>
          </w:p>
        </w:tc>
        <w:tc>
          <w:tcPr>
            <w:tcW w:w="709" w:type="dxa"/>
            <w:vAlign w:val="center"/>
          </w:tcPr>
          <w:p w14:paraId="2EE2711A" w14:textId="77777777" w:rsidR="007272F3" w:rsidRPr="007272F3" w:rsidRDefault="007272F3" w:rsidP="007272F3">
            <w:pPr>
              <w:spacing w:line="360" w:lineRule="auto"/>
              <w:ind w:firstLine="0"/>
              <w:jc w:val="center"/>
              <w:rPr>
                <w:sz w:val="18"/>
                <w:szCs w:val="18"/>
              </w:rPr>
            </w:pPr>
            <w:r w:rsidRPr="007272F3">
              <w:rPr>
                <w:sz w:val="18"/>
                <w:szCs w:val="18"/>
              </w:rPr>
              <w:t>.06</w:t>
            </w:r>
          </w:p>
        </w:tc>
      </w:tr>
      <w:tr w:rsidR="007272F3" w:rsidRPr="007272F3" w14:paraId="0C0702DF" w14:textId="77777777" w:rsidTr="00CE564B">
        <w:trPr>
          <w:trHeight w:val="267"/>
        </w:trPr>
        <w:tc>
          <w:tcPr>
            <w:tcW w:w="3118" w:type="dxa"/>
            <w:gridSpan w:val="2"/>
            <w:tcBorders>
              <w:bottom w:val="single" w:sz="4" w:space="0" w:color="auto"/>
            </w:tcBorders>
          </w:tcPr>
          <w:p w14:paraId="356084FD" w14:textId="77777777" w:rsidR="007272F3" w:rsidRPr="007272F3" w:rsidRDefault="007272F3" w:rsidP="007272F3">
            <w:pPr>
              <w:spacing w:line="360" w:lineRule="auto"/>
              <w:ind w:firstLine="0"/>
              <w:contextualSpacing w:val="0"/>
              <w:rPr>
                <w:rFonts w:eastAsia="Times New Roman"/>
                <w:sz w:val="18"/>
                <w:szCs w:val="18"/>
                <w:lang w:val="en-US"/>
              </w:rPr>
            </w:pPr>
            <w:r w:rsidRPr="007272F3">
              <w:rPr>
                <w:rFonts w:eastAsia="Times New Roman"/>
                <w:i/>
                <w:sz w:val="18"/>
                <w:szCs w:val="18"/>
                <w:lang w:val="en-GB"/>
              </w:rPr>
              <w:t xml:space="preserve"> </w:t>
            </w:r>
            <w:r w:rsidRPr="007272F3">
              <w:rPr>
                <w:rFonts w:eastAsia="Times New Roman"/>
                <w:sz w:val="18"/>
                <w:szCs w:val="18"/>
              </w:rPr>
              <w:t xml:space="preserve"> </w:t>
            </w:r>
            <w:r w:rsidRPr="007272F3">
              <w:rPr>
                <w:rFonts w:eastAsia="Times New Roman"/>
                <w:i/>
                <w:sz w:val="18"/>
                <w:szCs w:val="18"/>
              </w:rPr>
              <w:t>R</w:t>
            </w:r>
            <w:r w:rsidRPr="007272F3">
              <w:rPr>
                <w:rFonts w:eastAsia="Times New Roman"/>
                <w:i/>
                <w:sz w:val="18"/>
                <w:szCs w:val="18"/>
                <w:vertAlign w:val="superscript"/>
              </w:rPr>
              <w:t>2</w:t>
            </w:r>
          </w:p>
        </w:tc>
        <w:tc>
          <w:tcPr>
            <w:tcW w:w="851" w:type="dxa"/>
            <w:tcBorders>
              <w:bottom w:val="single" w:sz="4" w:space="0" w:color="auto"/>
            </w:tcBorders>
            <w:vAlign w:val="center"/>
          </w:tcPr>
          <w:p w14:paraId="52DABFFE" w14:textId="77777777" w:rsidR="007272F3" w:rsidRPr="007272F3" w:rsidRDefault="007272F3" w:rsidP="007272F3">
            <w:pPr>
              <w:spacing w:line="360" w:lineRule="auto"/>
              <w:ind w:firstLine="0"/>
              <w:rPr>
                <w:sz w:val="18"/>
                <w:szCs w:val="18"/>
                <w:lang w:val="en-US"/>
              </w:rPr>
            </w:pPr>
          </w:p>
        </w:tc>
        <w:tc>
          <w:tcPr>
            <w:tcW w:w="567" w:type="dxa"/>
            <w:tcBorders>
              <w:bottom w:val="single" w:sz="4" w:space="0" w:color="auto"/>
            </w:tcBorders>
            <w:vAlign w:val="center"/>
          </w:tcPr>
          <w:p w14:paraId="2D044433" w14:textId="77777777" w:rsidR="007272F3" w:rsidRPr="007272F3" w:rsidRDefault="007272F3" w:rsidP="007272F3">
            <w:pPr>
              <w:spacing w:line="360" w:lineRule="auto"/>
              <w:ind w:firstLine="0"/>
              <w:jc w:val="center"/>
              <w:rPr>
                <w:sz w:val="18"/>
                <w:szCs w:val="18"/>
                <w:lang w:val="en-US"/>
              </w:rPr>
            </w:pPr>
            <w:r w:rsidRPr="007272F3">
              <w:rPr>
                <w:sz w:val="18"/>
                <w:szCs w:val="18"/>
                <w:lang w:val="en-US"/>
              </w:rPr>
              <w:t>.10</w:t>
            </w:r>
          </w:p>
        </w:tc>
        <w:tc>
          <w:tcPr>
            <w:tcW w:w="709" w:type="dxa"/>
            <w:tcBorders>
              <w:bottom w:val="single" w:sz="4" w:space="0" w:color="auto"/>
            </w:tcBorders>
            <w:vAlign w:val="center"/>
          </w:tcPr>
          <w:p w14:paraId="17B91299" w14:textId="77777777" w:rsidR="007272F3" w:rsidRPr="007272F3" w:rsidRDefault="007272F3" w:rsidP="007272F3">
            <w:pPr>
              <w:spacing w:line="360" w:lineRule="auto"/>
              <w:ind w:firstLine="0"/>
              <w:rPr>
                <w:sz w:val="18"/>
                <w:szCs w:val="18"/>
                <w:lang w:val="en-US"/>
              </w:rPr>
            </w:pPr>
          </w:p>
        </w:tc>
        <w:tc>
          <w:tcPr>
            <w:tcW w:w="284" w:type="dxa"/>
            <w:tcBorders>
              <w:bottom w:val="single" w:sz="4" w:space="0" w:color="auto"/>
            </w:tcBorders>
            <w:vAlign w:val="center"/>
          </w:tcPr>
          <w:p w14:paraId="320B48A8" w14:textId="77777777" w:rsidR="007272F3" w:rsidRPr="007272F3" w:rsidRDefault="007272F3" w:rsidP="007272F3">
            <w:pPr>
              <w:spacing w:line="360" w:lineRule="auto"/>
              <w:ind w:firstLine="0"/>
              <w:jc w:val="center"/>
              <w:rPr>
                <w:color w:val="0070C0"/>
                <w:sz w:val="18"/>
                <w:szCs w:val="18"/>
                <w:lang w:val="en-US"/>
              </w:rPr>
            </w:pPr>
          </w:p>
        </w:tc>
        <w:tc>
          <w:tcPr>
            <w:tcW w:w="567" w:type="dxa"/>
            <w:tcBorders>
              <w:bottom w:val="single" w:sz="4" w:space="0" w:color="auto"/>
            </w:tcBorders>
            <w:vAlign w:val="center"/>
          </w:tcPr>
          <w:p w14:paraId="75EF1D09" w14:textId="77777777" w:rsidR="007272F3" w:rsidRPr="007272F3" w:rsidRDefault="007272F3" w:rsidP="007272F3">
            <w:pPr>
              <w:spacing w:line="360" w:lineRule="auto"/>
              <w:ind w:firstLine="0"/>
              <w:rPr>
                <w:sz w:val="18"/>
                <w:szCs w:val="18"/>
              </w:rPr>
            </w:pPr>
          </w:p>
        </w:tc>
        <w:tc>
          <w:tcPr>
            <w:tcW w:w="567" w:type="dxa"/>
            <w:tcBorders>
              <w:bottom w:val="single" w:sz="4" w:space="0" w:color="auto"/>
            </w:tcBorders>
            <w:vAlign w:val="center"/>
          </w:tcPr>
          <w:p w14:paraId="7139D176" w14:textId="77777777" w:rsidR="007272F3" w:rsidRPr="007272F3" w:rsidRDefault="007272F3" w:rsidP="007272F3">
            <w:pPr>
              <w:spacing w:line="360" w:lineRule="auto"/>
              <w:ind w:firstLine="0"/>
              <w:rPr>
                <w:sz w:val="18"/>
                <w:szCs w:val="18"/>
              </w:rPr>
            </w:pPr>
            <w:r w:rsidRPr="007272F3">
              <w:rPr>
                <w:sz w:val="18"/>
                <w:szCs w:val="18"/>
              </w:rPr>
              <w:t>.14</w:t>
            </w:r>
          </w:p>
        </w:tc>
        <w:tc>
          <w:tcPr>
            <w:tcW w:w="708" w:type="dxa"/>
            <w:tcBorders>
              <w:bottom w:val="single" w:sz="4" w:space="0" w:color="auto"/>
            </w:tcBorders>
            <w:vAlign w:val="center"/>
          </w:tcPr>
          <w:p w14:paraId="52258AFC" w14:textId="77777777" w:rsidR="007272F3" w:rsidRPr="007272F3" w:rsidRDefault="007272F3" w:rsidP="007272F3">
            <w:pPr>
              <w:spacing w:line="360" w:lineRule="auto"/>
              <w:ind w:firstLine="0"/>
              <w:rPr>
                <w:sz w:val="18"/>
                <w:szCs w:val="18"/>
              </w:rPr>
            </w:pPr>
          </w:p>
        </w:tc>
        <w:tc>
          <w:tcPr>
            <w:tcW w:w="284" w:type="dxa"/>
            <w:tcBorders>
              <w:bottom w:val="single" w:sz="4" w:space="0" w:color="auto"/>
            </w:tcBorders>
            <w:vAlign w:val="center"/>
          </w:tcPr>
          <w:p w14:paraId="0551CDC7" w14:textId="77777777" w:rsidR="007272F3" w:rsidRPr="007272F3" w:rsidRDefault="007272F3" w:rsidP="007272F3">
            <w:pPr>
              <w:spacing w:line="360" w:lineRule="auto"/>
              <w:ind w:firstLine="0"/>
              <w:rPr>
                <w:color w:val="0070C0"/>
                <w:sz w:val="18"/>
                <w:szCs w:val="18"/>
              </w:rPr>
            </w:pPr>
          </w:p>
        </w:tc>
        <w:tc>
          <w:tcPr>
            <w:tcW w:w="709" w:type="dxa"/>
            <w:tcBorders>
              <w:bottom w:val="single" w:sz="4" w:space="0" w:color="auto"/>
            </w:tcBorders>
            <w:vAlign w:val="center"/>
          </w:tcPr>
          <w:p w14:paraId="2E4FF1CF" w14:textId="77777777" w:rsidR="007272F3" w:rsidRPr="007272F3" w:rsidRDefault="007272F3" w:rsidP="007272F3">
            <w:pPr>
              <w:spacing w:line="360" w:lineRule="auto"/>
              <w:ind w:firstLine="0"/>
              <w:rPr>
                <w:sz w:val="18"/>
                <w:szCs w:val="18"/>
              </w:rPr>
            </w:pPr>
          </w:p>
        </w:tc>
        <w:tc>
          <w:tcPr>
            <w:tcW w:w="708" w:type="dxa"/>
            <w:tcBorders>
              <w:bottom w:val="single" w:sz="4" w:space="0" w:color="auto"/>
            </w:tcBorders>
            <w:vAlign w:val="center"/>
          </w:tcPr>
          <w:p w14:paraId="4BFC539C" w14:textId="77777777" w:rsidR="007272F3" w:rsidRPr="007272F3" w:rsidRDefault="007272F3" w:rsidP="007272F3">
            <w:pPr>
              <w:spacing w:line="360" w:lineRule="auto"/>
              <w:ind w:firstLine="0"/>
              <w:jc w:val="center"/>
              <w:rPr>
                <w:sz w:val="18"/>
                <w:szCs w:val="18"/>
              </w:rPr>
            </w:pPr>
            <w:r w:rsidRPr="007272F3">
              <w:rPr>
                <w:sz w:val="18"/>
                <w:szCs w:val="18"/>
              </w:rPr>
              <w:t>.15</w:t>
            </w:r>
          </w:p>
        </w:tc>
        <w:tc>
          <w:tcPr>
            <w:tcW w:w="851" w:type="dxa"/>
            <w:tcBorders>
              <w:bottom w:val="single" w:sz="4" w:space="0" w:color="auto"/>
            </w:tcBorders>
            <w:vAlign w:val="center"/>
          </w:tcPr>
          <w:p w14:paraId="2A207777" w14:textId="77777777" w:rsidR="007272F3" w:rsidRPr="007272F3" w:rsidRDefault="007272F3" w:rsidP="007272F3">
            <w:pPr>
              <w:spacing w:line="360" w:lineRule="auto"/>
              <w:ind w:firstLine="0"/>
              <w:jc w:val="center"/>
              <w:rPr>
                <w:sz w:val="18"/>
                <w:szCs w:val="18"/>
              </w:rPr>
            </w:pPr>
          </w:p>
        </w:tc>
        <w:tc>
          <w:tcPr>
            <w:tcW w:w="283" w:type="dxa"/>
            <w:tcBorders>
              <w:bottom w:val="single" w:sz="4" w:space="0" w:color="auto"/>
            </w:tcBorders>
            <w:vAlign w:val="center"/>
          </w:tcPr>
          <w:p w14:paraId="3A93EA5F" w14:textId="77777777" w:rsidR="007272F3" w:rsidRPr="007272F3" w:rsidRDefault="007272F3" w:rsidP="007272F3">
            <w:pPr>
              <w:spacing w:line="360" w:lineRule="auto"/>
              <w:ind w:firstLine="0"/>
              <w:jc w:val="center"/>
              <w:rPr>
                <w:color w:val="0070C0"/>
                <w:sz w:val="18"/>
                <w:szCs w:val="18"/>
              </w:rPr>
            </w:pPr>
          </w:p>
        </w:tc>
        <w:tc>
          <w:tcPr>
            <w:tcW w:w="567" w:type="dxa"/>
            <w:tcBorders>
              <w:bottom w:val="single" w:sz="4" w:space="0" w:color="auto"/>
            </w:tcBorders>
            <w:vAlign w:val="center"/>
          </w:tcPr>
          <w:p w14:paraId="579305B1" w14:textId="77777777" w:rsidR="007272F3" w:rsidRPr="007272F3" w:rsidRDefault="007272F3" w:rsidP="007272F3">
            <w:pPr>
              <w:spacing w:line="360" w:lineRule="auto"/>
              <w:ind w:firstLine="0"/>
              <w:jc w:val="both"/>
              <w:rPr>
                <w:sz w:val="18"/>
                <w:szCs w:val="18"/>
              </w:rPr>
            </w:pPr>
          </w:p>
        </w:tc>
        <w:tc>
          <w:tcPr>
            <w:tcW w:w="709" w:type="dxa"/>
            <w:tcBorders>
              <w:bottom w:val="single" w:sz="4" w:space="0" w:color="auto"/>
            </w:tcBorders>
            <w:vAlign w:val="center"/>
          </w:tcPr>
          <w:p w14:paraId="3E4E4692" w14:textId="77777777" w:rsidR="007272F3" w:rsidRPr="007272F3" w:rsidRDefault="007272F3" w:rsidP="007272F3">
            <w:pPr>
              <w:spacing w:line="360" w:lineRule="auto"/>
              <w:ind w:firstLine="0"/>
              <w:rPr>
                <w:sz w:val="18"/>
                <w:szCs w:val="18"/>
              </w:rPr>
            </w:pPr>
            <w:r w:rsidRPr="007272F3">
              <w:rPr>
                <w:sz w:val="18"/>
                <w:szCs w:val="18"/>
              </w:rPr>
              <w:t>.09</w:t>
            </w:r>
          </w:p>
        </w:tc>
        <w:tc>
          <w:tcPr>
            <w:tcW w:w="709" w:type="dxa"/>
            <w:tcBorders>
              <w:bottom w:val="single" w:sz="4" w:space="0" w:color="auto"/>
            </w:tcBorders>
            <w:vAlign w:val="center"/>
          </w:tcPr>
          <w:p w14:paraId="5BF61EC3" w14:textId="77777777" w:rsidR="007272F3" w:rsidRPr="007272F3" w:rsidRDefault="007272F3" w:rsidP="007272F3">
            <w:pPr>
              <w:spacing w:line="360" w:lineRule="auto"/>
              <w:ind w:firstLine="0"/>
              <w:rPr>
                <w:sz w:val="18"/>
                <w:szCs w:val="18"/>
              </w:rPr>
            </w:pPr>
          </w:p>
        </w:tc>
      </w:tr>
    </w:tbl>
    <w:p w14:paraId="310ED5D7" w14:textId="77777777" w:rsidR="002C10AF" w:rsidRPr="007F3010" w:rsidRDefault="002C10AF" w:rsidP="002C10AF">
      <w:pPr>
        <w:ind w:firstLine="0"/>
        <w:contextualSpacing w:val="0"/>
        <w:rPr>
          <w:rFonts w:eastAsia="Times New Roman"/>
          <w:i/>
          <w:szCs w:val="24"/>
          <w:lang w:val="en-GB"/>
        </w:rPr>
      </w:pPr>
    </w:p>
    <w:p w14:paraId="212E6828" w14:textId="77777777" w:rsidR="002C10AF" w:rsidRPr="00B91B93" w:rsidRDefault="002C10AF" w:rsidP="002C10AF">
      <w:pPr>
        <w:spacing w:line="240" w:lineRule="auto"/>
        <w:ind w:firstLine="0"/>
        <w:contextualSpacing w:val="0"/>
        <w:rPr>
          <w:rFonts w:eastAsia="Times New Roman"/>
          <w:b/>
          <w:sz w:val="16"/>
          <w:szCs w:val="16"/>
          <w:lang w:val="en-GB"/>
        </w:rPr>
      </w:pPr>
    </w:p>
    <w:p w14:paraId="0C5E9236" w14:textId="77777777" w:rsidR="002C10AF" w:rsidRPr="00B91B93" w:rsidRDefault="002C10AF" w:rsidP="002C10AF">
      <w:pPr>
        <w:spacing w:line="240" w:lineRule="auto"/>
        <w:ind w:firstLine="0"/>
        <w:contextualSpacing w:val="0"/>
        <w:rPr>
          <w:rFonts w:eastAsia="Times New Roman"/>
          <w:b/>
          <w:sz w:val="16"/>
          <w:szCs w:val="16"/>
          <w:lang w:val="en-GB"/>
        </w:rPr>
      </w:pPr>
    </w:p>
    <w:p w14:paraId="231BE6A1" w14:textId="77777777" w:rsidR="002C10AF" w:rsidRPr="00B91B93" w:rsidRDefault="002C10AF" w:rsidP="002C10AF">
      <w:pPr>
        <w:spacing w:line="240" w:lineRule="auto"/>
        <w:ind w:firstLine="0"/>
        <w:contextualSpacing w:val="0"/>
        <w:rPr>
          <w:rFonts w:eastAsia="Times New Roman"/>
          <w:szCs w:val="24"/>
          <w:lang w:val="en-GB"/>
        </w:rPr>
      </w:pPr>
    </w:p>
    <w:p w14:paraId="006B6D22" w14:textId="77777777" w:rsidR="002C10AF" w:rsidRPr="00462A1F" w:rsidRDefault="002C10AF" w:rsidP="002C10AF">
      <w:pPr>
        <w:rPr>
          <w:lang w:val="en-US"/>
        </w:rPr>
      </w:pPr>
    </w:p>
    <w:p w14:paraId="34465F22" w14:textId="77777777" w:rsidR="002C10AF" w:rsidRDefault="002C10AF" w:rsidP="002C10AF">
      <w:pPr>
        <w:rPr>
          <w:lang w:val="en-US"/>
        </w:rPr>
      </w:pPr>
    </w:p>
    <w:p w14:paraId="0ABC7485" w14:textId="77777777" w:rsidR="002C10AF" w:rsidRDefault="002C10AF" w:rsidP="002C10AF">
      <w:pPr>
        <w:pStyle w:val="NoSpacing"/>
        <w:rPr>
          <w:lang w:val="en-US"/>
        </w:rPr>
      </w:pPr>
    </w:p>
    <w:p w14:paraId="7ACED723" w14:textId="77777777" w:rsidR="002C10AF" w:rsidRDefault="002C10AF" w:rsidP="002C10AF">
      <w:pPr>
        <w:pStyle w:val="NoSpacing"/>
        <w:rPr>
          <w:lang w:val="en-US"/>
        </w:rPr>
      </w:pPr>
    </w:p>
    <w:p w14:paraId="6C20407A" w14:textId="77777777" w:rsidR="002C10AF" w:rsidRDefault="002C10AF" w:rsidP="002C10AF">
      <w:pPr>
        <w:pStyle w:val="NoSpacing"/>
        <w:rPr>
          <w:lang w:val="en-US"/>
        </w:rPr>
      </w:pPr>
    </w:p>
    <w:p w14:paraId="2C5679FD" w14:textId="77777777" w:rsidR="002C10AF" w:rsidRDefault="002C10AF" w:rsidP="002C10AF">
      <w:pPr>
        <w:pStyle w:val="NoSpacing"/>
        <w:rPr>
          <w:lang w:val="en-US"/>
        </w:rPr>
      </w:pPr>
    </w:p>
    <w:p w14:paraId="0C92A785" w14:textId="77777777" w:rsidR="002C10AF" w:rsidRDefault="002C10AF" w:rsidP="002C10AF">
      <w:pPr>
        <w:pStyle w:val="NoSpacing"/>
        <w:rPr>
          <w:lang w:val="en-US"/>
        </w:rPr>
      </w:pPr>
    </w:p>
    <w:p w14:paraId="71314D2A" w14:textId="77777777" w:rsidR="002C10AF" w:rsidRDefault="002C10AF" w:rsidP="002C10AF">
      <w:pPr>
        <w:pStyle w:val="NoSpacing"/>
        <w:rPr>
          <w:lang w:val="en-US"/>
        </w:rPr>
      </w:pPr>
    </w:p>
    <w:p w14:paraId="0B6A38C6" w14:textId="77777777" w:rsidR="002C10AF" w:rsidRDefault="002C10AF" w:rsidP="002C10AF">
      <w:pPr>
        <w:pStyle w:val="NoSpacing"/>
        <w:rPr>
          <w:lang w:val="en-US"/>
        </w:rPr>
      </w:pPr>
    </w:p>
    <w:p w14:paraId="0510C8CB" w14:textId="77777777" w:rsidR="002C10AF" w:rsidRDefault="002C10AF" w:rsidP="002C10AF">
      <w:pPr>
        <w:pStyle w:val="NoSpacing"/>
        <w:rPr>
          <w:lang w:val="en-US"/>
        </w:rPr>
      </w:pPr>
    </w:p>
    <w:p w14:paraId="6FF3C472" w14:textId="77777777" w:rsidR="002C10AF" w:rsidRDefault="002C10AF" w:rsidP="002C10AF">
      <w:pPr>
        <w:pStyle w:val="NoSpacing"/>
        <w:rPr>
          <w:lang w:val="en-US"/>
        </w:rPr>
      </w:pPr>
    </w:p>
    <w:p w14:paraId="06AABFC1" w14:textId="70605972" w:rsidR="002C10AF" w:rsidRPr="005D6FFF" w:rsidRDefault="002C10AF" w:rsidP="002C10AF">
      <w:pPr>
        <w:pStyle w:val="NoSpacing"/>
        <w:rPr>
          <w:lang w:val="en-US"/>
        </w:rPr>
      </w:pPr>
    </w:p>
    <w:p w14:paraId="5F8AF028" w14:textId="77777777" w:rsidR="002C10AF" w:rsidRPr="007222E9" w:rsidRDefault="002C10AF" w:rsidP="002C10AF">
      <w:pPr>
        <w:ind w:firstLine="0"/>
        <w:rPr>
          <w:szCs w:val="24"/>
          <w:lang w:val="en-US"/>
        </w:rPr>
      </w:pPr>
      <w:r w:rsidRPr="00876A09">
        <w:rPr>
          <w:rFonts w:eastAsia="Times New Roman"/>
          <w:i/>
          <w:szCs w:val="24"/>
          <w:lang w:val="en-GB"/>
        </w:rPr>
        <w:t>Note.</w:t>
      </w:r>
      <w:r>
        <w:rPr>
          <w:rFonts w:eastAsia="Times New Roman"/>
          <w:szCs w:val="24"/>
          <w:lang w:val="en-GB"/>
        </w:rPr>
        <w:t xml:space="preserve"> </w:t>
      </w:r>
      <w:r w:rsidRPr="007222E9">
        <w:rPr>
          <w:rFonts w:eastAsia="Times New Roman"/>
          <w:szCs w:val="24"/>
          <w:vertAlign w:val="superscript"/>
          <w:lang w:val="en-US"/>
        </w:rPr>
        <w:t>*</w:t>
      </w:r>
      <w:r w:rsidRPr="007222E9">
        <w:rPr>
          <w:rFonts w:eastAsia="Times New Roman"/>
          <w:i/>
          <w:szCs w:val="24"/>
          <w:lang w:val="en-US"/>
        </w:rPr>
        <w:t>p</w:t>
      </w:r>
      <w:r w:rsidRPr="007222E9">
        <w:rPr>
          <w:rFonts w:eastAsia="Times New Roman"/>
          <w:szCs w:val="24"/>
          <w:lang w:val="en-US"/>
        </w:rPr>
        <w:t xml:space="preserve"> &lt; 0.05. </w:t>
      </w:r>
      <w:r w:rsidRPr="007222E9">
        <w:rPr>
          <w:rFonts w:eastAsia="Times New Roman"/>
          <w:szCs w:val="24"/>
          <w:vertAlign w:val="superscript"/>
          <w:lang w:val="en-US"/>
        </w:rPr>
        <w:t>**</w:t>
      </w:r>
      <w:r w:rsidRPr="007222E9">
        <w:rPr>
          <w:rFonts w:eastAsia="Times New Roman"/>
          <w:i/>
          <w:szCs w:val="24"/>
          <w:lang w:val="en-US"/>
        </w:rPr>
        <w:t>p</w:t>
      </w:r>
      <w:r w:rsidRPr="007222E9">
        <w:rPr>
          <w:rFonts w:eastAsia="Times New Roman"/>
          <w:szCs w:val="24"/>
          <w:lang w:val="en-US"/>
        </w:rPr>
        <w:t xml:space="preserve"> &lt; 0.01. </w:t>
      </w:r>
      <w:r w:rsidRPr="007222E9">
        <w:rPr>
          <w:rFonts w:eastAsia="Times New Roman"/>
          <w:szCs w:val="24"/>
          <w:vertAlign w:val="superscript"/>
          <w:lang w:val="en-US"/>
        </w:rPr>
        <w:t>***</w:t>
      </w:r>
      <w:r w:rsidRPr="007222E9">
        <w:rPr>
          <w:rFonts w:eastAsia="Times New Roman"/>
          <w:i/>
          <w:szCs w:val="24"/>
          <w:lang w:val="en-US"/>
        </w:rPr>
        <w:t>p</w:t>
      </w:r>
      <w:r w:rsidRPr="007222E9">
        <w:rPr>
          <w:rFonts w:eastAsia="Times New Roman"/>
          <w:szCs w:val="24"/>
          <w:lang w:val="en-US"/>
        </w:rPr>
        <w:t xml:space="preserve"> &lt; 0.001</w:t>
      </w:r>
    </w:p>
    <w:sectPr w:rsidR="002C10AF" w:rsidRPr="007222E9" w:rsidSect="00E3303D">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9FC17" w14:textId="77777777" w:rsidR="00323694" w:rsidRDefault="00323694" w:rsidP="00C407F6">
      <w:pPr>
        <w:spacing w:line="240" w:lineRule="auto"/>
      </w:pPr>
      <w:r>
        <w:separator/>
      </w:r>
    </w:p>
  </w:endnote>
  <w:endnote w:type="continuationSeparator" w:id="0">
    <w:p w14:paraId="6C040F56" w14:textId="77777777" w:rsidR="00323694" w:rsidRDefault="00323694" w:rsidP="00C407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4B4F0" w14:textId="77777777" w:rsidR="00CB59F6" w:rsidRDefault="00CB59F6" w:rsidP="0087330A">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80BDC" w14:textId="77777777" w:rsidR="00323694" w:rsidRDefault="00323694" w:rsidP="00C407F6">
      <w:pPr>
        <w:spacing w:line="240" w:lineRule="auto"/>
      </w:pPr>
      <w:r>
        <w:separator/>
      </w:r>
    </w:p>
  </w:footnote>
  <w:footnote w:type="continuationSeparator" w:id="0">
    <w:p w14:paraId="5E96DECB" w14:textId="77777777" w:rsidR="00323694" w:rsidRDefault="00323694" w:rsidP="00C407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2013340"/>
      <w:docPartObj>
        <w:docPartGallery w:val="Page Numbers (Top of Page)"/>
        <w:docPartUnique/>
      </w:docPartObj>
    </w:sdtPr>
    <w:sdtEndPr>
      <w:rPr>
        <w:noProof/>
      </w:rPr>
    </w:sdtEndPr>
    <w:sdtContent>
      <w:p w14:paraId="5C67437A" w14:textId="72999BAF" w:rsidR="00CB59F6" w:rsidRDefault="00CB59F6">
        <w:pPr>
          <w:pStyle w:val="Header"/>
          <w:jc w:val="right"/>
        </w:pPr>
        <w:r>
          <w:fldChar w:fldCharType="begin"/>
        </w:r>
        <w:r>
          <w:instrText xml:space="preserve"> PAGE   \* MERGEFORMAT </w:instrText>
        </w:r>
        <w:r>
          <w:fldChar w:fldCharType="separate"/>
        </w:r>
        <w:r w:rsidR="0096213A">
          <w:rPr>
            <w:noProof/>
          </w:rPr>
          <w:t>33</w:t>
        </w:r>
        <w:r>
          <w:rPr>
            <w:noProof/>
          </w:rPr>
          <w:fldChar w:fldCharType="end"/>
        </w:r>
      </w:p>
    </w:sdtContent>
  </w:sdt>
  <w:p w14:paraId="47CB75BD" w14:textId="77777777" w:rsidR="00CB59F6" w:rsidRDefault="00CB5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AB4CC5"/>
    <w:multiLevelType w:val="hybridMultilevel"/>
    <w:tmpl w:val="C26429BC"/>
    <w:lvl w:ilvl="0" w:tplc="A3C2F032">
      <w:start w:val="1"/>
      <w:numFmt w:val="bullet"/>
      <w:pStyle w:val="bulletedlist"/>
      <w:lvlText w:val=""/>
      <w:lvlJc w:val="left"/>
      <w:pPr>
        <w:tabs>
          <w:tab w:val="num" w:pos="288"/>
        </w:tabs>
        <w:ind w:left="288" w:hanging="288"/>
      </w:pPr>
      <w:rPr>
        <w:rFonts w:ascii="Symbol" w:hAnsi="Symbol" w:hint="default"/>
        <w:b w:val="0"/>
        <w:i w:val="0"/>
        <w:color w:val="808080"/>
        <w:sz w:val="12"/>
        <w:szCs w:val="1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1638C3"/>
    <w:multiLevelType w:val="hybridMultilevel"/>
    <w:tmpl w:val="2CA86D50"/>
    <w:lvl w:ilvl="0" w:tplc="A2E24952">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79"/>
    <w:rsid w:val="00000F40"/>
    <w:rsid w:val="000011F6"/>
    <w:rsid w:val="000018B3"/>
    <w:rsid w:val="00001C31"/>
    <w:rsid w:val="000022A0"/>
    <w:rsid w:val="000025E7"/>
    <w:rsid w:val="000027F9"/>
    <w:rsid w:val="00002851"/>
    <w:rsid w:val="00002BA1"/>
    <w:rsid w:val="00002E51"/>
    <w:rsid w:val="00002ED4"/>
    <w:rsid w:val="0000350B"/>
    <w:rsid w:val="000038BB"/>
    <w:rsid w:val="00003EFC"/>
    <w:rsid w:val="000046FD"/>
    <w:rsid w:val="000047CD"/>
    <w:rsid w:val="00004AD2"/>
    <w:rsid w:val="000059CA"/>
    <w:rsid w:val="00005C6B"/>
    <w:rsid w:val="0000609C"/>
    <w:rsid w:val="000061FA"/>
    <w:rsid w:val="0000690D"/>
    <w:rsid w:val="000069CB"/>
    <w:rsid w:val="00006A60"/>
    <w:rsid w:val="00007E23"/>
    <w:rsid w:val="00010085"/>
    <w:rsid w:val="000100BA"/>
    <w:rsid w:val="000100CB"/>
    <w:rsid w:val="0001147C"/>
    <w:rsid w:val="00011563"/>
    <w:rsid w:val="00011D47"/>
    <w:rsid w:val="00011F28"/>
    <w:rsid w:val="000127BB"/>
    <w:rsid w:val="00013548"/>
    <w:rsid w:val="00014134"/>
    <w:rsid w:val="00015028"/>
    <w:rsid w:val="00015C24"/>
    <w:rsid w:val="0001615E"/>
    <w:rsid w:val="000165FD"/>
    <w:rsid w:val="000167C5"/>
    <w:rsid w:val="000168A5"/>
    <w:rsid w:val="000178E3"/>
    <w:rsid w:val="00020D8A"/>
    <w:rsid w:val="0002181A"/>
    <w:rsid w:val="00021973"/>
    <w:rsid w:val="00022854"/>
    <w:rsid w:val="00022F6E"/>
    <w:rsid w:val="0002304D"/>
    <w:rsid w:val="000230B2"/>
    <w:rsid w:val="00023368"/>
    <w:rsid w:val="00023465"/>
    <w:rsid w:val="0002476A"/>
    <w:rsid w:val="000250CA"/>
    <w:rsid w:val="00025E19"/>
    <w:rsid w:val="000267EF"/>
    <w:rsid w:val="00026D51"/>
    <w:rsid w:val="000273F1"/>
    <w:rsid w:val="000279AA"/>
    <w:rsid w:val="00027CAA"/>
    <w:rsid w:val="00027FBF"/>
    <w:rsid w:val="00031450"/>
    <w:rsid w:val="0003208A"/>
    <w:rsid w:val="000320E0"/>
    <w:rsid w:val="00032581"/>
    <w:rsid w:val="00032D1A"/>
    <w:rsid w:val="00033225"/>
    <w:rsid w:val="000332DE"/>
    <w:rsid w:val="00033747"/>
    <w:rsid w:val="00033C66"/>
    <w:rsid w:val="000342E0"/>
    <w:rsid w:val="00034419"/>
    <w:rsid w:val="000344E2"/>
    <w:rsid w:val="0003450D"/>
    <w:rsid w:val="000346DF"/>
    <w:rsid w:val="00034E62"/>
    <w:rsid w:val="0003560F"/>
    <w:rsid w:val="00035842"/>
    <w:rsid w:val="00035BE9"/>
    <w:rsid w:val="00036881"/>
    <w:rsid w:val="000368D9"/>
    <w:rsid w:val="00036E93"/>
    <w:rsid w:val="0003799A"/>
    <w:rsid w:val="00040119"/>
    <w:rsid w:val="000401DC"/>
    <w:rsid w:val="000410C6"/>
    <w:rsid w:val="0004165F"/>
    <w:rsid w:val="000419C1"/>
    <w:rsid w:val="00042DF4"/>
    <w:rsid w:val="000443B1"/>
    <w:rsid w:val="00044BA1"/>
    <w:rsid w:val="00044CA1"/>
    <w:rsid w:val="00044EFD"/>
    <w:rsid w:val="00045275"/>
    <w:rsid w:val="00045AAA"/>
    <w:rsid w:val="00045B11"/>
    <w:rsid w:val="00045FEC"/>
    <w:rsid w:val="00046AD7"/>
    <w:rsid w:val="00046FE6"/>
    <w:rsid w:val="0004744F"/>
    <w:rsid w:val="00047D41"/>
    <w:rsid w:val="000501B4"/>
    <w:rsid w:val="00051804"/>
    <w:rsid w:val="00051CF9"/>
    <w:rsid w:val="00051EF0"/>
    <w:rsid w:val="000532DC"/>
    <w:rsid w:val="000538AB"/>
    <w:rsid w:val="000549E2"/>
    <w:rsid w:val="00054F9E"/>
    <w:rsid w:val="000560F6"/>
    <w:rsid w:val="00056330"/>
    <w:rsid w:val="0005646E"/>
    <w:rsid w:val="000565F5"/>
    <w:rsid w:val="0005662A"/>
    <w:rsid w:val="00056D87"/>
    <w:rsid w:val="00057463"/>
    <w:rsid w:val="00057759"/>
    <w:rsid w:val="00057D3E"/>
    <w:rsid w:val="00060122"/>
    <w:rsid w:val="0006051F"/>
    <w:rsid w:val="0006086B"/>
    <w:rsid w:val="00060945"/>
    <w:rsid w:val="00060FB4"/>
    <w:rsid w:val="00060FC8"/>
    <w:rsid w:val="00061AD1"/>
    <w:rsid w:val="00061B42"/>
    <w:rsid w:val="000620C1"/>
    <w:rsid w:val="000622BD"/>
    <w:rsid w:val="000622DB"/>
    <w:rsid w:val="0006256A"/>
    <w:rsid w:val="00062D55"/>
    <w:rsid w:val="0006411B"/>
    <w:rsid w:val="00064733"/>
    <w:rsid w:val="00065331"/>
    <w:rsid w:val="000653B2"/>
    <w:rsid w:val="000654F2"/>
    <w:rsid w:val="00065A0E"/>
    <w:rsid w:val="00065B04"/>
    <w:rsid w:val="0006630A"/>
    <w:rsid w:val="0006632F"/>
    <w:rsid w:val="00066A33"/>
    <w:rsid w:val="00066B05"/>
    <w:rsid w:val="000701F6"/>
    <w:rsid w:val="000702A5"/>
    <w:rsid w:val="00070B18"/>
    <w:rsid w:val="00070BFF"/>
    <w:rsid w:val="00070DE1"/>
    <w:rsid w:val="00070FCC"/>
    <w:rsid w:val="00071804"/>
    <w:rsid w:val="00071DD3"/>
    <w:rsid w:val="00071E0B"/>
    <w:rsid w:val="000729AA"/>
    <w:rsid w:val="00073140"/>
    <w:rsid w:val="00073945"/>
    <w:rsid w:val="00073B9D"/>
    <w:rsid w:val="00074310"/>
    <w:rsid w:val="0007438D"/>
    <w:rsid w:val="000747BF"/>
    <w:rsid w:val="00074DA3"/>
    <w:rsid w:val="00075B21"/>
    <w:rsid w:val="00076967"/>
    <w:rsid w:val="000773D9"/>
    <w:rsid w:val="00077622"/>
    <w:rsid w:val="00077E17"/>
    <w:rsid w:val="00077F8F"/>
    <w:rsid w:val="0008029E"/>
    <w:rsid w:val="00080502"/>
    <w:rsid w:val="00080563"/>
    <w:rsid w:val="00081152"/>
    <w:rsid w:val="000812E6"/>
    <w:rsid w:val="000818FF"/>
    <w:rsid w:val="00081915"/>
    <w:rsid w:val="00081F27"/>
    <w:rsid w:val="000820E0"/>
    <w:rsid w:val="000836B7"/>
    <w:rsid w:val="00083BA1"/>
    <w:rsid w:val="0008470F"/>
    <w:rsid w:val="0008573C"/>
    <w:rsid w:val="00085E12"/>
    <w:rsid w:val="0008691F"/>
    <w:rsid w:val="00086942"/>
    <w:rsid w:val="00087713"/>
    <w:rsid w:val="00090458"/>
    <w:rsid w:val="000906D7"/>
    <w:rsid w:val="000906F5"/>
    <w:rsid w:val="000910C2"/>
    <w:rsid w:val="00091F47"/>
    <w:rsid w:val="00092A32"/>
    <w:rsid w:val="00092B95"/>
    <w:rsid w:val="00093C62"/>
    <w:rsid w:val="00094361"/>
    <w:rsid w:val="00095824"/>
    <w:rsid w:val="00095A52"/>
    <w:rsid w:val="00095E7C"/>
    <w:rsid w:val="00096276"/>
    <w:rsid w:val="00096378"/>
    <w:rsid w:val="00096833"/>
    <w:rsid w:val="000974B4"/>
    <w:rsid w:val="000974E2"/>
    <w:rsid w:val="00097609"/>
    <w:rsid w:val="00097A8C"/>
    <w:rsid w:val="00097E3E"/>
    <w:rsid w:val="000A085F"/>
    <w:rsid w:val="000A0870"/>
    <w:rsid w:val="000A1023"/>
    <w:rsid w:val="000A1448"/>
    <w:rsid w:val="000A14C2"/>
    <w:rsid w:val="000A1776"/>
    <w:rsid w:val="000A1A72"/>
    <w:rsid w:val="000A240B"/>
    <w:rsid w:val="000A30EA"/>
    <w:rsid w:val="000A32DC"/>
    <w:rsid w:val="000A347C"/>
    <w:rsid w:val="000A3A12"/>
    <w:rsid w:val="000A3B53"/>
    <w:rsid w:val="000A4523"/>
    <w:rsid w:val="000A4616"/>
    <w:rsid w:val="000A4688"/>
    <w:rsid w:val="000A562E"/>
    <w:rsid w:val="000A5723"/>
    <w:rsid w:val="000A6276"/>
    <w:rsid w:val="000A63F7"/>
    <w:rsid w:val="000A656E"/>
    <w:rsid w:val="000A7958"/>
    <w:rsid w:val="000A7A1C"/>
    <w:rsid w:val="000B04AE"/>
    <w:rsid w:val="000B06A6"/>
    <w:rsid w:val="000B09B9"/>
    <w:rsid w:val="000B0D0E"/>
    <w:rsid w:val="000B0DE4"/>
    <w:rsid w:val="000B0F29"/>
    <w:rsid w:val="000B10DA"/>
    <w:rsid w:val="000B1100"/>
    <w:rsid w:val="000B1D0E"/>
    <w:rsid w:val="000B27D2"/>
    <w:rsid w:val="000B42B7"/>
    <w:rsid w:val="000B44D1"/>
    <w:rsid w:val="000B4839"/>
    <w:rsid w:val="000B4F36"/>
    <w:rsid w:val="000B667F"/>
    <w:rsid w:val="000B6CB4"/>
    <w:rsid w:val="000B6EC4"/>
    <w:rsid w:val="000B716C"/>
    <w:rsid w:val="000B7872"/>
    <w:rsid w:val="000B7EC6"/>
    <w:rsid w:val="000C0081"/>
    <w:rsid w:val="000C00E1"/>
    <w:rsid w:val="000C020D"/>
    <w:rsid w:val="000C025B"/>
    <w:rsid w:val="000C0661"/>
    <w:rsid w:val="000C0818"/>
    <w:rsid w:val="000C08E3"/>
    <w:rsid w:val="000C0D3C"/>
    <w:rsid w:val="000C1022"/>
    <w:rsid w:val="000C14B7"/>
    <w:rsid w:val="000C157C"/>
    <w:rsid w:val="000C1DA9"/>
    <w:rsid w:val="000C2B99"/>
    <w:rsid w:val="000C3130"/>
    <w:rsid w:val="000C33DB"/>
    <w:rsid w:val="000C3BEB"/>
    <w:rsid w:val="000C407E"/>
    <w:rsid w:val="000C437C"/>
    <w:rsid w:val="000C500F"/>
    <w:rsid w:val="000C5345"/>
    <w:rsid w:val="000C567C"/>
    <w:rsid w:val="000C59D2"/>
    <w:rsid w:val="000C5C5B"/>
    <w:rsid w:val="000C6936"/>
    <w:rsid w:val="000C6B4E"/>
    <w:rsid w:val="000C6E70"/>
    <w:rsid w:val="000C735C"/>
    <w:rsid w:val="000C7C31"/>
    <w:rsid w:val="000C7E62"/>
    <w:rsid w:val="000C7E90"/>
    <w:rsid w:val="000C7F3B"/>
    <w:rsid w:val="000D0127"/>
    <w:rsid w:val="000D06E2"/>
    <w:rsid w:val="000D0C98"/>
    <w:rsid w:val="000D116E"/>
    <w:rsid w:val="000D141B"/>
    <w:rsid w:val="000D1780"/>
    <w:rsid w:val="000D17CB"/>
    <w:rsid w:val="000D243B"/>
    <w:rsid w:val="000D248C"/>
    <w:rsid w:val="000D2602"/>
    <w:rsid w:val="000D2C66"/>
    <w:rsid w:val="000D303A"/>
    <w:rsid w:val="000D338B"/>
    <w:rsid w:val="000D34A8"/>
    <w:rsid w:val="000D35BB"/>
    <w:rsid w:val="000D3C2D"/>
    <w:rsid w:val="000D4292"/>
    <w:rsid w:val="000D42BB"/>
    <w:rsid w:val="000D44A6"/>
    <w:rsid w:val="000D44E3"/>
    <w:rsid w:val="000D4AD0"/>
    <w:rsid w:val="000D4BAE"/>
    <w:rsid w:val="000D540D"/>
    <w:rsid w:val="000D565A"/>
    <w:rsid w:val="000D5794"/>
    <w:rsid w:val="000D5806"/>
    <w:rsid w:val="000D6079"/>
    <w:rsid w:val="000D64B8"/>
    <w:rsid w:val="000D669A"/>
    <w:rsid w:val="000D6A2E"/>
    <w:rsid w:val="000D6A9D"/>
    <w:rsid w:val="000D6FD6"/>
    <w:rsid w:val="000D70CF"/>
    <w:rsid w:val="000E05C2"/>
    <w:rsid w:val="000E078F"/>
    <w:rsid w:val="000E07ED"/>
    <w:rsid w:val="000E263D"/>
    <w:rsid w:val="000E29CE"/>
    <w:rsid w:val="000E39D6"/>
    <w:rsid w:val="000E42EF"/>
    <w:rsid w:val="000E4CFD"/>
    <w:rsid w:val="000E5804"/>
    <w:rsid w:val="000E5977"/>
    <w:rsid w:val="000E5C3F"/>
    <w:rsid w:val="000E6551"/>
    <w:rsid w:val="000E75DD"/>
    <w:rsid w:val="000E77D7"/>
    <w:rsid w:val="000F0109"/>
    <w:rsid w:val="000F0532"/>
    <w:rsid w:val="000F0540"/>
    <w:rsid w:val="000F1B5C"/>
    <w:rsid w:val="000F1C3F"/>
    <w:rsid w:val="000F2783"/>
    <w:rsid w:val="000F29E3"/>
    <w:rsid w:val="000F2A40"/>
    <w:rsid w:val="000F3297"/>
    <w:rsid w:val="000F33C9"/>
    <w:rsid w:val="000F3676"/>
    <w:rsid w:val="000F3B1F"/>
    <w:rsid w:val="000F47ED"/>
    <w:rsid w:val="000F4B78"/>
    <w:rsid w:val="000F553A"/>
    <w:rsid w:val="000F5F54"/>
    <w:rsid w:val="000F6159"/>
    <w:rsid w:val="000F669E"/>
    <w:rsid w:val="000F691E"/>
    <w:rsid w:val="000F6A0E"/>
    <w:rsid w:val="000F7A64"/>
    <w:rsid w:val="000F7C3E"/>
    <w:rsid w:val="000F7EAA"/>
    <w:rsid w:val="0010088B"/>
    <w:rsid w:val="00100BE4"/>
    <w:rsid w:val="00102B40"/>
    <w:rsid w:val="00103448"/>
    <w:rsid w:val="00103D29"/>
    <w:rsid w:val="0010426A"/>
    <w:rsid w:val="001046B6"/>
    <w:rsid w:val="001049DF"/>
    <w:rsid w:val="00104E89"/>
    <w:rsid w:val="00104ED5"/>
    <w:rsid w:val="001056D6"/>
    <w:rsid w:val="0010575C"/>
    <w:rsid w:val="00105822"/>
    <w:rsid w:val="001058FE"/>
    <w:rsid w:val="00105BC1"/>
    <w:rsid w:val="00105E64"/>
    <w:rsid w:val="00105EF2"/>
    <w:rsid w:val="00106B2E"/>
    <w:rsid w:val="00106B63"/>
    <w:rsid w:val="0010728B"/>
    <w:rsid w:val="001078E1"/>
    <w:rsid w:val="00107C99"/>
    <w:rsid w:val="00107DBA"/>
    <w:rsid w:val="001116CB"/>
    <w:rsid w:val="001119C6"/>
    <w:rsid w:val="00112151"/>
    <w:rsid w:val="00112843"/>
    <w:rsid w:val="001151F6"/>
    <w:rsid w:val="0011528B"/>
    <w:rsid w:val="00115388"/>
    <w:rsid w:val="0011622A"/>
    <w:rsid w:val="001166D7"/>
    <w:rsid w:val="00116C47"/>
    <w:rsid w:val="00117629"/>
    <w:rsid w:val="0011770C"/>
    <w:rsid w:val="00117AE5"/>
    <w:rsid w:val="00120262"/>
    <w:rsid w:val="00120358"/>
    <w:rsid w:val="001212FD"/>
    <w:rsid w:val="00121365"/>
    <w:rsid w:val="00121F71"/>
    <w:rsid w:val="00122443"/>
    <w:rsid w:val="001226D1"/>
    <w:rsid w:val="00123075"/>
    <w:rsid w:val="001230B8"/>
    <w:rsid w:val="001231E8"/>
    <w:rsid w:val="00123BF9"/>
    <w:rsid w:val="001244F6"/>
    <w:rsid w:val="0012507F"/>
    <w:rsid w:val="00125480"/>
    <w:rsid w:val="00125D71"/>
    <w:rsid w:val="00126325"/>
    <w:rsid w:val="001265FC"/>
    <w:rsid w:val="0012673D"/>
    <w:rsid w:val="00126FA9"/>
    <w:rsid w:val="0012731F"/>
    <w:rsid w:val="0012738B"/>
    <w:rsid w:val="001279C5"/>
    <w:rsid w:val="00127BD3"/>
    <w:rsid w:val="00130DFC"/>
    <w:rsid w:val="001310F9"/>
    <w:rsid w:val="00131451"/>
    <w:rsid w:val="00131938"/>
    <w:rsid w:val="001327FD"/>
    <w:rsid w:val="00132C6B"/>
    <w:rsid w:val="0013305F"/>
    <w:rsid w:val="00133180"/>
    <w:rsid w:val="00133556"/>
    <w:rsid w:val="001335D4"/>
    <w:rsid w:val="00133613"/>
    <w:rsid w:val="00133DA9"/>
    <w:rsid w:val="00134A30"/>
    <w:rsid w:val="00135122"/>
    <w:rsid w:val="00136FAF"/>
    <w:rsid w:val="001377BF"/>
    <w:rsid w:val="00140084"/>
    <w:rsid w:val="00140D73"/>
    <w:rsid w:val="001410F3"/>
    <w:rsid w:val="001419EC"/>
    <w:rsid w:val="00141AE4"/>
    <w:rsid w:val="00142217"/>
    <w:rsid w:val="001424F9"/>
    <w:rsid w:val="00142ABA"/>
    <w:rsid w:val="0014308E"/>
    <w:rsid w:val="00143433"/>
    <w:rsid w:val="0014387A"/>
    <w:rsid w:val="00143C07"/>
    <w:rsid w:val="00143D73"/>
    <w:rsid w:val="00143FE3"/>
    <w:rsid w:val="001447A2"/>
    <w:rsid w:val="0014485B"/>
    <w:rsid w:val="00144984"/>
    <w:rsid w:val="00146240"/>
    <w:rsid w:val="0014653B"/>
    <w:rsid w:val="0015051E"/>
    <w:rsid w:val="00150A5A"/>
    <w:rsid w:val="00150F66"/>
    <w:rsid w:val="0015147F"/>
    <w:rsid w:val="00151865"/>
    <w:rsid w:val="00152369"/>
    <w:rsid w:val="00152865"/>
    <w:rsid w:val="00152E3E"/>
    <w:rsid w:val="00152F96"/>
    <w:rsid w:val="00153260"/>
    <w:rsid w:val="001534A0"/>
    <w:rsid w:val="0015365A"/>
    <w:rsid w:val="001543CB"/>
    <w:rsid w:val="0015452B"/>
    <w:rsid w:val="00155092"/>
    <w:rsid w:val="001550A0"/>
    <w:rsid w:val="00155F7A"/>
    <w:rsid w:val="00156AE8"/>
    <w:rsid w:val="00156E13"/>
    <w:rsid w:val="0015707C"/>
    <w:rsid w:val="00157301"/>
    <w:rsid w:val="00157A33"/>
    <w:rsid w:val="00157B64"/>
    <w:rsid w:val="00157EA7"/>
    <w:rsid w:val="00160270"/>
    <w:rsid w:val="001605C8"/>
    <w:rsid w:val="001606DF"/>
    <w:rsid w:val="00161C92"/>
    <w:rsid w:val="0016227B"/>
    <w:rsid w:val="00162908"/>
    <w:rsid w:val="0016306F"/>
    <w:rsid w:val="0016312E"/>
    <w:rsid w:val="00163174"/>
    <w:rsid w:val="0016393A"/>
    <w:rsid w:val="00163EE7"/>
    <w:rsid w:val="001642A3"/>
    <w:rsid w:val="001645CA"/>
    <w:rsid w:val="0016502E"/>
    <w:rsid w:val="00165113"/>
    <w:rsid w:val="001652BE"/>
    <w:rsid w:val="00165388"/>
    <w:rsid w:val="0016642F"/>
    <w:rsid w:val="001664DA"/>
    <w:rsid w:val="00166580"/>
    <w:rsid w:val="001665F0"/>
    <w:rsid w:val="0016686F"/>
    <w:rsid w:val="00166E12"/>
    <w:rsid w:val="00166E49"/>
    <w:rsid w:val="00167227"/>
    <w:rsid w:val="001673F8"/>
    <w:rsid w:val="00167AF0"/>
    <w:rsid w:val="001709B7"/>
    <w:rsid w:val="00171D4C"/>
    <w:rsid w:val="0017248D"/>
    <w:rsid w:val="00172B8E"/>
    <w:rsid w:val="0017315E"/>
    <w:rsid w:val="001731FC"/>
    <w:rsid w:val="00173234"/>
    <w:rsid w:val="001750E5"/>
    <w:rsid w:val="0017646C"/>
    <w:rsid w:val="00176801"/>
    <w:rsid w:val="0017699C"/>
    <w:rsid w:val="00176B3C"/>
    <w:rsid w:val="00176C8A"/>
    <w:rsid w:val="00177C23"/>
    <w:rsid w:val="00177F4E"/>
    <w:rsid w:val="0018002B"/>
    <w:rsid w:val="001800F3"/>
    <w:rsid w:val="001804EF"/>
    <w:rsid w:val="00180923"/>
    <w:rsid w:val="00180BA7"/>
    <w:rsid w:val="001812A9"/>
    <w:rsid w:val="00181627"/>
    <w:rsid w:val="00181662"/>
    <w:rsid w:val="001818AE"/>
    <w:rsid w:val="00181AB2"/>
    <w:rsid w:val="00181DCC"/>
    <w:rsid w:val="001820D1"/>
    <w:rsid w:val="00182EAB"/>
    <w:rsid w:val="00183ADF"/>
    <w:rsid w:val="001848FA"/>
    <w:rsid w:val="0018493C"/>
    <w:rsid w:val="00184D07"/>
    <w:rsid w:val="00185286"/>
    <w:rsid w:val="001854DD"/>
    <w:rsid w:val="00185DFF"/>
    <w:rsid w:val="00185FA9"/>
    <w:rsid w:val="00187023"/>
    <w:rsid w:val="00187125"/>
    <w:rsid w:val="0018745B"/>
    <w:rsid w:val="001875D1"/>
    <w:rsid w:val="001904D2"/>
    <w:rsid w:val="00190A00"/>
    <w:rsid w:val="001912E7"/>
    <w:rsid w:val="001914D0"/>
    <w:rsid w:val="00192563"/>
    <w:rsid w:val="0019268C"/>
    <w:rsid w:val="00192762"/>
    <w:rsid w:val="0019290F"/>
    <w:rsid w:val="001943CB"/>
    <w:rsid w:val="001945B4"/>
    <w:rsid w:val="0019469B"/>
    <w:rsid w:val="00194E37"/>
    <w:rsid w:val="00194EE0"/>
    <w:rsid w:val="001A03E0"/>
    <w:rsid w:val="001A0929"/>
    <w:rsid w:val="001A094D"/>
    <w:rsid w:val="001A0A66"/>
    <w:rsid w:val="001A172B"/>
    <w:rsid w:val="001A1A61"/>
    <w:rsid w:val="001A2144"/>
    <w:rsid w:val="001A21DB"/>
    <w:rsid w:val="001A2254"/>
    <w:rsid w:val="001A2702"/>
    <w:rsid w:val="001A2C51"/>
    <w:rsid w:val="001A2C64"/>
    <w:rsid w:val="001A2FE2"/>
    <w:rsid w:val="001A3707"/>
    <w:rsid w:val="001A4AF1"/>
    <w:rsid w:val="001A5E4B"/>
    <w:rsid w:val="001A6252"/>
    <w:rsid w:val="001A62E2"/>
    <w:rsid w:val="001A6C17"/>
    <w:rsid w:val="001A6C26"/>
    <w:rsid w:val="001A70F3"/>
    <w:rsid w:val="001A7303"/>
    <w:rsid w:val="001A740B"/>
    <w:rsid w:val="001A7487"/>
    <w:rsid w:val="001A798F"/>
    <w:rsid w:val="001A7EC3"/>
    <w:rsid w:val="001B06CD"/>
    <w:rsid w:val="001B0A6C"/>
    <w:rsid w:val="001B0CBA"/>
    <w:rsid w:val="001B155B"/>
    <w:rsid w:val="001B2BB3"/>
    <w:rsid w:val="001B2F31"/>
    <w:rsid w:val="001B34FA"/>
    <w:rsid w:val="001B379D"/>
    <w:rsid w:val="001B4940"/>
    <w:rsid w:val="001B4A6B"/>
    <w:rsid w:val="001B4EE1"/>
    <w:rsid w:val="001B5251"/>
    <w:rsid w:val="001B5535"/>
    <w:rsid w:val="001B5AFB"/>
    <w:rsid w:val="001B6306"/>
    <w:rsid w:val="001B64E3"/>
    <w:rsid w:val="001B65B8"/>
    <w:rsid w:val="001B696C"/>
    <w:rsid w:val="001B6CB4"/>
    <w:rsid w:val="001B6FE1"/>
    <w:rsid w:val="001B7348"/>
    <w:rsid w:val="001B7B98"/>
    <w:rsid w:val="001B7E95"/>
    <w:rsid w:val="001C05E0"/>
    <w:rsid w:val="001C0980"/>
    <w:rsid w:val="001C0C41"/>
    <w:rsid w:val="001C1A2F"/>
    <w:rsid w:val="001C202D"/>
    <w:rsid w:val="001C20EF"/>
    <w:rsid w:val="001C2850"/>
    <w:rsid w:val="001C320A"/>
    <w:rsid w:val="001C332E"/>
    <w:rsid w:val="001C342F"/>
    <w:rsid w:val="001C3508"/>
    <w:rsid w:val="001C3976"/>
    <w:rsid w:val="001C3FB0"/>
    <w:rsid w:val="001C4047"/>
    <w:rsid w:val="001C4060"/>
    <w:rsid w:val="001C4265"/>
    <w:rsid w:val="001C44C6"/>
    <w:rsid w:val="001C49C6"/>
    <w:rsid w:val="001C4D6D"/>
    <w:rsid w:val="001C4DE2"/>
    <w:rsid w:val="001C4E2E"/>
    <w:rsid w:val="001C52EB"/>
    <w:rsid w:val="001C66EE"/>
    <w:rsid w:val="001C682A"/>
    <w:rsid w:val="001C6C58"/>
    <w:rsid w:val="001C7264"/>
    <w:rsid w:val="001C7403"/>
    <w:rsid w:val="001D0108"/>
    <w:rsid w:val="001D0149"/>
    <w:rsid w:val="001D0615"/>
    <w:rsid w:val="001D069C"/>
    <w:rsid w:val="001D0B63"/>
    <w:rsid w:val="001D199A"/>
    <w:rsid w:val="001D3061"/>
    <w:rsid w:val="001D3504"/>
    <w:rsid w:val="001D3B67"/>
    <w:rsid w:val="001D4075"/>
    <w:rsid w:val="001D4798"/>
    <w:rsid w:val="001D4D2B"/>
    <w:rsid w:val="001D50CC"/>
    <w:rsid w:val="001D5CD6"/>
    <w:rsid w:val="001D61D9"/>
    <w:rsid w:val="001D61DC"/>
    <w:rsid w:val="001D623E"/>
    <w:rsid w:val="001D6281"/>
    <w:rsid w:val="001D6729"/>
    <w:rsid w:val="001D69D3"/>
    <w:rsid w:val="001D6F1C"/>
    <w:rsid w:val="001D77D0"/>
    <w:rsid w:val="001D783A"/>
    <w:rsid w:val="001D7AEE"/>
    <w:rsid w:val="001D7EEA"/>
    <w:rsid w:val="001E0BD7"/>
    <w:rsid w:val="001E0FEE"/>
    <w:rsid w:val="001E2433"/>
    <w:rsid w:val="001E2914"/>
    <w:rsid w:val="001E2A98"/>
    <w:rsid w:val="001E2D9E"/>
    <w:rsid w:val="001E3139"/>
    <w:rsid w:val="001E44D7"/>
    <w:rsid w:val="001E5715"/>
    <w:rsid w:val="001E5DF9"/>
    <w:rsid w:val="001E5E8E"/>
    <w:rsid w:val="001E6E6B"/>
    <w:rsid w:val="001E75BF"/>
    <w:rsid w:val="001E7B68"/>
    <w:rsid w:val="001E7D0F"/>
    <w:rsid w:val="001F01CD"/>
    <w:rsid w:val="001F02EE"/>
    <w:rsid w:val="001F070D"/>
    <w:rsid w:val="001F1D38"/>
    <w:rsid w:val="001F3C51"/>
    <w:rsid w:val="001F3CDC"/>
    <w:rsid w:val="001F69BE"/>
    <w:rsid w:val="001F6B1B"/>
    <w:rsid w:val="001F6CCB"/>
    <w:rsid w:val="001F7327"/>
    <w:rsid w:val="001F74A0"/>
    <w:rsid w:val="001F7620"/>
    <w:rsid w:val="001F79AF"/>
    <w:rsid w:val="00200471"/>
    <w:rsid w:val="002007D5"/>
    <w:rsid w:val="00200BF9"/>
    <w:rsid w:val="00200F22"/>
    <w:rsid w:val="00201269"/>
    <w:rsid w:val="00201571"/>
    <w:rsid w:val="0020165B"/>
    <w:rsid w:val="00202AF9"/>
    <w:rsid w:val="002032AE"/>
    <w:rsid w:val="00203360"/>
    <w:rsid w:val="00203B22"/>
    <w:rsid w:val="00203BCC"/>
    <w:rsid w:val="00203C6F"/>
    <w:rsid w:val="0020448F"/>
    <w:rsid w:val="00204DED"/>
    <w:rsid w:val="00204F41"/>
    <w:rsid w:val="002053FB"/>
    <w:rsid w:val="00205CB6"/>
    <w:rsid w:val="00205D77"/>
    <w:rsid w:val="00205DAE"/>
    <w:rsid w:val="00206740"/>
    <w:rsid w:val="00206F77"/>
    <w:rsid w:val="00207466"/>
    <w:rsid w:val="00207995"/>
    <w:rsid w:val="00210101"/>
    <w:rsid w:val="00210789"/>
    <w:rsid w:val="002114BA"/>
    <w:rsid w:val="00211B72"/>
    <w:rsid w:val="002120D9"/>
    <w:rsid w:val="00212348"/>
    <w:rsid w:val="0021260B"/>
    <w:rsid w:val="00212C03"/>
    <w:rsid w:val="00212E6C"/>
    <w:rsid w:val="00212F36"/>
    <w:rsid w:val="00214495"/>
    <w:rsid w:val="002147D0"/>
    <w:rsid w:val="00214877"/>
    <w:rsid w:val="00214B62"/>
    <w:rsid w:val="00214F0F"/>
    <w:rsid w:val="002156FE"/>
    <w:rsid w:val="002157BC"/>
    <w:rsid w:val="00215871"/>
    <w:rsid w:val="00216530"/>
    <w:rsid w:val="00216DD1"/>
    <w:rsid w:val="00217080"/>
    <w:rsid w:val="00217A6C"/>
    <w:rsid w:val="00217D3B"/>
    <w:rsid w:val="00220D66"/>
    <w:rsid w:val="00222411"/>
    <w:rsid w:val="002225D6"/>
    <w:rsid w:val="00222725"/>
    <w:rsid w:val="00222C07"/>
    <w:rsid w:val="00222C39"/>
    <w:rsid w:val="00223518"/>
    <w:rsid w:val="002238F3"/>
    <w:rsid w:val="002239D2"/>
    <w:rsid w:val="00224D4F"/>
    <w:rsid w:val="0022511A"/>
    <w:rsid w:val="00225A74"/>
    <w:rsid w:val="00225AD5"/>
    <w:rsid w:val="00225DEC"/>
    <w:rsid w:val="0022609D"/>
    <w:rsid w:val="002266E8"/>
    <w:rsid w:val="00226734"/>
    <w:rsid w:val="002275AA"/>
    <w:rsid w:val="002277BE"/>
    <w:rsid w:val="002301B9"/>
    <w:rsid w:val="00230F12"/>
    <w:rsid w:val="00231875"/>
    <w:rsid w:val="002322E1"/>
    <w:rsid w:val="00232794"/>
    <w:rsid w:val="00232894"/>
    <w:rsid w:val="00232F6E"/>
    <w:rsid w:val="002331E6"/>
    <w:rsid w:val="00233530"/>
    <w:rsid w:val="00233F05"/>
    <w:rsid w:val="00234AC3"/>
    <w:rsid w:val="00234CF2"/>
    <w:rsid w:val="00235C9A"/>
    <w:rsid w:val="00235D5B"/>
    <w:rsid w:val="00236223"/>
    <w:rsid w:val="00236359"/>
    <w:rsid w:val="0023696E"/>
    <w:rsid w:val="00236B0F"/>
    <w:rsid w:val="00236B58"/>
    <w:rsid w:val="00237159"/>
    <w:rsid w:val="0023724D"/>
    <w:rsid w:val="00240240"/>
    <w:rsid w:val="002405C9"/>
    <w:rsid w:val="00240C70"/>
    <w:rsid w:val="002414B9"/>
    <w:rsid w:val="00241647"/>
    <w:rsid w:val="0024260C"/>
    <w:rsid w:val="00242A5A"/>
    <w:rsid w:val="00243047"/>
    <w:rsid w:val="0024356B"/>
    <w:rsid w:val="00243D97"/>
    <w:rsid w:val="002443C1"/>
    <w:rsid w:val="002445E4"/>
    <w:rsid w:val="00244F66"/>
    <w:rsid w:val="00245005"/>
    <w:rsid w:val="00245386"/>
    <w:rsid w:val="00245705"/>
    <w:rsid w:val="00245835"/>
    <w:rsid w:val="002458C0"/>
    <w:rsid w:val="0024689E"/>
    <w:rsid w:val="00246DDE"/>
    <w:rsid w:val="00246E62"/>
    <w:rsid w:val="00246F45"/>
    <w:rsid w:val="00247088"/>
    <w:rsid w:val="00247225"/>
    <w:rsid w:val="002473E5"/>
    <w:rsid w:val="002479E6"/>
    <w:rsid w:val="00247BF2"/>
    <w:rsid w:val="002505AA"/>
    <w:rsid w:val="00250913"/>
    <w:rsid w:val="00251588"/>
    <w:rsid w:val="00251E63"/>
    <w:rsid w:val="002523DD"/>
    <w:rsid w:val="002529F9"/>
    <w:rsid w:val="00254CC7"/>
    <w:rsid w:val="00254DB7"/>
    <w:rsid w:val="0025500C"/>
    <w:rsid w:val="0025562C"/>
    <w:rsid w:val="00255728"/>
    <w:rsid w:val="0025661A"/>
    <w:rsid w:val="002566F4"/>
    <w:rsid w:val="00256A91"/>
    <w:rsid w:val="00256B84"/>
    <w:rsid w:val="002578BE"/>
    <w:rsid w:val="00257B68"/>
    <w:rsid w:val="00257D7A"/>
    <w:rsid w:val="00257D7F"/>
    <w:rsid w:val="00261251"/>
    <w:rsid w:val="002612BB"/>
    <w:rsid w:val="002615BE"/>
    <w:rsid w:val="002619AE"/>
    <w:rsid w:val="00261FFB"/>
    <w:rsid w:val="00262303"/>
    <w:rsid w:val="0026299E"/>
    <w:rsid w:val="00262D9D"/>
    <w:rsid w:val="00262E17"/>
    <w:rsid w:val="00262F12"/>
    <w:rsid w:val="00263565"/>
    <w:rsid w:val="0026368E"/>
    <w:rsid w:val="002636C2"/>
    <w:rsid w:val="00263996"/>
    <w:rsid w:val="00263CAE"/>
    <w:rsid w:val="002643C9"/>
    <w:rsid w:val="0026474F"/>
    <w:rsid w:val="00264BBC"/>
    <w:rsid w:val="002654B4"/>
    <w:rsid w:val="00265B97"/>
    <w:rsid w:val="00265E3B"/>
    <w:rsid w:val="00265E9B"/>
    <w:rsid w:val="00266154"/>
    <w:rsid w:val="00266A2C"/>
    <w:rsid w:val="00266E41"/>
    <w:rsid w:val="00270752"/>
    <w:rsid w:val="00271008"/>
    <w:rsid w:val="00272436"/>
    <w:rsid w:val="00272BE4"/>
    <w:rsid w:val="00273249"/>
    <w:rsid w:val="00273703"/>
    <w:rsid w:val="00273BB2"/>
    <w:rsid w:val="00273D04"/>
    <w:rsid w:val="00273DAB"/>
    <w:rsid w:val="002741B7"/>
    <w:rsid w:val="0027420D"/>
    <w:rsid w:val="002745D1"/>
    <w:rsid w:val="00274627"/>
    <w:rsid w:val="00274BCB"/>
    <w:rsid w:val="0027519F"/>
    <w:rsid w:val="00275795"/>
    <w:rsid w:val="00275A67"/>
    <w:rsid w:val="00275E67"/>
    <w:rsid w:val="002760D9"/>
    <w:rsid w:val="0027735A"/>
    <w:rsid w:val="002773A2"/>
    <w:rsid w:val="00277407"/>
    <w:rsid w:val="002777B3"/>
    <w:rsid w:val="00280077"/>
    <w:rsid w:val="0028030E"/>
    <w:rsid w:val="00280760"/>
    <w:rsid w:val="00282416"/>
    <w:rsid w:val="002828E3"/>
    <w:rsid w:val="00282ED7"/>
    <w:rsid w:val="00283129"/>
    <w:rsid w:val="002835D4"/>
    <w:rsid w:val="002836D8"/>
    <w:rsid w:val="002836E3"/>
    <w:rsid w:val="002837F7"/>
    <w:rsid w:val="0028391D"/>
    <w:rsid w:val="00284045"/>
    <w:rsid w:val="00284C81"/>
    <w:rsid w:val="00284CFC"/>
    <w:rsid w:val="002850AA"/>
    <w:rsid w:val="00285178"/>
    <w:rsid w:val="002851DF"/>
    <w:rsid w:val="002852BF"/>
    <w:rsid w:val="00285B5C"/>
    <w:rsid w:val="0028602A"/>
    <w:rsid w:val="002865E9"/>
    <w:rsid w:val="002870FE"/>
    <w:rsid w:val="002871B2"/>
    <w:rsid w:val="00287931"/>
    <w:rsid w:val="00287C4E"/>
    <w:rsid w:val="00290184"/>
    <w:rsid w:val="002906BB"/>
    <w:rsid w:val="00290B60"/>
    <w:rsid w:val="00291162"/>
    <w:rsid w:val="002916A5"/>
    <w:rsid w:val="002917F7"/>
    <w:rsid w:val="00291867"/>
    <w:rsid w:val="00291AC8"/>
    <w:rsid w:val="002924B7"/>
    <w:rsid w:val="00292E87"/>
    <w:rsid w:val="00293723"/>
    <w:rsid w:val="0029372E"/>
    <w:rsid w:val="0029381C"/>
    <w:rsid w:val="002946F7"/>
    <w:rsid w:val="00294AFD"/>
    <w:rsid w:val="002959C2"/>
    <w:rsid w:val="00296254"/>
    <w:rsid w:val="002966A5"/>
    <w:rsid w:val="00296A14"/>
    <w:rsid w:val="00297971"/>
    <w:rsid w:val="002A03EE"/>
    <w:rsid w:val="002A0636"/>
    <w:rsid w:val="002A0795"/>
    <w:rsid w:val="002A1171"/>
    <w:rsid w:val="002A128C"/>
    <w:rsid w:val="002A170D"/>
    <w:rsid w:val="002A33DD"/>
    <w:rsid w:val="002A3EB0"/>
    <w:rsid w:val="002A4D63"/>
    <w:rsid w:val="002A4DFD"/>
    <w:rsid w:val="002A4E55"/>
    <w:rsid w:val="002A5869"/>
    <w:rsid w:val="002A597C"/>
    <w:rsid w:val="002A60E5"/>
    <w:rsid w:val="002A6891"/>
    <w:rsid w:val="002A725D"/>
    <w:rsid w:val="002A744A"/>
    <w:rsid w:val="002A752C"/>
    <w:rsid w:val="002A7644"/>
    <w:rsid w:val="002A77A4"/>
    <w:rsid w:val="002A7C70"/>
    <w:rsid w:val="002A7E0F"/>
    <w:rsid w:val="002B0903"/>
    <w:rsid w:val="002B0969"/>
    <w:rsid w:val="002B1138"/>
    <w:rsid w:val="002B1293"/>
    <w:rsid w:val="002B174E"/>
    <w:rsid w:val="002B19B4"/>
    <w:rsid w:val="002B1E5A"/>
    <w:rsid w:val="002B1EC7"/>
    <w:rsid w:val="002B2225"/>
    <w:rsid w:val="002B2772"/>
    <w:rsid w:val="002B3174"/>
    <w:rsid w:val="002B402B"/>
    <w:rsid w:val="002B48BF"/>
    <w:rsid w:val="002B4F85"/>
    <w:rsid w:val="002B52EE"/>
    <w:rsid w:val="002B5350"/>
    <w:rsid w:val="002B592B"/>
    <w:rsid w:val="002B5B80"/>
    <w:rsid w:val="002B6343"/>
    <w:rsid w:val="002B6509"/>
    <w:rsid w:val="002B75D1"/>
    <w:rsid w:val="002B7A5C"/>
    <w:rsid w:val="002C0058"/>
    <w:rsid w:val="002C03A6"/>
    <w:rsid w:val="002C04CF"/>
    <w:rsid w:val="002C081E"/>
    <w:rsid w:val="002C0986"/>
    <w:rsid w:val="002C0A74"/>
    <w:rsid w:val="002C0C46"/>
    <w:rsid w:val="002C0F7A"/>
    <w:rsid w:val="002C10AF"/>
    <w:rsid w:val="002C202B"/>
    <w:rsid w:val="002C270D"/>
    <w:rsid w:val="002C38C0"/>
    <w:rsid w:val="002C3A53"/>
    <w:rsid w:val="002C3E85"/>
    <w:rsid w:val="002C4594"/>
    <w:rsid w:val="002C4906"/>
    <w:rsid w:val="002C5282"/>
    <w:rsid w:val="002C5393"/>
    <w:rsid w:val="002C5EA0"/>
    <w:rsid w:val="002C669D"/>
    <w:rsid w:val="002C689A"/>
    <w:rsid w:val="002C7CEC"/>
    <w:rsid w:val="002D0892"/>
    <w:rsid w:val="002D0A1A"/>
    <w:rsid w:val="002D1355"/>
    <w:rsid w:val="002D1B64"/>
    <w:rsid w:val="002D1E17"/>
    <w:rsid w:val="002D2DE1"/>
    <w:rsid w:val="002D30E2"/>
    <w:rsid w:val="002D365D"/>
    <w:rsid w:val="002D369B"/>
    <w:rsid w:val="002D3E8E"/>
    <w:rsid w:val="002D4243"/>
    <w:rsid w:val="002D4BCA"/>
    <w:rsid w:val="002D5113"/>
    <w:rsid w:val="002D55F4"/>
    <w:rsid w:val="002D70A3"/>
    <w:rsid w:val="002D7103"/>
    <w:rsid w:val="002E07E7"/>
    <w:rsid w:val="002E0E07"/>
    <w:rsid w:val="002E0F6E"/>
    <w:rsid w:val="002E11EF"/>
    <w:rsid w:val="002E1204"/>
    <w:rsid w:val="002E12C5"/>
    <w:rsid w:val="002E1699"/>
    <w:rsid w:val="002E16DF"/>
    <w:rsid w:val="002E18C7"/>
    <w:rsid w:val="002E1AC7"/>
    <w:rsid w:val="002E1ACF"/>
    <w:rsid w:val="002E2857"/>
    <w:rsid w:val="002E2F30"/>
    <w:rsid w:val="002E2F86"/>
    <w:rsid w:val="002E3116"/>
    <w:rsid w:val="002E4041"/>
    <w:rsid w:val="002E46B8"/>
    <w:rsid w:val="002E4A03"/>
    <w:rsid w:val="002E4B96"/>
    <w:rsid w:val="002E5794"/>
    <w:rsid w:val="002E57CF"/>
    <w:rsid w:val="002E5886"/>
    <w:rsid w:val="002E58E2"/>
    <w:rsid w:val="002E691F"/>
    <w:rsid w:val="002E69B1"/>
    <w:rsid w:val="002E69EC"/>
    <w:rsid w:val="002E6AA3"/>
    <w:rsid w:val="002E6FAE"/>
    <w:rsid w:val="002E6FF4"/>
    <w:rsid w:val="002F01AB"/>
    <w:rsid w:val="002F067D"/>
    <w:rsid w:val="002F0921"/>
    <w:rsid w:val="002F100C"/>
    <w:rsid w:val="002F1105"/>
    <w:rsid w:val="002F111F"/>
    <w:rsid w:val="002F1748"/>
    <w:rsid w:val="002F1884"/>
    <w:rsid w:val="002F1FCA"/>
    <w:rsid w:val="002F2257"/>
    <w:rsid w:val="002F366F"/>
    <w:rsid w:val="002F3977"/>
    <w:rsid w:val="002F3E82"/>
    <w:rsid w:val="002F3F20"/>
    <w:rsid w:val="002F3F8F"/>
    <w:rsid w:val="002F3F93"/>
    <w:rsid w:val="002F484B"/>
    <w:rsid w:val="002F5DDC"/>
    <w:rsid w:val="002F6CF6"/>
    <w:rsid w:val="002F7BDE"/>
    <w:rsid w:val="003000FD"/>
    <w:rsid w:val="003004B2"/>
    <w:rsid w:val="00300FBF"/>
    <w:rsid w:val="00301214"/>
    <w:rsid w:val="00301F00"/>
    <w:rsid w:val="00302557"/>
    <w:rsid w:val="003030B1"/>
    <w:rsid w:val="003031D7"/>
    <w:rsid w:val="0030357F"/>
    <w:rsid w:val="00303B2E"/>
    <w:rsid w:val="00304350"/>
    <w:rsid w:val="00304876"/>
    <w:rsid w:val="003054B5"/>
    <w:rsid w:val="0030559B"/>
    <w:rsid w:val="00305F51"/>
    <w:rsid w:val="00306E83"/>
    <w:rsid w:val="00307305"/>
    <w:rsid w:val="00307396"/>
    <w:rsid w:val="003074AC"/>
    <w:rsid w:val="0030786A"/>
    <w:rsid w:val="00307BD0"/>
    <w:rsid w:val="00307E01"/>
    <w:rsid w:val="00307EA0"/>
    <w:rsid w:val="00310450"/>
    <w:rsid w:val="003107D7"/>
    <w:rsid w:val="00310885"/>
    <w:rsid w:val="00310F58"/>
    <w:rsid w:val="0031135F"/>
    <w:rsid w:val="00311BC6"/>
    <w:rsid w:val="00311C20"/>
    <w:rsid w:val="00311E7A"/>
    <w:rsid w:val="003122AD"/>
    <w:rsid w:val="0031308D"/>
    <w:rsid w:val="003148CE"/>
    <w:rsid w:val="00314DCE"/>
    <w:rsid w:val="003152CB"/>
    <w:rsid w:val="0031613A"/>
    <w:rsid w:val="00316738"/>
    <w:rsid w:val="00316968"/>
    <w:rsid w:val="00316D97"/>
    <w:rsid w:val="003174A7"/>
    <w:rsid w:val="00317596"/>
    <w:rsid w:val="00317859"/>
    <w:rsid w:val="0031790C"/>
    <w:rsid w:val="00317B30"/>
    <w:rsid w:val="003201D2"/>
    <w:rsid w:val="003204F0"/>
    <w:rsid w:val="00320E77"/>
    <w:rsid w:val="00321986"/>
    <w:rsid w:val="003221C5"/>
    <w:rsid w:val="00322369"/>
    <w:rsid w:val="00322744"/>
    <w:rsid w:val="00322EC4"/>
    <w:rsid w:val="00323362"/>
    <w:rsid w:val="00323540"/>
    <w:rsid w:val="003235CA"/>
    <w:rsid w:val="00323694"/>
    <w:rsid w:val="00323AFC"/>
    <w:rsid w:val="00323C10"/>
    <w:rsid w:val="003251B6"/>
    <w:rsid w:val="0032534B"/>
    <w:rsid w:val="003257B5"/>
    <w:rsid w:val="003261BE"/>
    <w:rsid w:val="003267EC"/>
    <w:rsid w:val="00326DC0"/>
    <w:rsid w:val="003270DC"/>
    <w:rsid w:val="003271A8"/>
    <w:rsid w:val="003271D7"/>
    <w:rsid w:val="003272DB"/>
    <w:rsid w:val="00330203"/>
    <w:rsid w:val="0033029A"/>
    <w:rsid w:val="00330F9F"/>
    <w:rsid w:val="003310A7"/>
    <w:rsid w:val="00332789"/>
    <w:rsid w:val="003328A8"/>
    <w:rsid w:val="00332937"/>
    <w:rsid w:val="00332D19"/>
    <w:rsid w:val="003330C8"/>
    <w:rsid w:val="0033317F"/>
    <w:rsid w:val="003335F7"/>
    <w:rsid w:val="00333D45"/>
    <w:rsid w:val="003342C4"/>
    <w:rsid w:val="0033644E"/>
    <w:rsid w:val="00336C26"/>
    <w:rsid w:val="00336FC2"/>
    <w:rsid w:val="003370B1"/>
    <w:rsid w:val="003370C3"/>
    <w:rsid w:val="003378D4"/>
    <w:rsid w:val="00337FF6"/>
    <w:rsid w:val="00340912"/>
    <w:rsid w:val="00340D51"/>
    <w:rsid w:val="00341DF9"/>
    <w:rsid w:val="00342C62"/>
    <w:rsid w:val="0034329B"/>
    <w:rsid w:val="00343741"/>
    <w:rsid w:val="00343A7D"/>
    <w:rsid w:val="0034411E"/>
    <w:rsid w:val="00344FFD"/>
    <w:rsid w:val="00345E8B"/>
    <w:rsid w:val="003461B2"/>
    <w:rsid w:val="00346493"/>
    <w:rsid w:val="003464CD"/>
    <w:rsid w:val="003466B9"/>
    <w:rsid w:val="00346F7D"/>
    <w:rsid w:val="00347244"/>
    <w:rsid w:val="00347700"/>
    <w:rsid w:val="003478B9"/>
    <w:rsid w:val="00347D1F"/>
    <w:rsid w:val="00347E7A"/>
    <w:rsid w:val="00350212"/>
    <w:rsid w:val="00350ADC"/>
    <w:rsid w:val="003510CC"/>
    <w:rsid w:val="00351192"/>
    <w:rsid w:val="0035146C"/>
    <w:rsid w:val="003518A0"/>
    <w:rsid w:val="003519EA"/>
    <w:rsid w:val="00352510"/>
    <w:rsid w:val="00353684"/>
    <w:rsid w:val="00353B6A"/>
    <w:rsid w:val="00353DE2"/>
    <w:rsid w:val="00354380"/>
    <w:rsid w:val="003554E8"/>
    <w:rsid w:val="003555D1"/>
    <w:rsid w:val="00355787"/>
    <w:rsid w:val="00355EB1"/>
    <w:rsid w:val="003562A6"/>
    <w:rsid w:val="00357C8D"/>
    <w:rsid w:val="00357ECE"/>
    <w:rsid w:val="003607B0"/>
    <w:rsid w:val="00360D35"/>
    <w:rsid w:val="003610F8"/>
    <w:rsid w:val="00361917"/>
    <w:rsid w:val="003619FE"/>
    <w:rsid w:val="00361CC6"/>
    <w:rsid w:val="00362DEC"/>
    <w:rsid w:val="00363275"/>
    <w:rsid w:val="00363442"/>
    <w:rsid w:val="0036441D"/>
    <w:rsid w:val="0036674D"/>
    <w:rsid w:val="00366B73"/>
    <w:rsid w:val="00367D83"/>
    <w:rsid w:val="00367E9C"/>
    <w:rsid w:val="003701EE"/>
    <w:rsid w:val="003705A9"/>
    <w:rsid w:val="003707FF"/>
    <w:rsid w:val="00370E0B"/>
    <w:rsid w:val="003719BE"/>
    <w:rsid w:val="00371A6D"/>
    <w:rsid w:val="00371BE2"/>
    <w:rsid w:val="00372252"/>
    <w:rsid w:val="003724C0"/>
    <w:rsid w:val="003724D9"/>
    <w:rsid w:val="00373352"/>
    <w:rsid w:val="00373413"/>
    <w:rsid w:val="00374122"/>
    <w:rsid w:val="0037495F"/>
    <w:rsid w:val="00374C28"/>
    <w:rsid w:val="00374F0F"/>
    <w:rsid w:val="00375181"/>
    <w:rsid w:val="0037565E"/>
    <w:rsid w:val="00375CE7"/>
    <w:rsid w:val="00375F51"/>
    <w:rsid w:val="003761B9"/>
    <w:rsid w:val="00376324"/>
    <w:rsid w:val="00376F76"/>
    <w:rsid w:val="003771A7"/>
    <w:rsid w:val="00380F97"/>
    <w:rsid w:val="00381075"/>
    <w:rsid w:val="00381301"/>
    <w:rsid w:val="00381704"/>
    <w:rsid w:val="0038190E"/>
    <w:rsid w:val="00382797"/>
    <w:rsid w:val="00382892"/>
    <w:rsid w:val="0038309D"/>
    <w:rsid w:val="00383672"/>
    <w:rsid w:val="00383FC5"/>
    <w:rsid w:val="00384355"/>
    <w:rsid w:val="003847D4"/>
    <w:rsid w:val="0038480D"/>
    <w:rsid w:val="00384B60"/>
    <w:rsid w:val="00384D16"/>
    <w:rsid w:val="00385201"/>
    <w:rsid w:val="003854E9"/>
    <w:rsid w:val="0038550C"/>
    <w:rsid w:val="0038585F"/>
    <w:rsid w:val="003859C2"/>
    <w:rsid w:val="00385A32"/>
    <w:rsid w:val="00386C1F"/>
    <w:rsid w:val="00386C95"/>
    <w:rsid w:val="00386CC7"/>
    <w:rsid w:val="00386CE5"/>
    <w:rsid w:val="00386D28"/>
    <w:rsid w:val="00387906"/>
    <w:rsid w:val="00390290"/>
    <w:rsid w:val="00390D4B"/>
    <w:rsid w:val="003919FD"/>
    <w:rsid w:val="00392ADB"/>
    <w:rsid w:val="00393505"/>
    <w:rsid w:val="003936BD"/>
    <w:rsid w:val="00393F07"/>
    <w:rsid w:val="00394172"/>
    <w:rsid w:val="003942E0"/>
    <w:rsid w:val="00394364"/>
    <w:rsid w:val="0039586F"/>
    <w:rsid w:val="003963EA"/>
    <w:rsid w:val="00396B2A"/>
    <w:rsid w:val="00396C5E"/>
    <w:rsid w:val="00396E2C"/>
    <w:rsid w:val="0039745B"/>
    <w:rsid w:val="003978D7"/>
    <w:rsid w:val="003A049B"/>
    <w:rsid w:val="003A0525"/>
    <w:rsid w:val="003A056A"/>
    <w:rsid w:val="003A0600"/>
    <w:rsid w:val="003A0E54"/>
    <w:rsid w:val="003A16E2"/>
    <w:rsid w:val="003A1BE3"/>
    <w:rsid w:val="003A1E4E"/>
    <w:rsid w:val="003A26A5"/>
    <w:rsid w:val="003A2736"/>
    <w:rsid w:val="003A2F09"/>
    <w:rsid w:val="003A3478"/>
    <w:rsid w:val="003A35A0"/>
    <w:rsid w:val="003A4938"/>
    <w:rsid w:val="003A4B59"/>
    <w:rsid w:val="003A4F98"/>
    <w:rsid w:val="003A581E"/>
    <w:rsid w:val="003A5C8B"/>
    <w:rsid w:val="003A6B13"/>
    <w:rsid w:val="003A6E3F"/>
    <w:rsid w:val="003A7009"/>
    <w:rsid w:val="003A7F5E"/>
    <w:rsid w:val="003B0B4D"/>
    <w:rsid w:val="003B1204"/>
    <w:rsid w:val="003B37D6"/>
    <w:rsid w:val="003B386D"/>
    <w:rsid w:val="003B46DE"/>
    <w:rsid w:val="003B4ADA"/>
    <w:rsid w:val="003B4B8E"/>
    <w:rsid w:val="003B4DDE"/>
    <w:rsid w:val="003B4DF6"/>
    <w:rsid w:val="003B5933"/>
    <w:rsid w:val="003B6264"/>
    <w:rsid w:val="003B6B40"/>
    <w:rsid w:val="003B6CF2"/>
    <w:rsid w:val="003B6D7F"/>
    <w:rsid w:val="003B77C7"/>
    <w:rsid w:val="003B7EE4"/>
    <w:rsid w:val="003C01A8"/>
    <w:rsid w:val="003C1888"/>
    <w:rsid w:val="003C227B"/>
    <w:rsid w:val="003C24B4"/>
    <w:rsid w:val="003C2EB5"/>
    <w:rsid w:val="003C33AA"/>
    <w:rsid w:val="003C38CF"/>
    <w:rsid w:val="003C3BBD"/>
    <w:rsid w:val="003C430A"/>
    <w:rsid w:val="003C470A"/>
    <w:rsid w:val="003C4A7E"/>
    <w:rsid w:val="003C4B01"/>
    <w:rsid w:val="003C54FE"/>
    <w:rsid w:val="003C55F5"/>
    <w:rsid w:val="003C68D5"/>
    <w:rsid w:val="003C71D7"/>
    <w:rsid w:val="003C77C3"/>
    <w:rsid w:val="003C7F8C"/>
    <w:rsid w:val="003D0F04"/>
    <w:rsid w:val="003D1772"/>
    <w:rsid w:val="003D19CC"/>
    <w:rsid w:val="003D2341"/>
    <w:rsid w:val="003D26E2"/>
    <w:rsid w:val="003D3585"/>
    <w:rsid w:val="003D365C"/>
    <w:rsid w:val="003D3B3E"/>
    <w:rsid w:val="003D3C6E"/>
    <w:rsid w:val="003D472F"/>
    <w:rsid w:val="003D4D9A"/>
    <w:rsid w:val="003D56F2"/>
    <w:rsid w:val="003D5A66"/>
    <w:rsid w:val="003D5BBA"/>
    <w:rsid w:val="003D5D2F"/>
    <w:rsid w:val="003D5F91"/>
    <w:rsid w:val="003D61B9"/>
    <w:rsid w:val="003D6AA5"/>
    <w:rsid w:val="003D76C6"/>
    <w:rsid w:val="003D7705"/>
    <w:rsid w:val="003D7B4D"/>
    <w:rsid w:val="003D7EBC"/>
    <w:rsid w:val="003E0A2A"/>
    <w:rsid w:val="003E0D36"/>
    <w:rsid w:val="003E1140"/>
    <w:rsid w:val="003E1737"/>
    <w:rsid w:val="003E33CA"/>
    <w:rsid w:val="003E3421"/>
    <w:rsid w:val="003E3504"/>
    <w:rsid w:val="003E3E32"/>
    <w:rsid w:val="003E42BD"/>
    <w:rsid w:val="003E4417"/>
    <w:rsid w:val="003E536B"/>
    <w:rsid w:val="003E64E4"/>
    <w:rsid w:val="003E6A14"/>
    <w:rsid w:val="003E6DB8"/>
    <w:rsid w:val="003E706A"/>
    <w:rsid w:val="003E7178"/>
    <w:rsid w:val="003E7D4D"/>
    <w:rsid w:val="003E7E4C"/>
    <w:rsid w:val="003F0062"/>
    <w:rsid w:val="003F0741"/>
    <w:rsid w:val="003F0E13"/>
    <w:rsid w:val="003F0F8B"/>
    <w:rsid w:val="003F10F7"/>
    <w:rsid w:val="003F168A"/>
    <w:rsid w:val="003F1A0E"/>
    <w:rsid w:val="003F1A4D"/>
    <w:rsid w:val="003F23CE"/>
    <w:rsid w:val="003F2DAD"/>
    <w:rsid w:val="003F314A"/>
    <w:rsid w:val="003F3360"/>
    <w:rsid w:val="003F3678"/>
    <w:rsid w:val="003F4AE5"/>
    <w:rsid w:val="003F4E2F"/>
    <w:rsid w:val="003F5506"/>
    <w:rsid w:val="003F56E2"/>
    <w:rsid w:val="003F5B37"/>
    <w:rsid w:val="003F5F06"/>
    <w:rsid w:val="003F6457"/>
    <w:rsid w:val="003F6886"/>
    <w:rsid w:val="003F7471"/>
    <w:rsid w:val="003F7477"/>
    <w:rsid w:val="003F771E"/>
    <w:rsid w:val="003F7A82"/>
    <w:rsid w:val="00400440"/>
    <w:rsid w:val="00401234"/>
    <w:rsid w:val="004015E8"/>
    <w:rsid w:val="00401C47"/>
    <w:rsid w:val="00401F18"/>
    <w:rsid w:val="004026E1"/>
    <w:rsid w:val="004027A3"/>
    <w:rsid w:val="00403147"/>
    <w:rsid w:val="0040325A"/>
    <w:rsid w:val="00403520"/>
    <w:rsid w:val="00403AEC"/>
    <w:rsid w:val="00403C3D"/>
    <w:rsid w:val="00403DB4"/>
    <w:rsid w:val="00403ED7"/>
    <w:rsid w:val="00404853"/>
    <w:rsid w:val="00404CB7"/>
    <w:rsid w:val="004052AD"/>
    <w:rsid w:val="004053BA"/>
    <w:rsid w:val="00405DF7"/>
    <w:rsid w:val="004063EE"/>
    <w:rsid w:val="0040669E"/>
    <w:rsid w:val="00406D98"/>
    <w:rsid w:val="00406E22"/>
    <w:rsid w:val="00406FBE"/>
    <w:rsid w:val="004070F1"/>
    <w:rsid w:val="00407593"/>
    <w:rsid w:val="00407708"/>
    <w:rsid w:val="004106DF"/>
    <w:rsid w:val="00410B1D"/>
    <w:rsid w:val="00410FAA"/>
    <w:rsid w:val="004113F0"/>
    <w:rsid w:val="00411822"/>
    <w:rsid w:val="00411838"/>
    <w:rsid w:val="00412138"/>
    <w:rsid w:val="0041219C"/>
    <w:rsid w:val="0041243F"/>
    <w:rsid w:val="00412D6E"/>
    <w:rsid w:val="00412F91"/>
    <w:rsid w:val="00413245"/>
    <w:rsid w:val="00413F7F"/>
    <w:rsid w:val="00413F85"/>
    <w:rsid w:val="0041436B"/>
    <w:rsid w:val="004146EF"/>
    <w:rsid w:val="00414AF1"/>
    <w:rsid w:val="00414F22"/>
    <w:rsid w:val="00415DA0"/>
    <w:rsid w:val="00416684"/>
    <w:rsid w:val="00416772"/>
    <w:rsid w:val="00416CAB"/>
    <w:rsid w:val="00416E16"/>
    <w:rsid w:val="00417052"/>
    <w:rsid w:val="004204CD"/>
    <w:rsid w:val="00420535"/>
    <w:rsid w:val="004208C2"/>
    <w:rsid w:val="00420A6F"/>
    <w:rsid w:val="00420BD4"/>
    <w:rsid w:val="00420E5A"/>
    <w:rsid w:val="00421D25"/>
    <w:rsid w:val="004228A6"/>
    <w:rsid w:val="00423633"/>
    <w:rsid w:val="00423848"/>
    <w:rsid w:val="00423BD0"/>
    <w:rsid w:val="00423F14"/>
    <w:rsid w:val="004247B4"/>
    <w:rsid w:val="00426309"/>
    <w:rsid w:val="004266BF"/>
    <w:rsid w:val="00426779"/>
    <w:rsid w:val="00426C6B"/>
    <w:rsid w:val="00427705"/>
    <w:rsid w:val="00430116"/>
    <w:rsid w:val="00431037"/>
    <w:rsid w:val="004311F1"/>
    <w:rsid w:val="00431A83"/>
    <w:rsid w:val="00431CE3"/>
    <w:rsid w:val="004321DC"/>
    <w:rsid w:val="00432825"/>
    <w:rsid w:val="004331C6"/>
    <w:rsid w:val="00433543"/>
    <w:rsid w:val="00435A04"/>
    <w:rsid w:val="00435D7B"/>
    <w:rsid w:val="00436066"/>
    <w:rsid w:val="00436707"/>
    <w:rsid w:val="00436B12"/>
    <w:rsid w:val="00436E4D"/>
    <w:rsid w:val="00436F0F"/>
    <w:rsid w:val="0043754D"/>
    <w:rsid w:val="00437AD6"/>
    <w:rsid w:val="00437C7C"/>
    <w:rsid w:val="004400E6"/>
    <w:rsid w:val="00440848"/>
    <w:rsid w:val="004414C9"/>
    <w:rsid w:val="00441D03"/>
    <w:rsid w:val="00442051"/>
    <w:rsid w:val="0044228C"/>
    <w:rsid w:val="0044252E"/>
    <w:rsid w:val="00442F79"/>
    <w:rsid w:val="00443AED"/>
    <w:rsid w:val="00443EEB"/>
    <w:rsid w:val="0044423D"/>
    <w:rsid w:val="0044465A"/>
    <w:rsid w:val="0044465E"/>
    <w:rsid w:val="00444A0C"/>
    <w:rsid w:val="00444FB0"/>
    <w:rsid w:val="00445423"/>
    <w:rsid w:val="00445491"/>
    <w:rsid w:val="004454C2"/>
    <w:rsid w:val="00445591"/>
    <w:rsid w:val="00445BBD"/>
    <w:rsid w:val="00445E42"/>
    <w:rsid w:val="004466CA"/>
    <w:rsid w:val="0044686C"/>
    <w:rsid w:val="0044700D"/>
    <w:rsid w:val="00447A51"/>
    <w:rsid w:val="00447DB0"/>
    <w:rsid w:val="004500F1"/>
    <w:rsid w:val="00450562"/>
    <w:rsid w:val="00450760"/>
    <w:rsid w:val="0045279C"/>
    <w:rsid w:val="004527E9"/>
    <w:rsid w:val="0045287A"/>
    <w:rsid w:val="004528A8"/>
    <w:rsid w:val="00452C68"/>
    <w:rsid w:val="0045326C"/>
    <w:rsid w:val="00453C44"/>
    <w:rsid w:val="00453F64"/>
    <w:rsid w:val="00454199"/>
    <w:rsid w:val="00454CE9"/>
    <w:rsid w:val="00455B99"/>
    <w:rsid w:val="004564F3"/>
    <w:rsid w:val="00456A39"/>
    <w:rsid w:val="00456CF9"/>
    <w:rsid w:val="00457CAD"/>
    <w:rsid w:val="00457E2E"/>
    <w:rsid w:val="004611F9"/>
    <w:rsid w:val="0046126D"/>
    <w:rsid w:val="00461A47"/>
    <w:rsid w:val="00462A4B"/>
    <w:rsid w:val="00462C8F"/>
    <w:rsid w:val="004631B7"/>
    <w:rsid w:val="00463608"/>
    <w:rsid w:val="00463684"/>
    <w:rsid w:val="00463D0E"/>
    <w:rsid w:val="00463DB0"/>
    <w:rsid w:val="00463DD8"/>
    <w:rsid w:val="00463E48"/>
    <w:rsid w:val="00464537"/>
    <w:rsid w:val="00464583"/>
    <w:rsid w:val="00464FD9"/>
    <w:rsid w:val="00464FDC"/>
    <w:rsid w:val="0046507D"/>
    <w:rsid w:val="00465329"/>
    <w:rsid w:val="0046581C"/>
    <w:rsid w:val="0046626D"/>
    <w:rsid w:val="00467763"/>
    <w:rsid w:val="00467911"/>
    <w:rsid w:val="00467DF6"/>
    <w:rsid w:val="0047034C"/>
    <w:rsid w:val="0047037F"/>
    <w:rsid w:val="00471986"/>
    <w:rsid w:val="004721B0"/>
    <w:rsid w:val="0047231C"/>
    <w:rsid w:val="00472A62"/>
    <w:rsid w:val="004738D4"/>
    <w:rsid w:val="00473D1D"/>
    <w:rsid w:val="004745D0"/>
    <w:rsid w:val="00474A2D"/>
    <w:rsid w:val="00475125"/>
    <w:rsid w:val="004755D9"/>
    <w:rsid w:val="00475621"/>
    <w:rsid w:val="00475D11"/>
    <w:rsid w:val="0047660D"/>
    <w:rsid w:val="0047703F"/>
    <w:rsid w:val="004771F3"/>
    <w:rsid w:val="00477EC3"/>
    <w:rsid w:val="00480071"/>
    <w:rsid w:val="00481246"/>
    <w:rsid w:val="00481469"/>
    <w:rsid w:val="00481EB9"/>
    <w:rsid w:val="00482962"/>
    <w:rsid w:val="004829CB"/>
    <w:rsid w:val="00482C69"/>
    <w:rsid w:val="004833DC"/>
    <w:rsid w:val="00483565"/>
    <w:rsid w:val="00483D76"/>
    <w:rsid w:val="0048468E"/>
    <w:rsid w:val="00484CEA"/>
    <w:rsid w:val="00484FEF"/>
    <w:rsid w:val="00485790"/>
    <w:rsid w:val="0048583E"/>
    <w:rsid w:val="00485BAD"/>
    <w:rsid w:val="00485FB4"/>
    <w:rsid w:val="004874C0"/>
    <w:rsid w:val="00487766"/>
    <w:rsid w:val="004902D2"/>
    <w:rsid w:val="004903BC"/>
    <w:rsid w:val="004907F5"/>
    <w:rsid w:val="00490A19"/>
    <w:rsid w:val="00491702"/>
    <w:rsid w:val="004921F5"/>
    <w:rsid w:val="00492797"/>
    <w:rsid w:val="0049373D"/>
    <w:rsid w:val="00493917"/>
    <w:rsid w:val="00493C2B"/>
    <w:rsid w:val="0049530E"/>
    <w:rsid w:val="00495564"/>
    <w:rsid w:val="00495BAA"/>
    <w:rsid w:val="00496259"/>
    <w:rsid w:val="00496A83"/>
    <w:rsid w:val="00496D8C"/>
    <w:rsid w:val="00497966"/>
    <w:rsid w:val="00497ED2"/>
    <w:rsid w:val="004A02A5"/>
    <w:rsid w:val="004A09AC"/>
    <w:rsid w:val="004A11A0"/>
    <w:rsid w:val="004A1248"/>
    <w:rsid w:val="004A13EF"/>
    <w:rsid w:val="004A1867"/>
    <w:rsid w:val="004A1A3F"/>
    <w:rsid w:val="004A22C7"/>
    <w:rsid w:val="004A319C"/>
    <w:rsid w:val="004A3597"/>
    <w:rsid w:val="004A3AE6"/>
    <w:rsid w:val="004A5231"/>
    <w:rsid w:val="004A5233"/>
    <w:rsid w:val="004A52BC"/>
    <w:rsid w:val="004A5835"/>
    <w:rsid w:val="004A6386"/>
    <w:rsid w:val="004A6817"/>
    <w:rsid w:val="004A6B49"/>
    <w:rsid w:val="004A761C"/>
    <w:rsid w:val="004A7F73"/>
    <w:rsid w:val="004A7F96"/>
    <w:rsid w:val="004B0E1A"/>
    <w:rsid w:val="004B15BD"/>
    <w:rsid w:val="004B16F9"/>
    <w:rsid w:val="004B18EE"/>
    <w:rsid w:val="004B1F7B"/>
    <w:rsid w:val="004B21B7"/>
    <w:rsid w:val="004B2491"/>
    <w:rsid w:val="004B30A5"/>
    <w:rsid w:val="004B3132"/>
    <w:rsid w:val="004B3C0D"/>
    <w:rsid w:val="004B3C6B"/>
    <w:rsid w:val="004B4059"/>
    <w:rsid w:val="004B410F"/>
    <w:rsid w:val="004B4658"/>
    <w:rsid w:val="004B47C3"/>
    <w:rsid w:val="004B5468"/>
    <w:rsid w:val="004B587C"/>
    <w:rsid w:val="004B6198"/>
    <w:rsid w:val="004B6544"/>
    <w:rsid w:val="004B65EA"/>
    <w:rsid w:val="004B684A"/>
    <w:rsid w:val="004B7091"/>
    <w:rsid w:val="004B7695"/>
    <w:rsid w:val="004C0201"/>
    <w:rsid w:val="004C0DFC"/>
    <w:rsid w:val="004C17B1"/>
    <w:rsid w:val="004C1A3D"/>
    <w:rsid w:val="004C1B1F"/>
    <w:rsid w:val="004C203A"/>
    <w:rsid w:val="004C2773"/>
    <w:rsid w:val="004C3326"/>
    <w:rsid w:val="004C337C"/>
    <w:rsid w:val="004C35A2"/>
    <w:rsid w:val="004C38E4"/>
    <w:rsid w:val="004C3B6C"/>
    <w:rsid w:val="004C4890"/>
    <w:rsid w:val="004C49F8"/>
    <w:rsid w:val="004C5894"/>
    <w:rsid w:val="004C5926"/>
    <w:rsid w:val="004C6525"/>
    <w:rsid w:val="004C6839"/>
    <w:rsid w:val="004C6B1F"/>
    <w:rsid w:val="004C716C"/>
    <w:rsid w:val="004C734A"/>
    <w:rsid w:val="004C79F2"/>
    <w:rsid w:val="004C7B12"/>
    <w:rsid w:val="004C7CC8"/>
    <w:rsid w:val="004C7F99"/>
    <w:rsid w:val="004D04F2"/>
    <w:rsid w:val="004D098E"/>
    <w:rsid w:val="004D0B6A"/>
    <w:rsid w:val="004D1327"/>
    <w:rsid w:val="004D151A"/>
    <w:rsid w:val="004D1CB5"/>
    <w:rsid w:val="004D2B96"/>
    <w:rsid w:val="004D2C6D"/>
    <w:rsid w:val="004D2EA8"/>
    <w:rsid w:val="004D3266"/>
    <w:rsid w:val="004D363A"/>
    <w:rsid w:val="004D3845"/>
    <w:rsid w:val="004D39CE"/>
    <w:rsid w:val="004D4109"/>
    <w:rsid w:val="004D590A"/>
    <w:rsid w:val="004D7062"/>
    <w:rsid w:val="004D76AF"/>
    <w:rsid w:val="004E01DC"/>
    <w:rsid w:val="004E06A9"/>
    <w:rsid w:val="004E0852"/>
    <w:rsid w:val="004E0B3B"/>
    <w:rsid w:val="004E108F"/>
    <w:rsid w:val="004E1BFF"/>
    <w:rsid w:val="004E1D57"/>
    <w:rsid w:val="004E2004"/>
    <w:rsid w:val="004E2858"/>
    <w:rsid w:val="004E2D54"/>
    <w:rsid w:val="004E2D59"/>
    <w:rsid w:val="004E31E2"/>
    <w:rsid w:val="004E35F8"/>
    <w:rsid w:val="004E39D5"/>
    <w:rsid w:val="004E3F09"/>
    <w:rsid w:val="004E48B7"/>
    <w:rsid w:val="004E4F30"/>
    <w:rsid w:val="004E5347"/>
    <w:rsid w:val="004E540D"/>
    <w:rsid w:val="004E5BB7"/>
    <w:rsid w:val="004E5C11"/>
    <w:rsid w:val="004E6F2B"/>
    <w:rsid w:val="004E7021"/>
    <w:rsid w:val="004E7159"/>
    <w:rsid w:val="004E74BC"/>
    <w:rsid w:val="004E77CE"/>
    <w:rsid w:val="004E77F3"/>
    <w:rsid w:val="004F0659"/>
    <w:rsid w:val="004F0C06"/>
    <w:rsid w:val="004F1092"/>
    <w:rsid w:val="004F1E96"/>
    <w:rsid w:val="004F2042"/>
    <w:rsid w:val="004F255A"/>
    <w:rsid w:val="004F26C8"/>
    <w:rsid w:val="004F2AF2"/>
    <w:rsid w:val="004F3C71"/>
    <w:rsid w:val="004F4674"/>
    <w:rsid w:val="004F4BB7"/>
    <w:rsid w:val="004F4F3E"/>
    <w:rsid w:val="004F584B"/>
    <w:rsid w:val="004F6CF9"/>
    <w:rsid w:val="004F7FD8"/>
    <w:rsid w:val="005003FB"/>
    <w:rsid w:val="005015C8"/>
    <w:rsid w:val="0050194A"/>
    <w:rsid w:val="00501A73"/>
    <w:rsid w:val="00501CE1"/>
    <w:rsid w:val="00501E07"/>
    <w:rsid w:val="00502D42"/>
    <w:rsid w:val="00502D47"/>
    <w:rsid w:val="00502DFE"/>
    <w:rsid w:val="00503180"/>
    <w:rsid w:val="005043BA"/>
    <w:rsid w:val="00504470"/>
    <w:rsid w:val="00504AFB"/>
    <w:rsid w:val="00504C59"/>
    <w:rsid w:val="00504CCE"/>
    <w:rsid w:val="00504E81"/>
    <w:rsid w:val="005056F0"/>
    <w:rsid w:val="005063F1"/>
    <w:rsid w:val="00506A4B"/>
    <w:rsid w:val="00511850"/>
    <w:rsid w:val="005118E7"/>
    <w:rsid w:val="0051203C"/>
    <w:rsid w:val="005127A2"/>
    <w:rsid w:val="00512A72"/>
    <w:rsid w:val="00512EC3"/>
    <w:rsid w:val="005131BA"/>
    <w:rsid w:val="005136DA"/>
    <w:rsid w:val="0051386F"/>
    <w:rsid w:val="00513DB2"/>
    <w:rsid w:val="00513FEB"/>
    <w:rsid w:val="00514745"/>
    <w:rsid w:val="00514A3D"/>
    <w:rsid w:val="00516380"/>
    <w:rsid w:val="0051675C"/>
    <w:rsid w:val="00516F06"/>
    <w:rsid w:val="0051757E"/>
    <w:rsid w:val="00521FED"/>
    <w:rsid w:val="00522476"/>
    <w:rsid w:val="005226B9"/>
    <w:rsid w:val="005227C4"/>
    <w:rsid w:val="005232BE"/>
    <w:rsid w:val="00523838"/>
    <w:rsid w:val="00523996"/>
    <w:rsid w:val="00524A5B"/>
    <w:rsid w:val="00525156"/>
    <w:rsid w:val="00525438"/>
    <w:rsid w:val="00525530"/>
    <w:rsid w:val="005259E8"/>
    <w:rsid w:val="00525BF9"/>
    <w:rsid w:val="00525DAC"/>
    <w:rsid w:val="00525DF3"/>
    <w:rsid w:val="005261E6"/>
    <w:rsid w:val="005264F1"/>
    <w:rsid w:val="00526A6E"/>
    <w:rsid w:val="00526B91"/>
    <w:rsid w:val="00526DC7"/>
    <w:rsid w:val="00526F0F"/>
    <w:rsid w:val="00526FC7"/>
    <w:rsid w:val="00527E2A"/>
    <w:rsid w:val="0053063A"/>
    <w:rsid w:val="005307BD"/>
    <w:rsid w:val="00530991"/>
    <w:rsid w:val="00530B92"/>
    <w:rsid w:val="00530DF4"/>
    <w:rsid w:val="005310C4"/>
    <w:rsid w:val="00531976"/>
    <w:rsid w:val="00531DFF"/>
    <w:rsid w:val="00532F25"/>
    <w:rsid w:val="00533D90"/>
    <w:rsid w:val="00534968"/>
    <w:rsid w:val="00534D97"/>
    <w:rsid w:val="0053508D"/>
    <w:rsid w:val="00535920"/>
    <w:rsid w:val="00535C92"/>
    <w:rsid w:val="0053628D"/>
    <w:rsid w:val="00536838"/>
    <w:rsid w:val="00536ECF"/>
    <w:rsid w:val="0053718A"/>
    <w:rsid w:val="00537A07"/>
    <w:rsid w:val="00540738"/>
    <w:rsid w:val="0054074E"/>
    <w:rsid w:val="00540C91"/>
    <w:rsid w:val="00540FB4"/>
    <w:rsid w:val="00541A60"/>
    <w:rsid w:val="00541F74"/>
    <w:rsid w:val="0054215E"/>
    <w:rsid w:val="0054243B"/>
    <w:rsid w:val="00542BCE"/>
    <w:rsid w:val="00543211"/>
    <w:rsid w:val="005444F5"/>
    <w:rsid w:val="00544CE6"/>
    <w:rsid w:val="00544E66"/>
    <w:rsid w:val="005462E7"/>
    <w:rsid w:val="005472EB"/>
    <w:rsid w:val="005476F8"/>
    <w:rsid w:val="00547961"/>
    <w:rsid w:val="00550FFC"/>
    <w:rsid w:val="00551309"/>
    <w:rsid w:val="0055159A"/>
    <w:rsid w:val="00551804"/>
    <w:rsid w:val="00551D82"/>
    <w:rsid w:val="005527B1"/>
    <w:rsid w:val="0055298B"/>
    <w:rsid w:val="00552A1D"/>
    <w:rsid w:val="00552F63"/>
    <w:rsid w:val="00553515"/>
    <w:rsid w:val="005537CF"/>
    <w:rsid w:val="005540B8"/>
    <w:rsid w:val="0055415E"/>
    <w:rsid w:val="005546B7"/>
    <w:rsid w:val="00554766"/>
    <w:rsid w:val="00555617"/>
    <w:rsid w:val="005556FB"/>
    <w:rsid w:val="0055581F"/>
    <w:rsid w:val="00555C50"/>
    <w:rsid w:val="00555EBD"/>
    <w:rsid w:val="005570D0"/>
    <w:rsid w:val="0055768F"/>
    <w:rsid w:val="0056055C"/>
    <w:rsid w:val="005609B6"/>
    <w:rsid w:val="0056112C"/>
    <w:rsid w:val="0056145D"/>
    <w:rsid w:val="005615EB"/>
    <w:rsid w:val="00561762"/>
    <w:rsid w:val="00562229"/>
    <w:rsid w:val="00562302"/>
    <w:rsid w:val="00562B1C"/>
    <w:rsid w:val="00562BA6"/>
    <w:rsid w:val="00562D6A"/>
    <w:rsid w:val="00562ECF"/>
    <w:rsid w:val="00562F38"/>
    <w:rsid w:val="00563C1F"/>
    <w:rsid w:val="0056464A"/>
    <w:rsid w:val="0056467D"/>
    <w:rsid w:val="0056519C"/>
    <w:rsid w:val="005653E0"/>
    <w:rsid w:val="00565B70"/>
    <w:rsid w:val="005661C9"/>
    <w:rsid w:val="00566C0F"/>
    <w:rsid w:val="00566E41"/>
    <w:rsid w:val="0056705F"/>
    <w:rsid w:val="005671E7"/>
    <w:rsid w:val="00567ACA"/>
    <w:rsid w:val="00567CB5"/>
    <w:rsid w:val="00567FF5"/>
    <w:rsid w:val="0057026A"/>
    <w:rsid w:val="005708DA"/>
    <w:rsid w:val="00570B37"/>
    <w:rsid w:val="00570D72"/>
    <w:rsid w:val="00571534"/>
    <w:rsid w:val="00571F2B"/>
    <w:rsid w:val="005723EC"/>
    <w:rsid w:val="005724C2"/>
    <w:rsid w:val="0057272F"/>
    <w:rsid w:val="005729C0"/>
    <w:rsid w:val="00572BB5"/>
    <w:rsid w:val="00572E20"/>
    <w:rsid w:val="00572EF9"/>
    <w:rsid w:val="0057354E"/>
    <w:rsid w:val="00573643"/>
    <w:rsid w:val="00573884"/>
    <w:rsid w:val="00573E07"/>
    <w:rsid w:val="005743FF"/>
    <w:rsid w:val="00575FE2"/>
    <w:rsid w:val="005760F2"/>
    <w:rsid w:val="00577043"/>
    <w:rsid w:val="00577A5B"/>
    <w:rsid w:val="00577F2E"/>
    <w:rsid w:val="00580787"/>
    <w:rsid w:val="005816F5"/>
    <w:rsid w:val="00582A81"/>
    <w:rsid w:val="00582F73"/>
    <w:rsid w:val="00583669"/>
    <w:rsid w:val="00583C16"/>
    <w:rsid w:val="005849F0"/>
    <w:rsid w:val="00584F52"/>
    <w:rsid w:val="00585E7A"/>
    <w:rsid w:val="005866DD"/>
    <w:rsid w:val="00586A2E"/>
    <w:rsid w:val="00586A51"/>
    <w:rsid w:val="005870B7"/>
    <w:rsid w:val="00587EC3"/>
    <w:rsid w:val="00590069"/>
    <w:rsid w:val="00590973"/>
    <w:rsid w:val="00590C59"/>
    <w:rsid w:val="00590C66"/>
    <w:rsid w:val="00591B84"/>
    <w:rsid w:val="0059278A"/>
    <w:rsid w:val="00592806"/>
    <w:rsid w:val="00592C6E"/>
    <w:rsid w:val="00592CC1"/>
    <w:rsid w:val="00592CEB"/>
    <w:rsid w:val="00592D64"/>
    <w:rsid w:val="00592E65"/>
    <w:rsid w:val="00593757"/>
    <w:rsid w:val="005939EA"/>
    <w:rsid w:val="00593D4C"/>
    <w:rsid w:val="00593E5D"/>
    <w:rsid w:val="00594110"/>
    <w:rsid w:val="0059449B"/>
    <w:rsid w:val="0059480C"/>
    <w:rsid w:val="00594979"/>
    <w:rsid w:val="00595043"/>
    <w:rsid w:val="0059556E"/>
    <w:rsid w:val="00595A39"/>
    <w:rsid w:val="00595AAC"/>
    <w:rsid w:val="00596D87"/>
    <w:rsid w:val="005A00DA"/>
    <w:rsid w:val="005A07C4"/>
    <w:rsid w:val="005A097D"/>
    <w:rsid w:val="005A0C3E"/>
    <w:rsid w:val="005A0E0A"/>
    <w:rsid w:val="005A1292"/>
    <w:rsid w:val="005A1BFB"/>
    <w:rsid w:val="005A1D45"/>
    <w:rsid w:val="005A3387"/>
    <w:rsid w:val="005A4023"/>
    <w:rsid w:val="005A4906"/>
    <w:rsid w:val="005A4AD5"/>
    <w:rsid w:val="005A573F"/>
    <w:rsid w:val="005A5DC3"/>
    <w:rsid w:val="005A6140"/>
    <w:rsid w:val="005A6BA9"/>
    <w:rsid w:val="005A6D4C"/>
    <w:rsid w:val="005A6E65"/>
    <w:rsid w:val="005A7AFB"/>
    <w:rsid w:val="005A7CBE"/>
    <w:rsid w:val="005B0560"/>
    <w:rsid w:val="005B23A7"/>
    <w:rsid w:val="005B2662"/>
    <w:rsid w:val="005B3A84"/>
    <w:rsid w:val="005B3DAE"/>
    <w:rsid w:val="005B500C"/>
    <w:rsid w:val="005B5B43"/>
    <w:rsid w:val="005B5EA2"/>
    <w:rsid w:val="005B6AC0"/>
    <w:rsid w:val="005B6DDB"/>
    <w:rsid w:val="005B785E"/>
    <w:rsid w:val="005B7D46"/>
    <w:rsid w:val="005C048A"/>
    <w:rsid w:val="005C048C"/>
    <w:rsid w:val="005C0954"/>
    <w:rsid w:val="005C0DF9"/>
    <w:rsid w:val="005C0E72"/>
    <w:rsid w:val="005C1757"/>
    <w:rsid w:val="005C30BD"/>
    <w:rsid w:val="005C3781"/>
    <w:rsid w:val="005C412E"/>
    <w:rsid w:val="005C4ED9"/>
    <w:rsid w:val="005C5010"/>
    <w:rsid w:val="005C60FD"/>
    <w:rsid w:val="005C622F"/>
    <w:rsid w:val="005C6890"/>
    <w:rsid w:val="005C7699"/>
    <w:rsid w:val="005C76E9"/>
    <w:rsid w:val="005C774D"/>
    <w:rsid w:val="005C7C14"/>
    <w:rsid w:val="005C7C61"/>
    <w:rsid w:val="005C7CA2"/>
    <w:rsid w:val="005D0023"/>
    <w:rsid w:val="005D026F"/>
    <w:rsid w:val="005D028C"/>
    <w:rsid w:val="005D0845"/>
    <w:rsid w:val="005D0C86"/>
    <w:rsid w:val="005D10FE"/>
    <w:rsid w:val="005D114B"/>
    <w:rsid w:val="005D19C3"/>
    <w:rsid w:val="005D26ED"/>
    <w:rsid w:val="005D280E"/>
    <w:rsid w:val="005D29D5"/>
    <w:rsid w:val="005D2D07"/>
    <w:rsid w:val="005D352F"/>
    <w:rsid w:val="005D361B"/>
    <w:rsid w:val="005D3CE5"/>
    <w:rsid w:val="005D4583"/>
    <w:rsid w:val="005D4943"/>
    <w:rsid w:val="005D4B71"/>
    <w:rsid w:val="005D5623"/>
    <w:rsid w:val="005D5637"/>
    <w:rsid w:val="005D5EDB"/>
    <w:rsid w:val="005D608B"/>
    <w:rsid w:val="005D6166"/>
    <w:rsid w:val="005D733C"/>
    <w:rsid w:val="005D759D"/>
    <w:rsid w:val="005E026B"/>
    <w:rsid w:val="005E03CC"/>
    <w:rsid w:val="005E0D0B"/>
    <w:rsid w:val="005E0EE7"/>
    <w:rsid w:val="005E1084"/>
    <w:rsid w:val="005E1188"/>
    <w:rsid w:val="005E299B"/>
    <w:rsid w:val="005E2A00"/>
    <w:rsid w:val="005E2EF8"/>
    <w:rsid w:val="005E386A"/>
    <w:rsid w:val="005E3983"/>
    <w:rsid w:val="005E3A00"/>
    <w:rsid w:val="005E3DCB"/>
    <w:rsid w:val="005E3EDF"/>
    <w:rsid w:val="005E426C"/>
    <w:rsid w:val="005E43EB"/>
    <w:rsid w:val="005E4605"/>
    <w:rsid w:val="005E50A4"/>
    <w:rsid w:val="005E5263"/>
    <w:rsid w:val="005E532E"/>
    <w:rsid w:val="005E5C01"/>
    <w:rsid w:val="005E61DE"/>
    <w:rsid w:val="005E67C6"/>
    <w:rsid w:val="005E70E2"/>
    <w:rsid w:val="005E7451"/>
    <w:rsid w:val="005E7F7E"/>
    <w:rsid w:val="005F0B60"/>
    <w:rsid w:val="005F1A10"/>
    <w:rsid w:val="005F2171"/>
    <w:rsid w:val="005F23DA"/>
    <w:rsid w:val="005F26B3"/>
    <w:rsid w:val="005F2B9E"/>
    <w:rsid w:val="005F2BAE"/>
    <w:rsid w:val="005F2C8D"/>
    <w:rsid w:val="005F32ED"/>
    <w:rsid w:val="005F32F0"/>
    <w:rsid w:val="005F37B8"/>
    <w:rsid w:val="005F3AEE"/>
    <w:rsid w:val="005F3CD0"/>
    <w:rsid w:val="005F44A6"/>
    <w:rsid w:val="005F4733"/>
    <w:rsid w:val="005F4EC7"/>
    <w:rsid w:val="005F5C52"/>
    <w:rsid w:val="005F6CF3"/>
    <w:rsid w:val="005F7627"/>
    <w:rsid w:val="005F7984"/>
    <w:rsid w:val="005F7B07"/>
    <w:rsid w:val="00600214"/>
    <w:rsid w:val="0060081E"/>
    <w:rsid w:val="00600B9F"/>
    <w:rsid w:val="00600DF3"/>
    <w:rsid w:val="0060119A"/>
    <w:rsid w:val="006016A9"/>
    <w:rsid w:val="006018FF"/>
    <w:rsid w:val="006037AD"/>
    <w:rsid w:val="00603B99"/>
    <w:rsid w:val="006040AD"/>
    <w:rsid w:val="0060460B"/>
    <w:rsid w:val="006051A4"/>
    <w:rsid w:val="00605235"/>
    <w:rsid w:val="0060547B"/>
    <w:rsid w:val="00605A18"/>
    <w:rsid w:val="00606284"/>
    <w:rsid w:val="006063C5"/>
    <w:rsid w:val="00607CED"/>
    <w:rsid w:val="00610188"/>
    <w:rsid w:val="0061072B"/>
    <w:rsid w:val="00610CC2"/>
    <w:rsid w:val="00611A46"/>
    <w:rsid w:val="006125BD"/>
    <w:rsid w:val="006127EB"/>
    <w:rsid w:val="00612D05"/>
    <w:rsid w:val="00612E66"/>
    <w:rsid w:val="00613046"/>
    <w:rsid w:val="006147FC"/>
    <w:rsid w:val="00615E6B"/>
    <w:rsid w:val="006160D7"/>
    <w:rsid w:val="00616A46"/>
    <w:rsid w:val="00617283"/>
    <w:rsid w:val="0061791C"/>
    <w:rsid w:val="00617A40"/>
    <w:rsid w:val="00617E98"/>
    <w:rsid w:val="00617EAF"/>
    <w:rsid w:val="006205CA"/>
    <w:rsid w:val="006206BD"/>
    <w:rsid w:val="00620911"/>
    <w:rsid w:val="006210A6"/>
    <w:rsid w:val="00622E03"/>
    <w:rsid w:val="006230C6"/>
    <w:rsid w:val="00623434"/>
    <w:rsid w:val="006240B6"/>
    <w:rsid w:val="00624854"/>
    <w:rsid w:val="00624D70"/>
    <w:rsid w:val="00624D9A"/>
    <w:rsid w:val="006257B1"/>
    <w:rsid w:val="006260C6"/>
    <w:rsid w:val="00626627"/>
    <w:rsid w:val="0062667B"/>
    <w:rsid w:val="0062667D"/>
    <w:rsid w:val="006274CB"/>
    <w:rsid w:val="00627965"/>
    <w:rsid w:val="006305EA"/>
    <w:rsid w:val="00630EF9"/>
    <w:rsid w:val="0063137D"/>
    <w:rsid w:val="0063159A"/>
    <w:rsid w:val="006315D0"/>
    <w:rsid w:val="00631A27"/>
    <w:rsid w:val="00631A85"/>
    <w:rsid w:val="006329CB"/>
    <w:rsid w:val="00633043"/>
    <w:rsid w:val="006339FC"/>
    <w:rsid w:val="00633B85"/>
    <w:rsid w:val="00633C83"/>
    <w:rsid w:val="00634303"/>
    <w:rsid w:val="00634813"/>
    <w:rsid w:val="006353E1"/>
    <w:rsid w:val="006360FE"/>
    <w:rsid w:val="00636B90"/>
    <w:rsid w:val="006372D5"/>
    <w:rsid w:val="00637351"/>
    <w:rsid w:val="00641924"/>
    <w:rsid w:val="00641F28"/>
    <w:rsid w:val="006420F8"/>
    <w:rsid w:val="00642276"/>
    <w:rsid w:val="006429B2"/>
    <w:rsid w:val="006429FE"/>
    <w:rsid w:val="00642AB1"/>
    <w:rsid w:val="00642B2A"/>
    <w:rsid w:val="006431C3"/>
    <w:rsid w:val="00644461"/>
    <w:rsid w:val="00644543"/>
    <w:rsid w:val="00644D42"/>
    <w:rsid w:val="00645987"/>
    <w:rsid w:val="0064647A"/>
    <w:rsid w:val="00646B62"/>
    <w:rsid w:val="00647123"/>
    <w:rsid w:val="00647771"/>
    <w:rsid w:val="0065000D"/>
    <w:rsid w:val="00650035"/>
    <w:rsid w:val="00650278"/>
    <w:rsid w:val="00650E36"/>
    <w:rsid w:val="0065110C"/>
    <w:rsid w:val="00651CC1"/>
    <w:rsid w:val="00651F31"/>
    <w:rsid w:val="00652579"/>
    <w:rsid w:val="00652DBE"/>
    <w:rsid w:val="00653889"/>
    <w:rsid w:val="00654206"/>
    <w:rsid w:val="00654736"/>
    <w:rsid w:val="00654AA4"/>
    <w:rsid w:val="00655252"/>
    <w:rsid w:val="00655570"/>
    <w:rsid w:val="00656915"/>
    <w:rsid w:val="00656BD5"/>
    <w:rsid w:val="00656FA0"/>
    <w:rsid w:val="006572AF"/>
    <w:rsid w:val="006600B5"/>
    <w:rsid w:val="0066018E"/>
    <w:rsid w:val="006601E0"/>
    <w:rsid w:val="00660F1E"/>
    <w:rsid w:val="00661A5C"/>
    <w:rsid w:val="006621B4"/>
    <w:rsid w:val="00662EAF"/>
    <w:rsid w:val="00662FF9"/>
    <w:rsid w:val="0066314A"/>
    <w:rsid w:val="00663563"/>
    <w:rsid w:val="00663CF7"/>
    <w:rsid w:val="00663FBF"/>
    <w:rsid w:val="00665BE2"/>
    <w:rsid w:val="00665C4D"/>
    <w:rsid w:val="00665E4E"/>
    <w:rsid w:val="00665FF6"/>
    <w:rsid w:val="00670033"/>
    <w:rsid w:val="00670683"/>
    <w:rsid w:val="00671482"/>
    <w:rsid w:val="0067277F"/>
    <w:rsid w:val="00672D28"/>
    <w:rsid w:val="00673BC8"/>
    <w:rsid w:val="0067503C"/>
    <w:rsid w:val="00675122"/>
    <w:rsid w:val="00675542"/>
    <w:rsid w:val="0067689C"/>
    <w:rsid w:val="006769AE"/>
    <w:rsid w:val="00677118"/>
    <w:rsid w:val="0067749A"/>
    <w:rsid w:val="00677C11"/>
    <w:rsid w:val="00677D2D"/>
    <w:rsid w:val="00677EDF"/>
    <w:rsid w:val="00680061"/>
    <w:rsid w:val="0068059B"/>
    <w:rsid w:val="00680920"/>
    <w:rsid w:val="00681277"/>
    <w:rsid w:val="006814DC"/>
    <w:rsid w:val="00681544"/>
    <w:rsid w:val="006829FE"/>
    <w:rsid w:val="00682F5F"/>
    <w:rsid w:val="00683982"/>
    <w:rsid w:val="00683B9B"/>
    <w:rsid w:val="0068431B"/>
    <w:rsid w:val="00685FE6"/>
    <w:rsid w:val="00686395"/>
    <w:rsid w:val="00686994"/>
    <w:rsid w:val="00686CA0"/>
    <w:rsid w:val="00687074"/>
    <w:rsid w:val="0068734A"/>
    <w:rsid w:val="006873FA"/>
    <w:rsid w:val="00687A14"/>
    <w:rsid w:val="00687AB5"/>
    <w:rsid w:val="00690E77"/>
    <w:rsid w:val="0069125E"/>
    <w:rsid w:val="00691532"/>
    <w:rsid w:val="00691FB5"/>
    <w:rsid w:val="00692361"/>
    <w:rsid w:val="0069264D"/>
    <w:rsid w:val="00692EC1"/>
    <w:rsid w:val="00692F94"/>
    <w:rsid w:val="00693061"/>
    <w:rsid w:val="00693940"/>
    <w:rsid w:val="00693950"/>
    <w:rsid w:val="0069398B"/>
    <w:rsid w:val="006939C3"/>
    <w:rsid w:val="00694686"/>
    <w:rsid w:val="00694CF8"/>
    <w:rsid w:val="00694D4A"/>
    <w:rsid w:val="00694FD5"/>
    <w:rsid w:val="006951A0"/>
    <w:rsid w:val="00695B81"/>
    <w:rsid w:val="0069607C"/>
    <w:rsid w:val="006961E5"/>
    <w:rsid w:val="006962A3"/>
    <w:rsid w:val="006964DA"/>
    <w:rsid w:val="00696A6F"/>
    <w:rsid w:val="00696FA4"/>
    <w:rsid w:val="00697208"/>
    <w:rsid w:val="00697CA7"/>
    <w:rsid w:val="00697E50"/>
    <w:rsid w:val="006A029A"/>
    <w:rsid w:val="006A041B"/>
    <w:rsid w:val="006A0578"/>
    <w:rsid w:val="006A0591"/>
    <w:rsid w:val="006A0625"/>
    <w:rsid w:val="006A147A"/>
    <w:rsid w:val="006A1806"/>
    <w:rsid w:val="006A1834"/>
    <w:rsid w:val="006A18FA"/>
    <w:rsid w:val="006A1D93"/>
    <w:rsid w:val="006A23DE"/>
    <w:rsid w:val="006A27EF"/>
    <w:rsid w:val="006A2A1C"/>
    <w:rsid w:val="006A3D9C"/>
    <w:rsid w:val="006A5C2B"/>
    <w:rsid w:val="006A5DF4"/>
    <w:rsid w:val="006A5E5F"/>
    <w:rsid w:val="006A613E"/>
    <w:rsid w:val="006A61B4"/>
    <w:rsid w:val="006A6DDD"/>
    <w:rsid w:val="006A771F"/>
    <w:rsid w:val="006A784E"/>
    <w:rsid w:val="006A79F0"/>
    <w:rsid w:val="006A7EC8"/>
    <w:rsid w:val="006B043D"/>
    <w:rsid w:val="006B099A"/>
    <w:rsid w:val="006B0AAF"/>
    <w:rsid w:val="006B0F51"/>
    <w:rsid w:val="006B17C9"/>
    <w:rsid w:val="006B18E2"/>
    <w:rsid w:val="006B19FA"/>
    <w:rsid w:val="006B1DC5"/>
    <w:rsid w:val="006B220C"/>
    <w:rsid w:val="006B46E8"/>
    <w:rsid w:val="006B4CA9"/>
    <w:rsid w:val="006B53AC"/>
    <w:rsid w:val="006B5649"/>
    <w:rsid w:val="006B5A08"/>
    <w:rsid w:val="006B5CD9"/>
    <w:rsid w:val="006B6110"/>
    <w:rsid w:val="006B66CE"/>
    <w:rsid w:val="006B678A"/>
    <w:rsid w:val="006B6902"/>
    <w:rsid w:val="006B6AB0"/>
    <w:rsid w:val="006B6C85"/>
    <w:rsid w:val="006B6EA9"/>
    <w:rsid w:val="006B7120"/>
    <w:rsid w:val="006B7886"/>
    <w:rsid w:val="006C0CD1"/>
    <w:rsid w:val="006C0DB6"/>
    <w:rsid w:val="006C178B"/>
    <w:rsid w:val="006C1A6A"/>
    <w:rsid w:val="006C2A63"/>
    <w:rsid w:val="006C3052"/>
    <w:rsid w:val="006C54A4"/>
    <w:rsid w:val="006C658D"/>
    <w:rsid w:val="006C659F"/>
    <w:rsid w:val="006C668F"/>
    <w:rsid w:val="006C6DEE"/>
    <w:rsid w:val="006C7254"/>
    <w:rsid w:val="006C7659"/>
    <w:rsid w:val="006C765D"/>
    <w:rsid w:val="006D03A3"/>
    <w:rsid w:val="006D05D0"/>
    <w:rsid w:val="006D0EE7"/>
    <w:rsid w:val="006D12B1"/>
    <w:rsid w:val="006D14CE"/>
    <w:rsid w:val="006D1E84"/>
    <w:rsid w:val="006D20AB"/>
    <w:rsid w:val="006D2300"/>
    <w:rsid w:val="006D2AFC"/>
    <w:rsid w:val="006D2F06"/>
    <w:rsid w:val="006D3FBA"/>
    <w:rsid w:val="006D4344"/>
    <w:rsid w:val="006D43CB"/>
    <w:rsid w:val="006D4644"/>
    <w:rsid w:val="006D4F6D"/>
    <w:rsid w:val="006D547F"/>
    <w:rsid w:val="006D5BBF"/>
    <w:rsid w:val="006D62FB"/>
    <w:rsid w:val="006D6AE8"/>
    <w:rsid w:val="006D6B9E"/>
    <w:rsid w:val="006D6ED1"/>
    <w:rsid w:val="006D71B3"/>
    <w:rsid w:val="006D7C4A"/>
    <w:rsid w:val="006E0039"/>
    <w:rsid w:val="006E02EF"/>
    <w:rsid w:val="006E0342"/>
    <w:rsid w:val="006E0713"/>
    <w:rsid w:val="006E0C18"/>
    <w:rsid w:val="006E1EA2"/>
    <w:rsid w:val="006E2491"/>
    <w:rsid w:val="006E29C7"/>
    <w:rsid w:val="006E29D3"/>
    <w:rsid w:val="006E2A56"/>
    <w:rsid w:val="006E38E1"/>
    <w:rsid w:val="006E3D6C"/>
    <w:rsid w:val="006E4338"/>
    <w:rsid w:val="006E4B91"/>
    <w:rsid w:val="006E50DF"/>
    <w:rsid w:val="006E559D"/>
    <w:rsid w:val="006E5CF2"/>
    <w:rsid w:val="006E6734"/>
    <w:rsid w:val="006E7204"/>
    <w:rsid w:val="006E78F9"/>
    <w:rsid w:val="006F00ED"/>
    <w:rsid w:val="006F0289"/>
    <w:rsid w:val="006F0B53"/>
    <w:rsid w:val="006F12BF"/>
    <w:rsid w:val="006F152B"/>
    <w:rsid w:val="006F2141"/>
    <w:rsid w:val="006F21D3"/>
    <w:rsid w:val="006F2680"/>
    <w:rsid w:val="006F2BA3"/>
    <w:rsid w:val="006F3053"/>
    <w:rsid w:val="006F30DA"/>
    <w:rsid w:val="006F3492"/>
    <w:rsid w:val="006F385A"/>
    <w:rsid w:val="006F386F"/>
    <w:rsid w:val="006F4638"/>
    <w:rsid w:val="006F5836"/>
    <w:rsid w:val="006F6536"/>
    <w:rsid w:val="006F6710"/>
    <w:rsid w:val="006F687E"/>
    <w:rsid w:val="006F6AB7"/>
    <w:rsid w:val="006F6B0A"/>
    <w:rsid w:val="006F6D41"/>
    <w:rsid w:val="006F76D5"/>
    <w:rsid w:val="006F7AC9"/>
    <w:rsid w:val="006F7B3A"/>
    <w:rsid w:val="006F7BAF"/>
    <w:rsid w:val="00700461"/>
    <w:rsid w:val="00700848"/>
    <w:rsid w:val="00700A1C"/>
    <w:rsid w:val="00700A7F"/>
    <w:rsid w:val="00700DD6"/>
    <w:rsid w:val="007010C0"/>
    <w:rsid w:val="007013FB"/>
    <w:rsid w:val="0070178F"/>
    <w:rsid w:val="00701E6C"/>
    <w:rsid w:val="007023DB"/>
    <w:rsid w:val="007029EF"/>
    <w:rsid w:val="00702A6B"/>
    <w:rsid w:val="00703BD3"/>
    <w:rsid w:val="007046B5"/>
    <w:rsid w:val="007047CB"/>
    <w:rsid w:val="007055FA"/>
    <w:rsid w:val="00705976"/>
    <w:rsid w:val="00705CC3"/>
    <w:rsid w:val="00705D10"/>
    <w:rsid w:val="00706B18"/>
    <w:rsid w:val="00707182"/>
    <w:rsid w:val="00707430"/>
    <w:rsid w:val="00707D59"/>
    <w:rsid w:val="00710297"/>
    <w:rsid w:val="00710AAF"/>
    <w:rsid w:val="00710E09"/>
    <w:rsid w:val="00711185"/>
    <w:rsid w:val="007113CC"/>
    <w:rsid w:val="0071171A"/>
    <w:rsid w:val="00711F1B"/>
    <w:rsid w:val="00711FC0"/>
    <w:rsid w:val="00712237"/>
    <w:rsid w:val="00712250"/>
    <w:rsid w:val="00712ACC"/>
    <w:rsid w:val="00713352"/>
    <w:rsid w:val="00713453"/>
    <w:rsid w:val="00713BBA"/>
    <w:rsid w:val="00714314"/>
    <w:rsid w:val="0071474D"/>
    <w:rsid w:val="007153ED"/>
    <w:rsid w:val="007155E0"/>
    <w:rsid w:val="00716046"/>
    <w:rsid w:val="007167A1"/>
    <w:rsid w:val="007167E7"/>
    <w:rsid w:val="00716DDB"/>
    <w:rsid w:val="0071705F"/>
    <w:rsid w:val="00717224"/>
    <w:rsid w:val="00717477"/>
    <w:rsid w:val="0071752A"/>
    <w:rsid w:val="0071770D"/>
    <w:rsid w:val="00720FC3"/>
    <w:rsid w:val="007212E1"/>
    <w:rsid w:val="0072160F"/>
    <w:rsid w:val="00721864"/>
    <w:rsid w:val="00722341"/>
    <w:rsid w:val="00722660"/>
    <w:rsid w:val="007226B3"/>
    <w:rsid w:val="00722742"/>
    <w:rsid w:val="00722771"/>
    <w:rsid w:val="00722A1E"/>
    <w:rsid w:val="007232D9"/>
    <w:rsid w:val="00723400"/>
    <w:rsid w:val="007237A6"/>
    <w:rsid w:val="007243B5"/>
    <w:rsid w:val="00724DE1"/>
    <w:rsid w:val="0072520B"/>
    <w:rsid w:val="007254F7"/>
    <w:rsid w:val="00726FFC"/>
    <w:rsid w:val="007272F3"/>
    <w:rsid w:val="00727680"/>
    <w:rsid w:val="00727745"/>
    <w:rsid w:val="00727AD4"/>
    <w:rsid w:val="00727E62"/>
    <w:rsid w:val="007300DC"/>
    <w:rsid w:val="007300DF"/>
    <w:rsid w:val="00730242"/>
    <w:rsid w:val="0073166C"/>
    <w:rsid w:val="00731685"/>
    <w:rsid w:val="00731979"/>
    <w:rsid w:val="0073224E"/>
    <w:rsid w:val="00733C96"/>
    <w:rsid w:val="0073461A"/>
    <w:rsid w:val="00734781"/>
    <w:rsid w:val="0073494A"/>
    <w:rsid w:val="00734E65"/>
    <w:rsid w:val="007350CA"/>
    <w:rsid w:val="00735335"/>
    <w:rsid w:val="0073533B"/>
    <w:rsid w:val="007356F7"/>
    <w:rsid w:val="00735C3A"/>
    <w:rsid w:val="00735D0B"/>
    <w:rsid w:val="00737135"/>
    <w:rsid w:val="0073727A"/>
    <w:rsid w:val="007375B6"/>
    <w:rsid w:val="00737915"/>
    <w:rsid w:val="00737B24"/>
    <w:rsid w:val="007401B0"/>
    <w:rsid w:val="00740299"/>
    <w:rsid w:val="0074074D"/>
    <w:rsid w:val="00740863"/>
    <w:rsid w:val="00740874"/>
    <w:rsid w:val="00740A34"/>
    <w:rsid w:val="00740BCD"/>
    <w:rsid w:val="00740EBE"/>
    <w:rsid w:val="0074111A"/>
    <w:rsid w:val="007414CE"/>
    <w:rsid w:val="00742869"/>
    <w:rsid w:val="0074299F"/>
    <w:rsid w:val="007429CF"/>
    <w:rsid w:val="00742F84"/>
    <w:rsid w:val="00743724"/>
    <w:rsid w:val="00743C4D"/>
    <w:rsid w:val="00744090"/>
    <w:rsid w:val="007445A0"/>
    <w:rsid w:val="007450A6"/>
    <w:rsid w:val="007456EC"/>
    <w:rsid w:val="007458BA"/>
    <w:rsid w:val="007458CC"/>
    <w:rsid w:val="0074636B"/>
    <w:rsid w:val="007467BE"/>
    <w:rsid w:val="00746A85"/>
    <w:rsid w:val="00746F51"/>
    <w:rsid w:val="00747049"/>
    <w:rsid w:val="007479C5"/>
    <w:rsid w:val="00750698"/>
    <w:rsid w:val="0075128A"/>
    <w:rsid w:val="0075151F"/>
    <w:rsid w:val="00751652"/>
    <w:rsid w:val="00751A9F"/>
    <w:rsid w:val="00751B81"/>
    <w:rsid w:val="00751C66"/>
    <w:rsid w:val="007525FA"/>
    <w:rsid w:val="00752829"/>
    <w:rsid w:val="00752882"/>
    <w:rsid w:val="00753774"/>
    <w:rsid w:val="00753904"/>
    <w:rsid w:val="00754071"/>
    <w:rsid w:val="00754C37"/>
    <w:rsid w:val="00755727"/>
    <w:rsid w:val="0075637A"/>
    <w:rsid w:val="0075677E"/>
    <w:rsid w:val="0075684F"/>
    <w:rsid w:val="007569A7"/>
    <w:rsid w:val="00756CF0"/>
    <w:rsid w:val="00756E4B"/>
    <w:rsid w:val="0075717C"/>
    <w:rsid w:val="00757956"/>
    <w:rsid w:val="007606B9"/>
    <w:rsid w:val="0076094A"/>
    <w:rsid w:val="00760BD1"/>
    <w:rsid w:val="00760E4C"/>
    <w:rsid w:val="00761530"/>
    <w:rsid w:val="007620B8"/>
    <w:rsid w:val="00762158"/>
    <w:rsid w:val="0076261F"/>
    <w:rsid w:val="00762943"/>
    <w:rsid w:val="0076329C"/>
    <w:rsid w:val="007636D3"/>
    <w:rsid w:val="00764489"/>
    <w:rsid w:val="00764AC6"/>
    <w:rsid w:val="0076531B"/>
    <w:rsid w:val="00765819"/>
    <w:rsid w:val="00765B73"/>
    <w:rsid w:val="0076611D"/>
    <w:rsid w:val="00766A1A"/>
    <w:rsid w:val="00766FB0"/>
    <w:rsid w:val="0076705B"/>
    <w:rsid w:val="007673D8"/>
    <w:rsid w:val="00767588"/>
    <w:rsid w:val="007676EA"/>
    <w:rsid w:val="00767919"/>
    <w:rsid w:val="007708AD"/>
    <w:rsid w:val="00770A8C"/>
    <w:rsid w:val="007715C7"/>
    <w:rsid w:val="00771833"/>
    <w:rsid w:val="00771FB9"/>
    <w:rsid w:val="00773078"/>
    <w:rsid w:val="00773328"/>
    <w:rsid w:val="007736C5"/>
    <w:rsid w:val="0077411E"/>
    <w:rsid w:val="007741F8"/>
    <w:rsid w:val="0077448A"/>
    <w:rsid w:val="00775447"/>
    <w:rsid w:val="007758AE"/>
    <w:rsid w:val="00775993"/>
    <w:rsid w:val="00775F3C"/>
    <w:rsid w:val="0077616C"/>
    <w:rsid w:val="00776272"/>
    <w:rsid w:val="00776E92"/>
    <w:rsid w:val="007773B9"/>
    <w:rsid w:val="00777CFB"/>
    <w:rsid w:val="00777DEF"/>
    <w:rsid w:val="00777E39"/>
    <w:rsid w:val="007815EF"/>
    <w:rsid w:val="00782369"/>
    <w:rsid w:val="007828EE"/>
    <w:rsid w:val="0078297B"/>
    <w:rsid w:val="00782F5B"/>
    <w:rsid w:val="00783E66"/>
    <w:rsid w:val="0078463A"/>
    <w:rsid w:val="00784E47"/>
    <w:rsid w:val="0078528C"/>
    <w:rsid w:val="007857A6"/>
    <w:rsid w:val="00785BDD"/>
    <w:rsid w:val="00786734"/>
    <w:rsid w:val="007873EB"/>
    <w:rsid w:val="007878EC"/>
    <w:rsid w:val="0079056F"/>
    <w:rsid w:val="00791C41"/>
    <w:rsid w:val="00791FC4"/>
    <w:rsid w:val="0079211F"/>
    <w:rsid w:val="0079292E"/>
    <w:rsid w:val="0079358A"/>
    <w:rsid w:val="007935CF"/>
    <w:rsid w:val="00793897"/>
    <w:rsid w:val="00793AD9"/>
    <w:rsid w:val="00793D3C"/>
    <w:rsid w:val="00794442"/>
    <w:rsid w:val="007945D6"/>
    <w:rsid w:val="007955F5"/>
    <w:rsid w:val="00795B02"/>
    <w:rsid w:val="00796522"/>
    <w:rsid w:val="0079657D"/>
    <w:rsid w:val="00797339"/>
    <w:rsid w:val="007976A1"/>
    <w:rsid w:val="0079779C"/>
    <w:rsid w:val="00797997"/>
    <w:rsid w:val="00797B73"/>
    <w:rsid w:val="007A0668"/>
    <w:rsid w:val="007A06DD"/>
    <w:rsid w:val="007A09AD"/>
    <w:rsid w:val="007A0D19"/>
    <w:rsid w:val="007A12FF"/>
    <w:rsid w:val="007A284A"/>
    <w:rsid w:val="007A29C1"/>
    <w:rsid w:val="007A2B22"/>
    <w:rsid w:val="007A325E"/>
    <w:rsid w:val="007A328B"/>
    <w:rsid w:val="007A427F"/>
    <w:rsid w:val="007A4854"/>
    <w:rsid w:val="007A4D12"/>
    <w:rsid w:val="007A5203"/>
    <w:rsid w:val="007A521B"/>
    <w:rsid w:val="007A5B77"/>
    <w:rsid w:val="007A5BA7"/>
    <w:rsid w:val="007A64FD"/>
    <w:rsid w:val="007A6EE1"/>
    <w:rsid w:val="007A6F0F"/>
    <w:rsid w:val="007A7429"/>
    <w:rsid w:val="007A7D38"/>
    <w:rsid w:val="007A7F51"/>
    <w:rsid w:val="007B06C9"/>
    <w:rsid w:val="007B08EE"/>
    <w:rsid w:val="007B0E52"/>
    <w:rsid w:val="007B11F2"/>
    <w:rsid w:val="007B1263"/>
    <w:rsid w:val="007B1420"/>
    <w:rsid w:val="007B1446"/>
    <w:rsid w:val="007B1E3B"/>
    <w:rsid w:val="007B2685"/>
    <w:rsid w:val="007B2881"/>
    <w:rsid w:val="007B2BA2"/>
    <w:rsid w:val="007B2E3A"/>
    <w:rsid w:val="007B2EA4"/>
    <w:rsid w:val="007B32C4"/>
    <w:rsid w:val="007B373B"/>
    <w:rsid w:val="007B39F9"/>
    <w:rsid w:val="007B4882"/>
    <w:rsid w:val="007B572F"/>
    <w:rsid w:val="007B58C8"/>
    <w:rsid w:val="007B5925"/>
    <w:rsid w:val="007B5BD1"/>
    <w:rsid w:val="007B5E3F"/>
    <w:rsid w:val="007B6193"/>
    <w:rsid w:val="007B626F"/>
    <w:rsid w:val="007B7339"/>
    <w:rsid w:val="007B7A63"/>
    <w:rsid w:val="007B7B0F"/>
    <w:rsid w:val="007C0700"/>
    <w:rsid w:val="007C099B"/>
    <w:rsid w:val="007C0B09"/>
    <w:rsid w:val="007C0C45"/>
    <w:rsid w:val="007C0D32"/>
    <w:rsid w:val="007C140E"/>
    <w:rsid w:val="007C17EB"/>
    <w:rsid w:val="007C191D"/>
    <w:rsid w:val="007C1B28"/>
    <w:rsid w:val="007C21B1"/>
    <w:rsid w:val="007C3552"/>
    <w:rsid w:val="007C35C8"/>
    <w:rsid w:val="007C38CA"/>
    <w:rsid w:val="007C3D64"/>
    <w:rsid w:val="007C3EDB"/>
    <w:rsid w:val="007C434D"/>
    <w:rsid w:val="007C5A35"/>
    <w:rsid w:val="007C6A5C"/>
    <w:rsid w:val="007C6B04"/>
    <w:rsid w:val="007C6B31"/>
    <w:rsid w:val="007C7672"/>
    <w:rsid w:val="007C79EE"/>
    <w:rsid w:val="007D080D"/>
    <w:rsid w:val="007D087D"/>
    <w:rsid w:val="007D0A12"/>
    <w:rsid w:val="007D0A65"/>
    <w:rsid w:val="007D13D6"/>
    <w:rsid w:val="007D1E0D"/>
    <w:rsid w:val="007D282E"/>
    <w:rsid w:val="007D2C47"/>
    <w:rsid w:val="007D2F92"/>
    <w:rsid w:val="007D3742"/>
    <w:rsid w:val="007D3ABF"/>
    <w:rsid w:val="007D4530"/>
    <w:rsid w:val="007D521C"/>
    <w:rsid w:val="007D5691"/>
    <w:rsid w:val="007D5DDD"/>
    <w:rsid w:val="007D68FB"/>
    <w:rsid w:val="007D7486"/>
    <w:rsid w:val="007D74F2"/>
    <w:rsid w:val="007D7B46"/>
    <w:rsid w:val="007D7E17"/>
    <w:rsid w:val="007E0499"/>
    <w:rsid w:val="007E069F"/>
    <w:rsid w:val="007E1032"/>
    <w:rsid w:val="007E1A73"/>
    <w:rsid w:val="007E295A"/>
    <w:rsid w:val="007E3049"/>
    <w:rsid w:val="007E3C77"/>
    <w:rsid w:val="007E4198"/>
    <w:rsid w:val="007E4702"/>
    <w:rsid w:val="007E4922"/>
    <w:rsid w:val="007E5008"/>
    <w:rsid w:val="007E53CB"/>
    <w:rsid w:val="007E56DB"/>
    <w:rsid w:val="007E627A"/>
    <w:rsid w:val="007E6CD6"/>
    <w:rsid w:val="007E7433"/>
    <w:rsid w:val="007E79A3"/>
    <w:rsid w:val="007F0A4A"/>
    <w:rsid w:val="007F0B7A"/>
    <w:rsid w:val="007F0F3E"/>
    <w:rsid w:val="007F1690"/>
    <w:rsid w:val="007F1B4D"/>
    <w:rsid w:val="007F1CC1"/>
    <w:rsid w:val="007F233F"/>
    <w:rsid w:val="007F3149"/>
    <w:rsid w:val="007F38D1"/>
    <w:rsid w:val="007F51EF"/>
    <w:rsid w:val="007F527D"/>
    <w:rsid w:val="007F591E"/>
    <w:rsid w:val="007F6C33"/>
    <w:rsid w:val="007F70E9"/>
    <w:rsid w:val="007F7239"/>
    <w:rsid w:val="007F7388"/>
    <w:rsid w:val="007F7AEF"/>
    <w:rsid w:val="00800485"/>
    <w:rsid w:val="008004CE"/>
    <w:rsid w:val="00800670"/>
    <w:rsid w:val="00800B48"/>
    <w:rsid w:val="00801BC9"/>
    <w:rsid w:val="00802402"/>
    <w:rsid w:val="00802A9D"/>
    <w:rsid w:val="00802E11"/>
    <w:rsid w:val="008032A1"/>
    <w:rsid w:val="008039C4"/>
    <w:rsid w:val="008043BF"/>
    <w:rsid w:val="00804B8D"/>
    <w:rsid w:val="00804CBC"/>
    <w:rsid w:val="008052EC"/>
    <w:rsid w:val="0080586F"/>
    <w:rsid w:val="00805C8B"/>
    <w:rsid w:val="008060F4"/>
    <w:rsid w:val="0080698C"/>
    <w:rsid w:val="0080703F"/>
    <w:rsid w:val="00807413"/>
    <w:rsid w:val="00807443"/>
    <w:rsid w:val="00807449"/>
    <w:rsid w:val="00807CB5"/>
    <w:rsid w:val="00807D8F"/>
    <w:rsid w:val="00810207"/>
    <w:rsid w:val="0081030C"/>
    <w:rsid w:val="00810379"/>
    <w:rsid w:val="00811BB0"/>
    <w:rsid w:val="00811C79"/>
    <w:rsid w:val="0081278B"/>
    <w:rsid w:val="00813499"/>
    <w:rsid w:val="008135C7"/>
    <w:rsid w:val="0081371E"/>
    <w:rsid w:val="0081393D"/>
    <w:rsid w:val="00813FA2"/>
    <w:rsid w:val="008147B4"/>
    <w:rsid w:val="008149C0"/>
    <w:rsid w:val="008153F8"/>
    <w:rsid w:val="00815632"/>
    <w:rsid w:val="00815766"/>
    <w:rsid w:val="00815D12"/>
    <w:rsid w:val="00816408"/>
    <w:rsid w:val="0081666E"/>
    <w:rsid w:val="00817283"/>
    <w:rsid w:val="00817602"/>
    <w:rsid w:val="008177ED"/>
    <w:rsid w:val="00817BD1"/>
    <w:rsid w:val="00817C42"/>
    <w:rsid w:val="00820DEB"/>
    <w:rsid w:val="00820E3B"/>
    <w:rsid w:val="0082121D"/>
    <w:rsid w:val="008215A7"/>
    <w:rsid w:val="00821FDF"/>
    <w:rsid w:val="00822801"/>
    <w:rsid w:val="00822AB2"/>
    <w:rsid w:val="00823091"/>
    <w:rsid w:val="00823AF4"/>
    <w:rsid w:val="00823B32"/>
    <w:rsid w:val="00823D58"/>
    <w:rsid w:val="00824104"/>
    <w:rsid w:val="00826140"/>
    <w:rsid w:val="0082681D"/>
    <w:rsid w:val="00827506"/>
    <w:rsid w:val="00827546"/>
    <w:rsid w:val="008276A6"/>
    <w:rsid w:val="0083042F"/>
    <w:rsid w:val="00831167"/>
    <w:rsid w:val="00831D82"/>
    <w:rsid w:val="00832592"/>
    <w:rsid w:val="0083301C"/>
    <w:rsid w:val="0083307C"/>
    <w:rsid w:val="008333FB"/>
    <w:rsid w:val="0083379B"/>
    <w:rsid w:val="00834060"/>
    <w:rsid w:val="0083410B"/>
    <w:rsid w:val="00834257"/>
    <w:rsid w:val="00834372"/>
    <w:rsid w:val="008347D2"/>
    <w:rsid w:val="008356F5"/>
    <w:rsid w:val="00835AC8"/>
    <w:rsid w:val="00835CB2"/>
    <w:rsid w:val="00835DA7"/>
    <w:rsid w:val="00836349"/>
    <w:rsid w:val="00836460"/>
    <w:rsid w:val="008364E7"/>
    <w:rsid w:val="008368FF"/>
    <w:rsid w:val="00836F24"/>
    <w:rsid w:val="00837FF7"/>
    <w:rsid w:val="0084036F"/>
    <w:rsid w:val="00840B5B"/>
    <w:rsid w:val="00840EF3"/>
    <w:rsid w:val="00841682"/>
    <w:rsid w:val="00841937"/>
    <w:rsid w:val="008419C1"/>
    <w:rsid w:val="0084207B"/>
    <w:rsid w:val="008421B3"/>
    <w:rsid w:val="00842F94"/>
    <w:rsid w:val="008433FF"/>
    <w:rsid w:val="0084378D"/>
    <w:rsid w:val="00843BB6"/>
    <w:rsid w:val="00843EAB"/>
    <w:rsid w:val="00844C03"/>
    <w:rsid w:val="00844FF0"/>
    <w:rsid w:val="0084584E"/>
    <w:rsid w:val="00845F5A"/>
    <w:rsid w:val="00846189"/>
    <w:rsid w:val="008461ED"/>
    <w:rsid w:val="00846322"/>
    <w:rsid w:val="00846B57"/>
    <w:rsid w:val="0084770F"/>
    <w:rsid w:val="00850B0A"/>
    <w:rsid w:val="00850FFC"/>
    <w:rsid w:val="00851AE0"/>
    <w:rsid w:val="00851E2D"/>
    <w:rsid w:val="00852473"/>
    <w:rsid w:val="00852F86"/>
    <w:rsid w:val="008533B7"/>
    <w:rsid w:val="008535AC"/>
    <w:rsid w:val="00853E0B"/>
    <w:rsid w:val="008544F6"/>
    <w:rsid w:val="00854DD6"/>
    <w:rsid w:val="00855038"/>
    <w:rsid w:val="00855C52"/>
    <w:rsid w:val="00855C72"/>
    <w:rsid w:val="0085637A"/>
    <w:rsid w:val="008563F6"/>
    <w:rsid w:val="00857AD5"/>
    <w:rsid w:val="00857B7E"/>
    <w:rsid w:val="00857C09"/>
    <w:rsid w:val="00857C39"/>
    <w:rsid w:val="00857EA3"/>
    <w:rsid w:val="00860CC0"/>
    <w:rsid w:val="00861428"/>
    <w:rsid w:val="00861B2E"/>
    <w:rsid w:val="00861E67"/>
    <w:rsid w:val="00861F9F"/>
    <w:rsid w:val="00862840"/>
    <w:rsid w:val="0086298F"/>
    <w:rsid w:val="00863405"/>
    <w:rsid w:val="0086342B"/>
    <w:rsid w:val="00863526"/>
    <w:rsid w:val="00864504"/>
    <w:rsid w:val="00864625"/>
    <w:rsid w:val="008648C0"/>
    <w:rsid w:val="0086491C"/>
    <w:rsid w:val="00865318"/>
    <w:rsid w:val="008659B9"/>
    <w:rsid w:val="00865B29"/>
    <w:rsid w:val="00867DD7"/>
    <w:rsid w:val="00870132"/>
    <w:rsid w:val="008713B1"/>
    <w:rsid w:val="0087172D"/>
    <w:rsid w:val="00871F21"/>
    <w:rsid w:val="00872533"/>
    <w:rsid w:val="008725D1"/>
    <w:rsid w:val="00872755"/>
    <w:rsid w:val="00872B43"/>
    <w:rsid w:val="00872DFD"/>
    <w:rsid w:val="0087330A"/>
    <w:rsid w:val="00874249"/>
    <w:rsid w:val="0087444A"/>
    <w:rsid w:val="00874474"/>
    <w:rsid w:val="0087460E"/>
    <w:rsid w:val="00875413"/>
    <w:rsid w:val="008759D5"/>
    <w:rsid w:val="0087729A"/>
    <w:rsid w:val="008772AE"/>
    <w:rsid w:val="00877323"/>
    <w:rsid w:val="008775A8"/>
    <w:rsid w:val="008779C2"/>
    <w:rsid w:val="0088087C"/>
    <w:rsid w:val="0088089F"/>
    <w:rsid w:val="0088093A"/>
    <w:rsid w:val="00880A7E"/>
    <w:rsid w:val="00881280"/>
    <w:rsid w:val="00881298"/>
    <w:rsid w:val="00881D06"/>
    <w:rsid w:val="00881D09"/>
    <w:rsid w:val="00881D40"/>
    <w:rsid w:val="00881F5A"/>
    <w:rsid w:val="00882826"/>
    <w:rsid w:val="00882EEE"/>
    <w:rsid w:val="00883640"/>
    <w:rsid w:val="0088437E"/>
    <w:rsid w:val="00884453"/>
    <w:rsid w:val="00884D53"/>
    <w:rsid w:val="008854B8"/>
    <w:rsid w:val="00885A77"/>
    <w:rsid w:val="00885B75"/>
    <w:rsid w:val="008860F2"/>
    <w:rsid w:val="0088628A"/>
    <w:rsid w:val="00886398"/>
    <w:rsid w:val="00886C44"/>
    <w:rsid w:val="00886EDF"/>
    <w:rsid w:val="00887615"/>
    <w:rsid w:val="00890592"/>
    <w:rsid w:val="008909D0"/>
    <w:rsid w:val="00890B3B"/>
    <w:rsid w:val="00890EB5"/>
    <w:rsid w:val="0089167F"/>
    <w:rsid w:val="008927FB"/>
    <w:rsid w:val="008928D6"/>
    <w:rsid w:val="00892AA5"/>
    <w:rsid w:val="0089309E"/>
    <w:rsid w:val="00893693"/>
    <w:rsid w:val="00893942"/>
    <w:rsid w:val="008939BC"/>
    <w:rsid w:val="0089418C"/>
    <w:rsid w:val="008943BC"/>
    <w:rsid w:val="008946F4"/>
    <w:rsid w:val="00894A15"/>
    <w:rsid w:val="00894ECD"/>
    <w:rsid w:val="008955AE"/>
    <w:rsid w:val="00895CEE"/>
    <w:rsid w:val="00896488"/>
    <w:rsid w:val="008968F7"/>
    <w:rsid w:val="0089716A"/>
    <w:rsid w:val="00897356"/>
    <w:rsid w:val="0089758F"/>
    <w:rsid w:val="00897D6E"/>
    <w:rsid w:val="008A03CA"/>
    <w:rsid w:val="008A0908"/>
    <w:rsid w:val="008A1142"/>
    <w:rsid w:val="008A145A"/>
    <w:rsid w:val="008A16D5"/>
    <w:rsid w:val="008A1975"/>
    <w:rsid w:val="008A1A1D"/>
    <w:rsid w:val="008A1B30"/>
    <w:rsid w:val="008A2007"/>
    <w:rsid w:val="008A263B"/>
    <w:rsid w:val="008A2C66"/>
    <w:rsid w:val="008A3064"/>
    <w:rsid w:val="008A30A7"/>
    <w:rsid w:val="008A365D"/>
    <w:rsid w:val="008A4069"/>
    <w:rsid w:val="008A4859"/>
    <w:rsid w:val="008A4C64"/>
    <w:rsid w:val="008A4F38"/>
    <w:rsid w:val="008A53AF"/>
    <w:rsid w:val="008A5C23"/>
    <w:rsid w:val="008A5DA4"/>
    <w:rsid w:val="008A6DBD"/>
    <w:rsid w:val="008A6E9D"/>
    <w:rsid w:val="008A70AD"/>
    <w:rsid w:val="008A7C15"/>
    <w:rsid w:val="008B1666"/>
    <w:rsid w:val="008B19CE"/>
    <w:rsid w:val="008B19DE"/>
    <w:rsid w:val="008B252F"/>
    <w:rsid w:val="008B28F3"/>
    <w:rsid w:val="008B2CDA"/>
    <w:rsid w:val="008B3EEE"/>
    <w:rsid w:val="008B43F1"/>
    <w:rsid w:val="008B450D"/>
    <w:rsid w:val="008B4B16"/>
    <w:rsid w:val="008B5553"/>
    <w:rsid w:val="008B5702"/>
    <w:rsid w:val="008B6094"/>
    <w:rsid w:val="008B6219"/>
    <w:rsid w:val="008B6338"/>
    <w:rsid w:val="008B63A0"/>
    <w:rsid w:val="008B63E3"/>
    <w:rsid w:val="008B6B64"/>
    <w:rsid w:val="008B6F17"/>
    <w:rsid w:val="008B7BDE"/>
    <w:rsid w:val="008B7D4E"/>
    <w:rsid w:val="008C141B"/>
    <w:rsid w:val="008C14C1"/>
    <w:rsid w:val="008C19D9"/>
    <w:rsid w:val="008C2831"/>
    <w:rsid w:val="008C2C21"/>
    <w:rsid w:val="008C31C6"/>
    <w:rsid w:val="008C335F"/>
    <w:rsid w:val="008C4631"/>
    <w:rsid w:val="008C4C7D"/>
    <w:rsid w:val="008C538B"/>
    <w:rsid w:val="008C59B7"/>
    <w:rsid w:val="008C5A89"/>
    <w:rsid w:val="008C5F67"/>
    <w:rsid w:val="008C6551"/>
    <w:rsid w:val="008C6583"/>
    <w:rsid w:val="008C6B4C"/>
    <w:rsid w:val="008C749B"/>
    <w:rsid w:val="008C781E"/>
    <w:rsid w:val="008D07D8"/>
    <w:rsid w:val="008D1BC7"/>
    <w:rsid w:val="008D22CF"/>
    <w:rsid w:val="008D25BF"/>
    <w:rsid w:val="008D2DC2"/>
    <w:rsid w:val="008D2F49"/>
    <w:rsid w:val="008D3175"/>
    <w:rsid w:val="008D3182"/>
    <w:rsid w:val="008D34A8"/>
    <w:rsid w:val="008D3874"/>
    <w:rsid w:val="008D4350"/>
    <w:rsid w:val="008D4518"/>
    <w:rsid w:val="008D46D6"/>
    <w:rsid w:val="008D4AB5"/>
    <w:rsid w:val="008D4FFF"/>
    <w:rsid w:val="008D5A66"/>
    <w:rsid w:val="008D5A67"/>
    <w:rsid w:val="008D6A47"/>
    <w:rsid w:val="008D7070"/>
    <w:rsid w:val="008D728E"/>
    <w:rsid w:val="008D7A7B"/>
    <w:rsid w:val="008D7D7A"/>
    <w:rsid w:val="008E0484"/>
    <w:rsid w:val="008E14A6"/>
    <w:rsid w:val="008E1C3B"/>
    <w:rsid w:val="008E3630"/>
    <w:rsid w:val="008E39F2"/>
    <w:rsid w:val="008E3AE2"/>
    <w:rsid w:val="008E3D54"/>
    <w:rsid w:val="008E3EE5"/>
    <w:rsid w:val="008E43E9"/>
    <w:rsid w:val="008E47CA"/>
    <w:rsid w:val="008E4A3A"/>
    <w:rsid w:val="008E4D7B"/>
    <w:rsid w:val="008E511C"/>
    <w:rsid w:val="008E5467"/>
    <w:rsid w:val="008E583B"/>
    <w:rsid w:val="008E5B2E"/>
    <w:rsid w:val="008E606F"/>
    <w:rsid w:val="008E63E7"/>
    <w:rsid w:val="008E6EBF"/>
    <w:rsid w:val="008E700C"/>
    <w:rsid w:val="008E7666"/>
    <w:rsid w:val="008E7BE1"/>
    <w:rsid w:val="008F05DB"/>
    <w:rsid w:val="008F1232"/>
    <w:rsid w:val="008F13F1"/>
    <w:rsid w:val="008F1549"/>
    <w:rsid w:val="008F1575"/>
    <w:rsid w:val="008F1926"/>
    <w:rsid w:val="008F2154"/>
    <w:rsid w:val="008F261D"/>
    <w:rsid w:val="008F314E"/>
    <w:rsid w:val="008F319A"/>
    <w:rsid w:val="008F37DB"/>
    <w:rsid w:val="008F3C64"/>
    <w:rsid w:val="008F4466"/>
    <w:rsid w:val="008F4940"/>
    <w:rsid w:val="008F559C"/>
    <w:rsid w:val="008F593D"/>
    <w:rsid w:val="008F63AB"/>
    <w:rsid w:val="008F65DB"/>
    <w:rsid w:val="008F6831"/>
    <w:rsid w:val="00900247"/>
    <w:rsid w:val="0090106D"/>
    <w:rsid w:val="009017E7"/>
    <w:rsid w:val="00901DF8"/>
    <w:rsid w:val="0090314F"/>
    <w:rsid w:val="009031EF"/>
    <w:rsid w:val="00903446"/>
    <w:rsid w:val="00903458"/>
    <w:rsid w:val="00903C03"/>
    <w:rsid w:val="00904C86"/>
    <w:rsid w:val="00905753"/>
    <w:rsid w:val="00905C31"/>
    <w:rsid w:val="0090647E"/>
    <w:rsid w:val="009065D5"/>
    <w:rsid w:val="00906EAC"/>
    <w:rsid w:val="00910A3C"/>
    <w:rsid w:val="00911C0F"/>
    <w:rsid w:val="00911F20"/>
    <w:rsid w:val="0091210B"/>
    <w:rsid w:val="00912623"/>
    <w:rsid w:val="00913690"/>
    <w:rsid w:val="00913887"/>
    <w:rsid w:val="009142BC"/>
    <w:rsid w:val="00914693"/>
    <w:rsid w:val="00914813"/>
    <w:rsid w:val="009150AC"/>
    <w:rsid w:val="00915878"/>
    <w:rsid w:val="009158A2"/>
    <w:rsid w:val="00916E6B"/>
    <w:rsid w:val="009175D6"/>
    <w:rsid w:val="009177E4"/>
    <w:rsid w:val="00917830"/>
    <w:rsid w:val="00917B8C"/>
    <w:rsid w:val="00917BCA"/>
    <w:rsid w:val="00920C29"/>
    <w:rsid w:val="00921264"/>
    <w:rsid w:val="009219E9"/>
    <w:rsid w:val="00921C65"/>
    <w:rsid w:val="009232E8"/>
    <w:rsid w:val="009233C1"/>
    <w:rsid w:val="0092383B"/>
    <w:rsid w:val="00924167"/>
    <w:rsid w:val="00925544"/>
    <w:rsid w:val="00925B9F"/>
    <w:rsid w:val="00925BD1"/>
    <w:rsid w:val="00926607"/>
    <w:rsid w:val="00926677"/>
    <w:rsid w:val="009266E3"/>
    <w:rsid w:val="00926A09"/>
    <w:rsid w:val="00930996"/>
    <w:rsid w:val="00930BDE"/>
    <w:rsid w:val="00930C02"/>
    <w:rsid w:val="009317B0"/>
    <w:rsid w:val="00931870"/>
    <w:rsid w:val="00931C6C"/>
    <w:rsid w:val="00932C6E"/>
    <w:rsid w:val="00933511"/>
    <w:rsid w:val="00933C84"/>
    <w:rsid w:val="0093419A"/>
    <w:rsid w:val="009343F0"/>
    <w:rsid w:val="00935AD7"/>
    <w:rsid w:val="00935ECF"/>
    <w:rsid w:val="0093672C"/>
    <w:rsid w:val="0093695B"/>
    <w:rsid w:val="00936BE0"/>
    <w:rsid w:val="009378D2"/>
    <w:rsid w:val="0094086F"/>
    <w:rsid w:val="009411D4"/>
    <w:rsid w:val="0094184C"/>
    <w:rsid w:val="00941876"/>
    <w:rsid w:val="00941AC8"/>
    <w:rsid w:val="00942551"/>
    <w:rsid w:val="00942651"/>
    <w:rsid w:val="00942687"/>
    <w:rsid w:val="009426B8"/>
    <w:rsid w:val="009427E8"/>
    <w:rsid w:val="009429E6"/>
    <w:rsid w:val="00942B87"/>
    <w:rsid w:val="00942F61"/>
    <w:rsid w:val="009433DC"/>
    <w:rsid w:val="0094381E"/>
    <w:rsid w:val="00943D88"/>
    <w:rsid w:val="00944157"/>
    <w:rsid w:val="009449A9"/>
    <w:rsid w:val="00944E53"/>
    <w:rsid w:val="00945B45"/>
    <w:rsid w:val="00945DE7"/>
    <w:rsid w:val="009462D3"/>
    <w:rsid w:val="00946C0E"/>
    <w:rsid w:val="009472FA"/>
    <w:rsid w:val="009474E4"/>
    <w:rsid w:val="00947BAC"/>
    <w:rsid w:val="00947E2F"/>
    <w:rsid w:val="009507AC"/>
    <w:rsid w:val="00950FF3"/>
    <w:rsid w:val="009514CE"/>
    <w:rsid w:val="009518D9"/>
    <w:rsid w:val="009521C7"/>
    <w:rsid w:val="00953169"/>
    <w:rsid w:val="00953588"/>
    <w:rsid w:val="00953A56"/>
    <w:rsid w:val="00953AD7"/>
    <w:rsid w:val="00953D12"/>
    <w:rsid w:val="00953EB5"/>
    <w:rsid w:val="009547AB"/>
    <w:rsid w:val="0095510B"/>
    <w:rsid w:val="0095560E"/>
    <w:rsid w:val="00955DD3"/>
    <w:rsid w:val="00956267"/>
    <w:rsid w:val="00956461"/>
    <w:rsid w:val="009564B5"/>
    <w:rsid w:val="00956781"/>
    <w:rsid w:val="00956C92"/>
    <w:rsid w:val="00957EC8"/>
    <w:rsid w:val="00957FBF"/>
    <w:rsid w:val="009603A2"/>
    <w:rsid w:val="00960B1E"/>
    <w:rsid w:val="00960B5C"/>
    <w:rsid w:val="00960B8E"/>
    <w:rsid w:val="00961534"/>
    <w:rsid w:val="00961C74"/>
    <w:rsid w:val="00961D59"/>
    <w:rsid w:val="0096213A"/>
    <w:rsid w:val="009627CC"/>
    <w:rsid w:val="00962A98"/>
    <w:rsid w:val="00962ACD"/>
    <w:rsid w:val="00962FB1"/>
    <w:rsid w:val="00963410"/>
    <w:rsid w:val="00963771"/>
    <w:rsid w:val="009639EA"/>
    <w:rsid w:val="0096492B"/>
    <w:rsid w:val="009650D7"/>
    <w:rsid w:val="009653DC"/>
    <w:rsid w:val="00965523"/>
    <w:rsid w:val="009668E9"/>
    <w:rsid w:val="00967E8E"/>
    <w:rsid w:val="0097003C"/>
    <w:rsid w:val="00970487"/>
    <w:rsid w:val="009711E6"/>
    <w:rsid w:val="0097129D"/>
    <w:rsid w:val="00971646"/>
    <w:rsid w:val="00971887"/>
    <w:rsid w:val="009719D7"/>
    <w:rsid w:val="00971DFB"/>
    <w:rsid w:val="0097210C"/>
    <w:rsid w:val="009724FC"/>
    <w:rsid w:val="009725C3"/>
    <w:rsid w:val="00973CED"/>
    <w:rsid w:val="009752E9"/>
    <w:rsid w:val="009754AE"/>
    <w:rsid w:val="009763A3"/>
    <w:rsid w:val="0097676E"/>
    <w:rsid w:val="0097699D"/>
    <w:rsid w:val="00980817"/>
    <w:rsid w:val="00980963"/>
    <w:rsid w:val="00980AAF"/>
    <w:rsid w:val="0098150D"/>
    <w:rsid w:val="009820F8"/>
    <w:rsid w:val="00982619"/>
    <w:rsid w:val="00982C16"/>
    <w:rsid w:val="0098399E"/>
    <w:rsid w:val="00983C06"/>
    <w:rsid w:val="0098444B"/>
    <w:rsid w:val="009848C7"/>
    <w:rsid w:val="00984CE1"/>
    <w:rsid w:val="00985947"/>
    <w:rsid w:val="00985A73"/>
    <w:rsid w:val="00985AE1"/>
    <w:rsid w:val="00986190"/>
    <w:rsid w:val="009868AE"/>
    <w:rsid w:val="009868E6"/>
    <w:rsid w:val="00986DC9"/>
    <w:rsid w:val="00986F03"/>
    <w:rsid w:val="0098732F"/>
    <w:rsid w:val="00987436"/>
    <w:rsid w:val="00987A82"/>
    <w:rsid w:val="00987B01"/>
    <w:rsid w:val="00990AC0"/>
    <w:rsid w:val="009921B0"/>
    <w:rsid w:val="00992825"/>
    <w:rsid w:val="00992CD0"/>
    <w:rsid w:val="00992FE8"/>
    <w:rsid w:val="009935D0"/>
    <w:rsid w:val="009939F3"/>
    <w:rsid w:val="00993BA5"/>
    <w:rsid w:val="00993F95"/>
    <w:rsid w:val="00994AC3"/>
    <w:rsid w:val="00994DD6"/>
    <w:rsid w:val="00994E6A"/>
    <w:rsid w:val="009950B7"/>
    <w:rsid w:val="00995944"/>
    <w:rsid w:val="00996572"/>
    <w:rsid w:val="0099734F"/>
    <w:rsid w:val="009A0217"/>
    <w:rsid w:val="009A07C5"/>
    <w:rsid w:val="009A0BCF"/>
    <w:rsid w:val="009A112B"/>
    <w:rsid w:val="009A1BEE"/>
    <w:rsid w:val="009A1E5F"/>
    <w:rsid w:val="009A29CC"/>
    <w:rsid w:val="009A2FA5"/>
    <w:rsid w:val="009A3087"/>
    <w:rsid w:val="009A3A9E"/>
    <w:rsid w:val="009A4482"/>
    <w:rsid w:val="009A5132"/>
    <w:rsid w:val="009A6306"/>
    <w:rsid w:val="009A6605"/>
    <w:rsid w:val="009A6649"/>
    <w:rsid w:val="009A6D39"/>
    <w:rsid w:val="009A76DB"/>
    <w:rsid w:val="009A79B4"/>
    <w:rsid w:val="009A7EC0"/>
    <w:rsid w:val="009B1D59"/>
    <w:rsid w:val="009B22D4"/>
    <w:rsid w:val="009B3EF1"/>
    <w:rsid w:val="009B415B"/>
    <w:rsid w:val="009B41C9"/>
    <w:rsid w:val="009B49E9"/>
    <w:rsid w:val="009B4BC1"/>
    <w:rsid w:val="009B4CE2"/>
    <w:rsid w:val="009B4E1F"/>
    <w:rsid w:val="009B5447"/>
    <w:rsid w:val="009B55B7"/>
    <w:rsid w:val="009B585F"/>
    <w:rsid w:val="009B5DB4"/>
    <w:rsid w:val="009B6464"/>
    <w:rsid w:val="009B6795"/>
    <w:rsid w:val="009B682D"/>
    <w:rsid w:val="009B6A7A"/>
    <w:rsid w:val="009B6E0D"/>
    <w:rsid w:val="009B6E90"/>
    <w:rsid w:val="009B6ED2"/>
    <w:rsid w:val="009B6FF0"/>
    <w:rsid w:val="009B7606"/>
    <w:rsid w:val="009B7C2E"/>
    <w:rsid w:val="009B7D79"/>
    <w:rsid w:val="009B7DAE"/>
    <w:rsid w:val="009C0567"/>
    <w:rsid w:val="009C063A"/>
    <w:rsid w:val="009C09AA"/>
    <w:rsid w:val="009C0C78"/>
    <w:rsid w:val="009C102D"/>
    <w:rsid w:val="009C10EC"/>
    <w:rsid w:val="009C1343"/>
    <w:rsid w:val="009C29EA"/>
    <w:rsid w:val="009C33BB"/>
    <w:rsid w:val="009C35FA"/>
    <w:rsid w:val="009C4284"/>
    <w:rsid w:val="009C43B4"/>
    <w:rsid w:val="009C4C18"/>
    <w:rsid w:val="009C50FB"/>
    <w:rsid w:val="009C6407"/>
    <w:rsid w:val="009C6CC5"/>
    <w:rsid w:val="009C6E7C"/>
    <w:rsid w:val="009C6EF3"/>
    <w:rsid w:val="009C6F99"/>
    <w:rsid w:val="009C7152"/>
    <w:rsid w:val="009C772E"/>
    <w:rsid w:val="009C786F"/>
    <w:rsid w:val="009C7C95"/>
    <w:rsid w:val="009C7EC3"/>
    <w:rsid w:val="009C7F41"/>
    <w:rsid w:val="009D0271"/>
    <w:rsid w:val="009D06B8"/>
    <w:rsid w:val="009D0F43"/>
    <w:rsid w:val="009D11BD"/>
    <w:rsid w:val="009D15FD"/>
    <w:rsid w:val="009D1794"/>
    <w:rsid w:val="009D2140"/>
    <w:rsid w:val="009D2D8F"/>
    <w:rsid w:val="009D2FD3"/>
    <w:rsid w:val="009D4678"/>
    <w:rsid w:val="009D4FA6"/>
    <w:rsid w:val="009D57AF"/>
    <w:rsid w:val="009D5B32"/>
    <w:rsid w:val="009D6508"/>
    <w:rsid w:val="009D6B98"/>
    <w:rsid w:val="009D6DCE"/>
    <w:rsid w:val="009D7523"/>
    <w:rsid w:val="009E0366"/>
    <w:rsid w:val="009E037C"/>
    <w:rsid w:val="009E07CC"/>
    <w:rsid w:val="009E0B1C"/>
    <w:rsid w:val="009E0D85"/>
    <w:rsid w:val="009E0F6D"/>
    <w:rsid w:val="009E1185"/>
    <w:rsid w:val="009E1358"/>
    <w:rsid w:val="009E19A3"/>
    <w:rsid w:val="009E229C"/>
    <w:rsid w:val="009E3629"/>
    <w:rsid w:val="009E488B"/>
    <w:rsid w:val="009E4E6A"/>
    <w:rsid w:val="009E56FF"/>
    <w:rsid w:val="009E60EC"/>
    <w:rsid w:val="009E65FF"/>
    <w:rsid w:val="009E6D80"/>
    <w:rsid w:val="009E6E22"/>
    <w:rsid w:val="009E6F99"/>
    <w:rsid w:val="009E6FE7"/>
    <w:rsid w:val="009E7156"/>
    <w:rsid w:val="009E74E5"/>
    <w:rsid w:val="009E7678"/>
    <w:rsid w:val="009E7AB8"/>
    <w:rsid w:val="009E7C64"/>
    <w:rsid w:val="009F0029"/>
    <w:rsid w:val="009F027E"/>
    <w:rsid w:val="009F07C0"/>
    <w:rsid w:val="009F07D2"/>
    <w:rsid w:val="009F0889"/>
    <w:rsid w:val="009F16ED"/>
    <w:rsid w:val="009F1B4C"/>
    <w:rsid w:val="009F1D61"/>
    <w:rsid w:val="009F1DF9"/>
    <w:rsid w:val="009F29DE"/>
    <w:rsid w:val="009F2EB1"/>
    <w:rsid w:val="009F33B7"/>
    <w:rsid w:val="009F3435"/>
    <w:rsid w:val="009F3BFE"/>
    <w:rsid w:val="009F3CF8"/>
    <w:rsid w:val="009F4388"/>
    <w:rsid w:val="009F43A6"/>
    <w:rsid w:val="009F4553"/>
    <w:rsid w:val="009F46E9"/>
    <w:rsid w:val="009F4819"/>
    <w:rsid w:val="009F4CAD"/>
    <w:rsid w:val="009F4E17"/>
    <w:rsid w:val="009F5C3A"/>
    <w:rsid w:val="009F687C"/>
    <w:rsid w:val="009F748F"/>
    <w:rsid w:val="00A003A7"/>
    <w:rsid w:val="00A00728"/>
    <w:rsid w:val="00A01077"/>
    <w:rsid w:val="00A01B5D"/>
    <w:rsid w:val="00A01BB2"/>
    <w:rsid w:val="00A024A8"/>
    <w:rsid w:val="00A02D02"/>
    <w:rsid w:val="00A0414F"/>
    <w:rsid w:val="00A04664"/>
    <w:rsid w:val="00A0470D"/>
    <w:rsid w:val="00A04853"/>
    <w:rsid w:val="00A05249"/>
    <w:rsid w:val="00A05BC8"/>
    <w:rsid w:val="00A07103"/>
    <w:rsid w:val="00A104CB"/>
    <w:rsid w:val="00A107F7"/>
    <w:rsid w:val="00A1128F"/>
    <w:rsid w:val="00A1150C"/>
    <w:rsid w:val="00A11992"/>
    <w:rsid w:val="00A11E42"/>
    <w:rsid w:val="00A1206E"/>
    <w:rsid w:val="00A133B0"/>
    <w:rsid w:val="00A133FB"/>
    <w:rsid w:val="00A14C97"/>
    <w:rsid w:val="00A15421"/>
    <w:rsid w:val="00A15903"/>
    <w:rsid w:val="00A168FD"/>
    <w:rsid w:val="00A1691A"/>
    <w:rsid w:val="00A1691D"/>
    <w:rsid w:val="00A17101"/>
    <w:rsid w:val="00A17416"/>
    <w:rsid w:val="00A17675"/>
    <w:rsid w:val="00A176B0"/>
    <w:rsid w:val="00A17AD6"/>
    <w:rsid w:val="00A17D1F"/>
    <w:rsid w:val="00A201FB"/>
    <w:rsid w:val="00A20514"/>
    <w:rsid w:val="00A205F7"/>
    <w:rsid w:val="00A20876"/>
    <w:rsid w:val="00A20AB8"/>
    <w:rsid w:val="00A2178F"/>
    <w:rsid w:val="00A2193D"/>
    <w:rsid w:val="00A21F21"/>
    <w:rsid w:val="00A223FD"/>
    <w:rsid w:val="00A22E77"/>
    <w:rsid w:val="00A23352"/>
    <w:rsid w:val="00A248FB"/>
    <w:rsid w:val="00A25597"/>
    <w:rsid w:val="00A25D48"/>
    <w:rsid w:val="00A26683"/>
    <w:rsid w:val="00A26ECF"/>
    <w:rsid w:val="00A27455"/>
    <w:rsid w:val="00A27497"/>
    <w:rsid w:val="00A3025E"/>
    <w:rsid w:val="00A30588"/>
    <w:rsid w:val="00A30FB1"/>
    <w:rsid w:val="00A3198A"/>
    <w:rsid w:val="00A31AC3"/>
    <w:rsid w:val="00A31DBB"/>
    <w:rsid w:val="00A32417"/>
    <w:rsid w:val="00A32F10"/>
    <w:rsid w:val="00A3321D"/>
    <w:rsid w:val="00A33360"/>
    <w:rsid w:val="00A33DF5"/>
    <w:rsid w:val="00A349F0"/>
    <w:rsid w:val="00A366C7"/>
    <w:rsid w:val="00A3777E"/>
    <w:rsid w:val="00A37D28"/>
    <w:rsid w:val="00A407A8"/>
    <w:rsid w:val="00A41C5F"/>
    <w:rsid w:val="00A41CE4"/>
    <w:rsid w:val="00A420AE"/>
    <w:rsid w:val="00A4220C"/>
    <w:rsid w:val="00A422C1"/>
    <w:rsid w:val="00A43931"/>
    <w:rsid w:val="00A43C3D"/>
    <w:rsid w:val="00A44E7D"/>
    <w:rsid w:val="00A45283"/>
    <w:rsid w:val="00A45381"/>
    <w:rsid w:val="00A45725"/>
    <w:rsid w:val="00A45DD9"/>
    <w:rsid w:val="00A46089"/>
    <w:rsid w:val="00A4651B"/>
    <w:rsid w:val="00A466B1"/>
    <w:rsid w:val="00A46AF0"/>
    <w:rsid w:val="00A46C5E"/>
    <w:rsid w:val="00A46E54"/>
    <w:rsid w:val="00A46E59"/>
    <w:rsid w:val="00A509A0"/>
    <w:rsid w:val="00A50C81"/>
    <w:rsid w:val="00A51217"/>
    <w:rsid w:val="00A515B5"/>
    <w:rsid w:val="00A51C83"/>
    <w:rsid w:val="00A51D29"/>
    <w:rsid w:val="00A523AE"/>
    <w:rsid w:val="00A523DD"/>
    <w:rsid w:val="00A52681"/>
    <w:rsid w:val="00A52ED4"/>
    <w:rsid w:val="00A5388E"/>
    <w:rsid w:val="00A53EB8"/>
    <w:rsid w:val="00A54441"/>
    <w:rsid w:val="00A5462B"/>
    <w:rsid w:val="00A547D8"/>
    <w:rsid w:val="00A54BE6"/>
    <w:rsid w:val="00A54FAB"/>
    <w:rsid w:val="00A55250"/>
    <w:rsid w:val="00A5535D"/>
    <w:rsid w:val="00A56843"/>
    <w:rsid w:val="00A56C07"/>
    <w:rsid w:val="00A56C91"/>
    <w:rsid w:val="00A57D06"/>
    <w:rsid w:val="00A60099"/>
    <w:rsid w:val="00A60355"/>
    <w:rsid w:val="00A6077C"/>
    <w:rsid w:val="00A60DFB"/>
    <w:rsid w:val="00A6183A"/>
    <w:rsid w:val="00A62261"/>
    <w:rsid w:val="00A62343"/>
    <w:rsid w:val="00A63030"/>
    <w:rsid w:val="00A638A3"/>
    <w:rsid w:val="00A63FAB"/>
    <w:rsid w:val="00A64647"/>
    <w:rsid w:val="00A64D59"/>
    <w:rsid w:val="00A6506D"/>
    <w:rsid w:val="00A65A75"/>
    <w:rsid w:val="00A65C3D"/>
    <w:rsid w:val="00A66161"/>
    <w:rsid w:val="00A672C1"/>
    <w:rsid w:val="00A67594"/>
    <w:rsid w:val="00A67670"/>
    <w:rsid w:val="00A67749"/>
    <w:rsid w:val="00A679B5"/>
    <w:rsid w:val="00A679F4"/>
    <w:rsid w:val="00A67F8B"/>
    <w:rsid w:val="00A67FFB"/>
    <w:rsid w:val="00A7060E"/>
    <w:rsid w:val="00A709D2"/>
    <w:rsid w:val="00A71377"/>
    <w:rsid w:val="00A71933"/>
    <w:rsid w:val="00A71D90"/>
    <w:rsid w:val="00A71F8D"/>
    <w:rsid w:val="00A72BE5"/>
    <w:rsid w:val="00A731D6"/>
    <w:rsid w:val="00A7323E"/>
    <w:rsid w:val="00A738AB"/>
    <w:rsid w:val="00A739B3"/>
    <w:rsid w:val="00A73AFF"/>
    <w:rsid w:val="00A73F23"/>
    <w:rsid w:val="00A743BE"/>
    <w:rsid w:val="00A7443F"/>
    <w:rsid w:val="00A74554"/>
    <w:rsid w:val="00A74DC1"/>
    <w:rsid w:val="00A75A73"/>
    <w:rsid w:val="00A75CA3"/>
    <w:rsid w:val="00A75E7A"/>
    <w:rsid w:val="00A75FEB"/>
    <w:rsid w:val="00A76207"/>
    <w:rsid w:val="00A76230"/>
    <w:rsid w:val="00A76295"/>
    <w:rsid w:val="00A76CE0"/>
    <w:rsid w:val="00A7726C"/>
    <w:rsid w:val="00A7759B"/>
    <w:rsid w:val="00A778D7"/>
    <w:rsid w:val="00A80025"/>
    <w:rsid w:val="00A80978"/>
    <w:rsid w:val="00A80DFC"/>
    <w:rsid w:val="00A81385"/>
    <w:rsid w:val="00A81534"/>
    <w:rsid w:val="00A81AF2"/>
    <w:rsid w:val="00A826B6"/>
    <w:rsid w:val="00A828DD"/>
    <w:rsid w:val="00A82970"/>
    <w:rsid w:val="00A83701"/>
    <w:rsid w:val="00A83B63"/>
    <w:rsid w:val="00A83DE9"/>
    <w:rsid w:val="00A8498E"/>
    <w:rsid w:val="00A84D7D"/>
    <w:rsid w:val="00A85EAC"/>
    <w:rsid w:val="00A860F9"/>
    <w:rsid w:val="00A861B3"/>
    <w:rsid w:val="00A861DC"/>
    <w:rsid w:val="00A86342"/>
    <w:rsid w:val="00A86406"/>
    <w:rsid w:val="00A866FC"/>
    <w:rsid w:val="00A874FE"/>
    <w:rsid w:val="00A8794E"/>
    <w:rsid w:val="00A87A02"/>
    <w:rsid w:val="00A90111"/>
    <w:rsid w:val="00A901B8"/>
    <w:rsid w:val="00A90E42"/>
    <w:rsid w:val="00A91584"/>
    <w:rsid w:val="00A9160C"/>
    <w:rsid w:val="00A9165D"/>
    <w:rsid w:val="00A91AAE"/>
    <w:rsid w:val="00A92A29"/>
    <w:rsid w:val="00A92AE7"/>
    <w:rsid w:val="00A92B40"/>
    <w:rsid w:val="00A93A2B"/>
    <w:rsid w:val="00A94966"/>
    <w:rsid w:val="00A95265"/>
    <w:rsid w:val="00A95B28"/>
    <w:rsid w:val="00A96A27"/>
    <w:rsid w:val="00A96AFA"/>
    <w:rsid w:val="00A96CA7"/>
    <w:rsid w:val="00A9731F"/>
    <w:rsid w:val="00A975B3"/>
    <w:rsid w:val="00A977C8"/>
    <w:rsid w:val="00A97F08"/>
    <w:rsid w:val="00AA0083"/>
    <w:rsid w:val="00AA02BE"/>
    <w:rsid w:val="00AA0D2E"/>
    <w:rsid w:val="00AA2408"/>
    <w:rsid w:val="00AA2499"/>
    <w:rsid w:val="00AA2664"/>
    <w:rsid w:val="00AA2A54"/>
    <w:rsid w:val="00AA2F0A"/>
    <w:rsid w:val="00AA33C6"/>
    <w:rsid w:val="00AA3420"/>
    <w:rsid w:val="00AA3686"/>
    <w:rsid w:val="00AA3F63"/>
    <w:rsid w:val="00AA42FC"/>
    <w:rsid w:val="00AA4F4A"/>
    <w:rsid w:val="00AA5254"/>
    <w:rsid w:val="00AA6B78"/>
    <w:rsid w:val="00AA6F6B"/>
    <w:rsid w:val="00AA7590"/>
    <w:rsid w:val="00AB05F2"/>
    <w:rsid w:val="00AB06F6"/>
    <w:rsid w:val="00AB0921"/>
    <w:rsid w:val="00AB0A61"/>
    <w:rsid w:val="00AB22FC"/>
    <w:rsid w:val="00AB2F70"/>
    <w:rsid w:val="00AB35B0"/>
    <w:rsid w:val="00AB363E"/>
    <w:rsid w:val="00AB36A9"/>
    <w:rsid w:val="00AB3AD7"/>
    <w:rsid w:val="00AB3AE7"/>
    <w:rsid w:val="00AB3B41"/>
    <w:rsid w:val="00AB3F8C"/>
    <w:rsid w:val="00AB414E"/>
    <w:rsid w:val="00AB4D29"/>
    <w:rsid w:val="00AB5245"/>
    <w:rsid w:val="00AB52ED"/>
    <w:rsid w:val="00AB52F1"/>
    <w:rsid w:val="00AB5E72"/>
    <w:rsid w:val="00AB5E85"/>
    <w:rsid w:val="00AB600C"/>
    <w:rsid w:val="00AB61CB"/>
    <w:rsid w:val="00AB6DFB"/>
    <w:rsid w:val="00AB6F60"/>
    <w:rsid w:val="00AB72D9"/>
    <w:rsid w:val="00AB7306"/>
    <w:rsid w:val="00AB745C"/>
    <w:rsid w:val="00AC0257"/>
    <w:rsid w:val="00AC0D30"/>
    <w:rsid w:val="00AC1255"/>
    <w:rsid w:val="00AC13F2"/>
    <w:rsid w:val="00AC2C1F"/>
    <w:rsid w:val="00AC3705"/>
    <w:rsid w:val="00AC3965"/>
    <w:rsid w:val="00AC3C0E"/>
    <w:rsid w:val="00AC4023"/>
    <w:rsid w:val="00AC447C"/>
    <w:rsid w:val="00AC5183"/>
    <w:rsid w:val="00AC5668"/>
    <w:rsid w:val="00AC57FD"/>
    <w:rsid w:val="00AC5846"/>
    <w:rsid w:val="00AC5F8F"/>
    <w:rsid w:val="00AC6590"/>
    <w:rsid w:val="00AC6B23"/>
    <w:rsid w:val="00AC6DA1"/>
    <w:rsid w:val="00AC7133"/>
    <w:rsid w:val="00AD0607"/>
    <w:rsid w:val="00AD0946"/>
    <w:rsid w:val="00AD0993"/>
    <w:rsid w:val="00AD0B53"/>
    <w:rsid w:val="00AD0E40"/>
    <w:rsid w:val="00AD119D"/>
    <w:rsid w:val="00AD1CB2"/>
    <w:rsid w:val="00AD2FEE"/>
    <w:rsid w:val="00AD3510"/>
    <w:rsid w:val="00AD42ED"/>
    <w:rsid w:val="00AD4912"/>
    <w:rsid w:val="00AD52F6"/>
    <w:rsid w:val="00AD54B5"/>
    <w:rsid w:val="00AD5605"/>
    <w:rsid w:val="00AD5637"/>
    <w:rsid w:val="00AD5985"/>
    <w:rsid w:val="00AD6587"/>
    <w:rsid w:val="00AD660B"/>
    <w:rsid w:val="00AD6B61"/>
    <w:rsid w:val="00AD6CA2"/>
    <w:rsid w:val="00AD7475"/>
    <w:rsid w:val="00AD7E44"/>
    <w:rsid w:val="00AE003F"/>
    <w:rsid w:val="00AE06DB"/>
    <w:rsid w:val="00AE0B3C"/>
    <w:rsid w:val="00AE0F51"/>
    <w:rsid w:val="00AE1E2F"/>
    <w:rsid w:val="00AE27AB"/>
    <w:rsid w:val="00AE2C6E"/>
    <w:rsid w:val="00AE3D17"/>
    <w:rsid w:val="00AE3F07"/>
    <w:rsid w:val="00AE450F"/>
    <w:rsid w:val="00AE4FBC"/>
    <w:rsid w:val="00AE5656"/>
    <w:rsid w:val="00AE57D3"/>
    <w:rsid w:val="00AE5C13"/>
    <w:rsid w:val="00AE6E52"/>
    <w:rsid w:val="00AE72B4"/>
    <w:rsid w:val="00AE779C"/>
    <w:rsid w:val="00AE78B0"/>
    <w:rsid w:val="00AF0758"/>
    <w:rsid w:val="00AF0A77"/>
    <w:rsid w:val="00AF0F23"/>
    <w:rsid w:val="00AF1374"/>
    <w:rsid w:val="00AF1630"/>
    <w:rsid w:val="00AF1DC9"/>
    <w:rsid w:val="00AF251E"/>
    <w:rsid w:val="00AF2EEE"/>
    <w:rsid w:val="00AF4339"/>
    <w:rsid w:val="00AF49DF"/>
    <w:rsid w:val="00AF5173"/>
    <w:rsid w:val="00AF51D9"/>
    <w:rsid w:val="00AF523E"/>
    <w:rsid w:val="00AF581C"/>
    <w:rsid w:val="00AF5920"/>
    <w:rsid w:val="00AF6136"/>
    <w:rsid w:val="00AF63CC"/>
    <w:rsid w:val="00AF650A"/>
    <w:rsid w:val="00AF6542"/>
    <w:rsid w:val="00AF76CB"/>
    <w:rsid w:val="00AF79B5"/>
    <w:rsid w:val="00B003F9"/>
    <w:rsid w:val="00B00BCB"/>
    <w:rsid w:val="00B013F8"/>
    <w:rsid w:val="00B0196F"/>
    <w:rsid w:val="00B02100"/>
    <w:rsid w:val="00B02ADF"/>
    <w:rsid w:val="00B02BAB"/>
    <w:rsid w:val="00B02D9F"/>
    <w:rsid w:val="00B02ECD"/>
    <w:rsid w:val="00B02F2D"/>
    <w:rsid w:val="00B031EC"/>
    <w:rsid w:val="00B03273"/>
    <w:rsid w:val="00B032B9"/>
    <w:rsid w:val="00B03650"/>
    <w:rsid w:val="00B03802"/>
    <w:rsid w:val="00B03B25"/>
    <w:rsid w:val="00B0426A"/>
    <w:rsid w:val="00B0490A"/>
    <w:rsid w:val="00B04B32"/>
    <w:rsid w:val="00B04BDD"/>
    <w:rsid w:val="00B05237"/>
    <w:rsid w:val="00B0541B"/>
    <w:rsid w:val="00B058A2"/>
    <w:rsid w:val="00B05DB1"/>
    <w:rsid w:val="00B06927"/>
    <w:rsid w:val="00B06A29"/>
    <w:rsid w:val="00B06B01"/>
    <w:rsid w:val="00B06F0A"/>
    <w:rsid w:val="00B075BF"/>
    <w:rsid w:val="00B077EA"/>
    <w:rsid w:val="00B079A0"/>
    <w:rsid w:val="00B07A7C"/>
    <w:rsid w:val="00B07AB0"/>
    <w:rsid w:val="00B07D8C"/>
    <w:rsid w:val="00B07F71"/>
    <w:rsid w:val="00B103BA"/>
    <w:rsid w:val="00B106A0"/>
    <w:rsid w:val="00B11180"/>
    <w:rsid w:val="00B11706"/>
    <w:rsid w:val="00B1214C"/>
    <w:rsid w:val="00B122D5"/>
    <w:rsid w:val="00B1258C"/>
    <w:rsid w:val="00B12CD1"/>
    <w:rsid w:val="00B14C55"/>
    <w:rsid w:val="00B150CB"/>
    <w:rsid w:val="00B15882"/>
    <w:rsid w:val="00B1716E"/>
    <w:rsid w:val="00B17524"/>
    <w:rsid w:val="00B1791B"/>
    <w:rsid w:val="00B17A04"/>
    <w:rsid w:val="00B17F9B"/>
    <w:rsid w:val="00B203E8"/>
    <w:rsid w:val="00B211B3"/>
    <w:rsid w:val="00B21311"/>
    <w:rsid w:val="00B21C30"/>
    <w:rsid w:val="00B2206B"/>
    <w:rsid w:val="00B226E4"/>
    <w:rsid w:val="00B235B3"/>
    <w:rsid w:val="00B23849"/>
    <w:rsid w:val="00B23C2C"/>
    <w:rsid w:val="00B23C30"/>
    <w:rsid w:val="00B23CD2"/>
    <w:rsid w:val="00B240D6"/>
    <w:rsid w:val="00B24411"/>
    <w:rsid w:val="00B244EA"/>
    <w:rsid w:val="00B24FD3"/>
    <w:rsid w:val="00B25079"/>
    <w:rsid w:val="00B25405"/>
    <w:rsid w:val="00B2567B"/>
    <w:rsid w:val="00B257D4"/>
    <w:rsid w:val="00B25874"/>
    <w:rsid w:val="00B25A42"/>
    <w:rsid w:val="00B25AAF"/>
    <w:rsid w:val="00B25E6E"/>
    <w:rsid w:val="00B2601B"/>
    <w:rsid w:val="00B2603D"/>
    <w:rsid w:val="00B26473"/>
    <w:rsid w:val="00B264BD"/>
    <w:rsid w:val="00B26C0E"/>
    <w:rsid w:val="00B26F96"/>
    <w:rsid w:val="00B271CF"/>
    <w:rsid w:val="00B3069E"/>
    <w:rsid w:val="00B30BE7"/>
    <w:rsid w:val="00B31790"/>
    <w:rsid w:val="00B31822"/>
    <w:rsid w:val="00B31C2C"/>
    <w:rsid w:val="00B32434"/>
    <w:rsid w:val="00B32FC5"/>
    <w:rsid w:val="00B33537"/>
    <w:rsid w:val="00B33978"/>
    <w:rsid w:val="00B33C6B"/>
    <w:rsid w:val="00B33E0D"/>
    <w:rsid w:val="00B33F33"/>
    <w:rsid w:val="00B340AF"/>
    <w:rsid w:val="00B3481E"/>
    <w:rsid w:val="00B34F42"/>
    <w:rsid w:val="00B3554A"/>
    <w:rsid w:val="00B35592"/>
    <w:rsid w:val="00B35B5B"/>
    <w:rsid w:val="00B35CB2"/>
    <w:rsid w:val="00B3673F"/>
    <w:rsid w:val="00B372E7"/>
    <w:rsid w:val="00B3731E"/>
    <w:rsid w:val="00B3745E"/>
    <w:rsid w:val="00B374C8"/>
    <w:rsid w:val="00B37E10"/>
    <w:rsid w:val="00B4014B"/>
    <w:rsid w:val="00B413E6"/>
    <w:rsid w:val="00B41B15"/>
    <w:rsid w:val="00B4209B"/>
    <w:rsid w:val="00B42238"/>
    <w:rsid w:val="00B42378"/>
    <w:rsid w:val="00B42559"/>
    <w:rsid w:val="00B42870"/>
    <w:rsid w:val="00B42B6F"/>
    <w:rsid w:val="00B43164"/>
    <w:rsid w:val="00B43F7F"/>
    <w:rsid w:val="00B44827"/>
    <w:rsid w:val="00B44A30"/>
    <w:rsid w:val="00B454DA"/>
    <w:rsid w:val="00B4574B"/>
    <w:rsid w:val="00B458E9"/>
    <w:rsid w:val="00B467F3"/>
    <w:rsid w:val="00B47B1E"/>
    <w:rsid w:val="00B47DF9"/>
    <w:rsid w:val="00B50190"/>
    <w:rsid w:val="00B50B17"/>
    <w:rsid w:val="00B50B67"/>
    <w:rsid w:val="00B5118E"/>
    <w:rsid w:val="00B51A7F"/>
    <w:rsid w:val="00B52758"/>
    <w:rsid w:val="00B528EC"/>
    <w:rsid w:val="00B531FA"/>
    <w:rsid w:val="00B5336E"/>
    <w:rsid w:val="00B53990"/>
    <w:rsid w:val="00B53B42"/>
    <w:rsid w:val="00B53BAC"/>
    <w:rsid w:val="00B53BE6"/>
    <w:rsid w:val="00B53BF5"/>
    <w:rsid w:val="00B55125"/>
    <w:rsid w:val="00B552FE"/>
    <w:rsid w:val="00B55777"/>
    <w:rsid w:val="00B561FF"/>
    <w:rsid w:val="00B563BA"/>
    <w:rsid w:val="00B571A2"/>
    <w:rsid w:val="00B571D3"/>
    <w:rsid w:val="00B5725C"/>
    <w:rsid w:val="00B57500"/>
    <w:rsid w:val="00B57781"/>
    <w:rsid w:val="00B57959"/>
    <w:rsid w:val="00B57D1C"/>
    <w:rsid w:val="00B605BF"/>
    <w:rsid w:val="00B60D62"/>
    <w:rsid w:val="00B61868"/>
    <w:rsid w:val="00B62E8E"/>
    <w:rsid w:val="00B63378"/>
    <w:rsid w:val="00B633F9"/>
    <w:rsid w:val="00B63FEF"/>
    <w:rsid w:val="00B64112"/>
    <w:rsid w:val="00B645F3"/>
    <w:rsid w:val="00B64673"/>
    <w:rsid w:val="00B6481C"/>
    <w:rsid w:val="00B64F8F"/>
    <w:rsid w:val="00B6501D"/>
    <w:rsid w:val="00B656DD"/>
    <w:rsid w:val="00B65830"/>
    <w:rsid w:val="00B65B99"/>
    <w:rsid w:val="00B65E8A"/>
    <w:rsid w:val="00B665A9"/>
    <w:rsid w:val="00B6662B"/>
    <w:rsid w:val="00B6682E"/>
    <w:rsid w:val="00B66DEF"/>
    <w:rsid w:val="00B67206"/>
    <w:rsid w:val="00B67214"/>
    <w:rsid w:val="00B70698"/>
    <w:rsid w:val="00B706E5"/>
    <w:rsid w:val="00B70EF1"/>
    <w:rsid w:val="00B71220"/>
    <w:rsid w:val="00B717F6"/>
    <w:rsid w:val="00B71C7A"/>
    <w:rsid w:val="00B7219A"/>
    <w:rsid w:val="00B725BA"/>
    <w:rsid w:val="00B72972"/>
    <w:rsid w:val="00B72B77"/>
    <w:rsid w:val="00B72CF4"/>
    <w:rsid w:val="00B72D81"/>
    <w:rsid w:val="00B74379"/>
    <w:rsid w:val="00B74A71"/>
    <w:rsid w:val="00B752A8"/>
    <w:rsid w:val="00B75396"/>
    <w:rsid w:val="00B7542D"/>
    <w:rsid w:val="00B763B0"/>
    <w:rsid w:val="00B76727"/>
    <w:rsid w:val="00B769B0"/>
    <w:rsid w:val="00B76F84"/>
    <w:rsid w:val="00B77093"/>
    <w:rsid w:val="00B77C0E"/>
    <w:rsid w:val="00B77D07"/>
    <w:rsid w:val="00B77F4A"/>
    <w:rsid w:val="00B800E4"/>
    <w:rsid w:val="00B8111B"/>
    <w:rsid w:val="00B8164D"/>
    <w:rsid w:val="00B83B70"/>
    <w:rsid w:val="00B84007"/>
    <w:rsid w:val="00B84261"/>
    <w:rsid w:val="00B8436C"/>
    <w:rsid w:val="00B845F6"/>
    <w:rsid w:val="00B8478A"/>
    <w:rsid w:val="00B848FC"/>
    <w:rsid w:val="00B86FB2"/>
    <w:rsid w:val="00B8714F"/>
    <w:rsid w:val="00B87FC7"/>
    <w:rsid w:val="00B900E4"/>
    <w:rsid w:val="00B9022A"/>
    <w:rsid w:val="00B9038B"/>
    <w:rsid w:val="00B9068C"/>
    <w:rsid w:val="00B910AC"/>
    <w:rsid w:val="00B91D3E"/>
    <w:rsid w:val="00B91F3F"/>
    <w:rsid w:val="00B92D02"/>
    <w:rsid w:val="00B92F46"/>
    <w:rsid w:val="00B931D6"/>
    <w:rsid w:val="00B93C55"/>
    <w:rsid w:val="00B93D7A"/>
    <w:rsid w:val="00B94111"/>
    <w:rsid w:val="00B94585"/>
    <w:rsid w:val="00B94FB3"/>
    <w:rsid w:val="00B94FFE"/>
    <w:rsid w:val="00B9516B"/>
    <w:rsid w:val="00B9528A"/>
    <w:rsid w:val="00B957E6"/>
    <w:rsid w:val="00B95F0B"/>
    <w:rsid w:val="00B9657B"/>
    <w:rsid w:val="00B965BD"/>
    <w:rsid w:val="00B96EFD"/>
    <w:rsid w:val="00BA0035"/>
    <w:rsid w:val="00BA0091"/>
    <w:rsid w:val="00BA0B3F"/>
    <w:rsid w:val="00BA15FA"/>
    <w:rsid w:val="00BA24C0"/>
    <w:rsid w:val="00BA326C"/>
    <w:rsid w:val="00BA346D"/>
    <w:rsid w:val="00BA3FC5"/>
    <w:rsid w:val="00BA42C7"/>
    <w:rsid w:val="00BA432E"/>
    <w:rsid w:val="00BA49CA"/>
    <w:rsid w:val="00BA4B67"/>
    <w:rsid w:val="00BA4C49"/>
    <w:rsid w:val="00BA4E80"/>
    <w:rsid w:val="00BA5070"/>
    <w:rsid w:val="00BA50A7"/>
    <w:rsid w:val="00BA5442"/>
    <w:rsid w:val="00BA5FE0"/>
    <w:rsid w:val="00BA6A4E"/>
    <w:rsid w:val="00BA6B79"/>
    <w:rsid w:val="00BA6EC7"/>
    <w:rsid w:val="00BA72C0"/>
    <w:rsid w:val="00BA7D1A"/>
    <w:rsid w:val="00BA7ECF"/>
    <w:rsid w:val="00BB039F"/>
    <w:rsid w:val="00BB07C3"/>
    <w:rsid w:val="00BB0CB3"/>
    <w:rsid w:val="00BB0F45"/>
    <w:rsid w:val="00BB1027"/>
    <w:rsid w:val="00BB13FB"/>
    <w:rsid w:val="00BB1919"/>
    <w:rsid w:val="00BB1B07"/>
    <w:rsid w:val="00BB1BB1"/>
    <w:rsid w:val="00BB1D5E"/>
    <w:rsid w:val="00BB2278"/>
    <w:rsid w:val="00BB240B"/>
    <w:rsid w:val="00BB2CB0"/>
    <w:rsid w:val="00BB3DB5"/>
    <w:rsid w:val="00BB42CD"/>
    <w:rsid w:val="00BB4785"/>
    <w:rsid w:val="00BB63E9"/>
    <w:rsid w:val="00BB6F85"/>
    <w:rsid w:val="00BB6FB2"/>
    <w:rsid w:val="00BB74ED"/>
    <w:rsid w:val="00BB7857"/>
    <w:rsid w:val="00BC02DC"/>
    <w:rsid w:val="00BC083A"/>
    <w:rsid w:val="00BC08E4"/>
    <w:rsid w:val="00BC0DCD"/>
    <w:rsid w:val="00BC0E06"/>
    <w:rsid w:val="00BC1238"/>
    <w:rsid w:val="00BC1D89"/>
    <w:rsid w:val="00BC20DE"/>
    <w:rsid w:val="00BC2390"/>
    <w:rsid w:val="00BC2BDF"/>
    <w:rsid w:val="00BC335A"/>
    <w:rsid w:val="00BC3B59"/>
    <w:rsid w:val="00BC3EE7"/>
    <w:rsid w:val="00BC55CB"/>
    <w:rsid w:val="00BC62CD"/>
    <w:rsid w:val="00BC642C"/>
    <w:rsid w:val="00BC6648"/>
    <w:rsid w:val="00BC668C"/>
    <w:rsid w:val="00BC6AC4"/>
    <w:rsid w:val="00BC6D81"/>
    <w:rsid w:val="00BC6DE2"/>
    <w:rsid w:val="00BC769A"/>
    <w:rsid w:val="00BC7978"/>
    <w:rsid w:val="00BD040D"/>
    <w:rsid w:val="00BD05C0"/>
    <w:rsid w:val="00BD09C6"/>
    <w:rsid w:val="00BD1670"/>
    <w:rsid w:val="00BD1790"/>
    <w:rsid w:val="00BD1940"/>
    <w:rsid w:val="00BD1B7B"/>
    <w:rsid w:val="00BD1CBC"/>
    <w:rsid w:val="00BD2220"/>
    <w:rsid w:val="00BD2361"/>
    <w:rsid w:val="00BD3125"/>
    <w:rsid w:val="00BD3427"/>
    <w:rsid w:val="00BD35DD"/>
    <w:rsid w:val="00BD3708"/>
    <w:rsid w:val="00BD3AFD"/>
    <w:rsid w:val="00BD3DD8"/>
    <w:rsid w:val="00BD4254"/>
    <w:rsid w:val="00BD4814"/>
    <w:rsid w:val="00BD4C0A"/>
    <w:rsid w:val="00BD50AE"/>
    <w:rsid w:val="00BD5441"/>
    <w:rsid w:val="00BD59DF"/>
    <w:rsid w:val="00BD5DDE"/>
    <w:rsid w:val="00BD6333"/>
    <w:rsid w:val="00BD6745"/>
    <w:rsid w:val="00BD6936"/>
    <w:rsid w:val="00BD6BED"/>
    <w:rsid w:val="00BD6C23"/>
    <w:rsid w:val="00BD6C5F"/>
    <w:rsid w:val="00BD7B25"/>
    <w:rsid w:val="00BD7EEF"/>
    <w:rsid w:val="00BD7EFC"/>
    <w:rsid w:val="00BE037B"/>
    <w:rsid w:val="00BE04C9"/>
    <w:rsid w:val="00BE07B3"/>
    <w:rsid w:val="00BE09EC"/>
    <w:rsid w:val="00BE0B7A"/>
    <w:rsid w:val="00BE1DD9"/>
    <w:rsid w:val="00BE20E5"/>
    <w:rsid w:val="00BE255B"/>
    <w:rsid w:val="00BE2968"/>
    <w:rsid w:val="00BE29A3"/>
    <w:rsid w:val="00BE3BC9"/>
    <w:rsid w:val="00BE49BC"/>
    <w:rsid w:val="00BE49E2"/>
    <w:rsid w:val="00BE4B7F"/>
    <w:rsid w:val="00BE60F1"/>
    <w:rsid w:val="00BE68D1"/>
    <w:rsid w:val="00BE7301"/>
    <w:rsid w:val="00BF0C2F"/>
    <w:rsid w:val="00BF2C84"/>
    <w:rsid w:val="00BF2CDE"/>
    <w:rsid w:val="00BF2F79"/>
    <w:rsid w:val="00BF32E7"/>
    <w:rsid w:val="00BF3DEC"/>
    <w:rsid w:val="00BF4268"/>
    <w:rsid w:val="00BF478A"/>
    <w:rsid w:val="00BF568C"/>
    <w:rsid w:val="00BF63B5"/>
    <w:rsid w:val="00BF65CE"/>
    <w:rsid w:val="00BF68A0"/>
    <w:rsid w:val="00BF6DFB"/>
    <w:rsid w:val="00BF6E35"/>
    <w:rsid w:val="00BF728C"/>
    <w:rsid w:val="00BF735B"/>
    <w:rsid w:val="00BF760B"/>
    <w:rsid w:val="00BF7639"/>
    <w:rsid w:val="00BF7921"/>
    <w:rsid w:val="00BF7FE7"/>
    <w:rsid w:val="00C00C91"/>
    <w:rsid w:val="00C00FA5"/>
    <w:rsid w:val="00C012D2"/>
    <w:rsid w:val="00C017E5"/>
    <w:rsid w:val="00C019F6"/>
    <w:rsid w:val="00C01A75"/>
    <w:rsid w:val="00C01BFE"/>
    <w:rsid w:val="00C0280D"/>
    <w:rsid w:val="00C02B6C"/>
    <w:rsid w:val="00C02F7D"/>
    <w:rsid w:val="00C03F75"/>
    <w:rsid w:val="00C04CED"/>
    <w:rsid w:val="00C04F67"/>
    <w:rsid w:val="00C05922"/>
    <w:rsid w:val="00C059D5"/>
    <w:rsid w:val="00C062F0"/>
    <w:rsid w:val="00C0665F"/>
    <w:rsid w:val="00C06775"/>
    <w:rsid w:val="00C0686C"/>
    <w:rsid w:val="00C06AF2"/>
    <w:rsid w:val="00C07051"/>
    <w:rsid w:val="00C10675"/>
    <w:rsid w:val="00C118CC"/>
    <w:rsid w:val="00C119B6"/>
    <w:rsid w:val="00C11A38"/>
    <w:rsid w:val="00C11F91"/>
    <w:rsid w:val="00C1294E"/>
    <w:rsid w:val="00C12956"/>
    <w:rsid w:val="00C130E7"/>
    <w:rsid w:val="00C13D3A"/>
    <w:rsid w:val="00C144CC"/>
    <w:rsid w:val="00C14703"/>
    <w:rsid w:val="00C14774"/>
    <w:rsid w:val="00C15564"/>
    <w:rsid w:val="00C15937"/>
    <w:rsid w:val="00C15D32"/>
    <w:rsid w:val="00C16CCF"/>
    <w:rsid w:val="00C17EE2"/>
    <w:rsid w:val="00C2107E"/>
    <w:rsid w:val="00C215C9"/>
    <w:rsid w:val="00C217D1"/>
    <w:rsid w:val="00C22093"/>
    <w:rsid w:val="00C2218F"/>
    <w:rsid w:val="00C22328"/>
    <w:rsid w:val="00C223F6"/>
    <w:rsid w:val="00C22498"/>
    <w:rsid w:val="00C2252B"/>
    <w:rsid w:val="00C226C4"/>
    <w:rsid w:val="00C226D3"/>
    <w:rsid w:val="00C22E16"/>
    <w:rsid w:val="00C2345A"/>
    <w:rsid w:val="00C2358A"/>
    <w:rsid w:val="00C24322"/>
    <w:rsid w:val="00C2472A"/>
    <w:rsid w:val="00C24970"/>
    <w:rsid w:val="00C24F56"/>
    <w:rsid w:val="00C25BE0"/>
    <w:rsid w:val="00C264F7"/>
    <w:rsid w:val="00C26B64"/>
    <w:rsid w:val="00C27105"/>
    <w:rsid w:val="00C27572"/>
    <w:rsid w:val="00C278A2"/>
    <w:rsid w:val="00C279B4"/>
    <w:rsid w:val="00C30955"/>
    <w:rsid w:val="00C31AF8"/>
    <w:rsid w:val="00C323DB"/>
    <w:rsid w:val="00C326BD"/>
    <w:rsid w:val="00C32978"/>
    <w:rsid w:val="00C32C0F"/>
    <w:rsid w:val="00C32D84"/>
    <w:rsid w:val="00C33499"/>
    <w:rsid w:val="00C33860"/>
    <w:rsid w:val="00C33ABC"/>
    <w:rsid w:val="00C33AD2"/>
    <w:rsid w:val="00C33E46"/>
    <w:rsid w:val="00C3413E"/>
    <w:rsid w:val="00C345F7"/>
    <w:rsid w:val="00C34797"/>
    <w:rsid w:val="00C359F1"/>
    <w:rsid w:val="00C35C4D"/>
    <w:rsid w:val="00C3682C"/>
    <w:rsid w:val="00C36F9A"/>
    <w:rsid w:val="00C37E40"/>
    <w:rsid w:val="00C4066E"/>
    <w:rsid w:val="00C407F6"/>
    <w:rsid w:val="00C40EAB"/>
    <w:rsid w:val="00C41028"/>
    <w:rsid w:val="00C4168B"/>
    <w:rsid w:val="00C41B92"/>
    <w:rsid w:val="00C41C82"/>
    <w:rsid w:val="00C42087"/>
    <w:rsid w:val="00C4219B"/>
    <w:rsid w:val="00C421B7"/>
    <w:rsid w:val="00C429CE"/>
    <w:rsid w:val="00C43DF9"/>
    <w:rsid w:val="00C43E0F"/>
    <w:rsid w:val="00C44245"/>
    <w:rsid w:val="00C44508"/>
    <w:rsid w:val="00C446CD"/>
    <w:rsid w:val="00C4544E"/>
    <w:rsid w:val="00C46903"/>
    <w:rsid w:val="00C47096"/>
    <w:rsid w:val="00C47CF8"/>
    <w:rsid w:val="00C50052"/>
    <w:rsid w:val="00C50192"/>
    <w:rsid w:val="00C50DB5"/>
    <w:rsid w:val="00C51EB6"/>
    <w:rsid w:val="00C52534"/>
    <w:rsid w:val="00C5304B"/>
    <w:rsid w:val="00C53E71"/>
    <w:rsid w:val="00C54225"/>
    <w:rsid w:val="00C54D4D"/>
    <w:rsid w:val="00C54E76"/>
    <w:rsid w:val="00C55100"/>
    <w:rsid w:val="00C5517C"/>
    <w:rsid w:val="00C55C40"/>
    <w:rsid w:val="00C5690B"/>
    <w:rsid w:val="00C56D05"/>
    <w:rsid w:val="00C57BEE"/>
    <w:rsid w:val="00C57F3C"/>
    <w:rsid w:val="00C605EB"/>
    <w:rsid w:val="00C60E47"/>
    <w:rsid w:val="00C6175E"/>
    <w:rsid w:val="00C61D60"/>
    <w:rsid w:val="00C62441"/>
    <w:rsid w:val="00C62721"/>
    <w:rsid w:val="00C62EE7"/>
    <w:rsid w:val="00C633B1"/>
    <w:rsid w:val="00C6349C"/>
    <w:rsid w:val="00C63667"/>
    <w:rsid w:val="00C63751"/>
    <w:rsid w:val="00C63FBF"/>
    <w:rsid w:val="00C64166"/>
    <w:rsid w:val="00C64773"/>
    <w:rsid w:val="00C64779"/>
    <w:rsid w:val="00C64F40"/>
    <w:rsid w:val="00C65326"/>
    <w:rsid w:val="00C65390"/>
    <w:rsid w:val="00C658DB"/>
    <w:rsid w:val="00C659CA"/>
    <w:rsid w:val="00C65D5B"/>
    <w:rsid w:val="00C65F2F"/>
    <w:rsid w:val="00C65FF3"/>
    <w:rsid w:val="00C66287"/>
    <w:rsid w:val="00C67220"/>
    <w:rsid w:val="00C67795"/>
    <w:rsid w:val="00C67A5B"/>
    <w:rsid w:val="00C67C97"/>
    <w:rsid w:val="00C708AB"/>
    <w:rsid w:val="00C7160E"/>
    <w:rsid w:val="00C71C3A"/>
    <w:rsid w:val="00C71FEF"/>
    <w:rsid w:val="00C72229"/>
    <w:rsid w:val="00C72575"/>
    <w:rsid w:val="00C728D6"/>
    <w:rsid w:val="00C72919"/>
    <w:rsid w:val="00C72A81"/>
    <w:rsid w:val="00C72E7D"/>
    <w:rsid w:val="00C72FF6"/>
    <w:rsid w:val="00C7431C"/>
    <w:rsid w:val="00C7438C"/>
    <w:rsid w:val="00C74926"/>
    <w:rsid w:val="00C75390"/>
    <w:rsid w:val="00C757F1"/>
    <w:rsid w:val="00C75D5F"/>
    <w:rsid w:val="00C7624C"/>
    <w:rsid w:val="00C801C3"/>
    <w:rsid w:val="00C8092C"/>
    <w:rsid w:val="00C80AFC"/>
    <w:rsid w:val="00C80C3D"/>
    <w:rsid w:val="00C80FBB"/>
    <w:rsid w:val="00C810B5"/>
    <w:rsid w:val="00C81F16"/>
    <w:rsid w:val="00C81F40"/>
    <w:rsid w:val="00C82E55"/>
    <w:rsid w:val="00C8300C"/>
    <w:rsid w:val="00C838D7"/>
    <w:rsid w:val="00C83B1D"/>
    <w:rsid w:val="00C8435A"/>
    <w:rsid w:val="00C843BF"/>
    <w:rsid w:val="00C84B1C"/>
    <w:rsid w:val="00C85262"/>
    <w:rsid w:val="00C85792"/>
    <w:rsid w:val="00C85878"/>
    <w:rsid w:val="00C85D8E"/>
    <w:rsid w:val="00C865F2"/>
    <w:rsid w:val="00C8677B"/>
    <w:rsid w:val="00C86CE0"/>
    <w:rsid w:val="00C87119"/>
    <w:rsid w:val="00C87B65"/>
    <w:rsid w:val="00C917A1"/>
    <w:rsid w:val="00C9197A"/>
    <w:rsid w:val="00C9200A"/>
    <w:rsid w:val="00C920C2"/>
    <w:rsid w:val="00C924CF"/>
    <w:rsid w:val="00C92529"/>
    <w:rsid w:val="00C92FA8"/>
    <w:rsid w:val="00C930E2"/>
    <w:rsid w:val="00C93285"/>
    <w:rsid w:val="00C93DE2"/>
    <w:rsid w:val="00C93E2E"/>
    <w:rsid w:val="00C93F45"/>
    <w:rsid w:val="00C940EC"/>
    <w:rsid w:val="00C946F8"/>
    <w:rsid w:val="00C95072"/>
    <w:rsid w:val="00C9535F"/>
    <w:rsid w:val="00C953F3"/>
    <w:rsid w:val="00C95612"/>
    <w:rsid w:val="00C965D0"/>
    <w:rsid w:val="00C96642"/>
    <w:rsid w:val="00C97D98"/>
    <w:rsid w:val="00CA0095"/>
    <w:rsid w:val="00CA1594"/>
    <w:rsid w:val="00CA17B2"/>
    <w:rsid w:val="00CA1D6F"/>
    <w:rsid w:val="00CA1EFB"/>
    <w:rsid w:val="00CA20F8"/>
    <w:rsid w:val="00CA2D67"/>
    <w:rsid w:val="00CA2F8C"/>
    <w:rsid w:val="00CA3364"/>
    <w:rsid w:val="00CA3792"/>
    <w:rsid w:val="00CA411D"/>
    <w:rsid w:val="00CA4A20"/>
    <w:rsid w:val="00CA5354"/>
    <w:rsid w:val="00CA565A"/>
    <w:rsid w:val="00CA5994"/>
    <w:rsid w:val="00CA61C6"/>
    <w:rsid w:val="00CA64EC"/>
    <w:rsid w:val="00CA6860"/>
    <w:rsid w:val="00CA7A47"/>
    <w:rsid w:val="00CB052D"/>
    <w:rsid w:val="00CB0702"/>
    <w:rsid w:val="00CB0901"/>
    <w:rsid w:val="00CB0D8B"/>
    <w:rsid w:val="00CB0FCA"/>
    <w:rsid w:val="00CB25B8"/>
    <w:rsid w:val="00CB28C4"/>
    <w:rsid w:val="00CB33BB"/>
    <w:rsid w:val="00CB3410"/>
    <w:rsid w:val="00CB34FF"/>
    <w:rsid w:val="00CB359F"/>
    <w:rsid w:val="00CB4361"/>
    <w:rsid w:val="00CB4BBD"/>
    <w:rsid w:val="00CB59F6"/>
    <w:rsid w:val="00CB5DD4"/>
    <w:rsid w:val="00CB677A"/>
    <w:rsid w:val="00CB6FDB"/>
    <w:rsid w:val="00CB7996"/>
    <w:rsid w:val="00CC1839"/>
    <w:rsid w:val="00CC2790"/>
    <w:rsid w:val="00CC2853"/>
    <w:rsid w:val="00CC2E37"/>
    <w:rsid w:val="00CC31DD"/>
    <w:rsid w:val="00CC4B79"/>
    <w:rsid w:val="00CC4BF1"/>
    <w:rsid w:val="00CC4D78"/>
    <w:rsid w:val="00CC4E61"/>
    <w:rsid w:val="00CC59BC"/>
    <w:rsid w:val="00CC60DB"/>
    <w:rsid w:val="00CC618F"/>
    <w:rsid w:val="00CC64EE"/>
    <w:rsid w:val="00CC67E9"/>
    <w:rsid w:val="00CC6C16"/>
    <w:rsid w:val="00CC6D02"/>
    <w:rsid w:val="00CC70E1"/>
    <w:rsid w:val="00CC72BA"/>
    <w:rsid w:val="00CD0681"/>
    <w:rsid w:val="00CD1315"/>
    <w:rsid w:val="00CD1F01"/>
    <w:rsid w:val="00CD2814"/>
    <w:rsid w:val="00CD2DED"/>
    <w:rsid w:val="00CD2FC5"/>
    <w:rsid w:val="00CD3059"/>
    <w:rsid w:val="00CD36B6"/>
    <w:rsid w:val="00CD3C1A"/>
    <w:rsid w:val="00CD40EB"/>
    <w:rsid w:val="00CD418D"/>
    <w:rsid w:val="00CD4B1B"/>
    <w:rsid w:val="00CD4E50"/>
    <w:rsid w:val="00CD4E6D"/>
    <w:rsid w:val="00CD54E2"/>
    <w:rsid w:val="00CD5977"/>
    <w:rsid w:val="00CD5E1F"/>
    <w:rsid w:val="00CD62EE"/>
    <w:rsid w:val="00CD6780"/>
    <w:rsid w:val="00CD6919"/>
    <w:rsid w:val="00CD6FF2"/>
    <w:rsid w:val="00CD7019"/>
    <w:rsid w:val="00CD73ED"/>
    <w:rsid w:val="00CE035C"/>
    <w:rsid w:val="00CE0D52"/>
    <w:rsid w:val="00CE10EE"/>
    <w:rsid w:val="00CE1A38"/>
    <w:rsid w:val="00CE1D25"/>
    <w:rsid w:val="00CE1EB3"/>
    <w:rsid w:val="00CE2389"/>
    <w:rsid w:val="00CE2FD2"/>
    <w:rsid w:val="00CE32CE"/>
    <w:rsid w:val="00CE350F"/>
    <w:rsid w:val="00CE380D"/>
    <w:rsid w:val="00CE3FE9"/>
    <w:rsid w:val="00CE4AE4"/>
    <w:rsid w:val="00CE4C95"/>
    <w:rsid w:val="00CE51A8"/>
    <w:rsid w:val="00CE5477"/>
    <w:rsid w:val="00CE55AD"/>
    <w:rsid w:val="00CE5646"/>
    <w:rsid w:val="00CE564B"/>
    <w:rsid w:val="00CE5B29"/>
    <w:rsid w:val="00CE66BD"/>
    <w:rsid w:val="00CF05B7"/>
    <w:rsid w:val="00CF0623"/>
    <w:rsid w:val="00CF1E5D"/>
    <w:rsid w:val="00CF23F6"/>
    <w:rsid w:val="00CF290B"/>
    <w:rsid w:val="00CF2A3D"/>
    <w:rsid w:val="00CF2CF1"/>
    <w:rsid w:val="00CF30AA"/>
    <w:rsid w:val="00CF394E"/>
    <w:rsid w:val="00CF3E48"/>
    <w:rsid w:val="00CF4181"/>
    <w:rsid w:val="00CF4416"/>
    <w:rsid w:val="00CF4590"/>
    <w:rsid w:val="00CF481C"/>
    <w:rsid w:val="00CF630E"/>
    <w:rsid w:val="00CF666A"/>
    <w:rsid w:val="00CF6817"/>
    <w:rsid w:val="00CF6AF3"/>
    <w:rsid w:val="00CF6F40"/>
    <w:rsid w:val="00CF71E3"/>
    <w:rsid w:val="00CF7A87"/>
    <w:rsid w:val="00CF7EA9"/>
    <w:rsid w:val="00CF7EAC"/>
    <w:rsid w:val="00CF7EFE"/>
    <w:rsid w:val="00D00203"/>
    <w:rsid w:val="00D015CB"/>
    <w:rsid w:val="00D017BC"/>
    <w:rsid w:val="00D017E8"/>
    <w:rsid w:val="00D02444"/>
    <w:rsid w:val="00D025DC"/>
    <w:rsid w:val="00D0492F"/>
    <w:rsid w:val="00D04E04"/>
    <w:rsid w:val="00D05050"/>
    <w:rsid w:val="00D05CB2"/>
    <w:rsid w:val="00D05F22"/>
    <w:rsid w:val="00D066FA"/>
    <w:rsid w:val="00D07188"/>
    <w:rsid w:val="00D071BB"/>
    <w:rsid w:val="00D1022E"/>
    <w:rsid w:val="00D10A05"/>
    <w:rsid w:val="00D10CDC"/>
    <w:rsid w:val="00D10E8D"/>
    <w:rsid w:val="00D10F12"/>
    <w:rsid w:val="00D11B3E"/>
    <w:rsid w:val="00D11D83"/>
    <w:rsid w:val="00D12474"/>
    <w:rsid w:val="00D12689"/>
    <w:rsid w:val="00D12A39"/>
    <w:rsid w:val="00D12B64"/>
    <w:rsid w:val="00D12D08"/>
    <w:rsid w:val="00D12D58"/>
    <w:rsid w:val="00D12E22"/>
    <w:rsid w:val="00D12F8B"/>
    <w:rsid w:val="00D13A32"/>
    <w:rsid w:val="00D13C70"/>
    <w:rsid w:val="00D13F3E"/>
    <w:rsid w:val="00D1439E"/>
    <w:rsid w:val="00D15334"/>
    <w:rsid w:val="00D154CB"/>
    <w:rsid w:val="00D15708"/>
    <w:rsid w:val="00D15FB1"/>
    <w:rsid w:val="00D16984"/>
    <w:rsid w:val="00D170A0"/>
    <w:rsid w:val="00D17A70"/>
    <w:rsid w:val="00D17DE8"/>
    <w:rsid w:val="00D20073"/>
    <w:rsid w:val="00D207C2"/>
    <w:rsid w:val="00D20A8F"/>
    <w:rsid w:val="00D20CF2"/>
    <w:rsid w:val="00D20DC9"/>
    <w:rsid w:val="00D2105B"/>
    <w:rsid w:val="00D21130"/>
    <w:rsid w:val="00D211C4"/>
    <w:rsid w:val="00D211DD"/>
    <w:rsid w:val="00D2133C"/>
    <w:rsid w:val="00D214B9"/>
    <w:rsid w:val="00D221BA"/>
    <w:rsid w:val="00D223C8"/>
    <w:rsid w:val="00D22483"/>
    <w:rsid w:val="00D227D9"/>
    <w:rsid w:val="00D22A99"/>
    <w:rsid w:val="00D22BB9"/>
    <w:rsid w:val="00D232A1"/>
    <w:rsid w:val="00D234F6"/>
    <w:rsid w:val="00D241EA"/>
    <w:rsid w:val="00D242A4"/>
    <w:rsid w:val="00D24635"/>
    <w:rsid w:val="00D24FEF"/>
    <w:rsid w:val="00D2510D"/>
    <w:rsid w:val="00D2536F"/>
    <w:rsid w:val="00D254EE"/>
    <w:rsid w:val="00D255D4"/>
    <w:rsid w:val="00D258A1"/>
    <w:rsid w:val="00D25BAB"/>
    <w:rsid w:val="00D25E57"/>
    <w:rsid w:val="00D26132"/>
    <w:rsid w:val="00D26898"/>
    <w:rsid w:val="00D269F1"/>
    <w:rsid w:val="00D26AAC"/>
    <w:rsid w:val="00D26D37"/>
    <w:rsid w:val="00D2707E"/>
    <w:rsid w:val="00D273B9"/>
    <w:rsid w:val="00D27415"/>
    <w:rsid w:val="00D277BD"/>
    <w:rsid w:val="00D27831"/>
    <w:rsid w:val="00D278BD"/>
    <w:rsid w:val="00D3088E"/>
    <w:rsid w:val="00D3124B"/>
    <w:rsid w:val="00D32C81"/>
    <w:rsid w:val="00D33194"/>
    <w:rsid w:val="00D33924"/>
    <w:rsid w:val="00D34231"/>
    <w:rsid w:val="00D34696"/>
    <w:rsid w:val="00D34CFB"/>
    <w:rsid w:val="00D35059"/>
    <w:rsid w:val="00D35279"/>
    <w:rsid w:val="00D3565A"/>
    <w:rsid w:val="00D359FE"/>
    <w:rsid w:val="00D35A8C"/>
    <w:rsid w:val="00D35BBF"/>
    <w:rsid w:val="00D36483"/>
    <w:rsid w:val="00D36D2A"/>
    <w:rsid w:val="00D375F3"/>
    <w:rsid w:val="00D37BD9"/>
    <w:rsid w:val="00D37E76"/>
    <w:rsid w:val="00D400E7"/>
    <w:rsid w:val="00D402D6"/>
    <w:rsid w:val="00D406C5"/>
    <w:rsid w:val="00D41011"/>
    <w:rsid w:val="00D4138F"/>
    <w:rsid w:val="00D41CB6"/>
    <w:rsid w:val="00D43085"/>
    <w:rsid w:val="00D432AB"/>
    <w:rsid w:val="00D43651"/>
    <w:rsid w:val="00D43BF6"/>
    <w:rsid w:val="00D43EB2"/>
    <w:rsid w:val="00D43FB9"/>
    <w:rsid w:val="00D448B1"/>
    <w:rsid w:val="00D452C6"/>
    <w:rsid w:val="00D45455"/>
    <w:rsid w:val="00D45891"/>
    <w:rsid w:val="00D461FC"/>
    <w:rsid w:val="00D46E4A"/>
    <w:rsid w:val="00D471DF"/>
    <w:rsid w:val="00D50008"/>
    <w:rsid w:val="00D50A88"/>
    <w:rsid w:val="00D50B3A"/>
    <w:rsid w:val="00D50F87"/>
    <w:rsid w:val="00D5151F"/>
    <w:rsid w:val="00D51ECC"/>
    <w:rsid w:val="00D52626"/>
    <w:rsid w:val="00D52765"/>
    <w:rsid w:val="00D530B1"/>
    <w:rsid w:val="00D531CC"/>
    <w:rsid w:val="00D531E8"/>
    <w:rsid w:val="00D53670"/>
    <w:rsid w:val="00D536ED"/>
    <w:rsid w:val="00D537C7"/>
    <w:rsid w:val="00D54431"/>
    <w:rsid w:val="00D54B1E"/>
    <w:rsid w:val="00D554A5"/>
    <w:rsid w:val="00D55ABA"/>
    <w:rsid w:val="00D55E1E"/>
    <w:rsid w:val="00D560B5"/>
    <w:rsid w:val="00D568DF"/>
    <w:rsid w:val="00D569EE"/>
    <w:rsid w:val="00D5737F"/>
    <w:rsid w:val="00D5756D"/>
    <w:rsid w:val="00D57DC6"/>
    <w:rsid w:val="00D57E71"/>
    <w:rsid w:val="00D57F57"/>
    <w:rsid w:val="00D601FB"/>
    <w:rsid w:val="00D60232"/>
    <w:rsid w:val="00D612BC"/>
    <w:rsid w:val="00D61BDD"/>
    <w:rsid w:val="00D62036"/>
    <w:rsid w:val="00D622ED"/>
    <w:rsid w:val="00D62585"/>
    <w:rsid w:val="00D62734"/>
    <w:rsid w:val="00D62A7F"/>
    <w:rsid w:val="00D62C88"/>
    <w:rsid w:val="00D62CF3"/>
    <w:rsid w:val="00D62EFC"/>
    <w:rsid w:val="00D63202"/>
    <w:rsid w:val="00D633E1"/>
    <w:rsid w:val="00D63EA6"/>
    <w:rsid w:val="00D644A8"/>
    <w:rsid w:val="00D6497E"/>
    <w:rsid w:val="00D64E53"/>
    <w:rsid w:val="00D64F35"/>
    <w:rsid w:val="00D653F0"/>
    <w:rsid w:val="00D65423"/>
    <w:rsid w:val="00D65503"/>
    <w:rsid w:val="00D65525"/>
    <w:rsid w:val="00D65610"/>
    <w:rsid w:val="00D65F3E"/>
    <w:rsid w:val="00D66159"/>
    <w:rsid w:val="00D662EC"/>
    <w:rsid w:val="00D667E6"/>
    <w:rsid w:val="00D66A0B"/>
    <w:rsid w:val="00D6744F"/>
    <w:rsid w:val="00D67860"/>
    <w:rsid w:val="00D67AF3"/>
    <w:rsid w:val="00D67E92"/>
    <w:rsid w:val="00D67F4E"/>
    <w:rsid w:val="00D7016C"/>
    <w:rsid w:val="00D7046D"/>
    <w:rsid w:val="00D70FE9"/>
    <w:rsid w:val="00D71468"/>
    <w:rsid w:val="00D728CE"/>
    <w:rsid w:val="00D72E8E"/>
    <w:rsid w:val="00D72FC3"/>
    <w:rsid w:val="00D73009"/>
    <w:rsid w:val="00D73064"/>
    <w:rsid w:val="00D73135"/>
    <w:rsid w:val="00D7324E"/>
    <w:rsid w:val="00D73387"/>
    <w:rsid w:val="00D7351C"/>
    <w:rsid w:val="00D735EE"/>
    <w:rsid w:val="00D74B7A"/>
    <w:rsid w:val="00D74F83"/>
    <w:rsid w:val="00D75406"/>
    <w:rsid w:val="00D76449"/>
    <w:rsid w:val="00D770AB"/>
    <w:rsid w:val="00D81479"/>
    <w:rsid w:val="00D81515"/>
    <w:rsid w:val="00D81EF6"/>
    <w:rsid w:val="00D83B58"/>
    <w:rsid w:val="00D8431E"/>
    <w:rsid w:val="00D843DB"/>
    <w:rsid w:val="00D84B34"/>
    <w:rsid w:val="00D84F4E"/>
    <w:rsid w:val="00D8537D"/>
    <w:rsid w:val="00D859A1"/>
    <w:rsid w:val="00D861D3"/>
    <w:rsid w:val="00D86212"/>
    <w:rsid w:val="00D86A00"/>
    <w:rsid w:val="00D86EC7"/>
    <w:rsid w:val="00D8742C"/>
    <w:rsid w:val="00D875C0"/>
    <w:rsid w:val="00D8780B"/>
    <w:rsid w:val="00D87B15"/>
    <w:rsid w:val="00D87BCD"/>
    <w:rsid w:val="00D87EF5"/>
    <w:rsid w:val="00D90255"/>
    <w:rsid w:val="00D916AB"/>
    <w:rsid w:val="00D916F2"/>
    <w:rsid w:val="00D91CA8"/>
    <w:rsid w:val="00D91F7B"/>
    <w:rsid w:val="00D92313"/>
    <w:rsid w:val="00D92E1C"/>
    <w:rsid w:val="00D93BEE"/>
    <w:rsid w:val="00D940AE"/>
    <w:rsid w:val="00D940C6"/>
    <w:rsid w:val="00D94470"/>
    <w:rsid w:val="00D9499F"/>
    <w:rsid w:val="00D94B15"/>
    <w:rsid w:val="00D94D5C"/>
    <w:rsid w:val="00D95420"/>
    <w:rsid w:val="00D95715"/>
    <w:rsid w:val="00D95A5A"/>
    <w:rsid w:val="00D95B9C"/>
    <w:rsid w:val="00D963EF"/>
    <w:rsid w:val="00D96FB7"/>
    <w:rsid w:val="00D97024"/>
    <w:rsid w:val="00DA01CA"/>
    <w:rsid w:val="00DA02F3"/>
    <w:rsid w:val="00DA1401"/>
    <w:rsid w:val="00DA201B"/>
    <w:rsid w:val="00DA2173"/>
    <w:rsid w:val="00DA2C65"/>
    <w:rsid w:val="00DA440F"/>
    <w:rsid w:val="00DA507A"/>
    <w:rsid w:val="00DA53DC"/>
    <w:rsid w:val="00DA5749"/>
    <w:rsid w:val="00DA5B7A"/>
    <w:rsid w:val="00DA6AC4"/>
    <w:rsid w:val="00DA6BC8"/>
    <w:rsid w:val="00DA7214"/>
    <w:rsid w:val="00DA72EC"/>
    <w:rsid w:val="00DA78AE"/>
    <w:rsid w:val="00DB061A"/>
    <w:rsid w:val="00DB0659"/>
    <w:rsid w:val="00DB149E"/>
    <w:rsid w:val="00DB1852"/>
    <w:rsid w:val="00DB1C1F"/>
    <w:rsid w:val="00DB1F12"/>
    <w:rsid w:val="00DB20F5"/>
    <w:rsid w:val="00DB22B9"/>
    <w:rsid w:val="00DB28C6"/>
    <w:rsid w:val="00DB3272"/>
    <w:rsid w:val="00DB3468"/>
    <w:rsid w:val="00DB3ADA"/>
    <w:rsid w:val="00DB3DBC"/>
    <w:rsid w:val="00DB401F"/>
    <w:rsid w:val="00DB49C3"/>
    <w:rsid w:val="00DB4AF5"/>
    <w:rsid w:val="00DB4D53"/>
    <w:rsid w:val="00DB5142"/>
    <w:rsid w:val="00DB5681"/>
    <w:rsid w:val="00DB5929"/>
    <w:rsid w:val="00DB599A"/>
    <w:rsid w:val="00DB5B3D"/>
    <w:rsid w:val="00DB5E28"/>
    <w:rsid w:val="00DB5E4B"/>
    <w:rsid w:val="00DB649F"/>
    <w:rsid w:val="00DB65AB"/>
    <w:rsid w:val="00DB70CD"/>
    <w:rsid w:val="00DB78D2"/>
    <w:rsid w:val="00DB78D6"/>
    <w:rsid w:val="00DB7961"/>
    <w:rsid w:val="00DB7C22"/>
    <w:rsid w:val="00DC0E5A"/>
    <w:rsid w:val="00DC211B"/>
    <w:rsid w:val="00DC2958"/>
    <w:rsid w:val="00DC2B18"/>
    <w:rsid w:val="00DC2C99"/>
    <w:rsid w:val="00DC2D15"/>
    <w:rsid w:val="00DC2E5C"/>
    <w:rsid w:val="00DC3ECB"/>
    <w:rsid w:val="00DC4765"/>
    <w:rsid w:val="00DC5CC2"/>
    <w:rsid w:val="00DC5D9B"/>
    <w:rsid w:val="00DC5DD9"/>
    <w:rsid w:val="00DC5ED9"/>
    <w:rsid w:val="00DC7599"/>
    <w:rsid w:val="00DC7C3D"/>
    <w:rsid w:val="00DC7C46"/>
    <w:rsid w:val="00DD0356"/>
    <w:rsid w:val="00DD053A"/>
    <w:rsid w:val="00DD061A"/>
    <w:rsid w:val="00DD081D"/>
    <w:rsid w:val="00DD1BD8"/>
    <w:rsid w:val="00DD1C35"/>
    <w:rsid w:val="00DD1E41"/>
    <w:rsid w:val="00DD2883"/>
    <w:rsid w:val="00DD31C6"/>
    <w:rsid w:val="00DD3B05"/>
    <w:rsid w:val="00DD3B86"/>
    <w:rsid w:val="00DD3C69"/>
    <w:rsid w:val="00DD3CA6"/>
    <w:rsid w:val="00DD3E88"/>
    <w:rsid w:val="00DD4C2E"/>
    <w:rsid w:val="00DD4FD4"/>
    <w:rsid w:val="00DD6231"/>
    <w:rsid w:val="00DD65E2"/>
    <w:rsid w:val="00DD667D"/>
    <w:rsid w:val="00DD7139"/>
    <w:rsid w:val="00DD77C3"/>
    <w:rsid w:val="00DD78DC"/>
    <w:rsid w:val="00DD79E4"/>
    <w:rsid w:val="00DD7BDD"/>
    <w:rsid w:val="00DE07AA"/>
    <w:rsid w:val="00DE07AF"/>
    <w:rsid w:val="00DE0913"/>
    <w:rsid w:val="00DE11DF"/>
    <w:rsid w:val="00DE120A"/>
    <w:rsid w:val="00DE19AE"/>
    <w:rsid w:val="00DE21EC"/>
    <w:rsid w:val="00DE29DE"/>
    <w:rsid w:val="00DE39BC"/>
    <w:rsid w:val="00DE4182"/>
    <w:rsid w:val="00DE4236"/>
    <w:rsid w:val="00DE4589"/>
    <w:rsid w:val="00DE4E25"/>
    <w:rsid w:val="00DE5229"/>
    <w:rsid w:val="00DE523A"/>
    <w:rsid w:val="00DE5DEA"/>
    <w:rsid w:val="00DE5EF5"/>
    <w:rsid w:val="00DE647B"/>
    <w:rsid w:val="00DE7C34"/>
    <w:rsid w:val="00DE7C9F"/>
    <w:rsid w:val="00DF01BA"/>
    <w:rsid w:val="00DF2EEE"/>
    <w:rsid w:val="00DF3141"/>
    <w:rsid w:val="00DF3791"/>
    <w:rsid w:val="00DF3A26"/>
    <w:rsid w:val="00DF3C64"/>
    <w:rsid w:val="00DF3F2B"/>
    <w:rsid w:val="00DF4257"/>
    <w:rsid w:val="00DF48F4"/>
    <w:rsid w:val="00DF4C81"/>
    <w:rsid w:val="00DF4CE1"/>
    <w:rsid w:val="00DF5B47"/>
    <w:rsid w:val="00DF5C72"/>
    <w:rsid w:val="00DF5FE7"/>
    <w:rsid w:val="00DF656C"/>
    <w:rsid w:val="00DF6C63"/>
    <w:rsid w:val="00DF7012"/>
    <w:rsid w:val="00DF7196"/>
    <w:rsid w:val="00DF74B8"/>
    <w:rsid w:val="00DF7618"/>
    <w:rsid w:val="00DF76F3"/>
    <w:rsid w:val="00DF7C70"/>
    <w:rsid w:val="00DF7F2B"/>
    <w:rsid w:val="00E001C6"/>
    <w:rsid w:val="00E0072D"/>
    <w:rsid w:val="00E00777"/>
    <w:rsid w:val="00E007FE"/>
    <w:rsid w:val="00E00849"/>
    <w:rsid w:val="00E0133B"/>
    <w:rsid w:val="00E01C71"/>
    <w:rsid w:val="00E022A5"/>
    <w:rsid w:val="00E02F08"/>
    <w:rsid w:val="00E041D4"/>
    <w:rsid w:val="00E04792"/>
    <w:rsid w:val="00E051B2"/>
    <w:rsid w:val="00E053F9"/>
    <w:rsid w:val="00E0562D"/>
    <w:rsid w:val="00E069E3"/>
    <w:rsid w:val="00E06B4F"/>
    <w:rsid w:val="00E06DEE"/>
    <w:rsid w:val="00E0731F"/>
    <w:rsid w:val="00E07FE1"/>
    <w:rsid w:val="00E10049"/>
    <w:rsid w:val="00E11459"/>
    <w:rsid w:val="00E11953"/>
    <w:rsid w:val="00E122DF"/>
    <w:rsid w:val="00E1288F"/>
    <w:rsid w:val="00E1320A"/>
    <w:rsid w:val="00E13265"/>
    <w:rsid w:val="00E1412B"/>
    <w:rsid w:val="00E1419E"/>
    <w:rsid w:val="00E147AC"/>
    <w:rsid w:val="00E14EBC"/>
    <w:rsid w:val="00E152DF"/>
    <w:rsid w:val="00E15A77"/>
    <w:rsid w:val="00E15C7E"/>
    <w:rsid w:val="00E161BC"/>
    <w:rsid w:val="00E1665C"/>
    <w:rsid w:val="00E1676C"/>
    <w:rsid w:val="00E169F6"/>
    <w:rsid w:val="00E16B63"/>
    <w:rsid w:val="00E16CAD"/>
    <w:rsid w:val="00E2056A"/>
    <w:rsid w:val="00E209B6"/>
    <w:rsid w:val="00E20D7A"/>
    <w:rsid w:val="00E22904"/>
    <w:rsid w:val="00E234DF"/>
    <w:rsid w:val="00E236E9"/>
    <w:rsid w:val="00E23957"/>
    <w:rsid w:val="00E239AB"/>
    <w:rsid w:val="00E23D0B"/>
    <w:rsid w:val="00E24183"/>
    <w:rsid w:val="00E24535"/>
    <w:rsid w:val="00E25E77"/>
    <w:rsid w:val="00E26151"/>
    <w:rsid w:val="00E26467"/>
    <w:rsid w:val="00E27E4B"/>
    <w:rsid w:val="00E3055D"/>
    <w:rsid w:val="00E317D1"/>
    <w:rsid w:val="00E31A56"/>
    <w:rsid w:val="00E31CFF"/>
    <w:rsid w:val="00E31DB4"/>
    <w:rsid w:val="00E32204"/>
    <w:rsid w:val="00E3274C"/>
    <w:rsid w:val="00E32ACB"/>
    <w:rsid w:val="00E32C16"/>
    <w:rsid w:val="00E3303D"/>
    <w:rsid w:val="00E33CFC"/>
    <w:rsid w:val="00E33EC5"/>
    <w:rsid w:val="00E3476D"/>
    <w:rsid w:val="00E34CD2"/>
    <w:rsid w:val="00E352D7"/>
    <w:rsid w:val="00E3548C"/>
    <w:rsid w:val="00E35A90"/>
    <w:rsid w:val="00E360A6"/>
    <w:rsid w:val="00E3659D"/>
    <w:rsid w:val="00E36C0B"/>
    <w:rsid w:val="00E3774C"/>
    <w:rsid w:val="00E37A9B"/>
    <w:rsid w:val="00E37B34"/>
    <w:rsid w:val="00E37F2F"/>
    <w:rsid w:val="00E4007C"/>
    <w:rsid w:val="00E416A1"/>
    <w:rsid w:val="00E41C11"/>
    <w:rsid w:val="00E4245B"/>
    <w:rsid w:val="00E42935"/>
    <w:rsid w:val="00E42A13"/>
    <w:rsid w:val="00E42BC3"/>
    <w:rsid w:val="00E4309B"/>
    <w:rsid w:val="00E43480"/>
    <w:rsid w:val="00E43B34"/>
    <w:rsid w:val="00E43B84"/>
    <w:rsid w:val="00E45CB0"/>
    <w:rsid w:val="00E468D6"/>
    <w:rsid w:val="00E473A8"/>
    <w:rsid w:val="00E475F8"/>
    <w:rsid w:val="00E50FC6"/>
    <w:rsid w:val="00E512EA"/>
    <w:rsid w:val="00E51342"/>
    <w:rsid w:val="00E51380"/>
    <w:rsid w:val="00E51FD9"/>
    <w:rsid w:val="00E526B2"/>
    <w:rsid w:val="00E52E7D"/>
    <w:rsid w:val="00E53292"/>
    <w:rsid w:val="00E55294"/>
    <w:rsid w:val="00E5562E"/>
    <w:rsid w:val="00E5592A"/>
    <w:rsid w:val="00E55BBB"/>
    <w:rsid w:val="00E56472"/>
    <w:rsid w:val="00E56BD4"/>
    <w:rsid w:val="00E56C71"/>
    <w:rsid w:val="00E56E13"/>
    <w:rsid w:val="00E56E5C"/>
    <w:rsid w:val="00E56FC2"/>
    <w:rsid w:val="00E56FF4"/>
    <w:rsid w:val="00E57085"/>
    <w:rsid w:val="00E57921"/>
    <w:rsid w:val="00E613A8"/>
    <w:rsid w:val="00E614BB"/>
    <w:rsid w:val="00E61AD9"/>
    <w:rsid w:val="00E626DE"/>
    <w:rsid w:val="00E6361F"/>
    <w:rsid w:val="00E6382B"/>
    <w:rsid w:val="00E63865"/>
    <w:rsid w:val="00E6389F"/>
    <w:rsid w:val="00E6406E"/>
    <w:rsid w:val="00E64F86"/>
    <w:rsid w:val="00E656FF"/>
    <w:rsid w:val="00E66789"/>
    <w:rsid w:val="00E7041C"/>
    <w:rsid w:val="00E70984"/>
    <w:rsid w:val="00E70B66"/>
    <w:rsid w:val="00E70F0A"/>
    <w:rsid w:val="00E71240"/>
    <w:rsid w:val="00E716EA"/>
    <w:rsid w:val="00E71A6F"/>
    <w:rsid w:val="00E72A0B"/>
    <w:rsid w:val="00E72A31"/>
    <w:rsid w:val="00E73502"/>
    <w:rsid w:val="00E74090"/>
    <w:rsid w:val="00E747A6"/>
    <w:rsid w:val="00E74DA9"/>
    <w:rsid w:val="00E74F78"/>
    <w:rsid w:val="00E7526B"/>
    <w:rsid w:val="00E7560C"/>
    <w:rsid w:val="00E75979"/>
    <w:rsid w:val="00E76353"/>
    <w:rsid w:val="00E76BBA"/>
    <w:rsid w:val="00E77421"/>
    <w:rsid w:val="00E77BC7"/>
    <w:rsid w:val="00E77D79"/>
    <w:rsid w:val="00E77E8A"/>
    <w:rsid w:val="00E802F0"/>
    <w:rsid w:val="00E8032C"/>
    <w:rsid w:val="00E80B1D"/>
    <w:rsid w:val="00E80ED6"/>
    <w:rsid w:val="00E816AB"/>
    <w:rsid w:val="00E816D1"/>
    <w:rsid w:val="00E82130"/>
    <w:rsid w:val="00E8290E"/>
    <w:rsid w:val="00E83471"/>
    <w:rsid w:val="00E84485"/>
    <w:rsid w:val="00E846DC"/>
    <w:rsid w:val="00E854EE"/>
    <w:rsid w:val="00E8553B"/>
    <w:rsid w:val="00E861E9"/>
    <w:rsid w:val="00E86574"/>
    <w:rsid w:val="00E86712"/>
    <w:rsid w:val="00E86E7B"/>
    <w:rsid w:val="00E8742E"/>
    <w:rsid w:val="00E8752A"/>
    <w:rsid w:val="00E876A7"/>
    <w:rsid w:val="00E91E40"/>
    <w:rsid w:val="00E9277A"/>
    <w:rsid w:val="00E93835"/>
    <w:rsid w:val="00E93CD8"/>
    <w:rsid w:val="00E94DCF"/>
    <w:rsid w:val="00E9522A"/>
    <w:rsid w:val="00E9572E"/>
    <w:rsid w:val="00E95E04"/>
    <w:rsid w:val="00E96E70"/>
    <w:rsid w:val="00E97059"/>
    <w:rsid w:val="00E976DF"/>
    <w:rsid w:val="00EA0841"/>
    <w:rsid w:val="00EA0A78"/>
    <w:rsid w:val="00EA0BF7"/>
    <w:rsid w:val="00EA1AF6"/>
    <w:rsid w:val="00EA1C7B"/>
    <w:rsid w:val="00EA2319"/>
    <w:rsid w:val="00EA273C"/>
    <w:rsid w:val="00EA3108"/>
    <w:rsid w:val="00EA32B1"/>
    <w:rsid w:val="00EA39EB"/>
    <w:rsid w:val="00EA3D30"/>
    <w:rsid w:val="00EA3E51"/>
    <w:rsid w:val="00EA6366"/>
    <w:rsid w:val="00EA65FC"/>
    <w:rsid w:val="00EA6906"/>
    <w:rsid w:val="00EA699C"/>
    <w:rsid w:val="00EA6B01"/>
    <w:rsid w:val="00EA76EB"/>
    <w:rsid w:val="00EA7A9C"/>
    <w:rsid w:val="00EA7AF2"/>
    <w:rsid w:val="00EB0213"/>
    <w:rsid w:val="00EB04A1"/>
    <w:rsid w:val="00EB0732"/>
    <w:rsid w:val="00EB156C"/>
    <w:rsid w:val="00EB162A"/>
    <w:rsid w:val="00EB1C96"/>
    <w:rsid w:val="00EB24E9"/>
    <w:rsid w:val="00EB3038"/>
    <w:rsid w:val="00EB3206"/>
    <w:rsid w:val="00EB49CB"/>
    <w:rsid w:val="00EB49EE"/>
    <w:rsid w:val="00EB60C2"/>
    <w:rsid w:val="00EB60FA"/>
    <w:rsid w:val="00EB6BB1"/>
    <w:rsid w:val="00EB72B0"/>
    <w:rsid w:val="00EC15C1"/>
    <w:rsid w:val="00EC2466"/>
    <w:rsid w:val="00EC29A8"/>
    <w:rsid w:val="00EC35BF"/>
    <w:rsid w:val="00EC375B"/>
    <w:rsid w:val="00EC3E37"/>
    <w:rsid w:val="00EC4486"/>
    <w:rsid w:val="00EC4E90"/>
    <w:rsid w:val="00EC5135"/>
    <w:rsid w:val="00EC5250"/>
    <w:rsid w:val="00EC6586"/>
    <w:rsid w:val="00EC672B"/>
    <w:rsid w:val="00EC7DFD"/>
    <w:rsid w:val="00EC7E21"/>
    <w:rsid w:val="00EC7F68"/>
    <w:rsid w:val="00ED0310"/>
    <w:rsid w:val="00ED07A3"/>
    <w:rsid w:val="00ED08B9"/>
    <w:rsid w:val="00ED0AA3"/>
    <w:rsid w:val="00ED0B49"/>
    <w:rsid w:val="00ED0B6F"/>
    <w:rsid w:val="00ED0BF3"/>
    <w:rsid w:val="00ED25A7"/>
    <w:rsid w:val="00ED2C9E"/>
    <w:rsid w:val="00ED33E4"/>
    <w:rsid w:val="00ED3860"/>
    <w:rsid w:val="00ED3E1C"/>
    <w:rsid w:val="00ED44BB"/>
    <w:rsid w:val="00ED46A4"/>
    <w:rsid w:val="00ED4729"/>
    <w:rsid w:val="00ED4AAD"/>
    <w:rsid w:val="00ED4CF3"/>
    <w:rsid w:val="00ED55BF"/>
    <w:rsid w:val="00ED56A2"/>
    <w:rsid w:val="00ED5D57"/>
    <w:rsid w:val="00ED61C8"/>
    <w:rsid w:val="00ED700A"/>
    <w:rsid w:val="00ED723D"/>
    <w:rsid w:val="00ED77A2"/>
    <w:rsid w:val="00ED7E92"/>
    <w:rsid w:val="00EE083F"/>
    <w:rsid w:val="00EE10B2"/>
    <w:rsid w:val="00EE1552"/>
    <w:rsid w:val="00EE1FD2"/>
    <w:rsid w:val="00EE24F1"/>
    <w:rsid w:val="00EE2CB5"/>
    <w:rsid w:val="00EE2EEA"/>
    <w:rsid w:val="00EE3378"/>
    <w:rsid w:val="00EE3603"/>
    <w:rsid w:val="00EE3C5A"/>
    <w:rsid w:val="00EE417F"/>
    <w:rsid w:val="00EE4E07"/>
    <w:rsid w:val="00EE51A8"/>
    <w:rsid w:val="00EE5955"/>
    <w:rsid w:val="00EE5D90"/>
    <w:rsid w:val="00EE7333"/>
    <w:rsid w:val="00EE7A34"/>
    <w:rsid w:val="00EF09BE"/>
    <w:rsid w:val="00EF09E1"/>
    <w:rsid w:val="00EF0F3A"/>
    <w:rsid w:val="00EF173D"/>
    <w:rsid w:val="00EF1835"/>
    <w:rsid w:val="00EF1CD4"/>
    <w:rsid w:val="00EF1DBD"/>
    <w:rsid w:val="00EF24E9"/>
    <w:rsid w:val="00EF2567"/>
    <w:rsid w:val="00EF27B5"/>
    <w:rsid w:val="00EF2A75"/>
    <w:rsid w:val="00EF3B18"/>
    <w:rsid w:val="00EF42D4"/>
    <w:rsid w:val="00EF4693"/>
    <w:rsid w:val="00EF4A53"/>
    <w:rsid w:val="00EF559B"/>
    <w:rsid w:val="00EF56E1"/>
    <w:rsid w:val="00EF57D2"/>
    <w:rsid w:val="00EF5922"/>
    <w:rsid w:val="00EF5928"/>
    <w:rsid w:val="00EF6435"/>
    <w:rsid w:val="00EF68DD"/>
    <w:rsid w:val="00EF6B8A"/>
    <w:rsid w:val="00EF71A6"/>
    <w:rsid w:val="00EF7801"/>
    <w:rsid w:val="00F001D3"/>
    <w:rsid w:val="00F004B5"/>
    <w:rsid w:val="00F00770"/>
    <w:rsid w:val="00F0078A"/>
    <w:rsid w:val="00F00CD6"/>
    <w:rsid w:val="00F00E53"/>
    <w:rsid w:val="00F00F9A"/>
    <w:rsid w:val="00F016A0"/>
    <w:rsid w:val="00F01D6B"/>
    <w:rsid w:val="00F01FD3"/>
    <w:rsid w:val="00F0217C"/>
    <w:rsid w:val="00F02551"/>
    <w:rsid w:val="00F02FA7"/>
    <w:rsid w:val="00F03277"/>
    <w:rsid w:val="00F03BB2"/>
    <w:rsid w:val="00F04561"/>
    <w:rsid w:val="00F04885"/>
    <w:rsid w:val="00F04B27"/>
    <w:rsid w:val="00F04B6F"/>
    <w:rsid w:val="00F05F68"/>
    <w:rsid w:val="00F06902"/>
    <w:rsid w:val="00F06D6B"/>
    <w:rsid w:val="00F07210"/>
    <w:rsid w:val="00F07374"/>
    <w:rsid w:val="00F07592"/>
    <w:rsid w:val="00F07A7E"/>
    <w:rsid w:val="00F104FA"/>
    <w:rsid w:val="00F112D8"/>
    <w:rsid w:val="00F1135D"/>
    <w:rsid w:val="00F1184C"/>
    <w:rsid w:val="00F11F5A"/>
    <w:rsid w:val="00F11FE5"/>
    <w:rsid w:val="00F12CB1"/>
    <w:rsid w:val="00F13423"/>
    <w:rsid w:val="00F13DD8"/>
    <w:rsid w:val="00F1449C"/>
    <w:rsid w:val="00F149BB"/>
    <w:rsid w:val="00F14A2C"/>
    <w:rsid w:val="00F15599"/>
    <w:rsid w:val="00F15718"/>
    <w:rsid w:val="00F157CA"/>
    <w:rsid w:val="00F15878"/>
    <w:rsid w:val="00F16363"/>
    <w:rsid w:val="00F16966"/>
    <w:rsid w:val="00F16CF1"/>
    <w:rsid w:val="00F1703F"/>
    <w:rsid w:val="00F17435"/>
    <w:rsid w:val="00F177DB"/>
    <w:rsid w:val="00F17CE5"/>
    <w:rsid w:val="00F17DA0"/>
    <w:rsid w:val="00F20C91"/>
    <w:rsid w:val="00F20E66"/>
    <w:rsid w:val="00F21060"/>
    <w:rsid w:val="00F21070"/>
    <w:rsid w:val="00F21844"/>
    <w:rsid w:val="00F22649"/>
    <w:rsid w:val="00F2293E"/>
    <w:rsid w:val="00F24028"/>
    <w:rsid w:val="00F24216"/>
    <w:rsid w:val="00F24698"/>
    <w:rsid w:val="00F24A50"/>
    <w:rsid w:val="00F24D48"/>
    <w:rsid w:val="00F2503A"/>
    <w:rsid w:val="00F25314"/>
    <w:rsid w:val="00F25BB8"/>
    <w:rsid w:val="00F262C6"/>
    <w:rsid w:val="00F2668D"/>
    <w:rsid w:val="00F26ABF"/>
    <w:rsid w:val="00F26D03"/>
    <w:rsid w:val="00F26D7F"/>
    <w:rsid w:val="00F27082"/>
    <w:rsid w:val="00F274C9"/>
    <w:rsid w:val="00F2757C"/>
    <w:rsid w:val="00F27727"/>
    <w:rsid w:val="00F27D07"/>
    <w:rsid w:val="00F303A1"/>
    <w:rsid w:val="00F305A2"/>
    <w:rsid w:val="00F30F99"/>
    <w:rsid w:val="00F31AE2"/>
    <w:rsid w:val="00F31B02"/>
    <w:rsid w:val="00F325D0"/>
    <w:rsid w:val="00F3330D"/>
    <w:rsid w:val="00F33670"/>
    <w:rsid w:val="00F33E08"/>
    <w:rsid w:val="00F33EF8"/>
    <w:rsid w:val="00F34DE6"/>
    <w:rsid w:val="00F35097"/>
    <w:rsid w:val="00F35900"/>
    <w:rsid w:val="00F35F7F"/>
    <w:rsid w:val="00F371B6"/>
    <w:rsid w:val="00F40054"/>
    <w:rsid w:val="00F40454"/>
    <w:rsid w:val="00F4071C"/>
    <w:rsid w:val="00F40D9C"/>
    <w:rsid w:val="00F41014"/>
    <w:rsid w:val="00F420FD"/>
    <w:rsid w:val="00F423B1"/>
    <w:rsid w:val="00F4250E"/>
    <w:rsid w:val="00F42B1E"/>
    <w:rsid w:val="00F42C31"/>
    <w:rsid w:val="00F42D98"/>
    <w:rsid w:val="00F43CF6"/>
    <w:rsid w:val="00F443BB"/>
    <w:rsid w:val="00F459ED"/>
    <w:rsid w:val="00F45E81"/>
    <w:rsid w:val="00F47146"/>
    <w:rsid w:val="00F47EC1"/>
    <w:rsid w:val="00F506E8"/>
    <w:rsid w:val="00F5078E"/>
    <w:rsid w:val="00F50B11"/>
    <w:rsid w:val="00F50E72"/>
    <w:rsid w:val="00F51112"/>
    <w:rsid w:val="00F517B8"/>
    <w:rsid w:val="00F5192E"/>
    <w:rsid w:val="00F51B91"/>
    <w:rsid w:val="00F52457"/>
    <w:rsid w:val="00F52638"/>
    <w:rsid w:val="00F530A9"/>
    <w:rsid w:val="00F530E0"/>
    <w:rsid w:val="00F53802"/>
    <w:rsid w:val="00F54944"/>
    <w:rsid w:val="00F54C87"/>
    <w:rsid w:val="00F54EB1"/>
    <w:rsid w:val="00F55366"/>
    <w:rsid w:val="00F5556E"/>
    <w:rsid w:val="00F55AB2"/>
    <w:rsid w:val="00F55EDB"/>
    <w:rsid w:val="00F562F9"/>
    <w:rsid w:val="00F566BF"/>
    <w:rsid w:val="00F56CCE"/>
    <w:rsid w:val="00F575EC"/>
    <w:rsid w:val="00F57D91"/>
    <w:rsid w:val="00F60413"/>
    <w:rsid w:val="00F60568"/>
    <w:rsid w:val="00F6070E"/>
    <w:rsid w:val="00F60A0D"/>
    <w:rsid w:val="00F60AB2"/>
    <w:rsid w:val="00F619BD"/>
    <w:rsid w:val="00F61B21"/>
    <w:rsid w:val="00F61B6B"/>
    <w:rsid w:val="00F61D0F"/>
    <w:rsid w:val="00F62297"/>
    <w:rsid w:val="00F626C1"/>
    <w:rsid w:val="00F6272D"/>
    <w:rsid w:val="00F62EE6"/>
    <w:rsid w:val="00F62F11"/>
    <w:rsid w:val="00F63000"/>
    <w:rsid w:val="00F631B0"/>
    <w:rsid w:val="00F63B44"/>
    <w:rsid w:val="00F63D4E"/>
    <w:rsid w:val="00F64251"/>
    <w:rsid w:val="00F64C04"/>
    <w:rsid w:val="00F66653"/>
    <w:rsid w:val="00F6677C"/>
    <w:rsid w:val="00F66988"/>
    <w:rsid w:val="00F66B5B"/>
    <w:rsid w:val="00F66F06"/>
    <w:rsid w:val="00F67533"/>
    <w:rsid w:val="00F701F3"/>
    <w:rsid w:val="00F70345"/>
    <w:rsid w:val="00F7042A"/>
    <w:rsid w:val="00F70869"/>
    <w:rsid w:val="00F711D0"/>
    <w:rsid w:val="00F71242"/>
    <w:rsid w:val="00F71685"/>
    <w:rsid w:val="00F71A0A"/>
    <w:rsid w:val="00F72BC5"/>
    <w:rsid w:val="00F73264"/>
    <w:rsid w:val="00F733CC"/>
    <w:rsid w:val="00F73863"/>
    <w:rsid w:val="00F74401"/>
    <w:rsid w:val="00F74502"/>
    <w:rsid w:val="00F74B2A"/>
    <w:rsid w:val="00F74D4C"/>
    <w:rsid w:val="00F7518A"/>
    <w:rsid w:val="00F75655"/>
    <w:rsid w:val="00F75704"/>
    <w:rsid w:val="00F76587"/>
    <w:rsid w:val="00F76EED"/>
    <w:rsid w:val="00F77EF4"/>
    <w:rsid w:val="00F80868"/>
    <w:rsid w:val="00F81479"/>
    <w:rsid w:val="00F8255A"/>
    <w:rsid w:val="00F82674"/>
    <w:rsid w:val="00F83246"/>
    <w:rsid w:val="00F83E6C"/>
    <w:rsid w:val="00F83EE6"/>
    <w:rsid w:val="00F83F1B"/>
    <w:rsid w:val="00F84C80"/>
    <w:rsid w:val="00F850E3"/>
    <w:rsid w:val="00F85968"/>
    <w:rsid w:val="00F859EE"/>
    <w:rsid w:val="00F86023"/>
    <w:rsid w:val="00F87188"/>
    <w:rsid w:val="00F874E7"/>
    <w:rsid w:val="00F87F03"/>
    <w:rsid w:val="00F90069"/>
    <w:rsid w:val="00F90AFB"/>
    <w:rsid w:val="00F910B9"/>
    <w:rsid w:val="00F91BDE"/>
    <w:rsid w:val="00F9206A"/>
    <w:rsid w:val="00F92777"/>
    <w:rsid w:val="00F929C7"/>
    <w:rsid w:val="00F9351C"/>
    <w:rsid w:val="00F93FEA"/>
    <w:rsid w:val="00F9406D"/>
    <w:rsid w:val="00F951D8"/>
    <w:rsid w:val="00F95660"/>
    <w:rsid w:val="00F9636D"/>
    <w:rsid w:val="00F96C40"/>
    <w:rsid w:val="00F96DD4"/>
    <w:rsid w:val="00F971EE"/>
    <w:rsid w:val="00FA05C5"/>
    <w:rsid w:val="00FA15B0"/>
    <w:rsid w:val="00FA189A"/>
    <w:rsid w:val="00FA1E77"/>
    <w:rsid w:val="00FA225C"/>
    <w:rsid w:val="00FA2EF7"/>
    <w:rsid w:val="00FA33CA"/>
    <w:rsid w:val="00FA3877"/>
    <w:rsid w:val="00FA3EFC"/>
    <w:rsid w:val="00FA4F1B"/>
    <w:rsid w:val="00FA57FE"/>
    <w:rsid w:val="00FA5A26"/>
    <w:rsid w:val="00FA5E69"/>
    <w:rsid w:val="00FA72FF"/>
    <w:rsid w:val="00FA739D"/>
    <w:rsid w:val="00FB0D26"/>
    <w:rsid w:val="00FB0DC1"/>
    <w:rsid w:val="00FB0E10"/>
    <w:rsid w:val="00FB13F0"/>
    <w:rsid w:val="00FB1615"/>
    <w:rsid w:val="00FB16BE"/>
    <w:rsid w:val="00FB2184"/>
    <w:rsid w:val="00FB2302"/>
    <w:rsid w:val="00FB232E"/>
    <w:rsid w:val="00FB2471"/>
    <w:rsid w:val="00FB293D"/>
    <w:rsid w:val="00FB2AD9"/>
    <w:rsid w:val="00FB36C5"/>
    <w:rsid w:val="00FB37F7"/>
    <w:rsid w:val="00FB3CBF"/>
    <w:rsid w:val="00FB4135"/>
    <w:rsid w:val="00FB4209"/>
    <w:rsid w:val="00FB42CD"/>
    <w:rsid w:val="00FB42FE"/>
    <w:rsid w:val="00FB4593"/>
    <w:rsid w:val="00FB5328"/>
    <w:rsid w:val="00FB5EAA"/>
    <w:rsid w:val="00FB5FB3"/>
    <w:rsid w:val="00FB6218"/>
    <w:rsid w:val="00FB7840"/>
    <w:rsid w:val="00FC07BB"/>
    <w:rsid w:val="00FC0C5C"/>
    <w:rsid w:val="00FC11A4"/>
    <w:rsid w:val="00FC161D"/>
    <w:rsid w:val="00FC1C4C"/>
    <w:rsid w:val="00FC1F36"/>
    <w:rsid w:val="00FC2B6F"/>
    <w:rsid w:val="00FC3099"/>
    <w:rsid w:val="00FC33F4"/>
    <w:rsid w:val="00FC3413"/>
    <w:rsid w:val="00FC48FE"/>
    <w:rsid w:val="00FC5271"/>
    <w:rsid w:val="00FC5897"/>
    <w:rsid w:val="00FC6027"/>
    <w:rsid w:val="00FC648A"/>
    <w:rsid w:val="00FC6A8E"/>
    <w:rsid w:val="00FC6DE5"/>
    <w:rsid w:val="00FC7247"/>
    <w:rsid w:val="00FC79DB"/>
    <w:rsid w:val="00FD02A4"/>
    <w:rsid w:val="00FD03EC"/>
    <w:rsid w:val="00FD1187"/>
    <w:rsid w:val="00FD18F6"/>
    <w:rsid w:val="00FD1923"/>
    <w:rsid w:val="00FD2524"/>
    <w:rsid w:val="00FD2ED6"/>
    <w:rsid w:val="00FD3ABD"/>
    <w:rsid w:val="00FD3AEC"/>
    <w:rsid w:val="00FD3DAF"/>
    <w:rsid w:val="00FD3E72"/>
    <w:rsid w:val="00FD4657"/>
    <w:rsid w:val="00FD5632"/>
    <w:rsid w:val="00FD586B"/>
    <w:rsid w:val="00FE01D3"/>
    <w:rsid w:val="00FE0924"/>
    <w:rsid w:val="00FE0BB6"/>
    <w:rsid w:val="00FE0EA2"/>
    <w:rsid w:val="00FE1B74"/>
    <w:rsid w:val="00FE2BB6"/>
    <w:rsid w:val="00FE2D47"/>
    <w:rsid w:val="00FE360C"/>
    <w:rsid w:val="00FE3AA6"/>
    <w:rsid w:val="00FE3ED6"/>
    <w:rsid w:val="00FE43E8"/>
    <w:rsid w:val="00FE4776"/>
    <w:rsid w:val="00FE47AE"/>
    <w:rsid w:val="00FE4D93"/>
    <w:rsid w:val="00FE525C"/>
    <w:rsid w:val="00FE5416"/>
    <w:rsid w:val="00FE6956"/>
    <w:rsid w:val="00FE7649"/>
    <w:rsid w:val="00FE7FE4"/>
    <w:rsid w:val="00FF010F"/>
    <w:rsid w:val="00FF040C"/>
    <w:rsid w:val="00FF047E"/>
    <w:rsid w:val="00FF0928"/>
    <w:rsid w:val="00FF12E6"/>
    <w:rsid w:val="00FF168A"/>
    <w:rsid w:val="00FF1EFD"/>
    <w:rsid w:val="00FF21D9"/>
    <w:rsid w:val="00FF2EC1"/>
    <w:rsid w:val="00FF3D45"/>
    <w:rsid w:val="00FF4403"/>
    <w:rsid w:val="00FF480D"/>
    <w:rsid w:val="00FF53A5"/>
    <w:rsid w:val="00FF5435"/>
    <w:rsid w:val="00FF5EBD"/>
    <w:rsid w:val="00FF6D9B"/>
    <w:rsid w:val="00FF72C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31F94"/>
  <w15:chartTrackingRefBased/>
  <w15:docId w15:val="{806A6130-7708-4B3A-B4E4-A7B1E889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A"/>
    <w:next w:val="NoSpacing"/>
    <w:qFormat/>
    <w:rsid w:val="00610188"/>
    <w:pPr>
      <w:spacing w:line="480" w:lineRule="auto"/>
      <w:ind w:firstLine="709"/>
      <w:contextualSpacing/>
    </w:pPr>
    <w:rPr>
      <w:rFonts w:ascii="Times New Roman" w:hAnsi="Times New Roman"/>
      <w:sz w:val="24"/>
      <w:szCs w:val="22"/>
      <w:lang w:eastAsia="en-US"/>
    </w:rPr>
  </w:style>
  <w:style w:type="paragraph" w:styleId="Heading1">
    <w:name w:val="heading 1"/>
    <w:basedOn w:val="Normal"/>
    <w:next w:val="Normal"/>
    <w:link w:val="Heading1Char"/>
    <w:autoRedefine/>
    <w:uiPriority w:val="9"/>
    <w:qFormat/>
    <w:rsid w:val="00D26132"/>
    <w:pPr>
      <w:keepNext/>
      <w:keepLines/>
      <w:ind w:firstLine="0"/>
      <w:outlineLvl w:val="0"/>
    </w:pPr>
    <w:rPr>
      <w:rFonts w:eastAsia="SimSun"/>
      <w:b/>
      <w:szCs w:val="32"/>
      <w:lang w:val="en-US"/>
    </w:rPr>
  </w:style>
  <w:style w:type="paragraph" w:styleId="Heading2">
    <w:name w:val="heading 2"/>
    <w:aliases w:val="APA 2"/>
    <w:basedOn w:val="Normal"/>
    <w:next w:val="Normal"/>
    <w:link w:val="Heading2Char"/>
    <w:autoRedefine/>
    <w:uiPriority w:val="9"/>
    <w:unhideWhenUsed/>
    <w:qFormat/>
    <w:rsid w:val="0016642F"/>
    <w:pPr>
      <w:keepNext/>
      <w:keepLines/>
      <w:spacing w:line="276" w:lineRule="auto"/>
      <w:ind w:firstLine="0"/>
      <w:outlineLvl w:val="1"/>
    </w:pPr>
    <w:rPr>
      <w:rFonts w:eastAsia="SimSun"/>
      <w:b/>
      <w:szCs w:val="26"/>
      <w:lang w:val="en-US"/>
    </w:rPr>
  </w:style>
  <w:style w:type="paragraph" w:styleId="Heading3">
    <w:name w:val="heading 3"/>
    <w:aliases w:val="APA 3"/>
    <w:basedOn w:val="Normal"/>
    <w:next w:val="Normal"/>
    <w:link w:val="Heading3Char"/>
    <w:autoRedefine/>
    <w:uiPriority w:val="9"/>
    <w:unhideWhenUsed/>
    <w:qFormat/>
    <w:rsid w:val="00775447"/>
    <w:pPr>
      <w:keepNext/>
      <w:keepLines/>
      <w:outlineLvl w:val="2"/>
    </w:pPr>
    <w:rPr>
      <w:rFonts w:eastAsia="SimSu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26132"/>
    <w:rPr>
      <w:rFonts w:ascii="Times New Roman" w:eastAsia="SimSun" w:hAnsi="Times New Roman"/>
      <w:b/>
      <w:sz w:val="24"/>
      <w:szCs w:val="32"/>
      <w:lang w:val="en-US" w:eastAsia="en-US"/>
    </w:rPr>
  </w:style>
  <w:style w:type="character" w:customStyle="1" w:styleId="Heading2Char">
    <w:name w:val="Heading 2 Char"/>
    <w:aliases w:val="APA 2 Char"/>
    <w:link w:val="Heading2"/>
    <w:uiPriority w:val="9"/>
    <w:rsid w:val="0016642F"/>
    <w:rPr>
      <w:rFonts w:ascii="Times New Roman" w:eastAsia="SimSun" w:hAnsi="Times New Roman"/>
      <w:b/>
      <w:sz w:val="24"/>
      <w:szCs w:val="26"/>
      <w:lang w:val="en-US" w:eastAsia="en-US"/>
    </w:rPr>
  </w:style>
  <w:style w:type="character" w:customStyle="1" w:styleId="Heading3Char">
    <w:name w:val="Heading 3 Char"/>
    <w:aliases w:val="APA 3 Char"/>
    <w:link w:val="Heading3"/>
    <w:uiPriority w:val="9"/>
    <w:rsid w:val="00775447"/>
    <w:rPr>
      <w:rFonts w:ascii="Times New Roman" w:eastAsia="SimSun" w:hAnsi="Times New Roman" w:cs="Times New Roman"/>
      <w:b/>
      <w:sz w:val="24"/>
      <w:szCs w:val="24"/>
    </w:rPr>
  </w:style>
  <w:style w:type="paragraph" w:styleId="NoSpacing">
    <w:name w:val="No Spacing"/>
    <w:uiPriority w:val="1"/>
    <w:qFormat/>
    <w:rsid w:val="00D20DC9"/>
    <w:pPr>
      <w:spacing w:line="360" w:lineRule="auto"/>
    </w:pPr>
    <w:rPr>
      <w:rFonts w:ascii="Times New Roman" w:hAnsi="Times New Roman"/>
      <w:sz w:val="24"/>
      <w:szCs w:val="22"/>
      <w:lang w:eastAsia="en-US"/>
    </w:rPr>
  </w:style>
  <w:style w:type="paragraph" w:customStyle="1" w:styleId="1APA-stil">
    <w:name w:val="1 APA-stil"/>
    <w:basedOn w:val="Normal"/>
    <w:next w:val="Normal"/>
    <w:link w:val="1APA-stilChar"/>
    <w:autoRedefine/>
    <w:qFormat/>
    <w:rsid w:val="007010C0"/>
    <w:pPr>
      <w:ind w:firstLine="0"/>
      <w:outlineLvl w:val="0"/>
    </w:pPr>
    <w:rPr>
      <w:b/>
      <w:szCs w:val="48"/>
      <w:lang w:val="en-US"/>
    </w:rPr>
  </w:style>
  <w:style w:type="character" w:customStyle="1" w:styleId="1APA-stilChar">
    <w:name w:val="1 APA-stil Char"/>
    <w:link w:val="1APA-stil"/>
    <w:rsid w:val="007010C0"/>
    <w:rPr>
      <w:rFonts w:ascii="Times New Roman" w:hAnsi="Times New Roman"/>
      <w:b/>
      <w:sz w:val="24"/>
      <w:szCs w:val="48"/>
      <w:lang w:val="en-US" w:eastAsia="en-US"/>
    </w:rPr>
  </w:style>
  <w:style w:type="paragraph" w:customStyle="1" w:styleId="2APA-stil">
    <w:name w:val="2 APA-stil"/>
    <w:basedOn w:val="Normal"/>
    <w:next w:val="Normal"/>
    <w:link w:val="2APA-stilChar"/>
    <w:autoRedefine/>
    <w:qFormat/>
    <w:rsid w:val="00C940EC"/>
    <w:pPr>
      <w:adjustRightInd w:val="0"/>
      <w:snapToGrid w:val="0"/>
      <w:ind w:firstLine="0"/>
      <w:outlineLvl w:val="1"/>
    </w:pPr>
    <w:rPr>
      <w:b/>
      <w:szCs w:val="36"/>
      <w:lang w:val="en-US"/>
    </w:rPr>
  </w:style>
  <w:style w:type="character" w:customStyle="1" w:styleId="2APA-stilChar">
    <w:name w:val="2 APA-stil Char"/>
    <w:link w:val="2APA-stil"/>
    <w:rsid w:val="00C940EC"/>
    <w:rPr>
      <w:rFonts w:ascii="Times New Roman" w:hAnsi="Times New Roman"/>
      <w:b/>
      <w:sz w:val="24"/>
      <w:szCs w:val="36"/>
      <w:lang w:val="en-US" w:eastAsia="en-US"/>
    </w:rPr>
  </w:style>
  <w:style w:type="paragraph" w:customStyle="1" w:styleId="3APA-stil">
    <w:name w:val="3 APA-stil"/>
    <w:basedOn w:val="Normal"/>
    <w:next w:val="Normal"/>
    <w:link w:val="3APA-stilChar"/>
    <w:autoRedefine/>
    <w:qFormat/>
    <w:rsid w:val="00C03F75"/>
    <w:pPr>
      <w:snapToGrid w:val="0"/>
      <w:ind w:left="708"/>
      <w:outlineLvl w:val="2"/>
    </w:pPr>
    <w:rPr>
      <w:b/>
      <w:szCs w:val="28"/>
    </w:rPr>
  </w:style>
  <w:style w:type="character" w:customStyle="1" w:styleId="3APA-stilChar">
    <w:name w:val="3 APA-stil Char"/>
    <w:link w:val="3APA-stil"/>
    <w:rsid w:val="00C03F75"/>
    <w:rPr>
      <w:rFonts w:ascii="Times New Roman" w:hAnsi="Times New Roman"/>
      <w:b/>
      <w:sz w:val="24"/>
      <w:szCs w:val="28"/>
    </w:rPr>
  </w:style>
  <w:style w:type="paragraph" w:customStyle="1" w:styleId="4APA-stil">
    <w:name w:val="4 APA-stil"/>
    <w:basedOn w:val="Normal"/>
    <w:next w:val="Normal"/>
    <w:link w:val="4APA-stilChar"/>
    <w:autoRedefine/>
    <w:qFormat/>
    <w:rsid w:val="00DD667D"/>
    <w:rPr>
      <w:i/>
    </w:rPr>
  </w:style>
  <w:style w:type="character" w:customStyle="1" w:styleId="4APA-stilChar">
    <w:name w:val="4 APA-stil Char"/>
    <w:link w:val="4APA-stil"/>
    <w:rsid w:val="00DD667D"/>
    <w:rPr>
      <w:rFonts w:ascii="Times New Roman" w:hAnsi="Times New Roman"/>
      <w:b/>
      <w:i/>
      <w:sz w:val="24"/>
    </w:rPr>
  </w:style>
  <w:style w:type="paragraph" w:styleId="ListParagraph">
    <w:name w:val="List Paragraph"/>
    <w:basedOn w:val="Normal"/>
    <w:uiPriority w:val="34"/>
    <w:qFormat/>
    <w:rsid w:val="00B50190"/>
    <w:pPr>
      <w:ind w:left="720"/>
    </w:pPr>
  </w:style>
  <w:style w:type="paragraph" w:styleId="Header">
    <w:name w:val="header"/>
    <w:basedOn w:val="Normal"/>
    <w:link w:val="HeaderChar"/>
    <w:uiPriority w:val="99"/>
    <w:unhideWhenUsed/>
    <w:rsid w:val="00B50190"/>
    <w:pPr>
      <w:tabs>
        <w:tab w:val="center" w:pos="4703"/>
        <w:tab w:val="right" w:pos="9406"/>
      </w:tabs>
      <w:spacing w:line="240" w:lineRule="auto"/>
    </w:pPr>
  </w:style>
  <w:style w:type="character" w:customStyle="1" w:styleId="HeaderChar">
    <w:name w:val="Header Char"/>
    <w:link w:val="Header"/>
    <w:uiPriority w:val="99"/>
    <w:rsid w:val="00B50190"/>
    <w:rPr>
      <w:rFonts w:ascii="Times New Roman" w:hAnsi="Times New Roman"/>
      <w:sz w:val="24"/>
    </w:rPr>
  </w:style>
  <w:style w:type="paragraph" w:styleId="BalloonText">
    <w:name w:val="Balloon Text"/>
    <w:basedOn w:val="Normal"/>
    <w:link w:val="BalloonTextChar"/>
    <w:uiPriority w:val="99"/>
    <w:semiHidden/>
    <w:unhideWhenUsed/>
    <w:rsid w:val="00FA1E77"/>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FA1E77"/>
    <w:rPr>
      <w:rFonts w:ascii="Segoe UI" w:hAnsi="Segoe UI" w:cs="Segoe UI"/>
      <w:sz w:val="18"/>
      <w:szCs w:val="18"/>
    </w:rPr>
  </w:style>
  <w:style w:type="character" w:styleId="CommentReference">
    <w:name w:val="annotation reference"/>
    <w:uiPriority w:val="99"/>
    <w:semiHidden/>
    <w:unhideWhenUsed/>
    <w:rsid w:val="00087713"/>
    <w:rPr>
      <w:sz w:val="16"/>
      <w:szCs w:val="16"/>
    </w:rPr>
  </w:style>
  <w:style w:type="paragraph" w:styleId="CommentText">
    <w:name w:val="annotation text"/>
    <w:basedOn w:val="Normal"/>
    <w:link w:val="CommentTextChar"/>
    <w:uiPriority w:val="99"/>
    <w:unhideWhenUsed/>
    <w:rsid w:val="00087713"/>
    <w:pPr>
      <w:spacing w:line="240" w:lineRule="auto"/>
    </w:pPr>
    <w:rPr>
      <w:sz w:val="20"/>
      <w:szCs w:val="20"/>
    </w:rPr>
  </w:style>
  <w:style w:type="character" w:customStyle="1" w:styleId="CommentTextChar">
    <w:name w:val="Comment Text Char"/>
    <w:link w:val="CommentText"/>
    <w:uiPriority w:val="99"/>
    <w:rsid w:val="0008771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87713"/>
    <w:rPr>
      <w:b/>
      <w:bCs/>
    </w:rPr>
  </w:style>
  <w:style w:type="character" w:customStyle="1" w:styleId="CommentSubjectChar">
    <w:name w:val="Comment Subject Char"/>
    <w:link w:val="CommentSubject"/>
    <w:uiPriority w:val="99"/>
    <w:semiHidden/>
    <w:rsid w:val="00087713"/>
    <w:rPr>
      <w:rFonts w:ascii="Times New Roman" w:hAnsi="Times New Roman"/>
      <w:b/>
      <w:bCs/>
      <w:sz w:val="20"/>
      <w:szCs w:val="20"/>
    </w:rPr>
  </w:style>
  <w:style w:type="paragraph" w:styleId="Footer">
    <w:name w:val="footer"/>
    <w:basedOn w:val="Normal"/>
    <w:link w:val="FooterChar"/>
    <w:uiPriority w:val="99"/>
    <w:unhideWhenUsed/>
    <w:rsid w:val="00C407F6"/>
    <w:pPr>
      <w:tabs>
        <w:tab w:val="center" w:pos="4703"/>
        <w:tab w:val="right" w:pos="9406"/>
      </w:tabs>
      <w:spacing w:line="240" w:lineRule="auto"/>
    </w:pPr>
  </w:style>
  <w:style w:type="character" w:customStyle="1" w:styleId="FooterChar">
    <w:name w:val="Footer Char"/>
    <w:link w:val="Footer"/>
    <w:uiPriority w:val="99"/>
    <w:rsid w:val="00C407F6"/>
    <w:rPr>
      <w:rFonts w:ascii="Times New Roman" w:hAnsi="Times New Roman"/>
      <w:sz w:val="24"/>
    </w:rPr>
  </w:style>
  <w:style w:type="table" w:customStyle="1" w:styleId="Style11">
    <w:name w:val="Style11"/>
    <w:basedOn w:val="TableNormal"/>
    <w:uiPriority w:val="99"/>
    <w:rsid w:val="003B4DDE"/>
    <w:tblPr>
      <w:tblBorders>
        <w:top w:val="single" w:sz="4" w:space="0" w:color="auto"/>
        <w:bottom w:val="single" w:sz="4" w:space="0" w:color="auto"/>
      </w:tblBorders>
    </w:tblPr>
  </w:style>
  <w:style w:type="character" w:customStyle="1" w:styleId="authors">
    <w:name w:val="authors"/>
    <w:basedOn w:val="DefaultParagraphFont"/>
    <w:rsid w:val="00630EF9"/>
  </w:style>
  <w:style w:type="character" w:customStyle="1" w:styleId="Data1">
    <w:name w:val="Data1"/>
    <w:basedOn w:val="DefaultParagraphFont"/>
    <w:rsid w:val="00630EF9"/>
  </w:style>
  <w:style w:type="character" w:customStyle="1" w:styleId="arttitle">
    <w:name w:val="art_title"/>
    <w:basedOn w:val="DefaultParagraphFont"/>
    <w:rsid w:val="00630EF9"/>
  </w:style>
  <w:style w:type="character" w:customStyle="1" w:styleId="serialtitle">
    <w:name w:val="serial_title"/>
    <w:basedOn w:val="DefaultParagraphFont"/>
    <w:rsid w:val="00630EF9"/>
  </w:style>
  <w:style w:type="character" w:customStyle="1" w:styleId="volumeissue">
    <w:name w:val="volume_issue"/>
    <w:basedOn w:val="DefaultParagraphFont"/>
    <w:rsid w:val="00630EF9"/>
  </w:style>
  <w:style w:type="character" w:customStyle="1" w:styleId="pagerange">
    <w:name w:val="page_range"/>
    <w:basedOn w:val="DefaultParagraphFont"/>
    <w:rsid w:val="00630EF9"/>
  </w:style>
  <w:style w:type="paragraph" w:customStyle="1" w:styleId="EndNoteBibliography">
    <w:name w:val="EndNote Bibliography"/>
    <w:basedOn w:val="Normal"/>
    <w:link w:val="EndNoteBibliographyChar"/>
    <w:rsid w:val="00BC02DC"/>
    <w:pPr>
      <w:spacing w:after="200" w:line="240" w:lineRule="auto"/>
      <w:ind w:firstLine="0"/>
      <w:jc w:val="center"/>
    </w:pPr>
    <w:rPr>
      <w:rFonts w:eastAsia="SimSun"/>
      <w:noProof/>
      <w:lang w:eastAsia="zh-CN"/>
    </w:rPr>
  </w:style>
  <w:style w:type="character" w:customStyle="1" w:styleId="EndNoteBibliographyChar">
    <w:name w:val="EndNote Bibliography Char"/>
    <w:link w:val="EndNoteBibliography"/>
    <w:rsid w:val="00BC02DC"/>
    <w:rPr>
      <w:rFonts w:ascii="Times New Roman" w:eastAsia="SimSun" w:hAnsi="Times New Roman" w:cs="Times New Roman"/>
      <w:noProof/>
      <w:sz w:val="24"/>
      <w:lang w:eastAsia="zh-CN"/>
    </w:rPr>
  </w:style>
  <w:style w:type="character" w:styleId="Hyperlink">
    <w:name w:val="Hyperlink"/>
    <w:uiPriority w:val="99"/>
    <w:unhideWhenUsed/>
    <w:rsid w:val="00D025DC"/>
    <w:rPr>
      <w:color w:val="0000FF"/>
      <w:u w:val="single"/>
    </w:rPr>
  </w:style>
  <w:style w:type="table" w:styleId="TableGrid">
    <w:name w:val="Table Grid"/>
    <w:basedOn w:val="TableNormal"/>
    <w:uiPriority w:val="39"/>
    <w:rsid w:val="005F23D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39FC"/>
    <w:rPr>
      <w:rFonts w:ascii="Times New Roman" w:hAnsi="Times New Roman"/>
      <w:sz w:val="24"/>
      <w:szCs w:val="22"/>
      <w:lang w:eastAsia="en-US"/>
    </w:rPr>
  </w:style>
  <w:style w:type="character" w:styleId="LineNumber">
    <w:name w:val="line number"/>
    <w:uiPriority w:val="99"/>
    <w:semiHidden/>
    <w:unhideWhenUsed/>
    <w:rsid w:val="00DE19AE"/>
  </w:style>
  <w:style w:type="paragraph" w:customStyle="1" w:styleId="bulletedlist">
    <w:name w:val="bulleted list"/>
    <w:basedOn w:val="Normal"/>
    <w:rsid w:val="009950B7"/>
    <w:pPr>
      <w:numPr>
        <w:numId w:val="1"/>
      </w:numPr>
      <w:spacing w:before="60" w:line="220" w:lineRule="exact"/>
      <w:contextualSpacing w:val="0"/>
    </w:pPr>
    <w:rPr>
      <w:rFonts w:ascii="Tahoma" w:eastAsia="Times New Roman" w:hAnsi="Tahoma"/>
      <w:spacing w:val="10"/>
      <w:sz w:val="16"/>
      <w:szCs w:val="16"/>
      <w:lang w:val="da-DK"/>
    </w:rPr>
  </w:style>
  <w:style w:type="character" w:styleId="Emphasis">
    <w:name w:val="Emphasis"/>
    <w:basedOn w:val="DefaultParagraphFont"/>
    <w:uiPriority w:val="20"/>
    <w:qFormat/>
    <w:rsid w:val="001057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290735">
      <w:bodyDiv w:val="1"/>
      <w:marLeft w:val="0"/>
      <w:marRight w:val="0"/>
      <w:marTop w:val="0"/>
      <w:marBottom w:val="0"/>
      <w:divBdr>
        <w:top w:val="none" w:sz="0" w:space="0" w:color="auto"/>
        <w:left w:val="none" w:sz="0" w:space="0" w:color="auto"/>
        <w:bottom w:val="none" w:sz="0" w:space="0" w:color="auto"/>
        <w:right w:val="none" w:sz="0" w:space="0" w:color="auto"/>
      </w:divBdr>
    </w:div>
    <w:div w:id="536048079">
      <w:bodyDiv w:val="1"/>
      <w:marLeft w:val="0"/>
      <w:marRight w:val="0"/>
      <w:marTop w:val="0"/>
      <w:marBottom w:val="0"/>
      <w:divBdr>
        <w:top w:val="none" w:sz="0" w:space="0" w:color="auto"/>
        <w:left w:val="none" w:sz="0" w:space="0" w:color="auto"/>
        <w:bottom w:val="none" w:sz="0" w:space="0" w:color="auto"/>
        <w:right w:val="none" w:sz="0" w:space="0" w:color="auto"/>
      </w:divBdr>
    </w:div>
    <w:div w:id="1347826322">
      <w:bodyDiv w:val="1"/>
      <w:marLeft w:val="0"/>
      <w:marRight w:val="0"/>
      <w:marTop w:val="0"/>
      <w:marBottom w:val="0"/>
      <w:divBdr>
        <w:top w:val="none" w:sz="0" w:space="0" w:color="auto"/>
        <w:left w:val="none" w:sz="0" w:space="0" w:color="auto"/>
        <w:bottom w:val="none" w:sz="0" w:space="0" w:color="auto"/>
        <w:right w:val="none" w:sz="0" w:space="0" w:color="auto"/>
      </w:divBdr>
    </w:div>
    <w:div w:id="1833637995">
      <w:bodyDiv w:val="1"/>
      <w:marLeft w:val="0"/>
      <w:marRight w:val="0"/>
      <w:marTop w:val="0"/>
      <w:marBottom w:val="0"/>
      <w:divBdr>
        <w:top w:val="none" w:sz="0" w:space="0" w:color="auto"/>
        <w:left w:val="none" w:sz="0" w:space="0" w:color="auto"/>
        <w:bottom w:val="none" w:sz="0" w:space="0" w:color="auto"/>
        <w:right w:val="none" w:sz="0" w:space="0" w:color="auto"/>
      </w:divBdr>
    </w:div>
    <w:div w:id="1835141748">
      <w:bodyDiv w:val="1"/>
      <w:marLeft w:val="0"/>
      <w:marRight w:val="0"/>
      <w:marTop w:val="0"/>
      <w:marBottom w:val="0"/>
      <w:divBdr>
        <w:top w:val="none" w:sz="0" w:space="0" w:color="auto"/>
        <w:left w:val="none" w:sz="0" w:space="0" w:color="auto"/>
        <w:bottom w:val="none" w:sz="0" w:space="0" w:color="auto"/>
        <w:right w:val="none" w:sz="0" w:space="0" w:color="auto"/>
      </w:divBdr>
    </w:div>
    <w:div w:id="1995142340">
      <w:bodyDiv w:val="1"/>
      <w:marLeft w:val="0"/>
      <w:marRight w:val="0"/>
      <w:marTop w:val="0"/>
      <w:marBottom w:val="0"/>
      <w:divBdr>
        <w:top w:val="none" w:sz="0" w:space="0" w:color="auto"/>
        <w:left w:val="none" w:sz="0" w:space="0" w:color="auto"/>
        <w:bottom w:val="none" w:sz="0" w:space="0" w:color="auto"/>
        <w:right w:val="none" w:sz="0" w:space="0" w:color="auto"/>
      </w:divBdr>
      <w:divsChild>
        <w:div w:id="533733219">
          <w:marLeft w:val="0"/>
          <w:marRight w:val="0"/>
          <w:marTop w:val="0"/>
          <w:marBottom w:val="45"/>
          <w:divBdr>
            <w:top w:val="none" w:sz="0" w:space="0" w:color="auto"/>
            <w:left w:val="none" w:sz="0" w:space="0" w:color="auto"/>
            <w:bottom w:val="none" w:sz="0" w:space="0" w:color="auto"/>
            <w:right w:val="none" w:sz="0" w:space="0" w:color="auto"/>
          </w:divBdr>
          <w:divsChild>
            <w:div w:id="648479338">
              <w:marLeft w:val="0"/>
              <w:marRight w:val="0"/>
              <w:marTop w:val="0"/>
              <w:marBottom w:val="0"/>
              <w:divBdr>
                <w:top w:val="none" w:sz="0" w:space="0" w:color="auto"/>
                <w:left w:val="none" w:sz="0" w:space="0" w:color="auto"/>
                <w:bottom w:val="none" w:sz="0" w:space="0" w:color="auto"/>
                <w:right w:val="none" w:sz="0" w:space="0" w:color="auto"/>
              </w:divBdr>
              <w:divsChild>
                <w:div w:id="1235555944">
                  <w:marLeft w:val="0"/>
                  <w:marRight w:val="0"/>
                  <w:marTop w:val="0"/>
                  <w:marBottom w:val="0"/>
                  <w:divBdr>
                    <w:top w:val="none" w:sz="0" w:space="0" w:color="auto"/>
                    <w:left w:val="none" w:sz="0" w:space="0" w:color="auto"/>
                    <w:bottom w:val="none" w:sz="0" w:space="0" w:color="auto"/>
                    <w:right w:val="none" w:sz="0" w:space="0" w:color="auto"/>
                  </w:divBdr>
                  <w:divsChild>
                    <w:div w:id="1495414343">
                      <w:marLeft w:val="0"/>
                      <w:marRight w:val="0"/>
                      <w:marTop w:val="0"/>
                      <w:marBottom w:val="0"/>
                      <w:divBdr>
                        <w:top w:val="none" w:sz="0" w:space="0" w:color="auto"/>
                        <w:left w:val="none" w:sz="0" w:space="0" w:color="auto"/>
                        <w:bottom w:val="none" w:sz="0" w:space="0" w:color="auto"/>
                        <w:right w:val="none" w:sz="0" w:space="0" w:color="auto"/>
                      </w:divBdr>
                      <w:divsChild>
                        <w:div w:id="40430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700634">
          <w:marLeft w:val="0"/>
          <w:marRight w:val="0"/>
          <w:marTop w:val="0"/>
          <w:marBottom w:val="45"/>
          <w:divBdr>
            <w:top w:val="none" w:sz="0" w:space="0" w:color="auto"/>
            <w:left w:val="none" w:sz="0" w:space="0" w:color="auto"/>
            <w:bottom w:val="none" w:sz="0" w:space="0" w:color="auto"/>
            <w:right w:val="none" w:sz="0" w:space="0" w:color="auto"/>
          </w:divBdr>
          <w:divsChild>
            <w:div w:id="772944705">
              <w:marLeft w:val="0"/>
              <w:marRight w:val="0"/>
              <w:marTop w:val="0"/>
              <w:marBottom w:val="0"/>
              <w:divBdr>
                <w:top w:val="none" w:sz="0" w:space="0" w:color="auto"/>
                <w:left w:val="none" w:sz="0" w:space="0" w:color="auto"/>
                <w:bottom w:val="none" w:sz="0" w:space="0" w:color="auto"/>
                <w:right w:val="none" w:sz="0" w:space="0" w:color="auto"/>
              </w:divBdr>
              <w:divsChild>
                <w:div w:id="1887452689">
                  <w:marLeft w:val="0"/>
                  <w:marRight w:val="0"/>
                  <w:marTop w:val="0"/>
                  <w:marBottom w:val="0"/>
                  <w:divBdr>
                    <w:top w:val="none" w:sz="0" w:space="0" w:color="auto"/>
                    <w:left w:val="none" w:sz="0" w:space="0" w:color="auto"/>
                    <w:bottom w:val="none" w:sz="0" w:space="0" w:color="auto"/>
                    <w:right w:val="none" w:sz="0" w:space="0" w:color="auto"/>
                  </w:divBdr>
                  <w:divsChild>
                    <w:div w:id="1702053419">
                      <w:marLeft w:val="0"/>
                      <w:marRight w:val="0"/>
                      <w:marTop w:val="0"/>
                      <w:marBottom w:val="0"/>
                      <w:divBdr>
                        <w:top w:val="none" w:sz="0" w:space="0" w:color="auto"/>
                        <w:left w:val="none" w:sz="0" w:space="0" w:color="auto"/>
                        <w:bottom w:val="none" w:sz="0" w:space="0" w:color="auto"/>
                        <w:right w:val="none" w:sz="0" w:space="0" w:color="auto"/>
                      </w:divBdr>
                      <w:divsChild>
                        <w:div w:id="212403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6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743-6109.2009.01601.x" TargetMode="External"/><Relationship Id="rId18" Type="http://schemas.openxmlformats.org/officeDocument/2006/relationships/hyperlink" Target="https://doi.org/10.1177/0265407504045889" TargetMode="External"/><Relationship Id="rId26" Type="http://schemas.openxmlformats.org/officeDocument/2006/relationships/hyperlink" Target="https://doi.org/10.1016/j.archger.2007.03.008" TargetMode="External"/><Relationship Id="rId3" Type="http://schemas.openxmlformats.org/officeDocument/2006/relationships/styles" Target="styles.xml"/><Relationship Id="rId21" Type="http://schemas.openxmlformats.org/officeDocument/2006/relationships/hyperlink" Target="https://content.apa.org/doi/10.1037/14193-00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300/J056v14n02_02" TargetMode="External"/><Relationship Id="rId17" Type="http://schemas.openxmlformats.org/officeDocument/2006/relationships/hyperlink" Target="https://doi.org/10.1080/00224490209552156" TargetMode="External"/><Relationship Id="rId25" Type="http://schemas.openxmlformats.org/officeDocument/2006/relationships/hyperlink" Target="https://doi-org.ezproxy.uio.no/10.1111/j.1743-6109.2011.02511.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10508-016-0918-9" TargetMode="External"/><Relationship Id="rId20" Type="http://schemas.openxmlformats.org/officeDocument/2006/relationships/hyperlink" Target="https://doi.org/10.1177/0265407517754148" TargetMode="External"/><Relationship Id="rId29" Type="http://schemas.openxmlformats.org/officeDocument/2006/relationships/hyperlink" Target="https://doi.org/10.1007/s10902-018-004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092623X.2011.628440" TargetMode="External"/><Relationship Id="rId24" Type="http://schemas.openxmlformats.org/officeDocument/2006/relationships/hyperlink" Target="https://doi.org/10.1016/S0140-6736(13)62035-8"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80/00224499.2011.603168" TargetMode="External"/><Relationship Id="rId23" Type="http://schemas.openxmlformats.org/officeDocument/2006/relationships/hyperlink" Target="http://dx.doi.org/10.1056/NEJMoa067423" TargetMode="External"/><Relationship Id="rId28" Type="http://schemas.openxmlformats.org/officeDocument/2006/relationships/hyperlink" Target="https://doi.org/10.1177/1403494809344653" TargetMode="External"/><Relationship Id="rId10" Type="http://schemas.openxmlformats.org/officeDocument/2006/relationships/hyperlink" Target="https://doi.org/10.1016/j.sxmr.2016.03.001" TargetMode="External"/><Relationship Id="rId19" Type="http://schemas.openxmlformats.org/officeDocument/2006/relationships/hyperlink" Target="https://doi.org/10.1080/00224499.2016.1269308"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S0277-9536(99)00463-3" TargetMode="External"/><Relationship Id="rId14" Type="http://schemas.openxmlformats.org/officeDocument/2006/relationships/hyperlink" Target="https://doi.org/10.1300/J056v14n02_04" TargetMode="External"/><Relationship Id="rId22" Type="http://schemas.openxmlformats.org/officeDocument/2006/relationships/hyperlink" Target="https://www.jstor.org/stable/20620398" TargetMode="External"/><Relationship Id="rId27" Type="http://schemas.openxmlformats.org/officeDocument/2006/relationships/hyperlink" Target="https://doi.org/10.1111/j.1743-6109.2010.02013.x" TargetMode="External"/><Relationship Id="rId30" Type="http://schemas.openxmlformats.org/officeDocument/2006/relationships/hyperlink" Target="https://doi.org/10.1007/s10508-018-1256-x" TargetMode="External"/><Relationship Id="rId8" Type="http://schemas.openxmlformats.org/officeDocument/2006/relationships/hyperlink" Target="http://www.elsa-projec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37414-86F6-48F0-927E-48C3D7FE0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9245</Words>
  <Characters>52702</Characters>
  <Application>Microsoft Office Word</Application>
  <DocSecurity>0</DocSecurity>
  <Lines>439</Lines>
  <Paragraphs>123</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Universitetet i Oslo</Company>
  <LinksUpToDate>false</LinksUpToDate>
  <CharactersWithSpaces>61824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Nantje Fischer</dc:creator>
  <cp:keywords/>
  <dc:description/>
  <cp:lastModifiedBy>Cynthia Graham</cp:lastModifiedBy>
  <cp:revision>5</cp:revision>
  <cp:lastPrinted>2021-04-12T08:43:00Z</cp:lastPrinted>
  <dcterms:created xsi:type="dcterms:W3CDTF">2021-04-14T11:33:00Z</dcterms:created>
  <dcterms:modified xsi:type="dcterms:W3CDTF">2021-06-21T08:12:00Z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