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BB6B3" w14:textId="77777777" w:rsidR="00E93F94" w:rsidRPr="00FD0336" w:rsidRDefault="00E93F94" w:rsidP="00C54694">
      <w:pPr>
        <w:pStyle w:val="MDPI11articletype"/>
        <w:rPr>
          <w:lang w:val="en-GB"/>
        </w:rPr>
      </w:pPr>
      <w:r w:rsidRPr="00FD0336">
        <w:rPr>
          <w:lang w:val="en-GB"/>
        </w:rPr>
        <w:t>Article</w:t>
      </w:r>
    </w:p>
    <w:p w14:paraId="0B5CB2AB" w14:textId="0C05340E" w:rsidR="00E93F94" w:rsidRPr="00FD0336" w:rsidRDefault="00E93F94" w:rsidP="0085057A">
      <w:pPr>
        <w:pStyle w:val="MDPI12title"/>
        <w:rPr>
          <w:lang w:val="en-GB"/>
        </w:rPr>
      </w:pPr>
      <w:r w:rsidRPr="00FD0336">
        <w:rPr>
          <w:lang w:val="en-GB"/>
        </w:rPr>
        <w:t xml:space="preserve">A </w:t>
      </w:r>
      <w:r w:rsidR="00FD0336">
        <w:rPr>
          <w:lang w:val="en-GB"/>
        </w:rPr>
        <w:t>V</w:t>
      </w:r>
      <w:r w:rsidRPr="00FD0336">
        <w:rPr>
          <w:lang w:val="en-GB"/>
        </w:rPr>
        <w:t xml:space="preserve">irtuous </w:t>
      </w:r>
      <w:r w:rsidR="00FD0336">
        <w:rPr>
          <w:lang w:val="en-GB"/>
        </w:rPr>
        <w:t>C</w:t>
      </w:r>
      <w:r w:rsidRPr="00FD0336">
        <w:rPr>
          <w:lang w:val="en-GB"/>
        </w:rPr>
        <w:t xml:space="preserve">ircle? Increasing </w:t>
      </w:r>
      <w:r w:rsidR="00FD0336">
        <w:rPr>
          <w:lang w:val="en-GB"/>
        </w:rPr>
        <w:t>L</w:t>
      </w:r>
      <w:r w:rsidRPr="00FD0336">
        <w:rPr>
          <w:lang w:val="en-GB"/>
        </w:rPr>
        <w:t xml:space="preserve">ocal </w:t>
      </w:r>
      <w:r w:rsidR="00FD0336">
        <w:rPr>
          <w:lang w:val="en-GB"/>
        </w:rPr>
        <w:t>B</w:t>
      </w:r>
      <w:r w:rsidRPr="00FD0336">
        <w:rPr>
          <w:lang w:val="en-GB"/>
        </w:rPr>
        <w:t xml:space="preserve">enefits from </w:t>
      </w:r>
      <w:r w:rsidR="00FD0336">
        <w:rPr>
          <w:lang w:val="en-GB"/>
        </w:rPr>
        <w:t>P</w:t>
      </w:r>
      <w:r w:rsidRPr="00FD0336">
        <w:rPr>
          <w:lang w:val="en-GB"/>
        </w:rPr>
        <w:t xml:space="preserve">orts by </w:t>
      </w:r>
      <w:r w:rsidR="00FD0336">
        <w:rPr>
          <w:lang w:val="en-GB"/>
        </w:rPr>
        <w:t>A</w:t>
      </w:r>
      <w:r w:rsidRPr="00FD0336">
        <w:rPr>
          <w:lang w:val="en-GB"/>
        </w:rPr>
        <w:t xml:space="preserve">dopting </w:t>
      </w:r>
      <w:r w:rsidR="00FD0336">
        <w:rPr>
          <w:lang w:val="en-GB"/>
        </w:rPr>
        <w:t>C</w:t>
      </w:r>
      <w:r w:rsidRPr="00FD0336">
        <w:rPr>
          <w:lang w:val="en-GB"/>
        </w:rPr>
        <w:t xml:space="preserve">ircular </w:t>
      </w:r>
      <w:r w:rsidR="00FD0336">
        <w:rPr>
          <w:lang w:val="en-GB"/>
        </w:rPr>
        <w:t>E</w:t>
      </w:r>
      <w:r w:rsidRPr="00FD0336">
        <w:rPr>
          <w:lang w:val="en-GB"/>
        </w:rPr>
        <w:t xml:space="preserve">conomy </w:t>
      </w:r>
      <w:r w:rsidR="00FD0336">
        <w:rPr>
          <w:lang w:val="en-GB"/>
        </w:rPr>
        <w:t>P</w:t>
      </w:r>
      <w:r w:rsidRPr="00FD0336">
        <w:rPr>
          <w:lang w:val="en-GB"/>
        </w:rPr>
        <w:t>rinciples</w:t>
      </w:r>
    </w:p>
    <w:tbl>
      <w:tblPr>
        <w:tblpPr w:leftFromText="198" w:rightFromText="198" w:vertAnchor="page" w:horzAnchor="margin" w:tblpY="8050"/>
        <w:tblW w:w="2410" w:type="dxa"/>
        <w:tblLayout w:type="fixed"/>
        <w:tblCellMar>
          <w:left w:w="0" w:type="dxa"/>
          <w:right w:w="0" w:type="dxa"/>
        </w:tblCellMar>
        <w:tblLook w:val="04A0" w:firstRow="1" w:lastRow="0" w:firstColumn="1" w:lastColumn="0" w:noHBand="0" w:noVBand="1"/>
      </w:tblPr>
      <w:tblGrid>
        <w:gridCol w:w="2410"/>
      </w:tblGrid>
      <w:tr w:rsidR="000E6992" w:rsidRPr="00FD0336" w14:paraId="6711615D" w14:textId="77777777" w:rsidTr="000E6992">
        <w:tc>
          <w:tcPr>
            <w:tcW w:w="2410" w:type="dxa"/>
            <w:shd w:val="clear" w:color="auto" w:fill="auto"/>
          </w:tcPr>
          <w:p w14:paraId="030DDA28" w14:textId="0E6A8D0B" w:rsidR="000E6992" w:rsidRPr="00FD0336" w:rsidRDefault="000E6992" w:rsidP="000E6992">
            <w:pPr>
              <w:pStyle w:val="MDPI61Citation"/>
              <w:spacing w:line="240" w:lineRule="exact"/>
              <w:rPr>
                <w:lang w:val="en-GB"/>
              </w:rPr>
            </w:pPr>
            <w:r w:rsidRPr="00FD0336">
              <w:rPr>
                <w:b/>
                <w:lang w:val="en-GB"/>
              </w:rPr>
              <w:t>Citation:</w:t>
            </w:r>
            <w:r w:rsidRPr="00FD0336">
              <w:rPr>
                <w:lang w:val="en-GB"/>
              </w:rPr>
              <w:t xml:space="preserve"> Roberts, T.; Williams, I.; Preston, J.; Clarke, N.; </w:t>
            </w:r>
            <w:proofErr w:type="spellStart"/>
            <w:r w:rsidRPr="00FD0336">
              <w:rPr>
                <w:lang w:val="en-GB"/>
              </w:rPr>
              <w:t>Odum</w:t>
            </w:r>
            <w:proofErr w:type="spellEnd"/>
            <w:r w:rsidRPr="00FD0336">
              <w:rPr>
                <w:lang w:val="en-GB"/>
              </w:rPr>
              <w:t xml:space="preserve">, M.; O’Gorman, S. A virtuous circle? Increasing local benefits from ports by adopting circular economy principles </w:t>
            </w:r>
            <w:r w:rsidRPr="00FD0336">
              <w:rPr>
                <w:i/>
                <w:lang w:val="en-GB"/>
              </w:rPr>
              <w:t xml:space="preserve">Sustainability </w:t>
            </w:r>
            <w:r w:rsidRPr="00FD0336">
              <w:rPr>
                <w:b/>
                <w:lang w:val="en-GB"/>
              </w:rPr>
              <w:t>2021</w:t>
            </w:r>
            <w:r w:rsidRPr="00FD0336">
              <w:rPr>
                <w:lang w:val="en-GB"/>
              </w:rPr>
              <w:t xml:space="preserve">, </w:t>
            </w:r>
            <w:r w:rsidRPr="00FD0336">
              <w:rPr>
                <w:i/>
                <w:lang w:val="en-GB"/>
              </w:rPr>
              <w:t>13</w:t>
            </w:r>
            <w:r w:rsidRPr="00FD0336">
              <w:rPr>
                <w:lang w:val="en-GB"/>
              </w:rPr>
              <w:t>, x. https://doi.org/10.3390/xxxxx</w:t>
            </w:r>
          </w:p>
          <w:p w14:paraId="4576D15A" w14:textId="77777777" w:rsidR="000E6992" w:rsidRPr="00FD0336" w:rsidRDefault="000E6992" w:rsidP="000E6992">
            <w:pPr>
              <w:pStyle w:val="MDPI14history"/>
              <w:spacing w:before="240" w:after="240"/>
              <w:rPr>
                <w:rFonts w:ascii="SimSun" w:eastAsia="SimSun" w:hAnsi="SimSun" w:cs="SimSun"/>
                <w:lang w:val="en-GB" w:eastAsia="zh-CN"/>
              </w:rPr>
            </w:pPr>
            <w:r w:rsidRPr="00FD0336">
              <w:rPr>
                <w:lang w:val="en-GB"/>
              </w:rPr>
              <w:t xml:space="preserve">Academic Editor: </w:t>
            </w:r>
            <w:proofErr w:type="spellStart"/>
            <w:r w:rsidRPr="00FD0336">
              <w:rPr>
                <w:lang w:val="en-GB"/>
              </w:rPr>
              <w:t>Firstname</w:t>
            </w:r>
            <w:proofErr w:type="spellEnd"/>
            <w:r w:rsidRPr="00FD0336">
              <w:rPr>
                <w:lang w:val="en-GB"/>
              </w:rPr>
              <w:t xml:space="preserve"> </w:t>
            </w:r>
            <w:proofErr w:type="spellStart"/>
            <w:r w:rsidRPr="00FD0336">
              <w:rPr>
                <w:lang w:val="en-GB"/>
              </w:rPr>
              <w:t>Lastname</w:t>
            </w:r>
            <w:proofErr w:type="spellEnd"/>
          </w:p>
          <w:p w14:paraId="7A4A329A" w14:textId="77777777" w:rsidR="000E6992" w:rsidRPr="00FD0336" w:rsidRDefault="000E6992" w:rsidP="000E6992">
            <w:pPr>
              <w:pStyle w:val="MDPI14history"/>
              <w:rPr>
                <w:rFonts w:ascii="SimSun" w:eastAsia="SimSun" w:hAnsi="SimSun" w:cs="SimSun"/>
                <w:lang w:val="en-GB"/>
              </w:rPr>
            </w:pPr>
            <w:r w:rsidRPr="00FD0336">
              <w:rPr>
                <w:szCs w:val="14"/>
                <w:lang w:val="en-GB"/>
              </w:rPr>
              <w:t>Received: date</w:t>
            </w:r>
          </w:p>
          <w:p w14:paraId="0B8424AD" w14:textId="77777777" w:rsidR="000E6992" w:rsidRPr="00FD0336" w:rsidRDefault="000E6992" w:rsidP="000E6992">
            <w:pPr>
              <w:pStyle w:val="MDPI14history"/>
              <w:rPr>
                <w:szCs w:val="14"/>
                <w:lang w:val="en-GB"/>
              </w:rPr>
            </w:pPr>
            <w:r w:rsidRPr="00FD0336">
              <w:rPr>
                <w:szCs w:val="14"/>
                <w:lang w:val="en-GB"/>
              </w:rPr>
              <w:t>Accepted: date</w:t>
            </w:r>
          </w:p>
          <w:p w14:paraId="677FB585" w14:textId="77777777" w:rsidR="000E6992" w:rsidRPr="00FD0336" w:rsidRDefault="000E6992" w:rsidP="000E6992">
            <w:pPr>
              <w:pStyle w:val="MDPI14history"/>
              <w:spacing w:after="240"/>
              <w:rPr>
                <w:szCs w:val="14"/>
                <w:lang w:val="en-GB"/>
              </w:rPr>
            </w:pPr>
            <w:r w:rsidRPr="00FD0336">
              <w:rPr>
                <w:szCs w:val="14"/>
                <w:lang w:val="en-GB"/>
              </w:rPr>
              <w:t>Published: date</w:t>
            </w:r>
          </w:p>
          <w:p w14:paraId="2963A3C2" w14:textId="77777777" w:rsidR="000E6992" w:rsidRPr="00FD0336" w:rsidRDefault="000E6992" w:rsidP="000E6992">
            <w:pPr>
              <w:pStyle w:val="MDPI63Notes"/>
              <w:jc w:val="both"/>
              <w:rPr>
                <w:lang w:val="en-GB"/>
              </w:rPr>
            </w:pPr>
            <w:r w:rsidRPr="00FD0336">
              <w:rPr>
                <w:b/>
                <w:lang w:val="en-GB"/>
              </w:rPr>
              <w:t>Publisher’s Note:</w:t>
            </w:r>
            <w:r w:rsidRPr="00FD0336">
              <w:rPr>
                <w:lang w:val="en-GB"/>
              </w:rPr>
              <w:t xml:space="preserve"> MDPI stays neutral </w:t>
            </w:r>
            <w:proofErr w:type="gramStart"/>
            <w:r w:rsidRPr="00FD0336">
              <w:rPr>
                <w:lang w:val="en-GB"/>
              </w:rPr>
              <w:t>with regard to</w:t>
            </w:r>
            <w:proofErr w:type="gramEnd"/>
            <w:r w:rsidRPr="00FD0336">
              <w:rPr>
                <w:lang w:val="en-GB"/>
              </w:rPr>
              <w:t xml:space="preserve"> jurisdictional claims in published maps and institutional affiliations.</w:t>
            </w:r>
          </w:p>
          <w:p w14:paraId="6E8E074A" w14:textId="77777777" w:rsidR="000E6992" w:rsidRPr="00FD0336" w:rsidRDefault="000E6992" w:rsidP="000E6992">
            <w:pPr>
              <w:adjustRightInd w:val="0"/>
              <w:snapToGrid w:val="0"/>
              <w:spacing w:before="240" w:line="240" w:lineRule="atLeast"/>
              <w:ind w:right="113"/>
              <w:jc w:val="left"/>
              <w:rPr>
                <w:rFonts w:eastAsia="DengXian"/>
                <w:bCs/>
                <w:noProof w:val="0"/>
                <w:sz w:val="14"/>
                <w:szCs w:val="14"/>
                <w:lang w:val="en-GB" w:bidi="en-US"/>
              </w:rPr>
            </w:pPr>
            <w:r w:rsidRPr="00FD0336">
              <w:rPr>
                <w:rFonts w:eastAsia="DengXian"/>
                <w:lang w:val="en-GB" w:eastAsia="en-US"/>
              </w:rPr>
              <w:drawing>
                <wp:inline distT="0" distB="0" distL="0" distR="0" wp14:anchorId="20D1085A" wp14:editId="0E3A16D3">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9BA9C77" w14:textId="77777777" w:rsidR="000E6992" w:rsidRPr="00FD0336" w:rsidRDefault="000E6992" w:rsidP="000E6992">
            <w:pPr>
              <w:adjustRightInd w:val="0"/>
              <w:snapToGrid w:val="0"/>
              <w:spacing w:before="60" w:line="240" w:lineRule="atLeast"/>
              <w:ind w:right="113"/>
              <w:rPr>
                <w:rFonts w:eastAsia="DengXian"/>
                <w:bCs/>
                <w:noProof w:val="0"/>
                <w:sz w:val="14"/>
                <w:szCs w:val="14"/>
                <w:lang w:val="en-GB" w:bidi="en-US"/>
              </w:rPr>
            </w:pPr>
            <w:r w:rsidRPr="00FD0336">
              <w:rPr>
                <w:rFonts w:eastAsia="DengXian"/>
                <w:b/>
                <w:bCs/>
                <w:noProof w:val="0"/>
                <w:sz w:val="14"/>
                <w:szCs w:val="14"/>
                <w:lang w:val="en-GB" w:bidi="en-US"/>
              </w:rPr>
              <w:t>Copyright:</w:t>
            </w:r>
            <w:r w:rsidRPr="00FD0336">
              <w:rPr>
                <w:rFonts w:eastAsia="DengXian"/>
                <w:bCs/>
                <w:noProof w:val="0"/>
                <w:sz w:val="14"/>
                <w:szCs w:val="14"/>
                <w:lang w:val="en-GB" w:bidi="en-US"/>
              </w:rPr>
              <w:t xml:space="preserve"> © 2021 by the authors. Submitted for possible open access publication under the terms and conditions of the Creative Commons Attribution (CC BY) license (https://creativecommons.org/licenses/by/4.0/).</w:t>
            </w:r>
          </w:p>
        </w:tc>
      </w:tr>
    </w:tbl>
    <w:p w14:paraId="7E3F0217" w14:textId="5510B98D" w:rsidR="00E93F94" w:rsidRPr="00FD0336" w:rsidRDefault="00E93F94" w:rsidP="0085057A">
      <w:pPr>
        <w:pStyle w:val="MDPI13authornames"/>
        <w:rPr>
          <w:lang w:val="en-GB"/>
        </w:rPr>
      </w:pPr>
      <w:r w:rsidRPr="00001C64">
        <w:rPr>
          <w:lang w:val="en-GB"/>
        </w:rPr>
        <w:t xml:space="preserve">Toby Roberts </w:t>
      </w:r>
      <w:proofErr w:type="gramStart"/>
      <w:r w:rsidRPr="00001C64">
        <w:rPr>
          <w:vertAlign w:val="superscript"/>
          <w:lang w:val="en-GB"/>
        </w:rPr>
        <w:t>1</w:t>
      </w:r>
      <w:r w:rsidR="005E4685" w:rsidRPr="00001C64">
        <w:rPr>
          <w:vertAlign w:val="superscript"/>
          <w:lang w:val="en-GB"/>
        </w:rPr>
        <w:t>,</w:t>
      </w:r>
      <w:r w:rsidRPr="00001C64">
        <w:rPr>
          <w:lang w:val="en-GB"/>
        </w:rPr>
        <w:t>*</w:t>
      </w:r>
      <w:proofErr w:type="gramEnd"/>
      <w:r w:rsidRPr="00001C64">
        <w:rPr>
          <w:lang w:val="en-GB"/>
        </w:rPr>
        <w:t>,</w:t>
      </w:r>
      <w:r w:rsidRPr="00FD0336">
        <w:rPr>
          <w:lang w:val="en-GB"/>
        </w:rPr>
        <w:t xml:space="preserve"> Ian Williams</w:t>
      </w:r>
      <w:r w:rsidR="00EA7231">
        <w:rPr>
          <w:lang w:val="en-GB"/>
        </w:rPr>
        <w:t xml:space="preserve"> </w:t>
      </w:r>
      <w:r w:rsidRPr="00FD0336">
        <w:rPr>
          <w:vertAlign w:val="superscript"/>
          <w:lang w:val="en-GB"/>
        </w:rPr>
        <w:t>1</w:t>
      </w:r>
      <w:r w:rsidRPr="00FD0336">
        <w:rPr>
          <w:lang w:val="en-GB"/>
        </w:rPr>
        <w:t>, John Preston</w:t>
      </w:r>
      <w:r w:rsidR="00EA7231">
        <w:rPr>
          <w:lang w:val="en-GB"/>
        </w:rPr>
        <w:t xml:space="preserve"> </w:t>
      </w:r>
      <w:r w:rsidRPr="00FD0336">
        <w:rPr>
          <w:vertAlign w:val="superscript"/>
          <w:lang w:val="en-GB"/>
        </w:rPr>
        <w:t>2</w:t>
      </w:r>
      <w:r w:rsidRPr="00FD0336">
        <w:rPr>
          <w:lang w:val="en-GB"/>
        </w:rPr>
        <w:t>, Nick Clarke</w:t>
      </w:r>
      <w:r w:rsidR="00EA7231">
        <w:rPr>
          <w:lang w:val="en-GB"/>
        </w:rPr>
        <w:t xml:space="preserve"> </w:t>
      </w:r>
      <w:r w:rsidRPr="00FD0336">
        <w:rPr>
          <w:vertAlign w:val="superscript"/>
          <w:lang w:val="en-GB"/>
        </w:rPr>
        <w:t>3</w:t>
      </w:r>
      <w:r w:rsidRPr="00FD0336">
        <w:rPr>
          <w:lang w:val="en-GB"/>
        </w:rPr>
        <w:t xml:space="preserve">, Melinda </w:t>
      </w:r>
      <w:proofErr w:type="spellStart"/>
      <w:r w:rsidRPr="00FD0336">
        <w:rPr>
          <w:lang w:val="en-GB"/>
        </w:rPr>
        <w:t>Odum</w:t>
      </w:r>
      <w:proofErr w:type="spellEnd"/>
      <w:r w:rsidR="00EA7231">
        <w:rPr>
          <w:lang w:val="en-GB"/>
        </w:rPr>
        <w:t xml:space="preserve"> </w:t>
      </w:r>
      <w:r w:rsidRPr="00FD0336">
        <w:rPr>
          <w:vertAlign w:val="superscript"/>
          <w:lang w:val="en-GB"/>
        </w:rPr>
        <w:t>3</w:t>
      </w:r>
      <w:r w:rsidRPr="00FD0336">
        <w:rPr>
          <w:lang w:val="en-GB"/>
        </w:rPr>
        <w:t xml:space="preserve"> and Stefanie O’Gorman</w:t>
      </w:r>
      <w:r w:rsidR="00EA7231">
        <w:rPr>
          <w:lang w:val="en-GB"/>
        </w:rPr>
        <w:t xml:space="preserve"> </w:t>
      </w:r>
      <w:r w:rsidRPr="00FD0336">
        <w:rPr>
          <w:vertAlign w:val="superscript"/>
          <w:lang w:val="en-GB"/>
        </w:rPr>
        <w:t>4</w:t>
      </w:r>
      <w:r w:rsidRPr="00FD0336">
        <w:rPr>
          <w:lang w:val="en-GB"/>
        </w:rPr>
        <w:t>.</w:t>
      </w:r>
    </w:p>
    <w:p w14:paraId="17B6B40E" w14:textId="55B39CBA" w:rsidR="00E93F94" w:rsidRPr="00FD0336" w:rsidRDefault="00E93F94" w:rsidP="0031141A">
      <w:pPr>
        <w:pStyle w:val="MDPI16affiliation"/>
        <w:rPr>
          <w:lang w:val="en-GB"/>
        </w:rPr>
      </w:pPr>
      <w:r w:rsidRPr="00FD0336">
        <w:rPr>
          <w:vertAlign w:val="superscript"/>
          <w:lang w:val="en-GB"/>
        </w:rPr>
        <w:t>1</w:t>
      </w:r>
      <w:r w:rsidRPr="00FD0336">
        <w:rPr>
          <w:lang w:val="en-GB"/>
        </w:rPr>
        <w:tab/>
        <w:t>Infrastructure group, Faculty of Engineering and Physical Sciences, University of Southampton, Southampton,</w:t>
      </w:r>
      <w:r w:rsidR="00422930" w:rsidRPr="00FD0336">
        <w:rPr>
          <w:lang w:val="en-GB"/>
        </w:rPr>
        <w:t xml:space="preserve"> </w:t>
      </w:r>
      <w:r w:rsidR="007B3E55" w:rsidRPr="007B3E55">
        <w:rPr>
          <w:lang w:val="en-GB"/>
        </w:rPr>
        <w:t>SO17 1BJ</w:t>
      </w:r>
      <w:r w:rsidR="00422930" w:rsidRPr="00FD0336">
        <w:rPr>
          <w:lang w:val="en-GB"/>
        </w:rPr>
        <w:t>,</w:t>
      </w:r>
      <w:r w:rsidRPr="00FD0336">
        <w:rPr>
          <w:lang w:val="en-GB"/>
        </w:rPr>
        <w:t xml:space="preserve"> UK</w:t>
      </w:r>
      <w:r w:rsidR="0031141A" w:rsidRPr="00FD0336">
        <w:rPr>
          <w:lang w:val="en-GB"/>
        </w:rPr>
        <w:t xml:space="preserve">; </w:t>
      </w:r>
      <w:r w:rsidR="0031141A" w:rsidRPr="00001C64">
        <w:rPr>
          <w:lang w:val="en-GB"/>
        </w:rPr>
        <w:t>idw@soton.ac.uk</w:t>
      </w:r>
    </w:p>
    <w:p w14:paraId="57264564" w14:textId="669064F5" w:rsidR="00E93F94" w:rsidRPr="00FD0336" w:rsidRDefault="00E93F94" w:rsidP="0085057A">
      <w:pPr>
        <w:pStyle w:val="MDPI16affiliation"/>
        <w:rPr>
          <w:lang w:val="en-GB"/>
        </w:rPr>
      </w:pPr>
      <w:r w:rsidRPr="00FD0336">
        <w:rPr>
          <w:vertAlign w:val="superscript"/>
          <w:lang w:val="en-GB"/>
        </w:rPr>
        <w:t>2</w:t>
      </w:r>
      <w:r w:rsidRPr="00FD0336">
        <w:rPr>
          <w:lang w:val="en-GB"/>
        </w:rPr>
        <w:tab/>
        <w:t>Transportation group, Faculty of Engineering and Physical Sciences, University of Southampton, Southampton,</w:t>
      </w:r>
      <w:r w:rsidR="00422930" w:rsidRPr="00FD0336">
        <w:rPr>
          <w:lang w:val="en-GB"/>
        </w:rPr>
        <w:t xml:space="preserve"> </w:t>
      </w:r>
      <w:r w:rsidR="007B3E55" w:rsidRPr="007B3E55">
        <w:rPr>
          <w:lang w:val="en-GB"/>
        </w:rPr>
        <w:t>SO17 1BJ</w:t>
      </w:r>
      <w:r w:rsidR="00422930" w:rsidRPr="00FD0336">
        <w:rPr>
          <w:lang w:val="en-GB"/>
        </w:rPr>
        <w:t>,</w:t>
      </w:r>
      <w:r w:rsidRPr="00FD0336">
        <w:rPr>
          <w:lang w:val="en-GB"/>
        </w:rPr>
        <w:t xml:space="preserve"> UK</w:t>
      </w:r>
      <w:r w:rsidR="0031141A" w:rsidRPr="00FD0336">
        <w:rPr>
          <w:lang w:val="en-GB"/>
        </w:rPr>
        <w:t xml:space="preserve">; </w:t>
      </w:r>
      <w:r w:rsidR="0031141A" w:rsidRPr="00001C64">
        <w:rPr>
          <w:lang w:val="en-GB"/>
        </w:rPr>
        <w:t>J.M.Preston@soton.ac.uk</w:t>
      </w:r>
    </w:p>
    <w:p w14:paraId="7240F207" w14:textId="4C7DFF98" w:rsidR="00E93F94" w:rsidRPr="00FD0336" w:rsidRDefault="00E93F94" w:rsidP="00A078E9">
      <w:pPr>
        <w:pStyle w:val="MDPI16affiliation"/>
        <w:rPr>
          <w:lang w:val="en-GB"/>
        </w:rPr>
      </w:pPr>
      <w:r w:rsidRPr="00FD0336">
        <w:rPr>
          <w:vertAlign w:val="superscript"/>
          <w:lang w:val="en-GB"/>
        </w:rPr>
        <w:t>3</w:t>
      </w:r>
      <w:r w:rsidR="00A078E9" w:rsidRPr="00FD0336">
        <w:rPr>
          <w:lang w:val="en-GB"/>
        </w:rPr>
        <w:tab/>
      </w:r>
      <w:r w:rsidRPr="00FD0336">
        <w:rPr>
          <w:lang w:val="en-GB"/>
        </w:rPr>
        <w:t>Ramboll UK Ltd, Southampton,</w:t>
      </w:r>
      <w:r w:rsidR="0031141A" w:rsidRPr="00FD0336">
        <w:rPr>
          <w:lang w:val="en-GB"/>
        </w:rPr>
        <w:t xml:space="preserve"> </w:t>
      </w:r>
      <w:r w:rsidR="007B3E55" w:rsidRPr="007B3E55">
        <w:rPr>
          <w:lang w:val="en-GB"/>
        </w:rPr>
        <w:t>SO40 7HT</w:t>
      </w:r>
      <w:r w:rsidR="0031141A" w:rsidRPr="00FD0336">
        <w:rPr>
          <w:lang w:val="en-GB"/>
        </w:rPr>
        <w:t>,</w:t>
      </w:r>
      <w:r w:rsidRPr="00FD0336">
        <w:rPr>
          <w:lang w:val="en-GB"/>
        </w:rPr>
        <w:t xml:space="preserve"> UK</w:t>
      </w:r>
      <w:r w:rsidR="0031141A" w:rsidRPr="00FD0336">
        <w:rPr>
          <w:lang w:val="en-GB"/>
        </w:rPr>
        <w:t xml:space="preserve">; </w:t>
      </w:r>
      <w:r w:rsidR="0031141A" w:rsidRPr="00001C64">
        <w:rPr>
          <w:lang w:val="en-GB"/>
        </w:rPr>
        <w:t>Nick.Clarke@Ramboll.co.uk (N.C.), Melinda.Odum@Ramboll.co.uk (M.O.)</w:t>
      </w:r>
    </w:p>
    <w:p w14:paraId="4091FB8A" w14:textId="13FA5D70" w:rsidR="00E93F94" w:rsidRPr="00FD0336" w:rsidRDefault="00E93F94" w:rsidP="00A078E9">
      <w:pPr>
        <w:pStyle w:val="MDPI16affiliation"/>
        <w:rPr>
          <w:lang w:val="en-GB"/>
        </w:rPr>
      </w:pPr>
      <w:r w:rsidRPr="00FD0336">
        <w:rPr>
          <w:vertAlign w:val="superscript"/>
          <w:lang w:val="en-GB"/>
        </w:rPr>
        <w:t>4</w:t>
      </w:r>
      <w:r w:rsidR="00A078E9" w:rsidRPr="00FD0336">
        <w:rPr>
          <w:lang w:val="en-GB"/>
        </w:rPr>
        <w:tab/>
      </w:r>
      <w:r w:rsidRPr="00FD0336">
        <w:rPr>
          <w:lang w:val="en-GB"/>
        </w:rPr>
        <w:t>Ramboll UK Ltd, Edinburgh,</w:t>
      </w:r>
      <w:r w:rsidR="0031141A" w:rsidRPr="00FD0336">
        <w:rPr>
          <w:lang w:val="en-GB"/>
        </w:rPr>
        <w:t xml:space="preserve"> </w:t>
      </w:r>
      <w:r w:rsidR="007B3E55" w:rsidRPr="007B3E55">
        <w:rPr>
          <w:lang w:val="en-GB"/>
        </w:rPr>
        <w:t>EH2 3AH</w:t>
      </w:r>
      <w:r w:rsidRPr="00FD0336">
        <w:rPr>
          <w:lang w:val="en-GB"/>
        </w:rPr>
        <w:t xml:space="preserve"> UK</w:t>
      </w:r>
      <w:r w:rsidR="0031141A" w:rsidRPr="00FD0336">
        <w:rPr>
          <w:lang w:val="en-GB"/>
        </w:rPr>
        <w:t xml:space="preserve">; </w:t>
      </w:r>
      <w:r w:rsidR="0031141A" w:rsidRPr="00001C64">
        <w:rPr>
          <w:lang w:val="en-GB"/>
        </w:rPr>
        <w:t>stefanie.ogorman@ramboll.co.uk</w:t>
      </w:r>
    </w:p>
    <w:p w14:paraId="3B6BC6DB" w14:textId="77777777" w:rsidR="00E93F94" w:rsidRPr="00FD0336" w:rsidRDefault="00C54694" w:rsidP="00A078E9">
      <w:pPr>
        <w:pStyle w:val="MDPI16affiliation"/>
        <w:rPr>
          <w:lang w:val="en-GB"/>
        </w:rPr>
      </w:pPr>
      <w:r w:rsidRPr="00FD0336">
        <w:rPr>
          <w:b/>
          <w:lang w:val="en-GB"/>
        </w:rPr>
        <w:t>*</w:t>
      </w:r>
      <w:r w:rsidRPr="00FD0336">
        <w:rPr>
          <w:lang w:val="en-GB"/>
        </w:rPr>
        <w:tab/>
        <w:t xml:space="preserve">Correspondence: </w:t>
      </w:r>
      <w:r w:rsidR="00E93F94" w:rsidRPr="00FD0336">
        <w:rPr>
          <w:lang w:val="en-GB"/>
        </w:rPr>
        <w:t>t.j.roberts@soton.ac.uk</w:t>
      </w:r>
    </w:p>
    <w:p w14:paraId="30B8A4B7" w14:textId="1B8A6201" w:rsidR="00E93F94" w:rsidRPr="00FD0336" w:rsidRDefault="00E93F94" w:rsidP="004F2BC6">
      <w:pPr>
        <w:pStyle w:val="MDPI17abstract"/>
        <w:rPr>
          <w:lang w:val="en-GB"/>
        </w:rPr>
      </w:pPr>
      <w:r w:rsidRPr="00FD0336">
        <w:rPr>
          <w:b/>
          <w:lang w:val="en-GB"/>
        </w:rPr>
        <w:t xml:space="preserve">Abstract: </w:t>
      </w:r>
      <w:r w:rsidRPr="00FD0336">
        <w:rPr>
          <w:lang w:val="en-GB"/>
        </w:rPr>
        <w:t xml:space="preserve">As ports seek to maintain support for their operations </w:t>
      </w:r>
      <w:r w:rsidR="00A20A4A">
        <w:rPr>
          <w:lang w:val="en-GB"/>
        </w:rPr>
        <w:t>amidst</w:t>
      </w:r>
      <w:r w:rsidR="00A20A4A" w:rsidRPr="00FD0336">
        <w:rPr>
          <w:lang w:val="en-GB"/>
        </w:rPr>
        <w:t xml:space="preserve"> </w:t>
      </w:r>
      <w:r w:rsidRPr="00FD0336">
        <w:rPr>
          <w:lang w:val="en-GB"/>
        </w:rPr>
        <w:t xml:space="preserve">growing environmental awareness and social pressure, it is important they provide benefits for the local population to offset negative impacts. Ports can add additional economic benefits for the cities they </w:t>
      </w:r>
      <w:proofErr w:type="gramStart"/>
      <w:r w:rsidRPr="00FD0336">
        <w:rPr>
          <w:lang w:val="en-GB"/>
        </w:rPr>
        <w:t>are located in</w:t>
      </w:r>
      <w:proofErr w:type="gramEnd"/>
      <w:r w:rsidRPr="00FD0336">
        <w:rPr>
          <w:lang w:val="en-GB"/>
        </w:rPr>
        <w:t xml:space="preserve"> by encouraging maritime clusters, industrial development, </w:t>
      </w:r>
      <w:r w:rsidR="00A20A4A">
        <w:rPr>
          <w:lang w:val="en-GB"/>
        </w:rPr>
        <w:t xml:space="preserve">a </w:t>
      </w:r>
      <w:r w:rsidRPr="00FD0336">
        <w:rPr>
          <w:lang w:val="en-GB"/>
        </w:rPr>
        <w:t>circular economy</w:t>
      </w:r>
      <w:r w:rsidR="00A20A4A">
        <w:rPr>
          <w:lang w:val="en-GB"/>
        </w:rPr>
        <w:t>,</w:t>
      </w:r>
      <w:r w:rsidRPr="00FD0336">
        <w:rPr>
          <w:lang w:val="en-GB"/>
        </w:rPr>
        <w:t xml:space="preserve"> and waterfront development. The current level of adoption, interest in future adoption, barriers to implementation, and attitudes towards the views of the local population were assessed via an online questionnaire sent to port authorities in 26 countries. The potential and willingness of ports to be on the frontline of the transition to a circular economy globally has been clearly identified for the first time, seeing a 60% increase between current levels of adoption and future interest in adoption. Barriers to </w:t>
      </w:r>
      <w:r w:rsidR="00A20A4A">
        <w:rPr>
          <w:lang w:val="en-GB"/>
        </w:rPr>
        <w:t xml:space="preserve">a </w:t>
      </w:r>
      <w:r w:rsidRPr="00FD0336">
        <w:rPr>
          <w:lang w:val="en-GB"/>
        </w:rPr>
        <w:t>circular economy are comparable to barriers to widely adopted methods</w:t>
      </w:r>
      <w:r w:rsidR="00A20A4A">
        <w:rPr>
          <w:lang w:val="en-GB"/>
        </w:rPr>
        <w:t>,</w:t>
      </w:r>
      <w:r w:rsidRPr="00FD0336">
        <w:rPr>
          <w:lang w:val="en-GB"/>
        </w:rPr>
        <w:t xml:space="preserve"> such as industrial development and </w:t>
      </w:r>
      <w:r w:rsidR="00A20A4A">
        <w:rPr>
          <w:lang w:val="en-GB"/>
        </w:rPr>
        <w:t xml:space="preserve">a </w:t>
      </w:r>
      <w:r w:rsidRPr="00FD0336">
        <w:rPr>
          <w:lang w:val="en-GB"/>
        </w:rPr>
        <w:t>waterfront economy. It is likely that circular economy activities in port</w:t>
      </w:r>
      <w:r w:rsidR="00851E06">
        <w:rPr>
          <w:lang w:val="en-GB"/>
        </w:rPr>
        <w:t xml:space="preserve"> </w:t>
      </w:r>
      <w:r w:rsidRPr="00FD0336">
        <w:rPr>
          <w:lang w:val="en-GB"/>
        </w:rPr>
        <w:t xml:space="preserve">cities will add additional local benefits and reduce the negative impacts of a port. </w:t>
      </w:r>
      <w:r w:rsidR="006B53AC" w:rsidRPr="00FD0336">
        <w:rPr>
          <w:lang w:val="en-GB"/>
        </w:rPr>
        <w:t>A new framework is proposed to help ports and cities collaborate and encourage greater adoption of the circular economy.</w:t>
      </w:r>
    </w:p>
    <w:p w14:paraId="5CA7C173" w14:textId="10A16A87" w:rsidR="00E93F94" w:rsidRPr="00FD0336" w:rsidRDefault="004F2BC6" w:rsidP="004F2BC6">
      <w:pPr>
        <w:pStyle w:val="MDPI18keywords"/>
        <w:rPr>
          <w:lang w:val="en-GB"/>
        </w:rPr>
      </w:pPr>
      <w:r w:rsidRPr="00FD0336">
        <w:rPr>
          <w:b/>
          <w:lang w:val="en-GB"/>
        </w:rPr>
        <w:t>Keywords:</w:t>
      </w:r>
      <w:r w:rsidR="00E93F94" w:rsidRPr="00FD0336">
        <w:rPr>
          <w:b/>
          <w:lang w:val="en-GB"/>
        </w:rPr>
        <w:t xml:space="preserve"> </w:t>
      </w:r>
      <w:r w:rsidR="00851E06">
        <w:rPr>
          <w:lang w:val="en-GB"/>
        </w:rPr>
        <w:t>p</w:t>
      </w:r>
      <w:r w:rsidR="00E93F94" w:rsidRPr="00FD0336">
        <w:rPr>
          <w:lang w:val="en-GB"/>
        </w:rPr>
        <w:t>ort</w:t>
      </w:r>
      <w:r w:rsidR="00851E06">
        <w:rPr>
          <w:lang w:val="en-GB"/>
        </w:rPr>
        <w:t xml:space="preserve"> </w:t>
      </w:r>
      <w:r w:rsidR="00E93F94" w:rsidRPr="00FD0336">
        <w:rPr>
          <w:lang w:val="en-GB"/>
        </w:rPr>
        <w:t>cities</w:t>
      </w:r>
      <w:r w:rsidR="00C54694" w:rsidRPr="00FD0336">
        <w:rPr>
          <w:lang w:val="en-GB"/>
        </w:rPr>
        <w:t xml:space="preserve">; </w:t>
      </w:r>
      <w:r w:rsidR="00E93F94" w:rsidRPr="00FD0336">
        <w:rPr>
          <w:lang w:val="en-GB"/>
        </w:rPr>
        <w:t>Maritime clusters</w:t>
      </w:r>
      <w:r w:rsidR="00C54694" w:rsidRPr="00FD0336">
        <w:rPr>
          <w:lang w:val="en-GB"/>
        </w:rPr>
        <w:t xml:space="preserve">; </w:t>
      </w:r>
      <w:r w:rsidR="00851E06">
        <w:rPr>
          <w:lang w:val="en-GB"/>
        </w:rPr>
        <w:t>i</w:t>
      </w:r>
      <w:r w:rsidR="00E93F94" w:rsidRPr="00FD0336">
        <w:rPr>
          <w:lang w:val="en-GB"/>
        </w:rPr>
        <w:t>ndustrial development</w:t>
      </w:r>
      <w:r w:rsidR="00C54694" w:rsidRPr="00FD0336">
        <w:rPr>
          <w:lang w:val="en-GB"/>
        </w:rPr>
        <w:t xml:space="preserve">; </w:t>
      </w:r>
      <w:r w:rsidR="00851E06">
        <w:rPr>
          <w:lang w:val="en-GB"/>
        </w:rPr>
        <w:t>c</w:t>
      </w:r>
      <w:r w:rsidR="00E93F94" w:rsidRPr="00FD0336">
        <w:rPr>
          <w:lang w:val="en-GB"/>
        </w:rPr>
        <w:t>ircular economy</w:t>
      </w:r>
      <w:r w:rsidR="00C54694" w:rsidRPr="00FD0336">
        <w:rPr>
          <w:lang w:val="en-GB"/>
        </w:rPr>
        <w:t xml:space="preserve">; </w:t>
      </w:r>
      <w:r w:rsidR="00851E06">
        <w:rPr>
          <w:lang w:val="en-GB"/>
        </w:rPr>
        <w:t>w</w:t>
      </w:r>
      <w:r w:rsidR="00E93F94" w:rsidRPr="00FD0336">
        <w:rPr>
          <w:lang w:val="en-GB"/>
        </w:rPr>
        <w:t>aterfront development</w:t>
      </w:r>
      <w:r w:rsidR="00C54694" w:rsidRPr="00FD0336">
        <w:rPr>
          <w:lang w:val="en-GB"/>
        </w:rPr>
        <w:t xml:space="preserve">; </w:t>
      </w:r>
      <w:r w:rsidR="00E93F94" w:rsidRPr="00FD0336">
        <w:rPr>
          <w:lang w:val="en-GB"/>
        </w:rPr>
        <w:t>sustainable development</w:t>
      </w:r>
      <w:r w:rsidR="00C54694" w:rsidRPr="00FD0336">
        <w:rPr>
          <w:lang w:val="en-GB"/>
        </w:rPr>
        <w:t xml:space="preserve">; </w:t>
      </w:r>
      <w:r w:rsidR="00E93F94" w:rsidRPr="00FD0336">
        <w:rPr>
          <w:lang w:val="en-GB"/>
        </w:rPr>
        <w:t>economic</w:t>
      </w:r>
      <w:r w:rsidR="00C54694" w:rsidRPr="00FD0336">
        <w:rPr>
          <w:lang w:val="en-GB"/>
        </w:rPr>
        <w:t xml:space="preserve">; </w:t>
      </w:r>
      <w:r w:rsidR="00E93F94" w:rsidRPr="00FD0336">
        <w:rPr>
          <w:lang w:val="en-GB"/>
        </w:rPr>
        <w:t>benefits</w:t>
      </w:r>
      <w:r w:rsidR="006B53AC" w:rsidRPr="00FD0336">
        <w:rPr>
          <w:lang w:val="en-GB"/>
        </w:rPr>
        <w:t>; framework</w:t>
      </w:r>
    </w:p>
    <w:p w14:paraId="2AB53936" w14:textId="38EE2AF1" w:rsidR="00E93F94" w:rsidRPr="00FD0336" w:rsidRDefault="004F2BC6" w:rsidP="004F2BC6">
      <w:pPr>
        <w:pStyle w:val="MDPI21heading1"/>
        <w:rPr>
          <w:lang w:val="en-GB"/>
        </w:rPr>
      </w:pPr>
      <w:r w:rsidRPr="00FD0336">
        <w:rPr>
          <w:lang w:val="en-GB"/>
        </w:rPr>
        <w:t xml:space="preserve">1. </w:t>
      </w:r>
      <w:r w:rsidR="00E93F94" w:rsidRPr="00FD0336">
        <w:rPr>
          <w:lang w:val="en-GB"/>
        </w:rPr>
        <w:t>Introduction</w:t>
      </w:r>
    </w:p>
    <w:p w14:paraId="05609DB2" w14:textId="40DEC773" w:rsidR="00E93F94" w:rsidRPr="00FD0336" w:rsidRDefault="00E93F94" w:rsidP="004F2BC6">
      <w:pPr>
        <w:pStyle w:val="MDPI31text"/>
        <w:rPr>
          <w:b/>
          <w:lang w:val="en-GB"/>
        </w:rPr>
      </w:pPr>
      <w:r w:rsidRPr="00FD0336">
        <w:rPr>
          <w:lang w:val="en-GB"/>
        </w:rPr>
        <w:t xml:space="preserve">Ports </w:t>
      </w:r>
      <w:r w:rsidR="00A20A4A">
        <w:rPr>
          <w:lang w:val="en-GB"/>
        </w:rPr>
        <w:t xml:space="preserve">were </w:t>
      </w:r>
      <w:r w:rsidRPr="00FD0336">
        <w:rPr>
          <w:lang w:val="en-GB"/>
        </w:rPr>
        <w:t>developed to facilitate the movement of goods and people; however, they provide numerous other benefits. These range from the obvious benefits provided by port activity, such as employment, to less obvious benefits</w:t>
      </w:r>
      <w:r w:rsidR="00A20A4A">
        <w:rPr>
          <w:lang w:val="en-GB"/>
        </w:rPr>
        <w:t>,</w:t>
      </w:r>
      <w:r w:rsidRPr="00FD0336">
        <w:rPr>
          <w:lang w:val="en-GB"/>
        </w:rPr>
        <w:t xml:space="preserve"> such as knowledge </w:t>
      </w:r>
      <w:proofErr w:type="spellStart"/>
      <w:r w:rsidRPr="00FD0336">
        <w:rPr>
          <w:lang w:val="en-GB"/>
        </w:rPr>
        <w:t>spillovers</w:t>
      </w:r>
      <w:proofErr w:type="spellEnd"/>
      <w:r w:rsidRPr="00FD0336">
        <w:rPr>
          <w:lang w:val="en-GB"/>
        </w:rPr>
        <w:t xml:space="preserve"> created by the pooling of people and industries in one place. However, as </w:t>
      </w:r>
      <w:r w:rsidR="00A20A4A">
        <w:rPr>
          <w:lang w:val="en-GB"/>
        </w:rPr>
        <w:t xml:space="preserve">the </w:t>
      </w:r>
      <w:r w:rsidRPr="00FD0336">
        <w:rPr>
          <w:lang w:val="en-GB"/>
        </w:rPr>
        <w:t xml:space="preserve">adverse impacts </w:t>
      </w:r>
      <w:r w:rsidR="00A20A4A">
        <w:rPr>
          <w:lang w:val="en-GB"/>
        </w:rPr>
        <w:t xml:space="preserve">of </w:t>
      </w:r>
      <w:proofErr w:type="gramStart"/>
      <w:r w:rsidR="00A20A4A" w:rsidRPr="00FD0336">
        <w:rPr>
          <w:lang w:val="en-GB"/>
        </w:rPr>
        <w:t>ports'</w:t>
      </w:r>
      <w:proofErr w:type="gramEnd"/>
      <w:r w:rsidR="00A20A4A" w:rsidRPr="00FD0336">
        <w:rPr>
          <w:lang w:val="en-GB"/>
        </w:rPr>
        <w:t xml:space="preserve"> </w:t>
      </w:r>
      <w:r w:rsidRPr="00FD0336">
        <w:rPr>
          <w:lang w:val="en-GB"/>
        </w:rPr>
        <w:t xml:space="preserve">and the awareness of these impacts have grown, the activities of ports have increasingly been a source of concern [1]. Whilst the importance of ports for national economies and global trade is clear, there has been a decline in port-related benefits at a local level [2]. This has occurred due to increasing adverse environmental impacts, awareness of these impacts, relocation of port-related activity, decreasing employment and the casualisation of that employment, and the increasing use of international </w:t>
      </w:r>
      <w:r w:rsidR="00A20A4A">
        <w:rPr>
          <w:lang w:val="en-GB"/>
        </w:rPr>
        <w:t>(</w:t>
      </w:r>
      <w:r w:rsidRPr="00FD0336">
        <w:rPr>
          <w:lang w:val="en-GB"/>
        </w:rPr>
        <w:t>rather than local</w:t>
      </w:r>
      <w:r w:rsidR="00A20A4A">
        <w:rPr>
          <w:lang w:val="en-GB"/>
        </w:rPr>
        <w:t>)</w:t>
      </w:r>
      <w:r w:rsidRPr="00FD0336">
        <w:rPr>
          <w:lang w:val="en-GB"/>
        </w:rPr>
        <w:t xml:space="preserve"> inputs. These changes have been driven by globalisation and technological innovations</w:t>
      </w:r>
      <w:r w:rsidR="00A20A4A">
        <w:rPr>
          <w:lang w:val="en-GB"/>
        </w:rPr>
        <w:t>,</w:t>
      </w:r>
      <w:r w:rsidRPr="00FD0336">
        <w:rPr>
          <w:lang w:val="en-GB"/>
        </w:rPr>
        <w:t xml:space="preserve"> such as growing ship sizes, mechanisation</w:t>
      </w:r>
      <w:r w:rsidR="00A20A4A">
        <w:rPr>
          <w:lang w:val="en-GB"/>
        </w:rPr>
        <w:t>,</w:t>
      </w:r>
      <w:r w:rsidRPr="00FD0336">
        <w:rPr>
          <w:lang w:val="en-GB"/>
        </w:rPr>
        <w:t xml:space="preserve"> and the rise of containerisation, with containerisation dramatically reducing the number of people that need to be employed directly in the port [3]. </w:t>
      </w:r>
      <w:r w:rsidR="00A20A4A">
        <w:rPr>
          <w:lang w:val="en-GB"/>
        </w:rPr>
        <w:t>Additionally</w:t>
      </w:r>
      <w:r w:rsidRPr="00FD0336">
        <w:rPr>
          <w:lang w:val="en-GB"/>
        </w:rPr>
        <w:t>, the levels of economic, institutional</w:t>
      </w:r>
      <w:r w:rsidR="00F1024E">
        <w:rPr>
          <w:lang w:val="en-GB"/>
        </w:rPr>
        <w:t>,</w:t>
      </w:r>
      <w:r w:rsidRPr="00FD0336">
        <w:rPr>
          <w:lang w:val="en-GB"/>
        </w:rPr>
        <w:t xml:space="preserve"> and infrastructural integration between ports and cities ha</w:t>
      </w:r>
      <w:r w:rsidR="00F1024E">
        <w:rPr>
          <w:lang w:val="en-GB"/>
        </w:rPr>
        <w:t>ve</w:t>
      </w:r>
      <w:r w:rsidRPr="00FD0336">
        <w:rPr>
          <w:lang w:val="en-GB"/>
        </w:rPr>
        <w:t xml:space="preserve"> decreased, with ports serving both consumers and producers over much wider geographical areas and hinterlands [4]. The OECD [5] found that 90% of the economic benefits of ports now occur outside of the port</w:t>
      </w:r>
      <w:r w:rsidR="00851E06">
        <w:rPr>
          <w:lang w:val="en-GB"/>
        </w:rPr>
        <w:t xml:space="preserve"> </w:t>
      </w:r>
      <w:r w:rsidRPr="00FD0336">
        <w:rPr>
          <w:lang w:val="en-GB"/>
        </w:rPr>
        <w:t xml:space="preserve">city area and Jung </w:t>
      </w:r>
      <w:r w:rsidRPr="00FD0336">
        <w:rPr>
          <w:lang w:val="en-GB"/>
        </w:rPr>
        <w:lastRenderedPageBreak/>
        <w:t xml:space="preserve">[6] concluded that local economies </w:t>
      </w:r>
      <w:r w:rsidR="00FD0336" w:rsidRPr="00FD0336">
        <w:rPr>
          <w:lang w:val="en-GB"/>
        </w:rPr>
        <w:t>might</w:t>
      </w:r>
      <w:r w:rsidRPr="00FD0336">
        <w:rPr>
          <w:lang w:val="en-GB"/>
        </w:rPr>
        <w:t xml:space="preserve"> no longer significantly benefit from the existence of nearby ports.</w:t>
      </w:r>
    </w:p>
    <w:p w14:paraId="668E574E" w14:textId="72EF2D6E" w:rsidR="00E93F94" w:rsidRPr="00FD0336" w:rsidRDefault="00E93F94" w:rsidP="004F2BC6">
      <w:pPr>
        <w:pStyle w:val="MDPI31text"/>
        <w:rPr>
          <w:lang w:val="en-GB"/>
        </w:rPr>
      </w:pPr>
      <w:r w:rsidRPr="00FD0336">
        <w:rPr>
          <w:lang w:val="en-GB"/>
        </w:rPr>
        <w:t xml:space="preserve">If ports are to operate more sustainably and in greater harmony with their local areas, this issue needs to be addressed. Improving relationships with the local community has become a high priority for ports, with the European Sea Ports Organisation listing improving relations as number 5 </w:t>
      </w:r>
      <w:r w:rsidR="00F1024E">
        <w:rPr>
          <w:lang w:val="en-GB"/>
        </w:rPr>
        <w:t>on</w:t>
      </w:r>
      <w:r w:rsidR="00F1024E" w:rsidRPr="00FD0336">
        <w:rPr>
          <w:lang w:val="en-GB"/>
        </w:rPr>
        <w:t xml:space="preserve"> </w:t>
      </w:r>
      <w:r w:rsidRPr="00FD0336">
        <w:rPr>
          <w:lang w:val="en-GB"/>
        </w:rPr>
        <w:t xml:space="preserve">their top 10 environmental priorities list [7]. Increasing the local economic benefits </w:t>
      </w:r>
      <w:r w:rsidR="00F1024E">
        <w:rPr>
          <w:lang w:val="en-GB"/>
        </w:rPr>
        <w:t xml:space="preserve">from </w:t>
      </w:r>
      <w:r w:rsidRPr="00FD0336">
        <w:rPr>
          <w:lang w:val="en-GB"/>
        </w:rPr>
        <w:t>port</w:t>
      </w:r>
      <w:r w:rsidR="00F1024E">
        <w:rPr>
          <w:lang w:val="en-GB"/>
        </w:rPr>
        <w:t>s</w:t>
      </w:r>
      <w:r w:rsidRPr="00FD0336">
        <w:rPr>
          <w:lang w:val="en-GB"/>
        </w:rPr>
        <w:t xml:space="preserve"> is one way to address this. If port</w:t>
      </w:r>
      <w:r w:rsidR="00851E06">
        <w:rPr>
          <w:lang w:val="en-GB"/>
        </w:rPr>
        <w:t xml:space="preserve"> </w:t>
      </w:r>
      <w:r w:rsidRPr="00FD0336">
        <w:rPr>
          <w:lang w:val="en-GB"/>
        </w:rPr>
        <w:t>cities of the future are to be sustainable, ports must aim to reduce their negative environmental impacts as much as possible</w:t>
      </w:r>
      <w:r w:rsidR="00CE5BD2">
        <w:rPr>
          <w:lang w:val="en-GB"/>
        </w:rPr>
        <w:t>,</w:t>
      </w:r>
      <w:r w:rsidRPr="00FD0336">
        <w:rPr>
          <w:lang w:val="en-GB"/>
        </w:rPr>
        <w:t xml:space="preserve"> whilst increasing their local economic and social benefits. A greater understanding of the ways ports can increase local benefits, the levels of adoption of these approaches globally</w:t>
      </w:r>
      <w:r w:rsidR="00CE5BD2">
        <w:rPr>
          <w:lang w:val="en-GB"/>
        </w:rPr>
        <w:t>,</w:t>
      </w:r>
      <w:r w:rsidRPr="00FD0336">
        <w:rPr>
          <w:lang w:val="en-GB"/>
        </w:rPr>
        <w:t xml:space="preserve"> and the barriers ports </w:t>
      </w:r>
      <w:proofErr w:type="gramStart"/>
      <w:r w:rsidRPr="00FD0336">
        <w:rPr>
          <w:lang w:val="en-GB"/>
        </w:rPr>
        <w:t>have to</w:t>
      </w:r>
      <w:proofErr w:type="gramEnd"/>
      <w:r w:rsidRPr="00FD0336">
        <w:rPr>
          <w:lang w:val="en-GB"/>
        </w:rPr>
        <w:t xml:space="preserve"> overcome to implement them </w:t>
      </w:r>
      <w:r w:rsidR="00CE5BD2">
        <w:rPr>
          <w:lang w:val="en-GB"/>
        </w:rPr>
        <w:t>are</w:t>
      </w:r>
      <w:r w:rsidR="00CE5BD2" w:rsidRPr="00FD0336">
        <w:rPr>
          <w:lang w:val="en-GB"/>
        </w:rPr>
        <w:t xml:space="preserve"> </w:t>
      </w:r>
      <w:r w:rsidRPr="00FD0336">
        <w:rPr>
          <w:lang w:val="en-GB"/>
        </w:rPr>
        <w:t>needed.</w:t>
      </w:r>
    </w:p>
    <w:p w14:paraId="1B2D0A43" w14:textId="7E74511B" w:rsidR="00306515" w:rsidRPr="00FD0336" w:rsidRDefault="00886ABF" w:rsidP="004F2BC6">
      <w:pPr>
        <w:pStyle w:val="MDPI31text"/>
        <w:rPr>
          <w:lang w:val="en-GB"/>
        </w:rPr>
      </w:pPr>
      <w:r w:rsidRPr="00FD0336">
        <w:rPr>
          <w:lang w:val="en-GB"/>
        </w:rPr>
        <w:t>Historically, industrial development, waterfront development</w:t>
      </w:r>
      <w:r w:rsidR="00CE5BD2">
        <w:rPr>
          <w:lang w:val="en-GB"/>
        </w:rPr>
        <w:t>,</w:t>
      </w:r>
      <w:r w:rsidRPr="00FD0336">
        <w:rPr>
          <w:lang w:val="en-GB"/>
        </w:rPr>
        <w:t xml:space="preserve"> and the development of maritime clusters have been regarded as </w:t>
      </w:r>
      <w:proofErr w:type="gramStart"/>
      <w:r w:rsidRPr="00FD0336">
        <w:rPr>
          <w:lang w:val="en-GB"/>
        </w:rPr>
        <w:t>key ways</w:t>
      </w:r>
      <w:proofErr w:type="gramEnd"/>
      <w:r w:rsidRPr="00FD0336">
        <w:rPr>
          <w:lang w:val="en-GB"/>
        </w:rPr>
        <w:t xml:space="preserve"> for ports to add economic value. </w:t>
      </w:r>
      <w:r w:rsidR="00A91C90" w:rsidRPr="00FD0336">
        <w:rPr>
          <w:lang w:val="en-GB"/>
        </w:rPr>
        <w:t>As sustainable development has become a key focus of research</w:t>
      </w:r>
      <w:r w:rsidRPr="00FD0336">
        <w:rPr>
          <w:lang w:val="en-GB"/>
        </w:rPr>
        <w:t>, the circular economy</w:t>
      </w:r>
      <w:r w:rsidR="009D5E99" w:rsidRPr="00FD0336">
        <w:rPr>
          <w:lang w:val="en-GB"/>
        </w:rPr>
        <w:t xml:space="preserve"> (CE)</w:t>
      </w:r>
      <w:r w:rsidRPr="00FD0336">
        <w:rPr>
          <w:lang w:val="en-GB"/>
        </w:rPr>
        <w:t xml:space="preserve"> has rec</w:t>
      </w:r>
      <w:r w:rsidR="00A91C90" w:rsidRPr="00FD0336">
        <w:rPr>
          <w:lang w:val="en-GB"/>
        </w:rPr>
        <w:t xml:space="preserve">eived increasing attention as an additional </w:t>
      </w:r>
      <w:r w:rsidRPr="00FD0336">
        <w:rPr>
          <w:lang w:val="en-GB"/>
        </w:rPr>
        <w:t>means of adding value</w:t>
      </w:r>
      <w:r w:rsidR="00CE5BD2">
        <w:rPr>
          <w:lang w:val="en-GB"/>
        </w:rPr>
        <w:t>,</w:t>
      </w:r>
      <w:r w:rsidRPr="00FD0336">
        <w:rPr>
          <w:lang w:val="en-GB"/>
        </w:rPr>
        <w:t xml:space="preserve"> whilst reducing environmental impact</w:t>
      </w:r>
      <w:r w:rsidR="00A91C90" w:rsidRPr="00FD0336">
        <w:rPr>
          <w:lang w:val="en-GB"/>
        </w:rPr>
        <w:t xml:space="preserve"> and increasing social equity</w:t>
      </w:r>
      <w:r w:rsidRPr="00FD0336">
        <w:rPr>
          <w:lang w:val="en-GB"/>
        </w:rPr>
        <w:t>.</w:t>
      </w:r>
      <w:r w:rsidR="00E52736" w:rsidRPr="00FD0336">
        <w:rPr>
          <w:lang w:val="en-GB"/>
        </w:rPr>
        <w:t xml:space="preserve"> The cir</w:t>
      </w:r>
      <w:r w:rsidR="00F64221" w:rsidRPr="00FD0336">
        <w:rPr>
          <w:lang w:val="en-GB"/>
        </w:rPr>
        <w:t xml:space="preserve">cular economy is defined by </w:t>
      </w:r>
      <w:proofErr w:type="spellStart"/>
      <w:r w:rsidR="00F64221" w:rsidRPr="00FD0336">
        <w:rPr>
          <w:lang w:val="en-GB"/>
        </w:rPr>
        <w:t>Kirchher</w:t>
      </w:r>
      <w:proofErr w:type="spellEnd"/>
      <w:r w:rsidR="00F64221" w:rsidRPr="00FD0336">
        <w:rPr>
          <w:lang w:val="en-GB"/>
        </w:rPr>
        <w:t xml:space="preserve"> et al. [</w:t>
      </w:r>
      <w:r w:rsidR="00B00CD2" w:rsidRPr="00FD0336">
        <w:rPr>
          <w:lang w:val="en-GB"/>
        </w:rPr>
        <w:t>8</w:t>
      </w:r>
      <w:r w:rsidR="00F64221" w:rsidRPr="00FD0336">
        <w:rPr>
          <w:lang w:val="en-GB"/>
        </w:rPr>
        <w:t xml:space="preserve">] </w:t>
      </w:r>
      <w:r w:rsidR="00E52736" w:rsidRPr="00FD0336">
        <w:rPr>
          <w:lang w:val="en-GB"/>
        </w:rPr>
        <w:t>as being</w:t>
      </w:r>
      <w:r w:rsidR="00F64221" w:rsidRPr="00FD0336">
        <w:rPr>
          <w:lang w:val="en-GB"/>
        </w:rPr>
        <w:t xml:space="preserve"> “an economic system that replaces the ‘end-of-life’ concept with reducing, alternatively reusing, </w:t>
      </w:r>
      <w:proofErr w:type="gramStart"/>
      <w:r w:rsidR="00F64221" w:rsidRPr="00FD0336">
        <w:rPr>
          <w:lang w:val="en-GB"/>
        </w:rPr>
        <w:t>recycling</w:t>
      </w:r>
      <w:proofErr w:type="gramEnd"/>
      <w:r w:rsidR="00F64221" w:rsidRPr="00FD0336">
        <w:rPr>
          <w:lang w:val="en-GB"/>
        </w:rPr>
        <w:t xml:space="preserve"> and recovering materials in production/distribution and consumption processes. It operates at the micro-level (products, companies, consumers), meso-level (eco-industrial parks) and macro-level (city, region, nation and beyond), with the aim to accomplish sustainable development, thus simultaneously creating environmental quality, economic prosperity and social equity, to the benefit of current and future generations.</w:t>
      </w:r>
      <w:r w:rsidR="00306515" w:rsidRPr="00FD0336">
        <w:rPr>
          <w:lang w:val="en-GB"/>
        </w:rPr>
        <w:t>”</w:t>
      </w:r>
      <w:r w:rsidR="00F64221" w:rsidRPr="00FD0336">
        <w:rPr>
          <w:lang w:val="en-GB"/>
        </w:rPr>
        <w:t xml:space="preserve"> </w:t>
      </w:r>
      <w:r w:rsidR="007A6BD8" w:rsidRPr="00FD0336">
        <w:rPr>
          <w:lang w:val="en-GB"/>
        </w:rPr>
        <w:t xml:space="preserve">This allows </w:t>
      </w:r>
      <w:r w:rsidR="009D5E99" w:rsidRPr="00FD0336">
        <w:rPr>
          <w:lang w:val="en-GB"/>
        </w:rPr>
        <w:t>waste</w:t>
      </w:r>
      <w:r w:rsidR="007A6BD8" w:rsidRPr="00FD0336">
        <w:rPr>
          <w:lang w:val="en-GB"/>
        </w:rPr>
        <w:t xml:space="preserve"> to be regarded as resources</w:t>
      </w:r>
      <w:r w:rsidR="008F21DB">
        <w:rPr>
          <w:lang w:val="en-GB"/>
        </w:rPr>
        <w:t>,</w:t>
      </w:r>
      <w:r w:rsidR="007A6BD8" w:rsidRPr="00FD0336">
        <w:rPr>
          <w:lang w:val="en-GB"/>
        </w:rPr>
        <w:t xml:space="preserve"> which can be recycled and reused </w:t>
      </w:r>
      <w:r w:rsidR="006D5864" w:rsidRPr="00FD0336">
        <w:rPr>
          <w:lang w:val="en-GB"/>
        </w:rPr>
        <w:t>[9</w:t>
      </w:r>
      <w:r w:rsidR="007A6BD8" w:rsidRPr="00FD0336">
        <w:rPr>
          <w:lang w:val="en-GB"/>
        </w:rPr>
        <w:t>].</w:t>
      </w:r>
      <w:r w:rsidR="00E940D9" w:rsidRPr="00FD0336">
        <w:rPr>
          <w:lang w:val="en-GB"/>
        </w:rPr>
        <w:t xml:space="preserve"> The circular economy allows ports to become more sustainable whilst creating value in the process. Despite the considerable potential of the circular economy, implementation is not widespread [</w:t>
      </w:r>
      <w:r w:rsidR="006D5864" w:rsidRPr="00FD0336">
        <w:rPr>
          <w:lang w:val="en-GB"/>
        </w:rPr>
        <w:t>9</w:t>
      </w:r>
      <w:r w:rsidR="00E940D9" w:rsidRPr="00FD0336">
        <w:rPr>
          <w:lang w:val="en-GB"/>
        </w:rPr>
        <w:t xml:space="preserve">], and more research is needed to help increase implementation. This is especially true of ports, which have only emerged </w:t>
      </w:r>
      <w:r w:rsidR="0011196A">
        <w:rPr>
          <w:lang w:val="en-GB"/>
        </w:rPr>
        <w:t xml:space="preserve">as </w:t>
      </w:r>
      <w:r w:rsidR="00E940D9" w:rsidRPr="00FD0336">
        <w:rPr>
          <w:lang w:val="en-GB"/>
        </w:rPr>
        <w:t>research interest</w:t>
      </w:r>
      <w:r w:rsidR="0011196A">
        <w:rPr>
          <w:lang w:val="en-GB"/>
        </w:rPr>
        <w:t>s—</w:t>
      </w:r>
      <w:r w:rsidR="00E940D9" w:rsidRPr="00FD0336">
        <w:rPr>
          <w:lang w:val="en-GB"/>
        </w:rPr>
        <w:t>in relation to the circular economy</w:t>
      </w:r>
      <w:r w:rsidR="0011196A">
        <w:rPr>
          <w:lang w:val="en-GB"/>
        </w:rPr>
        <w:t>—</w:t>
      </w:r>
      <w:r w:rsidR="00E940D9" w:rsidRPr="00FD0336">
        <w:rPr>
          <w:lang w:val="en-GB"/>
        </w:rPr>
        <w:t>in recent years [</w:t>
      </w:r>
      <w:r w:rsidR="006D5864" w:rsidRPr="00FD0336">
        <w:rPr>
          <w:lang w:val="en-GB"/>
        </w:rPr>
        <w:t>10]</w:t>
      </w:r>
      <w:r w:rsidR="009D5E99" w:rsidRPr="00FD0336">
        <w:rPr>
          <w:lang w:val="en-GB"/>
        </w:rPr>
        <w:t>. The circular economy may also allow industrial development, waterfront development</w:t>
      </w:r>
      <w:r w:rsidR="00F6738F">
        <w:rPr>
          <w:lang w:val="en-GB"/>
        </w:rPr>
        <w:t>,</w:t>
      </w:r>
      <w:r w:rsidR="009D5E99" w:rsidRPr="00FD0336">
        <w:rPr>
          <w:lang w:val="en-GB"/>
        </w:rPr>
        <w:t xml:space="preserve"> and maritime clusters to amplify their local benefits and reduce negative impacts.</w:t>
      </w:r>
    </w:p>
    <w:p w14:paraId="7DB83A87" w14:textId="4F3FAEE4" w:rsidR="00E93F94" w:rsidRPr="00FD0336" w:rsidRDefault="004F2BC6" w:rsidP="004F2BC6">
      <w:pPr>
        <w:pStyle w:val="MDPI22heading2"/>
        <w:spacing w:before="240"/>
        <w:rPr>
          <w:noProof w:val="0"/>
          <w:lang w:val="en-GB"/>
        </w:rPr>
      </w:pPr>
      <w:r w:rsidRPr="00FD0336">
        <w:rPr>
          <w:noProof w:val="0"/>
          <w:lang w:val="en-GB"/>
        </w:rPr>
        <w:t xml:space="preserve">1.1. </w:t>
      </w:r>
      <w:r w:rsidR="00E93F94" w:rsidRPr="00FD0336">
        <w:rPr>
          <w:noProof w:val="0"/>
          <w:lang w:val="en-GB"/>
        </w:rPr>
        <w:t xml:space="preserve">The </w:t>
      </w:r>
      <w:r w:rsidR="00B76AC7" w:rsidRPr="00FD0336">
        <w:rPr>
          <w:noProof w:val="0"/>
          <w:lang w:val="en-GB"/>
        </w:rPr>
        <w:t>E</w:t>
      </w:r>
      <w:r w:rsidR="00E93F94" w:rsidRPr="00FD0336">
        <w:rPr>
          <w:noProof w:val="0"/>
          <w:lang w:val="en-GB"/>
        </w:rPr>
        <w:t xml:space="preserve">conomic </w:t>
      </w:r>
      <w:r w:rsidR="00B76AC7" w:rsidRPr="00FD0336">
        <w:rPr>
          <w:noProof w:val="0"/>
          <w:lang w:val="en-GB"/>
        </w:rPr>
        <w:t>V</w:t>
      </w:r>
      <w:r w:rsidR="00E93F94" w:rsidRPr="00FD0336">
        <w:rPr>
          <w:noProof w:val="0"/>
          <w:lang w:val="en-GB"/>
        </w:rPr>
        <w:t xml:space="preserve">alue of </w:t>
      </w:r>
      <w:r w:rsidR="00B76AC7" w:rsidRPr="00FD0336">
        <w:rPr>
          <w:noProof w:val="0"/>
          <w:lang w:val="en-GB"/>
        </w:rPr>
        <w:t>P</w:t>
      </w:r>
      <w:r w:rsidR="00E93F94" w:rsidRPr="00FD0336">
        <w:rPr>
          <w:noProof w:val="0"/>
          <w:lang w:val="en-GB"/>
        </w:rPr>
        <w:t>orts</w:t>
      </w:r>
    </w:p>
    <w:p w14:paraId="1FAA3C2A" w14:textId="6C283FF0" w:rsidR="00E93F94" w:rsidRPr="00FD0336" w:rsidRDefault="00E93F94" w:rsidP="004F2BC6">
      <w:pPr>
        <w:pStyle w:val="MDPI31text"/>
        <w:rPr>
          <w:b/>
          <w:lang w:val="en-GB"/>
        </w:rPr>
      </w:pPr>
      <w:r w:rsidRPr="00FD0336">
        <w:rPr>
          <w:lang w:val="en-GB"/>
        </w:rPr>
        <w:t>The benefits of ports are clear and numerous. They are key drivers of economic development in the local area and hinterland, by handling over 80% of world trade [</w:t>
      </w:r>
      <w:r w:rsidR="006D5864" w:rsidRPr="00FD0336">
        <w:rPr>
          <w:lang w:val="en-GB"/>
        </w:rPr>
        <w:t>11</w:t>
      </w:r>
      <w:r w:rsidRPr="00FD0336">
        <w:rPr>
          <w:lang w:val="en-GB"/>
        </w:rPr>
        <w:t>], facilitating the movement of people, creating infrastructure development, supporting direct and indirect job provision, attracting investment</w:t>
      </w:r>
      <w:r w:rsidR="00F6738F">
        <w:rPr>
          <w:lang w:val="en-GB"/>
        </w:rPr>
        <w:t>,</w:t>
      </w:r>
      <w:r w:rsidRPr="00FD0336">
        <w:rPr>
          <w:lang w:val="en-GB"/>
        </w:rPr>
        <w:t xml:space="preserve"> and lowering costs for producers and consumers. This can be illustrated using the example of the UK, where ports handle 486 million tonnes per year [</w:t>
      </w:r>
      <w:r w:rsidR="006D5864" w:rsidRPr="00FD0336">
        <w:rPr>
          <w:lang w:val="en-GB"/>
        </w:rPr>
        <w:t>12</w:t>
      </w:r>
      <w:r w:rsidRPr="00FD0336">
        <w:rPr>
          <w:lang w:val="en-GB"/>
        </w:rPr>
        <w:t>], 64.5 million passengers [1</w:t>
      </w:r>
      <w:r w:rsidR="006D5864" w:rsidRPr="00FD0336">
        <w:rPr>
          <w:lang w:val="en-GB"/>
        </w:rPr>
        <w:t>3</w:t>
      </w:r>
      <w:r w:rsidRPr="00FD0336">
        <w:rPr>
          <w:lang w:val="en-GB"/>
        </w:rPr>
        <w:t xml:space="preserve">], support </w:t>
      </w:r>
      <w:r w:rsidR="00F6738F" w:rsidRPr="00001C64">
        <w:rPr>
          <w:lang w:val="en-GB"/>
        </w:rPr>
        <w:t xml:space="preserve">GBP </w:t>
      </w:r>
      <w:r w:rsidRPr="00FD0336">
        <w:rPr>
          <w:lang w:val="en-GB"/>
        </w:rPr>
        <w:t>70 billion in turnover</w:t>
      </w:r>
      <w:r w:rsidR="001B03B9">
        <w:rPr>
          <w:lang w:val="en-GB"/>
        </w:rPr>
        <w:t>,</w:t>
      </w:r>
      <w:r w:rsidRPr="00FD0336">
        <w:rPr>
          <w:lang w:val="en-GB"/>
        </w:rPr>
        <w:t xml:space="preserve"> and 822,000 jobs [1</w:t>
      </w:r>
      <w:r w:rsidR="006D5864" w:rsidRPr="00FD0336">
        <w:rPr>
          <w:lang w:val="en-GB"/>
        </w:rPr>
        <w:t>4</w:t>
      </w:r>
      <w:r w:rsidRPr="00FD0336">
        <w:rPr>
          <w:lang w:val="en-GB"/>
        </w:rPr>
        <w:t>]. However, different port-related activities bring different levels of economic benefits and employment opportunities for the local population. A good example is that automobiles as cargo add</w:t>
      </w:r>
      <w:r w:rsidR="001B03B9">
        <w:rPr>
          <w:lang w:val="en-GB"/>
        </w:rPr>
        <w:t>s</w:t>
      </w:r>
      <w:r w:rsidRPr="00FD0336">
        <w:rPr>
          <w:lang w:val="en-GB"/>
        </w:rPr>
        <w:t xml:space="preserve"> </w:t>
      </w:r>
      <w:r w:rsidR="004C1A44" w:rsidRPr="00001C64">
        <w:rPr>
          <w:lang w:val="en-GB"/>
        </w:rPr>
        <w:t xml:space="preserve">USD </w:t>
      </w:r>
      <w:r w:rsidRPr="00001C64">
        <w:rPr>
          <w:lang w:val="en-GB"/>
        </w:rPr>
        <w:t xml:space="preserve">220 </w:t>
      </w:r>
      <w:r w:rsidRPr="00FD0336">
        <w:rPr>
          <w:lang w:val="en-GB"/>
        </w:rPr>
        <w:t xml:space="preserve">of value added per metric tonne on average, compared to just </w:t>
      </w:r>
      <w:r w:rsidR="004C1A44" w:rsidRPr="00001C64">
        <w:rPr>
          <w:lang w:val="en-GB"/>
        </w:rPr>
        <w:t xml:space="preserve">USD </w:t>
      </w:r>
      <w:r w:rsidRPr="00001C64">
        <w:rPr>
          <w:lang w:val="en-GB"/>
        </w:rPr>
        <w:t>20</w:t>
      </w:r>
      <w:r w:rsidRPr="00FD0336">
        <w:rPr>
          <w:lang w:val="en-GB"/>
        </w:rPr>
        <w:t xml:space="preserve"> for grain [5]. Therefore, the function of a port affects the level of benefits it provides for its local economy. The presence, or lack</w:t>
      </w:r>
      <w:r w:rsidR="001B03B9">
        <w:rPr>
          <w:lang w:val="en-GB"/>
        </w:rPr>
        <w:t>,</w:t>
      </w:r>
      <w:r w:rsidRPr="00FD0336">
        <w:rPr>
          <w:lang w:val="en-GB"/>
        </w:rPr>
        <w:t xml:space="preserve"> of additional port-related services and activities</w:t>
      </w:r>
      <w:r w:rsidR="001B03B9">
        <w:rPr>
          <w:lang w:val="en-GB"/>
        </w:rPr>
        <w:t>,</w:t>
      </w:r>
      <w:r w:rsidRPr="00FD0336">
        <w:rPr>
          <w:lang w:val="en-GB"/>
        </w:rPr>
        <w:t xml:space="preserve"> such as ship registry, industrial development</w:t>
      </w:r>
      <w:r w:rsidR="001B03B9">
        <w:rPr>
          <w:lang w:val="en-GB"/>
        </w:rPr>
        <w:t>,</w:t>
      </w:r>
      <w:r w:rsidRPr="00FD0336">
        <w:rPr>
          <w:lang w:val="en-GB"/>
        </w:rPr>
        <w:t xml:space="preserve"> and ship repair, can affect the economic value a port provides for a city. As an example of the benefits a port can provide, the port of Southampton directly </w:t>
      </w:r>
      <w:r w:rsidR="001B03B9">
        <w:rPr>
          <w:lang w:val="en-GB"/>
        </w:rPr>
        <w:t>(</w:t>
      </w:r>
      <w:r w:rsidRPr="00FD0336">
        <w:rPr>
          <w:lang w:val="en-GB"/>
        </w:rPr>
        <w:t>or indirectly</w:t>
      </w:r>
      <w:r w:rsidR="001B03B9">
        <w:rPr>
          <w:lang w:val="en-GB"/>
        </w:rPr>
        <w:t>)</w:t>
      </w:r>
      <w:r w:rsidRPr="00FD0336">
        <w:rPr>
          <w:lang w:val="en-GB"/>
        </w:rPr>
        <w:t xml:space="preserve"> supports up to 10% of the city’s employment [1</w:t>
      </w:r>
      <w:r w:rsidR="006D5864" w:rsidRPr="00FD0336">
        <w:rPr>
          <w:lang w:val="en-GB"/>
        </w:rPr>
        <w:t>5</w:t>
      </w:r>
      <w:r w:rsidRPr="00FD0336">
        <w:rPr>
          <w:lang w:val="en-GB"/>
        </w:rPr>
        <w:t>], supports 45,600 jobs</w:t>
      </w:r>
      <w:r w:rsidR="001B03B9">
        <w:rPr>
          <w:lang w:val="en-GB"/>
        </w:rPr>
        <w:t>,</w:t>
      </w:r>
      <w:r w:rsidRPr="00FD0336">
        <w:rPr>
          <w:lang w:val="en-GB"/>
        </w:rPr>
        <w:t xml:space="preserve"> and contributes </w:t>
      </w:r>
      <w:r w:rsidR="004C1A44" w:rsidRPr="00001C64">
        <w:rPr>
          <w:lang w:val="en-GB"/>
        </w:rPr>
        <w:t xml:space="preserve">GBP </w:t>
      </w:r>
      <w:r w:rsidRPr="00001C64">
        <w:rPr>
          <w:lang w:val="en-GB"/>
        </w:rPr>
        <w:t xml:space="preserve">2.5 billion </w:t>
      </w:r>
      <w:r w:rsidRPr="00FD0336">
        <w:rPr>
          <w:lang w:val="en-GB"/>
        </w:rPr>
        <w:t xml:space="preserve">to the national economy </w:t>
      </w:r>
      <w:r w:rsidR="006D5864" w:rsidRPr="00FD0336">
        <w:rPr>
          <w:lang w:val="en-GB"/>
        </w:rPr>
        <w:t>[16]</w:t>
      </w:r>
      <w:r w:rsidRPr="00FD0336">
        <w:rPr>
          <w:lang w:val="en-GB"/>
        </w:rPr>
        <w:t>. However, the benefits of ports’ economic activit</w:t>
      </w:r>
      <w:r w:rsidR="001B03B9">
        <w:rPr>
          <w:lang w:val="en-GB"/>
        </w:rPr>
        <w:t>ies</w:t>
      </w:r>
      <w:r w:rsidRPr="00FD0336">
        <w:rPr>
          <w:lang w:val="en-GB"/>
        </w:rPr>
        <w:t xml:space="preserve"> are </w:t>
      </w:r>
      <w:r w:rsidR="001B03B9">
        <w:rPr>
          <w:lang w:val="en-GB"/>
        </w:rPr>
        <w:t xml:space="preserve">becoming </w:t>
      </w:r>
      <w:r w:rsidRPr="00FD0336">
        <w:rPr>
          <w:lang w:val="en-GB"/>
        </w:rPr>
        <w:t xml:space="preserve">increasingly </w:t>
      </w:r>
      <w:proofErr w:type="gramStart"/>
      <w:r w:rsidRPr="00FD0336">
        <w:rPr>
          <w:lang w:val="en-GB"/>
        </w:rPr>
        <w:t>wide spread</w:t>
      </w:r>
      <w:proofErr w:type="gramEnd"/>
      <w:r w:rsidRPr="00FD0336">
        <w:rPr>
          <w:lang w:val="en-GB"/>
        </w:rPr>
        <w:t>, whilst the negative externalities created by ports remain concentrated in the local area. Again</w:t>
      </w:r>
      <w:r w:rsidR="004C1A44">
        <w:rPr>
          <w:lang w:val="en-GB"/>
        </w:rPr>
        <w:t>,</w:t>
      </w:r>
      <w:r w:rsidRPr="00FD0336">
        <w:rPr>
          <w:lang w:val="en-GB"/>
        </w:rPr>
        <w:t xml:space="preserve"> for Southampton, many of the jobs supported by the port are located outside of the local area, such as 11,700 jobs in the automotive sector, nearly 200 km away in the west midlands [1</w:t>
      </w:r>
      <w:r w:rsidR="006D5864" w:rsidRPr="00FD0336">
        <w:rPr>
          <w:lang w:val="en-GB"/>
        </w:rPr>
        <w:t>6</w:t>
      </w:r>
      <w:r w:rsidRPr="00FD0336">
        <w:rPr>
          <w:lang w:val="en-GB"/>
        </w:rPr>
        <w:t>]. Some practices in ports</w:t>
      </w:r>
      <w:r w:rsidR="00A1557D" w:rsidRPr="00FD0336">
        <w:rPr>
          <w:lang w:val="en-GB"/>
        </w:rPr>
        <w:t>,</w:t>
      </w:r>
      <w:r w:rsidRPr="00FD0336">
        <w:rPr>
          <w:lang w:val="en-GB"/>
        </w:rPr>
        <w:t xml:space="preserve"> such as transhipment</w:t>
      </w:r>
      <w:r w:rsidR="00A1557D" w:rsidRPr="00FD0336">
        <w:rPr>
          <w:lang w:val="en-GB"/>
        </w:rPr>
        <w:t>,</w:t>
      </w:r>
      <w:r w:rsidRPr="00FD0336">
        <w:rPr>
          <w:lang w:val="en-GB"/>
        </w:rPr>
        <w:t xml:space="preserve"> provide little value to the local area. A good example is found in Rotterdam, which </w:t>
      </w:r>
      <w:r w:rsidRPr="00FD0336">
        <w:rPr>
          <w:lang w:val="en-GB"/>
        </w:rPr>
        <w:lastRenderedPageBreak/>
        <w:t xml:space="preserve">is able to host the largest ships arriving from other </w:t>
      </w:r>
      <w:proofErr w:type="gramStart"/>
      <w:r w:rsidRPr="00FD0336">
        <w:rPr>
          <w:lang w:val="en-GB"/>
        </w:rPr>
        <w:t>continents, and</w:t>
      </w:r>
      <w:proofErr w:type="gramEnd"/>
      <w:r w:rsidRPr="00FD0336">
        <w:rPr>
          <w:lang w:val="en-GB"/>
        </w:rPr>
        <w:t xml:space="preserve"> move cargo onto smaller vessels before shipping them on to UK ports [1</w:t>
      </w:r>
      <w:r w:rsidR="006D5864" w:rsidRPr="00FD0336">
        <w:rPr>
          <w:lang w:val="en-GB"/>
        </w:rPr>
        <w:t>7</w:t>
      </w:r>
      <w:r w:rsidRPr="00FD0336">
        <w:rPr>
          <w:lang w:val="en-GB"/>
        </w:rPr>
        <w:t xml:space="preserve">]. This allows the port to increase its </w:t>
      </w:r>
      <w:proofErr w:type="gramStart"/>
      <w:r w:rsidRPr="00FD0336">
        <w:rPr>
          <w:lang w:val="en-GB"/>
        </w:rPr>
        <w:t>competitiveness</w:t>
      </w:r>
      <w:r w:rsidR="001B03B9">
        <w:rPr>
          <w:lang w:val="en-GB"/>
        </w:rPr>
        <w:t>,</w:t>
      </w:r>
      <w:r w:rsidRPr="00FD0336">
        <w:rPr>
          <w:lang w:val="en-GB"/>
        </w:rPr>
        <w:t xml:space="preserve"> but</w:t>
      </w:r>
      <w:proofErr w:type="gramEnd"/>
      <w:r w:rsidRPr="00FD0336">
        <w:rPr>
          <w:lang w:val="en-GB"/>
        </w:rPr>
        <w:t xml:space="preserve"> provides few benefits to local people. Due to the economic benefits of ports</w:t>
      </w:r>
      <w:r w:rsidR="004C1A44" w:rsidRPr="004C1A44">
        <w:t xml:space="preserve"> </w:t>
      </w:r>
      <w:r w:rsidR="004C1A44" w:rsidRPr="004C1A44">
        <w:rPr>
          <w:lang w:val="en-GB"/>
        </w:rPr>
        <w:t>spreading more widely</w:t>
      </w:r>
      <w:r w:rsidRPr="00FD0336">
        <w:rPr>
          <w:lang w:val="en-GB"/>
        </w:rPr>
        <w:t>, the city may wish to increase the economic value it creates for the local area.</w:t>
      </w:r>
    </w:p>
    <w:p w14:paraId="60D2D91E" w14:textId="73C8CE5A" w:rsidR="00E93F94" w:rsidRPr="00FD0336" w:rsidRDefault="00E93F94" w:rsidP="004F2BC6">
      <w:pPr>
        <w:pStyle w:val="MDPI31text"/>
        <w:rPr>
          <w:lang w:val="en-GB"/>
        </w:rPr>
      </w:pPr>
      <w:proofErr w:type="spellStart"/>
      <w:r w:rsidRPr="00FD0336">
        <w:rPr>
          <w:lang w:val="en-GB"/>
        </w:rPr>
        <w:t>Geerlings</w:t>
      </w:r>
      <w:proofErr w:type="spellEnd"/>
      <w:r w:rsidRPr="00FD0336">
        <w:rPr>
          <w:lang w:val="en-GB"/>
        </w:rPr>
        <w:t xml:space="preserve"> et al. [1</w:t>
      </w:r>
      <w:r w:rsidR="006D5864" w:rsidRPr="00FD0336">
        <w:rPr>
          <w:lang w:val="en-GB"/>
        </w:rPr>
        <w:t>8</w:t>
      </w:r>
      <w:r w:rsidRPr="00FD0336">
        <w:rPr>
          <w:lang w:val="en-GB"/>
        </w:rPr>
        <w:t xml:space="preserve">] and OECD [5] illustrate three </w:t>
      </w:r>
      <w:proofErr w:type="gramStart"/>
      <w:r w:rsidRPr="00FD0336">
        <w:rPr>
          <w:lang w:val="en-GB"/>
        </w:rPr>
        <w:t>key ways</w:t>
      </w:r>
      <w:proofErr w:type="gramEnd"/>
      <w:r w:rsidRPr="00FD0336">
        <w:rPr>
          <w:lang w:val="en-GB"/>
        </w:rPr>
        <w:t xml:space="preserve"> for ports to add economic value to cities: waterfront economies/development, maritime clusters</w:t>
      </w:r>
      <w:r w:rsidR="006B72E0">
        <w:rPr>
          <w:lang w:val="en-GB"/>
        </w:rPr>
        <w:t>,</w:t>
      </w:r>
      <w:r w:rsidRPr="00FD0336">
        <w:rPr>
          <w:lang w:val="en-GB"/>
        </w:rPr>
        <w:t xml:space="preserve"> and port-industrial development.</w:t>
      </w:r>
      <w:r w:rsidR="00F82AA2" w:rsidRPr="00FD0336">
        <w:rPr>
          <w:lang w:val="en-GB"/>
        </w:rPr>
        <w:t xml:space="preserve"> These three measures are </w:t>
      </w:r>
      <w:proofErr w:type="gramStart"/>
      <w:r w:rsidR="00F82AA2" w:rsidRPr="00FD0336">
        <w:rPr>
          <w:lang w:val="en-GB"/>
        </w:rPr>
        <w:t>well researched</w:t>
      </w:r>
      <w:proofErr w:type="gramEnd"/>
      <w:r w:rsidR="00F82AA2" w:rsidRPr="00FD0336">
        <w:rPr>
          <w:lang w:val="en-GB"/>
        </w:rPr>
        <w:t xml:space="preserve"> and established in many port</w:t>
      </w:r>
      <w:r w:rsidR="00851E06">
        <w:rPr>
          <w:lang w:val="en-GB"/>
        </w:rPr>
        <w:t xml:space="preserve"> </w:t>
      </w:r>
      <w:r w:rsidR="00F82AA2" w:rsidRPr="00FD0336">
        <w:rPr>
          <w:lang w:val="en-GB"/>
        </w:rPr>
        <w:t>cities</w:t>
      </w:r>
      <w:r w:rsidR="006B72E0">
        <w:rPr>
          <w:lang w:val="en-GB"/>
        </w:rPr>
        <w:t>;</w:t>
      </w:r>
      <w:r w:rsidR="00F82AA2" w:rsidRPr="00FD0336">
        <w:rPr>
          <w:lang w:val="en-GB"/>
        </w:rPr>
        <w:t xml:space="preserve"> however, t</w:t>
      </w:r>
      <w:r w:rsidRPr="00FD0336">
        <w:rPr>
          <w:lang w:val="en-GB"/>
        </w:rPr>
        <w:t xml:space="preserve">he circular economy </w:t>
      </w:r>
      <w:r w:rsidR="006B72E0">
        <w:rPr>
          <w:lang w:val="en-GB"/>
        </w:rPr>
        <w:t>i</w:t>
      </w:r>
      <w:r w:rsidRPr="00FD0336">
        <w:rPr>
          <w:lang w:val="en-GB"/>
        </w:rPr>
        <w:t>s also receiv</w:t>
      </w:r>
      <w:r w:rsidR="006B72E0">
        <w:rPr>
          <w:lang w:val="en-GB"/>
        </w:rPr>
        <w:t>ing</w:t>
      </w:r>
      <w:r w:rsidRPr="00FD0336">
        <w:rPr>
          <w:lang w:val="en-GB"/>
        </w:rPr>
        <w:t xml:space="preserve"> increasing attention as a</w:t>
      </w:r>
      <w:r w:rsidR="00F82AA2" w:rsidRPr="00FD0336">
        <w:rPr>
          <w:lang w:val="en-GB"/>
        </w:rPr>
        <w:t xml:space="preserve"> new</w:t>
      </w:r>
      <w:r w:rsidRPr="00FD0336">
        <w:rPr>
          <w:lang w:val="en-GB"/>
        </w:rPr>
        <w:t xml:space="preserve"> potential way for ports to add additional local benefits</w:t>
      </w:r>
      <w:r w:rsidR="006B72E0">
        <w:rPr>
          <w:lang w:val="en-GB"/>
        </w:rPr>
        <w:t>,</w:t>
      </w:r>
      <w:r w:rsidRPr="00FD0336">
        <w:rPr>
          <w:lang w:val="en-GB"/>
        </w:rPr>
        <w:t xml:space="preserve"> whilst reducing their environmental impact. </w:t>
      </w:r>
      <w:r w:rsidR="009D5E99" w:rsidRPr="00FD0336">
        <w:rPr>
          <w:lang w:val="en-GB"/>
        </w:rPr>
        <w:t xml:space="preserve">Encouraging these approaches enables a port to augment value beyond the simple movement of goods and people. There is a lack of research investigating </w:t>
      </w:r>
      <w:proofErr w:type="gramStart"/>
      <w:r w:rsidR="009D5E99" w:rsidRPr="00FD0336">
        <w:rPr>
          <w:lang w:val="en-GB"/>
        </w:rPr>
        <w:t>all of</w:t>
      </w:r>
      <w:proofErr w:type="gramEnd"/>
      <w:r w:rsidR="009D5E99" w:rsidRPr="00FD0336">
        <w:rPr>
          <w:lang w:val="en-GB"/>
        </w:rPr>
        <w:t xml:space="preserve"> these approaches together on a global scale, with research focusing mostly on the adoption or barriers to one of these approaches and mostly focusing on case study cities or regions.</w:t>
      </w:r>
    </w:p>
    <w:p w14:paraId="75BD978D" w14:textId="32F65E01" w:rsidR="00851163" w:rsidRPr="00FD0336" w:rsidRDefault="004F2BC6" w:rsidP="004F2BC6">
      <w:pPr>
        <w:pStyle w:val="MDPI22heading2"/>
        <w:spacing w:before="240"/>
        <w:rPr>
          <w:noProof w:val="0"/>
          <w:lang w:val="en-GB"/>
        </w:rPr>
      </w:pPr>
      <w:r w:rsidRPr="00FD0336">
        <w:rPr>
          <w:noProof w:val="0"/>
          <w:lang w:val="en-GB"/>
        </w:rPr>
        <w:t xml:space="preserve">1.2. </w:t>
      </w:r>
      <w:r w:rsidR="00851163" w:rsidRPr="00FD0336">
        <w:rPr>
          <w:noProof w:val="0"/>
          <w:lang w:val="en-GB"/>
        </w:rPr>
        <w:t>Circular Economy</w:t>
      </w:r>
    </w:p>
    <w:p w14:paraId="3C405A20" w14:textId="671D3BD3" w:rsidR="006031B8" w:rsidRPr="00FD0336" w:rsidRDefault="006031B8" w:rsidP="004F2BC6">
      <w:pPr>
        <w:pStyle w:val="MDPI31text"/>
        <w:rPr>
          <w:b/>
          <w:lang w:val="en-GB"/>
        </w:rPr>
      </w:pPr>
      <w:r w:rsidRPr="00FD0336">
        <w:rPr>
          <w:lang w:val="en-GB"/>
        </w:rPr>
        <w:t>Despite growing discussion and focus on the circular economy (CE)</w:t>
      </w:r>
      <w:r w:rsidR="006D5864" w:rsidRPr="00FD0336">
        <w:rPr>
          <w:lang w:val="en-GB"/>
        </w:rPr>
        <w:t xml:space="preserve">, </w:t>
      </w:r>
      <w:proofErr w:type="spellStart"/>
      <w:r w:rsidR="006D5864" w:rsidRPr="00FD0336">
        <w:rPr>
          <w:lang w:val="en-GB"/>
        </w:rPr>
        <w:t>Kirchherr</w:t>
      </w:r>
      <w:proofErr w:type="spellEnd"/>
      <w:r w:rsidR="006D5864" w:rsidRPr="00FD0336">
        <w:rPr>
          <w:lang w:val="en-GB"/>
        </w:rPr>
        <w:t xml:space="preserve"> et al. [8</w:t>
      </w:r>
      <w:r w:rsidRPr="00FD0336">
        <w:rPr>
          <w:lang w:val="en-GB"/>
        </w:rPr>
        <w:t>] identified 95 different definitions of the circular economy in the literature, highlighting that there is still a lack of consensus over the exact definition. The definition</w:t>
      </w:r>
      <w:r w:rsidR="006D5864" w:rsidRPr="00FD0336">
        <w:rPr>
          <w:lang w:val="en-GB"/>
        </w:rPr>
        <w:t xml:space="preserve"> provided by </w:t>
      </w:r>
      <w:proofErr w:type="spellStart"/>
      <w:r w:rsidR="006D5864" w:rsidRPr="00FD0336">
        <w:rPr>
          <w:lang w:val="en-GB"/>
        </w:rPr>
        <w:t>Kirchherr</w:t>
      </w:r>
      <w:proofErr w:type="spellEnd"/>
      <w:r w:rsidR="006D5864" w:rsidRPr="00FD0336">
        <w:rPr>
          <w:lang w:val="en-GB"/>
        </w:rPr>
        <w:t xml:space="preserve"> et al [8</w:t>
      </w:r>
      <w:r w:rsidRPr="00FD0336">
        <w:rPr>
          <w:lang w:val="en-GB"/>
        </w:rPr>
        <w:t>] attempts to provide a universal definition encompassing all the key aspects identified in the literature. Therefore, this definition will be used for this article. The differences between the circular economy and the linear economy are shown in Figure 1.</w:t>
      </w:r>
    </w:p>
    <w:p w14:paraId="357397A3" w14:textId="77777777" w:rsidR="004F2BC6" w:rsidRPr="00FD0336" w:rsidRDefault="006031B8" w:rsidP="004F2BC6">
      <w:pPr>
        <w:pStyle w:val="MDPI52figure"/>
        <w:ind w:left="2608"/>
        <w:jc w:val="left"/>
        <w:rPr>
          <w:b/>
          <w:lang w:val="en-GB"/>
        </w:rPr>
      </w:pPr>
      <w:r w:rsidRPr="00FD0336">
        <w:rPr>
          <w:noProof/>
          <w:lang w:val="en-GB" w:eastAsia="en-US" w:bidi="ar-SA"/>
        </w:rPr>
        <w:drawing>
          <wp:inline distT="0" distB="0" distL="0" distR="0" wp14:anchorId="445DADF4" wp14:editId="5ADB59DE">
            <wp:extent cx="3875964" cy="22145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5486" cy="2219948"/>
                    </a:xfrm>
                    <a:prstGeom prst="rect">
                      <a:avLst/>
                    </a:prstGeom>
                    <a:noFill/>
                  </pic:spPr>
                </pic:pic>
              </a:graphicData>
            </a:graphic>
          </wp:inline>
        </w:drawing>
      </w:r>
    </w:p>
    <w:p w14:paraId="041E3781" w14:textId="1635D87C" w:rsidR="006031B8" w:rsidRPr="00FD0336" w:rsidRDefault="004F2BC6" w:rsidP="004F2BC6">
      <w:pPr>
        <w:pStyle w:val="MDPI51figurecaption"/>
        <w:rPr>
          <w:lang w:val="en-GB"/>
        </w:rPr>
      </w:pPr>
      <w:r w:rsidRPr="00FD0336">
        <w:rPr>
          <w:b/>
          <w:lang w:val="en-GB"/>
        </w:rPr>
        <w:t xml:space="preserve">Figure 1. </w:t>
      </w:r>
      <w:r w:rsidR="006031B8" w:rsidRPr="00FD0336">
        <w:rPr>
          <w:lang w:val="en-GB"/>
        </w:rPr>
        <w:t xml:space="preserve">Linear economy (left), compared to a fully circular economy (right), </w:t>
      </w:r>
      <w:r w:rsidR="006031B8" w:rsidRPr="00001C64">
        <w:rPr>
          <w:lang w:val="en-GB"/>
        </w:rPr>
        <w:t xml:space="preserve">adapted from </w:t>
      </w:r>
      <w:proofErr w:type="spellStart"/>
      <w:r w:rsidR="004D6FB7" w:rsidRPr="00001C64">
        <w:rPr>
          <w:lang w:val="en-GB"/>
        </w:rPr>
        <w:t>Bianchini</w:t>
      </w:r>
      <w:proofErr w:type="spellEnd"/>
      <w:r w:rsidR="004D6FB7" w:rsidRPr="00001C64">
        <w:rPr>
          <w:lang w:val="en-GB"/>
        </w:rPr>
        <w:t xml:space="preserve"> et al. </w:t>
      </w:r>
      <w:r w:rsidR="006031B8" w:rsidRPr="00001C64">
        <w:rPr>
          <w:lang w:val="en-GB"/>
        </w:rPr>
        <w:t>[</w:t>
      </w:r>
      <w:r w:rsidR="00C874EE" w:rsidRPr="00001C64">
        <w:rPr>
          <w:lang w:val="en-GB"/>
        </w:rPr>
        <w:t>19</w:t>
      </w:r>
      <w:r w:rsidR="006031B8" w:rsidRPr="00001C64">
        <w:rPr>
          <w:lang w:val="en-GB"/>
        </w:rPr>
        <w:t>]</w:t>
      </w:r>
      <w:r w:rsidR="00182D23">
        <w:rPr>
          <w:lang w:val="en-GB"/>
        </w:rPr>
        <w:t xml:space="preserve"> (</w:t>
      </w:r>
      <w:r w:rsidR="000F13E6">
        <w:rPr>
          <w:lang w:val="en-GB"/>
        </w:rPr>
        <w:t>Published with CC-BY License)</w:t>
      </w:r>
    </w:p>
    <w:p w14:paraId="16440092" w14:textId="3A751011" w:rsidR="006031B8" w:rsidRPr="00FD0336" w:rsidRDefault="006031B8" w:rsidP="004F2BC6">
      <w:pPr>
        <w:pStyle w:val="MDPI31text"/>
        <w:rPr>
          <w:lang w:val="en-GB"/>
        </w:rPr>
      </w:pPr>
      <w:r w:rsidRPr="00FD0336">
        <w:rPr>
          <w:lang w:val="en-GB"/>
        </w:rPr>
        <w:t>The CE is regarded as an approach</w:t>
      </w:r>
      <w:r w:rsidR="004C1A44">
        <w:rPr>
          <w:lang w:val="en-GB"/>
        </w:rPr>
        <w:t>,</w:t>
      </w:r>
      <w:r w:rsidRPr="00FD0336">
        <w:rPr>
          <w:lang w:val="en-GB"/>
        </w:rPr>
        <w:t xml:space="preserve"> which decouples economic growth from environmental impact </w:t>
      </w:r>
      <w:r w:rsidRPr="00001C64">
        <w:rPr>
          <w:lang w:val="en-GB"/>
        </w:rPr>
        <w:t>[</w:t>
      </w:r>
      <w:r w:rsidR="006D5864" w:rsidRPr="00001C64">
        <w:rPr>
          <w:lang w:val="en-GB"/>
        </w:rPr>
        <w:t>20</w:t>
      </w:r>
      <w:r w:rsidRPr="00001C64">
        <w:rPr>
          <w:lang w:val="en-GB"/>
        </w:rPr>
        <w:t>]</w:t>
      </w:r>
      <w:r w:rsidR="006B72E0" w:rsidRPr="001D19A9">
        <w:rPr>
          <w:lang w:val="en-GB"/>
        </w:rPr>
        <w:t>,</w:t>
      </w:r>
      <w:r w:rsidRPr="00FD0336">
        <w:rPr>
          <w:lang w:val="en-GB"/>
        </w:rPr>
        <w:t xml:space="preserve"> and it achieves this by the implementation of 10 key circular economy principles (1</w:t>
      </w:r>
      <w:r w:rsidR="00E82C92" w:rsidRPr="00FD0336">
        <w:rPr>
          <w:lang w:val="en-GB"/>
        </w:rPr>
        <w:t>0 R</w:t>
      </w:r>
      <w:r w:rsidRPr="00FD0336">
        <w:rPr>
          <w:lang w:val="en-GB"/>
        </w:rPr>
        <w:t xml:space="preserve">s). These are </w:t>
      </w:r>
      <w:proofErr w:type="gramStart"/>
      <w:r w:rsidRPr="00FD0336">
        <w:rPr>
          <w:lang w:val="en-GB"/>
        </w:rPr>
        <w:t>refuse</w:t>
      </w:r>
      <w:proofErr w:type="gramEnd"/>
      <w:r w:rsidRPr="00FD0336">
        <w:rPr>
          <w:lang w:val="en-GB"/>
        </w:rPr>
        <w:t>, rethink, reduce, reuse, repair, refurbish, remanufacture, repurpose, recycle</w:t>
      </w:r>
      <w:r w:rsidR="006B72E0">
        <w:rPr>
          <w:lang w:val="en-GB"/>
        </w:rPr>
        <w:t>,</w:t>
      </w:r>
      <w:r w:rsidRPr="00FD0336">
        <w:rPr>
          <w:lang w:val="en-GB"/>
        </w:rPr>
        <w:t xml:space="preserve"> and recover [</w:t>
      </w:r>
      <w:r w:rsidR="006D5864" w:rsidRPr="00FD0336">
        <w:rPr>
          <w:lang w:val="en-GB"/>
        </w:rPr>
        <w:t>21</w:t>
      </w:r>
      <w:r w:rsidRPr="00FD0336">
        <w:rPr>
          <w:lang w:val="en-GB"/>
        </w:rPr>
        <w:t>]. This approach focuses on every stage of a product’s life cycle creating considerable opportunities and potential benefits. This can not only reduce environmental impacts, but also improve raw material’s supply security, increase economic growth, improve the durability and lifetime of products, stimulate innovation</w:t>
      </w:r>
      <w:r w:rsidR="006B72E0">
        <w:rPr>
          <w:lang w:val="en-GB"/>
        </w:rPr>
        <w:t>,</w:t>
      </w:r>
      <w:r w:rsidRPr="00FD0336">
        <w:rPr>
          <w:lang w:val="en-GB"/>
        </w:rPr>
        <w:t xml:space="preserve"> and increase competitiveness [</w:t>
      </w:r>
      <w:r w:rsidR="006D5864" w:rsidRPr="00FD0336">
        <w:rPr>
          <w:lang w:val="en-GB"/>
        </w:rPr>
        <w:t>22</w:t>
      </w:r>
      <w:r w:rsidRPr="00FD0336">
        <w:rPr>
          <w:lang w:val="en-GB"/>
        </w:rPr>
        <w:t>]. The circular economy also has the potential to create consi</w:t>
      </w:r>
      <w:r w:rsidR="006D5864" w:rsidRPr="00FD0336">
        <w:rPr>
          <w:lang w:val="en-GB"/>
        </w:rPr>
        <w:t>derably more jobs, with Gaia [23</w:t>
      </w:r>
      <w:r w:rsidRPr="00FD0336">
        <w:rPr>
          <w:lang w:val="en-GB"/>
        </w:rPr>
        <w:t>] finding</w:t>
      </w:r>
      <w:r w:rsidR="006B72E0">
        <w:rPr>
          <w:lang w:val="en-GB"/>
        </w:rPr>
        <w:t xml:space="preserve"> that</w:t>
      </w:r>
      <w:r w:rsidRPr="00FD0336">
        <w:rPr>
          <w:lang w:val="en-GB"/>
        </w:rPr>
        <w:t xml:space="preserve"> reuse creates 200 times more jobs than landfills and incinerators. The circular economy has the potential to provide a vast array of economic, social</w:t>
      </w:r>
      <w:r w:rsidR="006B72E0">
        <w:rPr>
          <w:lang w:val="en-GB"/>
        </w:rPr>
        <w:t>,</w:t>
      </w:r>
      <w:r w:rsidRPr="00FD0336">
        <w:rPr>
          <w:lang w:val="en-GB"/>
        </w:rPr>
        <w:t xml:space="preserve"> and environmental benefits, enabling greater levels of sustainable development.</w:t>
      </w:r>
    </w:p>
    <w:p w14:paraId="49D69710" w14:textId="37F633EB" w:rsidR="006031B8" w:rsidRPr="00FD0336" w:rsidRDefault="006031B8" w:rsidP="004F2BC6">
      <w:pPr>
        <w:pStyle w:val="MDPI31text"/>
        <w:rPr>
          <w:lang w:val="en-GB"/>
        </w:rPr>
      </w:pPr>
      <w:r w:rsidRPr="00FD0336">
        <w:rPr>
          <w:lang w:val="en-GB"/>
        </w:rPr>
        <w:lastRenderedPageBreak/>
        <w:t>Despite its considerable potential, the circular economy faces numerous barriers to implementation</w:t>
      </w:r>
      <w:r w:rsidR="006D5864" w:rsidRPr="00FD0336">
        <w:rPr>
          <w:lang w:val="en-GB"/>
        </w:rPr>
        <w:t xml:space="preserve">. </w:t>
      </w:r>
      <w:proofErr w:type="spellStart"/>
      <w:r w:rsidR="006D5864" w:rsidRPr="00FD0336">
        <w:rPr>
          <w:lang w:val="en-GB"/>
        </w:rPr>
        <w:t>Kirchherr</w:t>
      </w:r>
      <w:proofErr w:type="spellEnd"/>
      <w:r w:rsidR="006D5864" w:rsidRPr="00FD0336">
        <w:rPr>
          <w:lang w:val="en-GB"/>
        </w:rPr>
        <w:t xml:space="preserve"> et al. [24</w:t>
      </w:r>
      <w:r w:rsidRPr="00FD0336">
        <w:rPr>
          <w:lang w:val="en-GB"/>
        </w:rPr>
        <w:t>] identified the main barrier to circular economy to be cultural attitudes, such as a lack of consumer interest and awareness</w:t>
      </w:r>
      <w:r w:rsidR="006B72E0">
        <w:rPr>
          <w:lang w:val="en-GB"/>
        </w:rPr>
        <w:t>,</w:t>
      </w:r>
      <w:r w:rsidRPr="00FD0336">
        <w:rPr>
          <w:lang w:val="en-GB"/>
        </w:rPr>
        <w:t xml:space="preserve"> and a lack of knowledge and collaboration between businesses and stakeholders</w:t>
      </w:r>
      <w:r w:rsidR="006D5864" w:rsidRPr="00FD0336">
        <w:rPr>
          <w:lang w:val="en-GB"/>
        </w:rPr>
        <w:t xml:space="preserve"> [25</w:t>
      </w:r>
      <w:r w:rsidRPr="00FD0336">
        <w:rPr>
          <w:lang w:val="en-GB"/>
        </w:rPr>
        <w:t xml:space="preserve">]. Other key barriers identified in the literature </w:t>
      </w:r>
      <w:r w:rsidR="006D5864" w:rsidRPr="00FD0336">
        <w:rPr>
          <w:lang w:val="en-GB"/>
        </w:rPr>
        <w:t>are a lack of policy support [26</w:t>
      </w:r>
      <w:r w:rsidRPr="00FD0336">
        <w:rPr>
          <w:lang w:val="en-GB"/>
        </w:rPr>
        <w:t>], lack of a consisten</w:t>
      </w:r>
      <w:r w:rsidR="006D5864" w:rsidRPr="00FD0336">
        <w:rPr>
          <w:lang w:val="en-GB"/>
        </w:rPr>
        <w:t>t framework [25</w:t>
      </w:r>
      <w:r w:rsidRPr="00FD0336">
        <w:rPr>
          <w:lang w:val="en-GB"/>
        </w:rPr>
        <w:t>],</w:t>
      </w:r>
      <w:r w:rsidR="006D5864" w:rsidRPr="00FD0336">
        <w:rPr>
          <w:lang w:val="en-GB"/>
        </w:rPr>
        <w:t xml:space="preserve"> technological limitations [27</w:t>
      </w:r>
      <w:r w:rsidRPr="00FD0336">
        <w:rPr>
          <w:lang w:val="en-GB"/>
        </w:rPr>
        <w:t>]</w:t>
      </w:r>
      <w:r w:rsidR="006B72E0">
        <w:rPr>
          <w:lang w:val="en-GB"/>
        </w:rPr>
        <w:t>,</w:t>
      </w:r>
      <w:r w:rsidRPr="00FD0336">
        <w:rPr>
          <w:lang w:val="en-GB"/>
        </w:rPr>
        <w:t xml:space="preserve"> and a (perceived) lack of financial viability for circular economy business model</w:t>
      </w:r>
      <w:r w:rsidR="006D5864" w:rsidRPr="00FD0336">
        <w:rPr>
          <w:lang w:val="en-GB"/>
        </w:rPr>
        <w:t xml:space="preserve">s [5]. Van den </w:t>
      </w:r>
      <w:proofErr w:type="spellStart"/>
      <w:r w:rsidR="006D5864" w:rsidRPr="00FD0336">
        <w:rPr>
          <w:lang w:val="en-GB"/>
        </w:rPr>
        <w:t>Berghe</w:t>
      </w:r>
      <w:proofErr w:type="spellEnd"/>
      <w:r w:rsidR="006D5864" w:rsidRPr="00FD0336">
        <w:rPr>
          <w:lang w:val="en-GB"/>
        </w:rPr>
        <w:t xml:space="preserve"> et al. [28</w:t>
      </w:r>
      <w:r w:rsidRPr="00FD0336">
        <w:rPr>
          <w:lang w:val="en-GB"/>
        </w:rPr>
        <w:t>] highlighted space and land-use conflicts between expanding circular economy industries and expanding residential areas in cities as a potential source of tension. Low prices of many raw materials mean that reusing waste products may be less financially via</w:t>
      </w:r>
      <w:r w:rsidR="006D5864" w:rsidRPr="00FD0336">
        <w:rPr>
          <w:lang w:val="en-GB"/>
        </w:rPr>
        <w:t>ble t</w:t>
      </w:r>
      <w:r w:rsidR="007A0414" w:rsidRPr="00FD0336">
        <w:rPr>
          <w:lang w:val="en-GB"/>
        </w:rPr>
        <w:t>han using raw materials [</w:t>
      </w:r>
      <w:r w:rsidR="00A03430" w:rsidRPr="00FD0336">
        <w:rPr>
          <w:lang w:val="en-GB"/>
        </w:rPr>
        <w:t>25,</w:t>
      </w:r>
      <w:r w:rsidR="007A0414" w:rsidRPr="00FD0336">
        <w:rPr>
          <w:lang w:val="en-GB"/>
        </w:rPr>
        <w:t>29</w:t>
      </w:r>
      <w:r w:rsidRPr="00FD0336">
        <w:rPr>
          <w:lang w:val="en-GB"/>
        </w:rPr>
        <w:t>]. High investment costs are a barrier to many circular economy ideas tha</w:t>
      </w:r>
      <w:r w:rsidR="006D5864" w:rsidRPr="00FD0336">
        <w:rPr>
          <w:lang w:val="en-GB"/>
        </w:rPr>
        <w:t>t require new infrastructure [29</w:t>
      </w:r>
      <w:r w:rsidRPr="00FD0336">
        <w:rPr>
          <w:lang w:val="en-GB"/>
        </w:rPr>
        <w:t>]. If the circular economy is to be implemented</w:t>
      </w:r>
      <w:r w:rsidR="006B72E0">
        <w:rPr>
          <w:lang w:val="en-GB"/>
        </w:rPr>
        <w:t>,</w:t>
      </w:r>
      <w:r w:rsidRPr="00FD0336">
        <w:rPr>
          <w:lang w:val="en-GB"/>
        </w:rPr>
        <w:t xml:space="preserve"> these barriers will need to be better understood and overcome. The circular economy has</w:t>
      </w:r>
      <w:r w:rsidR="007A0414" w:rsidRPr="00FD0336">
        <w:rPr>
          <w:lang w:val="en-GB"/>
        </w:rPr>
        <w:t xml:space="preserve"> also</w:t>
      </w:r>
      <w:r w:rsidRPr="00FD0336">
        <w:rPr>
          <w:lang w:val="en-GB"/>
        </w:rPr>
        <w:t xml:space="preserve"> been described as a niche discussion, lacking wider acceptance and acknowledgement [</w:t>
      </w:r>
      <w:r w:rsidR="006D5864" w:rsidRPr="00FD0336">
        <w:rPr>
          <w:lang w:val="en-GB"/>
        </w:rPr>
        <w:t>24</w:t>
      </w:r>
      <w:r w:rsidR="009D5E99" w:rsidRPr="00FD0336">
        <w:rPr>
          <w:lang w:val="en-GB"/>
        </w:rPr>
        <w:t>]</w:t>
      </w:r>
      <w:r w:rsidR="007A0414" w:rsidRPr="00FD0336">
        <w:rPr>
          <w:lang w:val="en-GB"/>
        </w:rPr>
        <w:t>, which places it at risk of failing to achieve widespread adoption.</w:t>
      </w:r>
    </w:p>
    <w:p w14:paraId="42CAACCC" w14:textId="2122A414" w:rsidR="006031B8" w:rsidRPr="00FD0336" w:rsidRDefault="006031B8" w:rsidP="004F2BC6">
      <w:pPr>
        <w:pStyle w:val="MDPI31text"/>
        <w:rPr>
          <w:lang w:val="en-GB"/>
        </w:rPr>
      </w:pPr>
      <w:proofErr w:type="gramStart"/>
      <w:r w:rsidRPr="00FD0336">
        <w:rPr>
          <w:lang w:val="en-GB"/>
        </w:rPr>
        <w:t>In order for</w:t>
      </w:r>
      <w:proofErr w:type="gramEnd"/>
      <w:r w:rsidRPr="00FD0336">
        <w:rPr>
          <w:lang w:val="en-GB"/>
        </w:rPr>
        <w:t xml:space="preserve"> these barri</w:t>
      </w:r>
      <w:r w:rsidR="007A0414" w:rsidRPr="00FD0336">
        <w:rPr>
          <w:lang w:val="en-GB"/>
        </w:rPr>
        <w:t>ers to be overcome, key enabling factors</w:t>
      </w:r>
      <w:r w:rsidRPr="00FD0336">
        <w:rPr>
          <w:lang w:val="en-GB"/>
        </w:rPr>
        <w:t xml:space="preserve"> can be encouraged to create better conditions for CE to thrive [</w:t>
      </w:r>
      <w:r w:rsidR="006D5864" w:rsidRPr="00FD0336">
        <w:rPr>
          <w:lang w:val="en-GB"/>
        </w:rPr>
        <w:t>25</w:t>
      </w:r>
      <w:r w:rsidRPr="00FD0336">
        <w:rPr>
          <w:lang w:val="en-GB"/>
        </w:rPr>
        <w:t>]. Hart et al.</w:t>
      </w:r>
      <w:r w:rsidR="006D5864" w:rsidRPr="00FD0336">
        <w:rPr>
          <w:lang w:val="en-GB"/>
        </w:rPr>
        <w:t xml:space="preserve"> [25] </w:t>
      </w:r>
      <w:r w:rsidRPr="00FD0336">
        <w:rPr>
          <w:lang w:val="en-GB"/>
        </w:rPr>
        <w:t>identified cultural, regulatory</w:t>
      </w:r>
      <w:r w:rsidR="006B72E0">
        <w:rPr>
          <w:lang w:val="en-GB"/>
        </w:rPr>
        <w:t>,</w:t>
      </w:r>
      <w:r w:rsidRPr="00FD0336">
        <w:rPr>
          <w:lang w:val="en-GB"/>
        </w:rPr>
        <w:t xml:space="preserve"> and financial enablers</w:t>
      </w:r>
      <w:r w:rsidR="004C1A44">
        <w:rPr>
          <w:lang w:val="en-GB"/>
        </w:rPr>
        <w:t>,</w:t>
      </w:r>
      <w:r w:rsidRPr="00FD0336">
        <w:rPr>
          <w:lang w:val="en-GB"/>
        </w:rPr>
        <w:t xml:space="preserve"> which can help overcome the challenges facing the circular economy. Among these, </w:t>
      </w:r>
      <w:r w:rsidR="006B72E0">
        <w:rPr>
          <w:lang w:val="en-GB"/>
        </w:rPr>
        <w:t>l</w:t>
      </w:r>
      <w:r w:rsidRPr="00FD0336">
        <w:rPr>
          <w:lang w:val="en-GB"/>
        </w:rPr>
        <w:t>eadership has been highlighted as a key enabler for CE, with leadership from the top being seen as critical [</w:t>
      </w:r>
      <w:r w:rsidR="006D5864" w:rsidRPr="00FD0336">
        <w:rPr>
          <w:lang w:val="en-GB"/>
        </w:rPr>
        <w:t>25</w:t>
      </w:r>
      <w:r w:rsidRPr="00FD0336">
        <w:rPr>
          <w:lang w:val="en-GB"/>
        </w:rPr>
        <w:t xml:space="preserve">]. This is further demonstrated by </w:t>
      </w:r>
      <w:proofErr w:type="spellStart"/>
      <w:r w:rsidR="006D5864" w:rsidRPr="00FD0336">
        <w:rPr>
          <w:lang w:val="en-GB"/>
        </w:rPr>
        <w:t>Moktadir</w:t>
      </w:r>
      <w:proofErr w:type="spellEnd"/>
      <w:r w:rsidR="006D5864" w:rsidRPr="00FD0336">
        <w:rPr>
          <w:lang w:val="en-GB"/>
        </w:rPr>
        <w:t xml:space="preserve"> et al [30</w:t>
      </w:r>
      <w:r w:rsidRPr="00FD0336">
        <w:rPr>
          <w:lang w:val="en-GB"/>
        </w:rPr>
        <w:t>], who highlighted the importance of leadership on CE. Cooperation and networking within and between businesses and stakeholders has also been high</w:t>
      </w:r>
      <w:r w:rsidR="006D5864" w:rsidRPr="00FD0336">
        <w:rPr>
          <w:lang w:val="en-GB"/>
        </w:rPr>
        <w:t>lighted as a key enabler of CE [10,31</w:t>
      </w:r>
      <w:r w:rsidR="00A03430" w:rsidRPr="00FD0336">
        <w:rPr>
          <w:lang w:val="en-GB"/>
        </w:rPr>
        <w:t>–</w:t>
      </w:r>
      <w:r w:rsidR="006D5864" w:rsidRPr="00FD0336">
        <w:rPr>
          <w:lang w:val="en-GB"/>
        </w:rPr>
        <w:t>33</w:t>
      </w:r>
      <w:r w:rsidRPr="00FD0336">
        <w:rPr>
          <w:lang w:val="en-GB"/>
        </w:rPr>
        <w:t xml:space="preserve">]. Another key factor </w:t>
      </w:r>
      <w:r w:rsidR="00601599">
        <w:rPr>
          <w:lang w:val="en-GB"/>
        </w:rPr>
        <w:t>that</w:t>
      </w:r>
      <w:r w:rsidR="00601599" w:rsidRPr="00FD0336">
        <w:rPr>
          <w:lang w:val="en-GB"/>
        </w:rPr>
        <w:t xml:space="preserve"> </w:t>
      </w:r>
      <w:r w:rsidRPr="00FD0336">
        <w:rPr>
          <w:lang w:val="en-GB"/>
        </w:rPr>
        <w:t xml:space="preserve">emerges from the literature is the importance of information sharing and awareness of CE </w:t>
      </w:r>
      <w:r w:rsidR="006D5864" w:rsidRPr="00FD0336">
        <w:rPr>
          <w:lang w:val="en-GB"/>
        </w:rPr>
        <w:t>[30</w:t>
      </w:r>
      <w:r w:rsidRPr="00FD0336">
        <w:rPr>
          <w:lang w:val="en-GB"/>
        </w:rPr>
        <w:t>,</w:t>
      </w:r>
      <w:r w:rsidR="006D5864" w:rsidRPr="00FD0336">
        <w:rPr>
          <w:lang w:val="en-GB"/>
        </w:rPr>
        <w:t>32</w:t>
      </w:r>
      <w:r w:rsidRPr="00FD0336">
        <w:rPr>
          <w:lang w:val="en-GB"/>
        </w:rPr>
        <w:t>]. Regulatory enablers</w:t>
      </w:r>
      <w:r w:rsidR="00601599">
        <w:rPr>
          <w:lang w:val="en-GB"/>
        </w:rPr>
        <w:t>,</w:t>
      </w:r>
      <w:r w:rsidRPr="00FD0336">
        <w:rPr>
          <w:lang w:val="en-GB"/>
        </w:rPr>
        <w:t xml:space="preserve"> such as policy support, regulatory reform</w:t>
      </w:r>
      <w:r w:rsidR="00601599">
        <w:rPr>
          <w:lang w:val="en-GB"/>
        </w:rPr>
        <w:t>,</w:t>
      </w:r>
      <w:r w:rsidRPr="00FD0336">
        <w:rPr>
          <w:lang w:val="en-GB"/>
        </w:rPr>
        <w:t xml:space="preserve"> and incentives for CE are also important [</w:t>
      </w:r>
      <w:r w:rsidR="006D5864" w:rsidRPr="00FD0336">
        <w:rPr>
          <w:lang w:val="en-GB"/>
        </w:rPr>
        <w:t>25</w:t>
      </w:r>
      <w:r w:rsidRPr="00FD0336">
        <w:rPr>
          <w:lang w:val="en-GB"/>
        </w:rPr>
        <w:t>]. Creating a strong business case for CE can also be used to overcome the financial barriers [</w:t>
      </w:r>
      <w:r w:rsidR="006D5864" w:rsidRPr="00FD0336">
        <w:rPr>
          <w:lang w:val="en-GB"/>
        </w:rPr>
        <w:t>25,32</w:t>
      </w:r>
      <w:r w:rsidRPr="00FD0336">
        <w:rPr>
          <w:lang w:val="en-GB"/>
        </w:rPr>
        <w:t>]</w:t>
      </w:r>
      <w:r w:rsidR="007A0414" w:rsidRPr="00FD0336">
        <w:rPr>
          <w:lang w:val="en-GB"/>
        </w:rPr>
        <w:t>.</w:t>
      </w:r>
    </w:p>
    <w:p w14:paraId="13990E3D" w14:textId="48FD5581" w:rsidR="006031B8" w:rsidRPr="00FD0336" w:rsidRDefault="004F2BC6" w:rsidP="004F2BC6">
      <w:pPr>
        <w:pStyle w:val="MDPI23heading3"/>
        <w:spacing w:before="240"/>
        <w:rPr>
          <w:lang w:val="en-GB"/>
        </w:rPr>
      </w:pPr>
      <w:r w:rsidRPr="00FD0336">
        <w:rPr>
          <w:lang w:val="en-GB"/>
        </w:rPr>
        <w:t xml:space="preserve">1.2.1. </w:t>
      </w:r>
      <w:r w:rsidR="006031B8" w:rsidRPr="00FD0336">
        <w:rPr>
          <w:lang w:val="en-GB"/>
        </w:rPr>
        <w:t xml:space="preserve">Circular Economy and </w:t>
      </w:r>
      <w:r w:rsidR="00B76AC7" w:rsidRPr="00FD0336">
        <w:rPr>
          <w:lang w:val="en-GB"/>
        </w:rPr>
        <w:t>P</w:t>
      </w:r>
      <w:r w:rsidR="006031B8" w:rsidRPr="00FD0336">
        <w:rPr>
          <w:lang w:val="en-GB"/>
        </w:rPr>
        <w:t>ort</w:t>
      </w:r>
      <w:r w:rsidR="00851E06">
        <w:rPr>
          <w:lang w:val="en-GB"/>
        </w:rPr>
        <w:t xml:space="preserve"> </w:t>
      </w:r>
      <w:r w:rsidR="00B76AC7" w:rsidRPr="00FD0336">
        <w:rPr>
          <w:lang w:val="en-GB"/>
        </w:rPr>
        <w:t>C</w:t>
      </w:r>
      <w:r w:rsidR="006031B8" w:rsidRPr="00FD0336">
        <w:rPr>
          <w:lang w:val="en-GB"/>
        </w:rPr>
        <w:t>ities</w:t>
      </w:r>
    </w:p>
    <w:p w14:paraId="52214502" w14:textId="39C5FF38" w:rsidR="006031B8" w:rsidRPr="00FD0336" w:rsidRDefault="006D5864" w:rsidP="004F2BC6">
      <w:pPr>
        <w:pStyle w:val="MDPI31text"/>
        <w:rPr>
          <w:lang w:val="en-GB"/>
        </w:rPr>
      </w:pPr>
      <w:proofErr w:type="spellStart"/>
      <w:r w:rsidRPr="00FD0336">
        <w:rPr>
          <w:lang w:val="en-GB"/>
        </w:rPr>
        <w:t>Gravagnuolo</w:t>
      </w:r>
      <w:proofErr w:type="spellEnd"/>
      <w:r w:rsidRPr="00FD0336">
        <w:rPr>
          <w:lang w:val="en-GB"/>
        </w:rPr>
        <w:t xml:space="preserve"> et al. [31</w:t>
      </w:r>
      <w:r w:rsidR="006031B8" w:rsidRPr="00FD0336">
        <w:rPr>
          <w:lang w:val="en-GB"/>
        </w:rPr>
        <w:t>] stated that the transition to a circular economy requires a cultural paradigm shift across all sectors. Port</w:t>
      </w:r>
      <w:r w:rsidR="00851E06">
        <w:rPr>
          <w:lang w:val="en-GB"/>
        </w:rPr>
        <w:t xml:space="preserve"> </w:t>
      </w:r>
      <w:r w:rsidR="006031B8" w:rsidRPr="00FD0336">
        <w:rPr>
          <w:lang w:val="en-GB"/>
        </w:rPr>
        <w:t>cities may be ideally placed to lead this transition due to being a hotbed of industry, end-of-life products</w:t>
      </w:r>
      <w:r w:rsidR="00601599">
        <w:rPr>
          <w:lang w:val="en-GB"/>
        </w:rPr>
        <w:t>,</w:t>
      </w:r>
      <w:r w:rsidR="006031B8" w:rsidRPr="00FD0336">
        <w:rPr>
          <w:lang w:val="en-GB"/>
        </w:rPr>
        <w:t xml:space="preserve"> and secondary raw materials, as</w:t>
      </w:r>
      <w:r w:rsidRPr="00FD0336">
        <w:rPr>
          <w:lang w:val="en-GB"/>
        </w:rPr>
        <w:t xml:space="preserve"> well as potential consumers [34</w:t>
      </w:r>
      <w:r w:rsidR="006031B8" w:rsidRPr="00FD0336">
        <w:rPr>
          <w:lang w:val="en-GB"/>
        </w:rPr>
        <w:t>]. Due to this, CE in ports has become an emerging area of research in recent years [</w:t>
      </w:r>
      <w:r w:rsidRPr="00FD0336">
        <w:rPr>
          <w:lang w:val="en-GB"/>
        </w:rPr>
        <w:t>10</w:t>
      </w:r>
      <w:r w:rsidR="006031B8" w:rsidRPr="00FD0336">
        <w:rPr>
          <w:lang w:val="en-GB"/>
        </w:rPr>
        <w:t>]</w:t>
      </w:r>
    </w:p>
    <w:p w14:paraId="2DE44E4B" w14:textId="34D04BA6" w:rsidR="00CB3347" w:rsidRPr="00FD0336" w:rsidRDefault="006031B8" w:rsidP="004F2BC6">
      <w:pPr>
        <w:pStyle w:val="MDPI31text"/>
        <w:rPr>
          <w:lang w:val="en-GB"/>
        </w:rPr>
      </w:pPr>
      <w:r w:rsidRPr="00FD0336">
        <w:rPr>
          <w:lang w:val="en-GB"/>
        </w:rPr>
        <w:t>Ports adopting CE can help add economic value, reduce the environmental impacts</w:t>
      </w:r>
      <w:r w:rsidR="00601599">
        <w:rPr>
          <w:lang w:val="en-GB"/>
        </w:rPr>
        <w:t>,</w:t>
      </w:r>
      <w:r w:rsidRPr="00FD0336">
        <w:rPr>
          <w:lang w:val="en-GB"/>
        </w:rPr>
        <w:t xml:space="preserve"> and provide social benefits, making it an excellent example of sustainable development. </w:t>
      </w:r>
      <w:r w:rsidR="00115682" w:rsidRPr="00FD0336">
        <w:rPr>
          <w:lang w:val="en-GB"/>
        </w:rPr>
        <w:t>T</w:t>
      </w:r>
      <w:r w:rsidR="00CB3347" w:rsidRPr="00FD0336">
        <w:rPr>
          <w:lang w:val="en-GB"/>
        </w:rPr>
        <w:t>he circular economy transition in ports has the potential to create employment opportunities in a range of new sectors depending on the opportunities available in each port.</w:t>
      </w:r>
      <w:r w:rsidR="00115682" w:rsidRPr="00FD0336">
        <w:rPr>
          <w:lang w:val="en-GB"/>
        </w:rPr>
        <w:t xml:space="preserve"> These jobs can occupy</w:t>
      </w:r>
      <w:r w:rsidR="0002426C" w:rsidRPr="00FD0336">
        <w:rPr>
          <w:lang w:val="en-GB"/>
        </w:rPr>
        <w:t xml:space="preserve"> all skill levels within the labour</w:t>
      </w:r>
      <w:r w:rsidR="00115682" w:rsidRPr="00FD0336">
        <w:rPr>
          <w:lang w:val="en-GB"/>
        </w:rPr>
        <w:t xml:space="preserve"> </w:t>
      </w:r>
      <w:proofErr w:type="gramStart"/>
      <w:r w:rsidR="00115682" w:rsidRPr="00FD0336">
        <w:rPr>
          <w:lang w:val="en-GB"/>
        </w:rPr>
        <w:t>market,</w:t>
      </w:r>
      <w:r w:rsidR="0002426C" w:rsidRPr="00FD0336">
        <w:rPr>
          <w:lang w:val="en-GB"/>
        </w:rPr>
        <w:t xml:space="preserve"> and</w:t>
      </w:r>
      <w:proofErr w:type="gramEnd"/>
      <w:r w:rsidR="0002426C" w:rsidRPr="00FD0336">
        <w:rPr>
          <w:lang w:val="en-GB"/>
        </w:rPr>
        <w:t xml:space="preserve"> be used to encourage development in deprived </w:t>
      </w:r>
      <w:r w:rsidR="0002426C" w:rsidRPr="001D19A9">
        <w:rPr>
          <w:lang w:val="en-GB"/>
        </w:rPr>
        <w:t xml:space="preserve">regions </w:t>
      </w:r>
      <w:r w:rsidR="0002426C" w:rsidRPr="00001C64">
        <w:rPr>
          <w:lang w:val="en-GB"/>
        </w:rPr>
        <w:t>[</w:t>
      </w:r>
      <w:r w:rsidR="00C874EE" w:rsidRPr="00001C64">
        <w:rPr>
          <w:lang w:val="en-GB"/>
        </w:rPr>
        <w:t>3</w:t>
      </w:r>
      <w:r w:rsidR="00B61B6C" w:rsidRPr="00001C64">
        <w:rPr>
          <w:lang w:val="en-GB"/>
        </w:rPr>
        <w:t>5</w:t>
      </w:r>
      <w:r w:rsidR="00C874EE" w:rsidRPr="00001C64">
        <w:rPr>
          <w:lang w:val="en-GB"/>
        </w:rPr>
        <w:t>]</w:t>
      </w:r>
      <w:r w:rsidR="0002426C" w:rsidRPr="00001C64">
        <w:rPr>
          <w:lang w:val="en-GB"/>
        </w:rPr>
        <w:t>.</w:t>
      </w:r>
      <w:r w:rsidR="0002426C" w:rsidRPr="00FD0336">
        <w:rPr>
          <w:lang w:val="en-GB"/>
        </w:rPr>
        <w:t xml:space="preserve"> </w:t>
      </w:r>
      <w:r w:rsidR="00115682" w:rsidRPr="00FD0336">
        <w:rPr>
          <w:lang w:val="en-GB"/>
        </w:rPr>
        <w:t xml:space="preserve">This can help increase local support for the port and contribute to the social license to operate, addressing some of the issues created by declining port employment due to trends </w:t>
      </w:r>
      <w:r w:rsidR="00601599">
        <w:rPr>
          <w:lang w:val="en-GB"/>
        </w:rPr>
        <w:t>such as</w:t>
      </w:r>
      <w:r w:rsidR="00601599" w:rsidRPr="00FD0336">
        <w:rPr>
          <w:lang w:val="en-GB"/>
        </w:rPr>
        <w:t xml:space="preserve"> </w:t>
      </w:r>
      <w:r w:rsidR="00115682" w:rsidRPr="00FD0336">
        <w:rPr>
          <w:lang w:val="en-GB"/>
        </w:rPr>
        <w:t xml:space="preserve">increasing automation. </w:t>
      </w:r>
      <w:r w:rsidR="0002426C" w:rsidRPr="00FD0336">
        <w:rPr>
          <w:lang w:val="en-GB"/>
        </w:rPr>
        <w:t>This addresses the often</w:t>
      </w:r>
      <w:r w:rsidR="004C1A44">
        <w:rPr>
          <w:lang w:val="en-GB"/>
        </w:rPr>
        <w:t>-</w:t>
      </w:r>
      <w:r w:rsidR="0002426C" w:rsidRPr="00FD0336">
        <w:rPr>
          <w:lang w:val="en-GB"/>
        </w:rPr>
        <w:t>neglected social dimension of sustainability.</w:t>
      </w:r>
    </w:p>
    <w:p w14:paraId="6161461A" w14:textId="35F2EF1B" w:rsidR="006031B8" w:rsidRPr="00FD0336" w:rsidRDefault="006031B8" w:rsidP="004F2BC6">
      <w:pPr>
        <w:pStyle w:val="MDPI31text"/>
        <w:rPr>
          <w:b/>
          <w:lang w:val="en-GB"/>
        </w:rPr>
      </w:pPr>
      <w:r w:rsidRPr="00FD0336">
        <w:rPr>
          <w:lang w:val="en-GB"/>
        </w:rPr>
        <w:t xml:space="preserve">ESPO [7] discovered that ship waste and port waste are the </w:t>
      </w:r>
      <w:r w:rsidR="00601599">
        <w:rPr>
          <w:lang w:val="en-GB"/>
        </w:rPr>
        <w:t>six</w:t>
      </w:r>
      <w:r w:rsidR="00E82C92" w:rsidRPr="00FD0336">
        <w:rPr>
          <w:lang w:val="en-GB"/>
        </w:rPr>
        <w:t>t</w:t>
      </w:r>
      <w:r w:rsidRPr="00FD0336">
        <w:rPr>
          <w:lang w:val="en-GB"/>
        </w:rPr>
        <w:t xml:space="preserve">h and </w:t>
      </w:r>
      <w:r w:rsidR="00601599">
        <w:rPr>
          <w:lang w:val="en-GB"/>
        </w:rPr>
        <w:t>eigh</w:t>
      </w:r>
      <w:r w:rsidRPr="00FD0336">
        <w:rPr>
          <w:lang w:val="en-GB"/>
        </w:rPr>
        <w:t>th highest ranked environmental priorities of European ports, highlighting the importance of this issue to port authorities. Examples of the circular economy within ports are mostly found wit</w:t>
      </w:r>
      <w:r w:rsidR="006D5864" w:rsidRPr="00FD0336">
        <w:rPr>
          <w:lang w:val="en-GB"/>
        </w:rPr>
        <w:t>hin Europe and North America [18</w:t>
      </w:r>
      <w:r w:rsidRPr="00FD0336">
        <w:rPr>
          <w:lang w:val="en-GB"/>
        </w:rPr>
        <w:t>]. Considering that many of the world's largest and most impactful ports are f</w:t>
      </w:r>
      <w:r w:rsidR="006D5864" w:rsidRPr="00FD0336">
        <w:rPr>
          <w:lang w:val="en-GB"/>
        </w:rPr>
        <w:t>ound in the developing world [3</w:t>
      </w:r>
      <w:r w:rsidR="00B61B6C">
        <w:rPr>
          <w:lang w:val="en-GB"/>
        </w:rPr>
        <w:t>6</w:t>
      </w:r>
      <w:r w:rsidRPr="00FD0336">
        <w:rPr>
          <w:lang w:val="en-GB"/>
        </w:rPr>
        <w:t>], greater emphasis must be placed o</w:t>
      </w:r>
      <w:r w:rsidR="009D5E99" w:rsidRPr="00FD0336">
        <w:rPr>
          <w:lang w:val="en-GB"/>
        </w:rPr>
        <w:t>n the circular economy globally and greater research is needed in these regions.</w:t>
      </w:r>
    </w:p>
    <w:p w14:paraId="168CA1A6" w14:textId="720D635E" w:rsidR="007D4A7A" w:rsidRPr="00FD0336" w:rsidRDefault="006031B8" w:rsidP="004F2BC6">
      <w:pPr>
        <w:pStyle w:val="MDPI31text"/>
        <w:rPr>
          <w:lang w:val="en-GB"/>
        </w:rPr>
      </w:pPr>
      <w:r w:rsidRPr="00FD0336">
        <w:rPr>
          <w:lang w:val="en-GB"/>
        </w:rPr>
        <w:t xml:space="preserve">Some examples of </w:t>
      </w:r>
      <w:r w:rsidR="00601599">
        <w:rPr>
          <w:lang w:val="en-GB"/>
        </w:rPr>
        <w:t xml:space="preserve">a </w:t>
      </w:r>
      <w:r w:rsidRPr="00FD0336">
        <w:rPr>
          <w:lang w:val="en-GB"/>
        </w:rPr>
        <w:t>circular economy in ports are already adopted, such as reusing dredged materials. This can be seen in the port of Gavle, Sweden, where dredged material was used to create</w:t>
      </w:r>
      <w:r w:rsidR="006D5864" w:rsidRPr="00FD0336">
        <w:rPr>
          <w:lang w:val="en-GB"/>
        </w:rPr>
        <w:t xml:space="preserve"> new land for port expansion [3</w:t>
      </w:r>
      <w:r w:rsidR="00B61B6C">
        <w:rPr>
          <w:lang w:val="en-GB"/>
        </w:rPr>
        <w:t>7</w:t>
      </w:r>
      <w:r w:rsidRPr="00FD0336">
        <w:rPr>
          <w:lang w:val="en-GB"/>
        </w:rPr>
        <w:t>]. This enabled the port to grow whilst reusing waste produced via routine dredging in the port. A further example can be found in the port of Southampton, which uses dredged materials for a range of beneficial pur</w:t>
      </w:r>
      <w:r w:rsidRPr="00FD0336">
        <w:rPr>
          <w:lang w:val="en-GB"/>
        </w:rPr>
        <w:lastRenderedPageBreak/>
        <w:t>poses</w:t>
      </w:r>
      <w:r w:rsidR="00601599">
        <w:rPr>
          <w:lang w:val="en-GB"/>
        </w:rPr>
        <w:t>,</w:t>
      </w:r>
      <w:r w:rsidR="006D5864" w:rsidRPr="00FD0336">
        <w:rPr>
          <w:lang w:val="en-GB"/>
        </w:rPr>
        <w:t xml:space="preserve"> such as beach replenishment [3</w:t>
      </w:r>
      <w:r w:rsidR="00B61B6C">
        <w:rPr>
          <w:lang w:val="en-GB"/>
        </w:rPr>
        <w:t>8</w:t>
      </w:r>
      <w:r w:rsidRPr="00FD0336">
        <w:rPr>
          <w:lang w:val="en-GB"/>
        </w:rPr>
        <w:t>]. The port of Rotterdam captures CO2 from industrial processes within the port area and provides it to local greenhou</w:t>
      </w:r>
      <w:r w:rsidR="006D5864" w:rsidRPr="00FD0336">
        <w:rPr>
          <w:lang w:val="en-GB"/>
        </w:rPr>
        <w:t>ses to improve crops' growth [3</w:t>
      </w:r>
      <w:r w:rsidR="00B61B6C">
        <w:rPr>
          <w:lang w:val="en-GB"/>
        </w:rPr>
        <w:t>9</w:t>
      </w:r>
      <w:r w:rsidRPr="00FD0336">
        <w:rPr>
          <w:lang w:val="en-GB"/>
        </w:rPr>
        <w:t>]. Antwerp's port reuses waste products from the petrochemical industry that can be reused by other companies, benefi</w:t>
      </w:r>
      <w:r w:rsidR="006D5864" w:rsidRPr="00FD0336">
        <w:rPr>
          <w:lang w:val="en-GB"/>
        </w:rPr>
        <w:t>ting from economies of scope [</w:t>
      </w:r>
      <w:r w:rsidR="00B61B6C">
        <w:rPr>
          <w:lang w:val="en-GB"/>
        </w:rPr>
        <w:t>40</w:t>
      </w:r>
      <w:r w:rsidRPr="00FD0336">
        <w:rPr>
          <w:lang w:val="en-GB"/>
        </w:rPr>
        <w:t xml:space="preserve">]. This suggests that large ports may be well situated to utilise circular economy principles. Companies such as </w:t>
      </w:r>
      <w:proofErr w:type="spellStart"/>
      <w:r w:rsidRPr="00FD0336">
        <w:rPr>
          <w:lang w:val="en-GB"/>
        </w:rPr>
        <w:t>Qpinch</w:t>
      </w:r>
      <w:proofErr w:type="spellEnd"/>
      <w:r w:rsidRPr="00FD0336">
        <w:rPr>
          <w:lang w:val="en-GB"/>
        </w:rPr>
        <w:t xml:space="preserve"> have demonstrated ways to reclaim residual heat from the port whilst simultaneously reducing energy b</w:t>
      </w:r>
      <w:r w:rsidR="006D5864" w:rsidRPr="00FD0336">
        <w:rPr>
          <w:lang w:val="en-GB"/>
        </w:rPr>
        <w:t>ills [4</w:t>
      </w:r>
      <w:r w:rsidR="00B61B6C">
        <w:rPr>
          <w:lang w:val="en-GB"/>
        </w:rPr>
        <w:t>1</w:t>
      </w:r>
      <w:r w:rsidRPr="00FD0336">
        <w:rPr>
          <w:lang w:val="en-GB"/>
        </w:rPr>
        <w:t>] Old port land can be repurposed for new purposes and benefit from existing facilities. An example of this</w:t>
      </w:r>
      <w:r w:rsidR="00601599">
        <w:rPr>
          <w:lang w:val="en-GB"/>
        </w:rPr>
        <w:t>,</w:t>
      </w:r>
      <w:r w:rsidRPr="00FD0336">
        <w:rPr>
          <w:lang w:val="en-GB"/>
        </w:rPr>
        <w:t xml:space="preserve"> which has already been implemented in many ports</w:t>
      </w:r>
      <w:r w:rsidR="00601599">
        <w:rPr>
          <w:lang w:val="en-GB"/>
        </w:rPr>
        <w:t>,</w:t>
      </w:r>
      <w:r w:rsidRPr="00FD0336">
        <w:rPr>
          <w:lang w:val="en-GB"/>
        </w:rPr>
        <w:t xml:space="preserve"> is combined heat and power schemes (CHP), such as the residual waste incinerator in Plymouth, UK, which provides hot water to residential areas within the naval base via existing naval piping systems [</w:t>
      </w:r>
      <w:r w:rsidR="006D5864" w:rsidRPr="00FD0336">
        <w:rPr>
          <w:lang w:val="en-GB"/>
        </w:rPr>
        <w:t>4</w:t>
      </w:r>
      <w:r w:rsidR="00B61B6C">
        <w:rPr>
          <w:lang w:val="en-GB"/>
        </w:rPr>
        <w:t>2</w:t>
      </w:r>
      <w:r w:rsidRPr="00FD0336">
        <w:rPr>
          <w:lang w:val="en-GB"/>
        </w:rPr>
        <w:t>] or the P</w:t>
      </w:r>
      <w:r w:rsidR="00FD5AB3" w:rsidRPr="00FD0336">
        <w:rPr>
          <w:lang w:val="en-GB"/>
        </w:rPr>
        <w:t>ort of Liverpool’s CHP plant [4</w:t>
      </w:r>
      <w:r w:rsidR="00B61B6C">
        <w:rPr>
          <w:lang w:val="en-GB"/>
        </w:rPr>
        <w:t>3</w:t>
      </w:r>
      <w:r w:rsidRPr="00FD0336">
        <w:rPr>
          <w:lang w:val="en-GB"/>
        </w:rPr>
        <w:t>]. There is also considerable potential for circular economy thinking to be applied to issues that are unique to ports and have been poorly addressed to date. A good example of this is the correct disposal</w:t>
      </w:r>
      <w:r w:rsidR="00601599">
        <w:rPr>
          <w:lang w:val="en-GB"/>
        </w:rPr>
        <w:t>—</w:t>
      </w:r>
      <w:r w:rsidRPr="00FD0336">
        <w:rPr>
          <w:lang w:val="en-GB"/>
        </w:rPr>
        <w:t>and reuse or recycling</w:t>
      </w:r>
      <w:r w:rsidR="00601599">
        <w:rPr>
          <w:lang w:val="en-GB"/>
        </w:rPr>
        <w:t>—</w:t>
      </w:r>
      <w:r w:rsidRPr="00FD0336">
        <w:rPr>
          <w:lang w:val="en-GB"/>
        </w:rPr>
        <w:t>of</w:t>
      </w:r>
      <w:r w:rsidR="00601599">
        <w:rPr>
          <w:lang w:val="en-GB"/>
        </w:rPr>
        <w:t xml:space="preserve"> </w:t>
      </w:r>
      <w:r w:rsidRPr="00FD0336">
        <w:rPr>
          <w:lang w:val="en-GB"/>
        </w:rPr>
        <w:t>end-of-life fishing gear and ropes. Abandoned, lost</w:t>
      </w:r>
      <w:r w:rsidR="002A7208">
        <w:rPr>
          <w:lang w:val="en-GB"/>
        </w:rPr>
        <w:t>,</w:t>
      </w:r>
      <w:r w:rsidRPr="00FD0336">
        <w:rPr>
          <w:lang w:val="en-GB"/>
        </w:rPr>
        <w:t xml:space="preserve"> or otherwise discarded fishing gear creates a range of environmental, as we</w:t>
      </w:r>
      <w:r w:rsidR="00FD5AB3" w:rsidRPr="00FD0336">
        <w:rPr>
          <w:lang w:val="en-GB"/>
        </w:rPr>
        <w:t>ll as socioeconomic impacts [4</w:t>
      </w:r>
      <w:r w:rsidR="00B61B6C">
        <w:rPr>
          <w:lang w:val="en-GB"/>
        </w:rPr>
        <w:t>4</w:t>
      </w:r>
      <w:r w:rsidRPr="00FD0336">
        <w:rPr>
          <w:lang w:val="en-GB"/>
        </w:rPr>
        <w:t>]. Correctly disposing of, repairing</w:t>
      </w:r>
      <w:r w:rsidR="002A7208">
        <w:rPr>
          <w:lang w:val="en-GB"/>
        </w:rPr>
        <w:t>,</w:t>
      </w:r>
      <w:r w:rsidRPr="00FD0336">
        <w:rPr>
          <w:lang w:val="en-GB"/>
        </w:rPr>
        <w:t xml:space="preserve"> and re-using fishing gear would contribute greatly to reducing these impacts. This will require the facilities to receive, collect, process, recycle</w:t>
      </w:r>
      <w:r w:rsidR="002A7208">
        <w:rPr>
          <w:lang w:val="en-GB"/>
        </w:rPr>
        <w:t>,</w:t>
      </w:r>
      <w:r w:rsidRPr="00FD0336">
        <w:rPr>
          <w:lang w:val="en-GB"/>
        </w:rPr>
        <w:t xml:space="preserve"> and reuse fishing equipment. It may be difficult for smaller ports to build this infrastructure, which provides an opportunity for larger ports with the required infrastructure to provide a service for their own vessels, as well as those in surrounding ports that lack such infrastructure. A further example of an issue that would benefit from</w:t>
      </w:r>
      <w:r w:rsidR="002A7208">
        <w:rPr>
          <w:lang w:val="en-GB"/>
        </w:rPr>
        <w:t xml:space="preserve"> a</w:t>
      </w:r>
      <w:r w:rsidRPr="00FD0336">
        <w:rPr>
          <w:lang w:val="en-GB"/>
        </w:rPr>
        <w:t xml:space="preserve"> circular economy </w:t>
      </w:r>
      <w:r w:rsidR="002A7208">
        <w:rPr>
          <w:lang w:val="en-GB"/>
        </w:rPr>
        <w:t xml:space="preserve">(from </w:t>
      </w:r>
      <w:r w:rsidRPr="00FD0336">
        <w:rPr>
          <w:lang w:val="en-GB"/>
        </w:rPr>
        <w:t>ports</w:t>
      </w:r>
      <w:r w:rsidR="002A7208">
        <w:rPr>
          <w:lang w:val="en-GB"/>
        </w:rPr>
        <w:t>)</w:t>
      </w:r>
      <w:r w:rsidRPr="00FD0336">
        <w:rPr>
          <w:lang w:val="en-GB"/>
        </w:rPr>
        <w:t xml:space="preserve"> is the handling of sludge, waste</w:t>
      </w:r>
      <w:r w:rsidR="002A7208">
        <w:rPr>
          <w:lang w:val="en-GB"/>
        </w:rPr>
        <w:t>,</w:t>
      </w:r>
      <w:r w:rsidRPr="00FD0336">
        <w:rPr>
          <w:lang w:val="en-GB"/>
        </w:rPr>
        <w:t xml:space="preserve"> and wash water from open and closed-loop scrubbers. Wash water from open</w:t>
      </w:r>
      <w:r w:rsidR="004C1A44">
        <w:rPr>
          <w:lang w:val="en-GB"/>
        </w:rPr>
        <w:t xml:space="preserve"> </w:t>
      </w:r>
      <w:r w:rsidRPr="00FD0336">
        <w:rPr>
          <w:lang w:val="en-GB"/>
        </w:rPr>
        <w:t xml:space="preserve">loop scrubbers disposed of at sea has been shown to contribute to acidification, as well as polluting the environment with </w:t>
      </w:r>
      <w:r w:rsidR="004C1A44">
        <w:rPr>
          <w:lang w:val="en-GB"/>
        </w:rPr>
        <w:t>p</w:t>
      </w:r>
      <w:r w:rsidRPr="00FD0336">
        <w:rPr>
          <w:lang w:val="en-GB"/>
        </w:rPr>
        <w:t>olycyclic aromatic hydrocarbons, he</w:t>
      </w:r>
      <w:r w:rsidR="00FD5AB3" w:rsidRPr="00FD0336">
        <w:rPr>
          <w:lang w:val="en-GB"/>
        </w:rPr>
        <w:t>avy metals, nitrogen</w:t>
      </w:r>
      <w:r w:rsidR="002A7208">
        <w:rPr>
          <w:lang w:val="en-GB"/>
        </w:rPr>
        <w:t>,</w:t>
      </w:r>
      <w:r w:rsidR="00FD5AB3" w:rsidRPr="00FD0336">
        <w:rPr>
          <w:lang w:val="en-GB"/>
        </w:rPr>
        <w:t xml:space="preserve"> and </w:t>
      </w:r>
      <w:proofErr w:type="spellStart"/>
      <w:r w:rsidR="00FD5AB3" w:rsidRPr="00FD0336">
        <w:rPr>
          <w:lang w:val="en-GB"/>
        </w:rPr>
        <w:t>SOx</w:t>
      </w:r>
      <w:proofErr w:type="spellEnd"/>
      <w:r w:rsidR="00FD5AB3" w:rsidRPr="00FD0336">
        <w:rPr>
          <w:lang w:val="en-GB"/>
        </w:rPr>
        <w:t xml:space="preserve"> [4</w:t>
      </w:r>
      <w:r w:rsidR="00B61B6C">
        <w:rPr>
          <w:lang w:val="en-GB"/>
        </w:rPr>
        <w:t>5</w:t>
      </w:r>
      <w:r w:rsidRPr="00FD0336">
        <w:rPr>
          <w:lang w:val="en-GB"/>
        </w:rPr>
        <w:t>]. Closed-loop scrubbers should therefore be the preferred option; however, ports will need the facilities to deal with this. Whilst it remains cost-effective to utilise scrubbers rather than switching to low sulphur fuel, these issues can be expected to become more widespread. It is essential that ports of the future are equipped to deal with this waste and reuse/recycle it wherever possible. For example, sludge from scrubbers may have o</w:t>
      </w:r>
      <w:r w:rsidR="00FD5AB3" w:rsidRPr="00FD0336">
        <w:rPr>
          <w:lang w:val="en-GB"/>
        </w:rPr>
        <w:t>ther uses, such as in cement [4</w:t>
      </w:r>
      <w:r w:rsidR="00B61B6C">
        <w:rPr>
          <w:lang w:val="en-GB"/>
        </w:rPr>
        <w:t>6</w:t>
      </w:r>
      <w:r w:rsidRPr="00FD0336">
        <w:rPr>
          <w:lang w:val="en-GB"/>
        </w:rPr>
        <w:t>].</w:t>
      </w:r>
    </w:p>
    <w:p w14:paraId="6CBA7982" w14:textId="06A9F7ED" w:rsidR="006031B8" w:rsidRPr="00FD0336" w:rsidRDefault="006031B8" w:rsidP="004F2BC6">
      <w:pPr>
        <w:pStyle w:val="MDPI31text"/>
        <w:rPr>
          <w:lang w:val="en-GB"/>
        </w:rPr>
      </w:pPr>
      <w:r w:rsidRPr="00FD0336">
        <w:rPr>
          <w:lang w:val="en-GB"/>
        </w:rPr>
        <w:t>Port</w:t>
      </w:r>
      <w:r w:rsidR="00851E06">
        <w:rPr>
          <w:lang w:val="en-GB"/>
        </w:rPr>
        <w:t xml:space="preserve"> </w:t>
      </w:r>
      <w:r w:rsidRPr="00FD0336">
        <w:rPr>
          <w:lang w:val="en-GB"/>
        </w:rPr>
        <w:t>cities experience many of the same enabling factors and barriers to CE</w:t>
      </w:r>
      <w:r w:rsidR="007A0414" w:rsidRPr="00FD0336">
        <w:rPr>
          <w:lang w:val="en-GB"/>
        </w:rPr>
        <w:t xml:space="preserve"> as non-port</w:t>
      </w:r>
      <w:r w:rsidR="00851E06">
        <w:rPr>
          <w:lang w:val="en-GB"/>
        </w:rPr>
        <w:t xml:space="preserve"> </w:t>
      </w:r>
      <w:r w:rsidR="007A0414" w:rsidRPr="00FD0336">
        <w:rPr>
          <w:lang w:val="en-GB"/>
        </w:rPr>
        <w:t>cities</w:t>
      </w:r>
      <w:r w:rsidR="002A7208">
        <w:rPr>
          <w:lang w:val="en-GB"/>
        </w:rPr>
        <w:t>;</w:t>
      </w:r>
      <w:r w:rsidRPr="00FD0336">
        <w:rPr>
          <w:lang w:val="en-GB"/>
        </w:rPr>
        <w:t xml:space="preserve"> however</w:t>
      </w:r>
      <w:r w:rsidR="002A7208">
        <w:rPr>
          <w:lang w:val="en-GB"/>
        </w:rPr>
        <w:t>,</w:t>
      </w:r>
      <w:r w:rsidRPr="00FD0336">
        <w:rPr>
          <w:lang w:val="en-GB"/>
        </w:rPr>
        <w:t xml:space="preserve"> there are some challenges that may be unique to the port area, such as the wide array of potential stakeholders. This issue is highlighted in the literature, with </w:t>
      </w:r>
      <w:proofErr w:type="spellStart"/>
      <w:r w:rsidRPr="00FD0336">
        <w:rPr>
          <w:lang w:val="en-GB"/>
        </w:rPr>
        <w:t>Gravagnuolo</w:t>
      </w:r>
      <w:proofErr w:type="spellEnd"/>
      <w:r w:rsidRPr="00FD0336">
        <w:rPr>
          <w:lang w:val="en-GB"/>
        </w:rPr>
        <w:t xml:space="preserve"> et al [</w:t>
      </w:r>
      <w:r w:rsidR="00FD5AB3" w:rsidRPr="00FD0336">
        <w:rPr>
          <w:lang w:val="en-GB"/>
        </w:rPr>
        <w:t>31</w:t>
      </w:r>
      <w:r w:rsidRPr="00FD0336">
        <w:rPr>
          <w:lang w:val="en-GB"/>
        </w:rPr>
        <w:t xml:space="preserve">] stating the importance of cooperation in </w:t>
      </w:r>
      <w:r w:rsidR="00851E06">
        <w:rPr>
          <w:lang w:val="en-GB"/>
        </w:rPr>
        <w:t>p</w:t>
      </w:r>
      <w:r w:rsidRPr="00FD0336">
        <w:rPr>
          <w:lang w:val="en-GB"/>
        </w:rPr>
        <w:t>ort</w:t>
      </w:r>
      <w:r w:rsidR="00851E06">
        <w:rPr>
          <w:lang w:val="en-GB"/>
        </w:rPr>
        <w:t xml:space="preserve"> c</w:t>
      </w:r>
      <w:r w:rsidRPr="00FD0336">
        <w:rPr>
          <w:lang w:val="en-GB"/>
        </w:rPr>
        <w:t xml:space="preserve">ities if CE is to be implemented, and </w:t>
      </w:r>
      <w:proofErr w:type="spellStart"/>
      <w:r w:rsidRPr="00FD0336">
        <w:rPr>
          <w:lang w:val="en-GB"/>
        </w:rPr>
        <w:t>Mankowska</w:t>
      </w:r>
      <w:proofErr w:type="spellEnd"/>
      <w:r w:rsidRPr="00FD0336">
        <w:rPr>
          <w:lang w:val="en-GB"/>
        </w:rPr>
        <w:t xml:space="preserve"> et al [</w:t>
      </w:r>
      <w:r w:rsidR="00FD5AB3" w:rsidRPr="00FD0336">
        <w:rPr>
          <w:lang w:val="en-GB"/>
        </w:rPr>
        <w:t>10</w:t>
      </w:r>
      <w:r w:rsidR="007A0414" w:rsidRPr="00FD0336">
        <w:rPr>
          <w:lang w:val="en-GB"/>
        </w:rPr>
        <w:t>] identified</w:t>
      </w:r>
      <w:r w:rsidRPr="00FD0336">
        <w:rPr>
          <w:lang w:val="en-GB"/>
        </w:rPr>
        <w:t xml:space="preserve"> the importance of communication between port authorities and external stakeholders. </w:t>
      </w:r>
      <w:proofErr w:type="spellStart"/>
      <w:r w:rsidRPr="00FD0336">
        <w:rPr>
          <w:lang w:val="en-GB"/>
        </w:rPr>
        <w:t>Haezendonck</w:t>
      </w:r>
      <w:proofErr w:type="spellEnd"/>
      <w:r w:rsidRPr="00FD0336">
        <w:rPr>
          <w:lang w:val="en-GB"/>
        </w:rPr>
        <w:t xml:space="preserve"> and Van den </w:t>
      </w:r>
      <w:proofErr w:type="spellStart"/>
      <w:r w:rsidRPr="00FD0336">
        <w:rPr>
          <w:lang w:val="en-GB"/>
        </w:rPr>
        <w:t>Berghe</w:t>
      </w:r>
      <w:proofErr w:type="spellEnd"/>
      <w:r w:rsidRPr="00FD0336">
        <w:rPr>
          <w:lang w:val="en-GB"/>
        </w:rPr>
        <w:t xml:space="preserve"> [</w:t>
      </w:r>
      <w:r w:rsidR="00FD5AB3" w:rsidRPr="00FD0336">
        <w:rPr>
          <w:lang w:val="en-GB"/>
        </w:rPr>
        <w:t>20</w:t>
      </w:r>
      <w:r w:rsidRPr="00FD0336">
        <w:rPr>
          <w:lang w:val="en-GB"/>
        </w:rPr>
        <w:t xml:space="preserve">] state that although port authorities must play a key role in CE implementation within </w:t>
      </w:r>
      <w:r w:rsidR="002A7208">
        <w:rPr>
          <w:lang w:val="en-GB"/>
        </w:rPr>
        <w:t>p</w:t>
      </w:r>
      <w:r w:rsidRPr="00FD0336">
        <w:rPr>
          <w:lang w:val="en-GB"/>
        </w:rPr>
        <w:t>orts, networking, exchange of ideas</w:t>
      </w:r>
      <w:r w:rsidR="002A7208">
        <w:rPr>
          <w:lang w:val="en-GB"/>
        </w:rPr>
        <w:t>,</w:t>
      </w:r>
      <w:r w:rsidRPr="00FD0336">
        <w:rPr>
          <w:lang w:val="en-GB"/>
        </w:rPr>
        <w:t xml:space="preserve"> and funding provision is crucial. Gira</w:t>
      </w:r>
      <w:r w:rsidR="00FD5AB3" w:rsidRPr="00FD0336">
        <w:rPr>
          <w:lang w:val="en-GB"/>
        </w:rPr>
        <w:t>rd [4</w:t>
      </w:r>
      <w:r w:rsidR="00B61B6C">
        <w:rPr>
          <w:lang w:val="en-GB"/>
        </w:rPr>
        <w:t>7</w:t>
      </w:r>
      <w:r w:rsidRPr="00FD0336">
        <w:rPr>
          <w:lang w:val="en-GB"/>
        </w:rPr>
        <w:t>] illustrated the importance of collaboration with stakeholders from outside the port area, eventually enabling CE over larger areas, growing from industrial symbiosis within the port, to urban symbiosis within the port</w:t>
      </w:r>
      <w:r w:rsidR="00851E06">
        <w:rPr>
          <w:lang w:val="en-GB"/>
        </w:rPr>
        <w:t xml:space="preserve"> </w:t>
      </w:r>
      <w:r w:rsidRPr="00FD0336">
        <w:rPr>
          <w:lang w:val="en-GB"/>
        </w:rPr>
        <w:t>city, and eventually city-territorial symbiosis</w:t>
      </w:r>
      <w:r w:rsidR="002A7208">
        <w:rPr>
          <w:lang w:val="en-GB"/>
        </w:rPr>
        <w:t>,</w:t>
      </w:r>
      <w:r w:rsidRPr="00FD0336">
        <w:rPr>
          <w:lang w:val="en-GB"/>
        </w:rPr>
        <w:t xml:space="preserve"> including the wider area and hinterland.</w:t>
      </w:r>
      <w:r w:rsidR="00EF5A1A" w:rsidRPr="00FD0336">
        <w:rPr>
          <w:lang w:val="en-GB"/>
        </w:rPr>
        <w:t xml:space="preserve"> Port</w:t>
      </w:r>
      <w:r w:rsidR="00851E06">
        <w:rPr>
          <w:lang w:val="en-GB"/>
        </w:rPr>
        <w:t xml:space="preserve"> c</w:t>
      </w:r>
      <w:r w:rsidR="00EF5A1A" w:rsidRPr="00FD0336">
        <w:rPr>
          <w:lang w:val="en-GB"/>
        </w:rPr>
        <w:t xml:space="preserve">ities, especially when the port is privatized, may suffer from a lack of unified leadership, due to the competing interests of port and city authorities. This makes implementing CE potentially more challenging. </w:t>
      </w:r>
    </w:p>
    <w:p w14:paraId="48D460D8" w14:textId="439853C7" w:rsidR="006031B8" w:rsidRPr="00FD0336" w:rsidRDefault="006031B8" w:rsidP="004F2BC6">
      <w:pPr>
        <w:pStyle w:val="MDPI31text"/>
        <w:rPr>
          <w:lang w:val="en-GB"/>
        </w:rPr>
      </w:pPr>
      <w:r w:rsidRPr="00FD0336">
        <w:rPr>
          <w:lang w:val="en-GB"/>
        </w:rPr>
        <w:t>Ports face a variety of challenges when implementing CE, such as transportation and infrastructural issues, availability of suitable supply chain partners, product traceability, uncertainty of return</w:t>
      </w:r>
      <w:r w:rsidR="004C1A44">
        <w:rPr>
          <w:lang w:val="en-GB"/>
        </w:rPr>
        <w:t>,</w:t>
      </w:r>
      <w:r w:rsidRPr="00FD0336">
        <w:rPr>
          <w:lang w:val="en-GB"/>
        </w:rPr>
        <w:t xml:space="preserve"> and high up-front</w:t>
      </w:r>
      <w:r w:rsidR="00FD5AB3" w:rsidRPr="00FD0336">
        <w:rPr>
          <w:lang w:val="en-GB"/>
        </w:rPr>
        <w:t xml:space="preserve"> costs [10</w:t>
      </w:r>
      <w:r w:rsidRPr="00FD0336">
        <w:rPr>
          <w:lang w:val="en-GB"/>
        </w:rPr>
        <w:t>]. Key cultural barriers</w:t>
      </w:r>
      <w:r w:rsidR="002A7208">
        <w:rPr>
          <w:lang w:val="en-GB"/>
        </w:rPr>
        <w:t>,</w:t>
      </w:r>
      <w:r w:rsidRPr="00FD0336">
        <w:rPr>
          <w:lang w:val="en-GB"/>
        </w:rPr>
        <w:t xml:space="preserve"> such as resistance to change, coordination</w:t>
      </w:r>
      <w:r w:rsidR="002A7208">
        <w:rPr>
          <w:lang w:val="en-GB"/>
        </w:rPr>
        <w:t>,</w:t>
      </w:r>
      <w:r w:rsidRPr="00FD0336">
        <w:rPr>
          <w:lang w:val="en-GB"/>
        </w:rPr>
        <w:t xml:space="preserve"> and information </w:t>
      </w:r>
      <w:r w:rsidR="00EF5A1A" w:rsidRPr="00FD0336">
        <w:rPr>
          <w:lang w:val="en-GB"/>
        </w:rPr>
        <w:t xml:space="preserve">sharing have been identified </w:t>
      </w:r>
      <w:r w:rsidRPr="00FD0336">
        <w:rPr>
          <w:lang w:val="en-GB"/>
        </w:rPr>
        <w:t>[</w:t>
      </w:r>
      <w:r w:rsidR="00FD5AB3" w:rsidRPr="00FD0336">
        <w:rPr>
          <w:lang w:val="en-GB"/>
        </w:rPr>
        <w:t>10</w:t>
      </w:r>
      <w:r w:rsidRPr="00FD0336">
        <w:rPr>
          <w:lang w:val="en-GB"/>
        </w:rPr>
        <w:t>], as well as the challenges presented by varying types of ports all having unique opportunities and challenges. This makes creating a universal framework for port</w:t>
      </w:r>
      <w:r w:rsidR="00851E06">
        <w:rPr>
          <w:lang w:val="en-GB"/>
        </w:rPr>
        <w:t xml:space="preserve"> </w:t>
      </w:r>
      <w:r w:rsidRPr="00FD0336">
        <w:rPr>
          <w:lang w:val="en-GB"/>
        </w:rPr>
        <w:t>cities more challenging.</w:t>
      </w:r>
      <w:r w:rsidR="003266BF" w:rsidRPr="00FD0336">
        <w:rPr>
          <w:lang w:val="en-GB"/>
        </w:rPr>
        <w:t xml:space="preserve"> Overall</w:t>
      </w:r>
      <w:r w:rsidR="004C1A44">
        <w:rPr>
          <w:lang w:val="en-GB"/>
        </w:rPr>
        <w:t>,</w:t>
      </w:r>
      <w:r w:rsidR="003266BF" w:rsidRPr="00FD0336">
        <w:rPr>
          <w:lang w:val="en-GB"/>
        </w:rPr>
        <w:t xml:space="preserve"> these is a lack of research on the barriers to CE with a focus on port</w:t>
      </w:r>
      <w:r w:rsidR="00851E06">
        <w:rPr>
          <w:lang w:val="en-GB"/>
        </w:rPr>
        <w:t xml:space="preserve"> </w:t>
      </w:r>
      <w:r w:rsidR="003266BF" w:rsidRPr="00FD0336">
        <w:rPr>
          <w:lang w:val="en-GB"/>
        </w:rPr>
        <w:t>cities.</w:t>
      </w:r>
    </w:p>
    <w:p w14:paraId="6E0D3EE0" w14:textId="22B30DAE" w:rsidR="00851163" w:rsidRPr="00FD0336" w:rsidRDefault="006031B8" w:rsidP="004F2BC6">
      <w:pPr>
        <w:pStyle w:val="MDPI31text"/>
        <w:rPr>
          <w:lang w:val="en-GB"/>
        </w:rPr>
      </w:pPr>
      <w:r w:rsidRPr="00FD0336">
        <w:rPr>
          <w:lang w:val="en-GB"/>
        </w:rPr>
        <w:t>Although research on CE has increased in recent years, there is a lack of research</w:t>
      </w:r>
      <w:r w:rsidR="003266BF" w:rsidRPr="00FD0336">
        <w:rPr>
          <w:lang w:val="en-GB"/>
        </w:rPr>
        <w:t xml:space="preserve"> focusing on port</w:t>
      </w:r>
      <w:r w:rsidR="00851E06">
        <w:rPr>
          <w:lang w:val="en-GB"/>
        </w:rPr>
        <w:t xml:space="preserve"> </w:t>
      </w:r>
      <w:r w:rsidR="003266BF" w:rsidRPr="00FD0336">
        <w:rPr>
          <w:lang w:val="en-GB"/>
        </w:rPr>
        <w:t>cities, especially those</w:t>
      </w:r>
      <w:r w:rsidRPr="00FD0336">
        <w:rPr>
          <w:lang w:val="en-GB"/>
        </w:rPr>
        <w:t xml:space="preserve"> using survey</w:t>
      </w:r>
      <w:r w:rsidR="00FD5AB3" w:rsidRPr="00FD0336">
        <w:rPr>
          <w:lang w:val="en-GB"/>
        </w:rPr>
        <w:t>s and questionnaire data [4</w:t>
      </w:r>
      <w:r w:rsidR="00B61B6C">
        <w:rPr>
          <w:lang w:val="en-GB"/>
        </w:rPr>
        <w:t>8</w:t>
      </w:r>
      <w:r w:rsidRPr="00FD0336">
        <w:rPr>
          <w:lang w:val="en-GB"/>
        </w:rPr>
        <w:t>]</w:t>
      </w:r>
      <w:r w:rsidR="003266BF" w:rsidRPr="00FD0336">
        <w:rPr>
          <w:lang w:val="en-GB"/>
        </w:rPr>
        <w:t xml:space="preserve"> rather </w:t>
      </w:r>
      <w:r w:rsidR="003266BF" w:rsidRPr="00FD0336">
        <w:rPr>
          <w:lang w:val="en-GB"/>
        </w:rPr>
        <w:lastRenderedPageBreak/>
        <w:t>than literature reviews</w:t>
      </w:r>
      <w:r w:rsidRPr="00FD0336">
        <w:rPr>
          <w:lang w:val="en-GB"/>
        </w:rPr>
        <w:t>, and a lack of global research, with most work focusing on case study cities or regions, mostly in developed countries. This is especially true for port</w:t>
      </w:r>
      <w:r w:rsidR="00851E06">
        <w:rPr>
          <w:lang w:val="en-GB"/>
        </w:rPr>
        <w:t xml:space="preserve"> </w:t>
      </w:r>
      <w:r w:rsidRPr="00FD0336">
        <w:rPr>
          <w:lang w:val="en-GB"/>
        </w:rPr>
        <w:t>cities, with Zheng et al [</w:t>
      </w:r>
      <w:r w:rsidR="00FD5AB3" w:rsidRPr="00FD0336">
        <w:rPr>
          <w:lang w:val="en-GB"/>
        </w:rPr>
        <w:t>4</w:t>
      </w:r>
      <w:r w:rsidR="00B61B6C">
        <w:rPr>
          <w:lang w:val="en-GB"/>
        </w:rPr>
        <w:t>9</w:t>
      </w:r>
      <w:r w:rsidRPr="00FD0336">
        <w:rPr>
          <w:lang w:val="en-GB"/>
        </w:rPr>
        <w:t>] illustrating how there is a greater need for work with a more global focus, especially that which incorporates examples from Asia, Africa</w:t>
      </w:r>
      <w:r w:rsidR="002A7208">
        <w:rPr>
          <w:lang w:val="en-GB"/>
        </w:rPr>
        <w:t>,</w:t>
      </w:r>
      <w:r w:rsidRPr="00FD0336">
        <w:rPr>
          <w:lang w:val="en-GB"/>
        </w:rPr>
        <w:t xml:space="preserve"> and South America. The views of port authorities globally on circular economy are unclear due to the fact certain regions have been neglected in the research. </w:t>
      </w:r>
      <w:proofErr w:type="spellStart"/>
      <w:r w:rsidRPr="00FD0336">
        <w:rPr>
          <w:lang w:val="en-GB"/>
        </w:rPr>
        <w:t>Mankowska</w:t>
      </w:r>
      <w:proofErr w:type="spellEnd"/>
      <w:r w:rsidRPr="00FD0336">
        <w:rPr>
          <w:lang w:val="en-GB"/>
        </w:rPr>
        <w:t xml:space="preserve"> et al</w:t>
      </w:r>
      <w:r w:rsidR="00FD5AB3" w:rsidRPr="00FD0336">
        <w:rPr>
          <w:lang w:val="en-GB"/>
        </w:rPr>
        <w:t>.</w:t>
      </w:r>
      <w:r w:rsidRPr="00FD0336">
        <w:rPr>
          <w:lang w:val="en-GB"/>
        </w:rPr>
        <w:t xml:space="preserve"> [</w:t>
      </w:r>
      <w:r w:rsidR="00FD5AB3" w:rsidRPr="00FD0336">
        <w:rPr>
          <w:lang w:val="en-GB"/>
        </w:rPr>
        <w:t>10]</w:t>
      </w:r>
      <w:r w:rsidRPr="00FD0336">
        <w:rPr>
          <w:lang w:val="en-GB"/>
        </w:rPr>
        <w:t xml:space="preserve"> also highlights the need for greater work</w:t>
      </w:r>
      <w:r w:rsidR="002A7208">
        <w:rPr>
          <w:lang w:val="en-GB"/>
        </w:rPr>
        <w:t>,</w:t>
      </w:r>
      <w:r w:rsidRPr="00FD0336">
        <w:rPr>
          <w:lang w:val="en-GB"/>
        </w:rPr>
        <w:t xml:space="preserve"> focusing on secondary ports rather than only focusing on the world’s largest ports.</w:t>
      </w:r>
    </w:p>
    <w:p w14:paraId="13E04724" w14:textId="7C7EF173" w:rsidR="00E93F94" w:rsidRPr="00FD0336" w:rsidRDefault="004F2BC6" w:rsidP="004F2BC6">
      <w:pPr>
        <w:pStyle w:val="MDPI22heading2"/>
        <w:spacing w:before="240"/>
        <w:rPr>
          <w:noProof w:val="0"/>
          <w:lang w:val="en-GB"/>
        </w:rPr>
      </w:pPr>
      <w:r w:rsidRPr="00FD0336">
        <w:rPr>
          <w:noProof w:val="0"/>
          <w:lang w:val="en-GB"/>
        </w:rPr>
        <w:t xml:space="preserve">1.3. </w:t>
      </w:r>
      <w:r w:rsidR="00E93F94" w:rsidRPr="00FD0336">
        <w:rPr>
          <w:noProof w:val="0"/>
          <w:lang w:val="en-GB"/>
        </w:rPr>
        <w:t xml:space="preserve">Industrial </w:t>
      </w:r>
      <w:r w:rsidR="00B76AC7" w:rsidRPr="00FD0336">
        <w:rPr>
          <w:noProof w:val="0"/>
          <w:lang w:val="en-GB"/>
        </w:rPr>
        <w:t>D</w:t>
      </w:r>
      <w:r w:rsidR="00E93F94" w:rsidRPr="00FD0336">
        <w:rPr>
          <w:noProof w:val="0"/>
          <w:lang w:val="en-GB"/>
        </w:rPr>
        <w:t xml:space="preserve">evelopment </w:t>
      </w:r>
    </w:p>
    <w:p w14:paraId="1E15F17E" w14:textId="60641FD8" w:rsidR="00E93F94" w:rsidRPr="00FD0336" w:rsidRDefault="005E406E" w:rsidP="004F2BC6">
      <w:pPr>
        <w:pStyle w:val="MDPI31text"/>
        <w:rPr>
          <w:b/>
          <w:lang w:val="en-GB"/>
        </w:rPr>
      </w:pPr>
      <w:r w:rsidRPr="00FD0336">
        <w:rPr>
          <w:lang w:val="en-GB"/>
        </w:rPr>
        <w:t>Alongside CE, more traditional ways for increasing the economic benefits of ports must</w:t>
      </w:r>
      <w:r w:rsidR="001D7AAC" w:rsidRPr="00FD0336">
        <w:rPr>
          <w:lang w:val="en-GB"/>
        </w:rPr>
        <w:t xml:space="preserve"> also</w:t>
      </w:r>
      <w:r w:rsidRPr="00FD0336">
        <w:rPr>
          <w:lang w:val="en-GB"/>
        </w:rPr>
        <w:t xml:space="preserve"> be considered</w:t>
      </w:r>
      <w:r w:rsidR="001D7AAC" w:rsidRPr="00FD0336">
        <w:rPr>
          <w:lang w:val="en-GB"/>
        </w:rPr>
        <w:t xml:space="preserve"> as an important means of adding economic benefits</w:t>
      </w:r>
      <w:r w:rsidRPr="00FD0336">
        <w:rPr>
          <w:lang w:val="en-GB"/>
        </w:rPr>
        <w:t xml:space="preserve">. </w:t>
      </w:r>
      <w:r w:rsidR="00E93F94" w:rsidRPr="00FD0336">
        <w:rPr>
          <w:lang w:val="en-GB"/>
        </w:rPr>
        <w:t xml:space="preserve">Despite the negative impacts of </w:t>
      </w:r>
      <w:r w:rsidR="002A7208">
        <w:rPr>
          <w:lang w:val="en-GB"/>
        </w:rPr>
        <w:t xml:space="preserve">the </w:t>
      </w:r>
      <w:r w:rsidR="00E93F94" w:rsidRPr="00FD0336">
        <w:rPr>
          <w:lang w:val="en-GB"/>
        </w:rPr>
        <w:t>industry, such as air pollution, industrial development in a port has been an essential source of economic benefits. Historically</w:t>
      </w:r>
      <w:r w:rsidR="002A7208">
        <w:rPr>
          <w:lang w:val="en-GB"/>
        </w:rPr>
        <w:t>,</w:t>
      </w:r>
      <w:r w:rsidR="00E93F94" w:rsidRPr="00FD0336">
        <w:rPr>
          <w:lang w:val="en-GB"/>
        </w:rPr>
        <w:t xml:space="preserve"> port development and industrial development have taken place </w:t>
      </w:r>
      <w:proofErr w:type="gramStart"/>
      <w:r w:rsidR="00E93F94" w:rsidRPr="00FD0336">
        <w:rPr>
          <w:lang w:val="en-GB"/>
        </w:rPr>
        <w:t>hand</w:t>
      </w:r>
      <w:r w:rsidR="002A7208">
        <w:rPr>
          <w:lang w:val="en-GB"/>
        </w:rPr>
        <w:t>-</w:t>
      </w:r>
      <w:r w:rsidR="00E93F94" w:rsidRPr="00FD0336">
        <w:rPr>
          <w:lang w:val="en-GB"/>
        </w:rPr>
        <w:t>in</w:t>
      </w:r>
      <w:r w:rsidR="002A7208">
        <w:rPr>
          <w:lang w:val="en-GB"/>
        </w:rPr>
        <w:t>-</w:t>
      </w:r>
      <w:r w:rsidR="00E93F94" w:rsidRPr="00FD0336">
        <w:rPr>
          <w:lang w:val="en-GB"/>
        </w:rPr>
        <w:t>hand</w:t>
      </w:r>
      <w:proofErr w:type="gramEnd"/>
      <w:r w:rsidR="00E93F94" w:rsidRPr="00FD0336">
        <w:rPr>
          <w:lang w:val="en-GB"/>
        </w:rPr>
        <w:t xml:space="preserve"> [1</w:t>
      </w:r>
      <w:r w:rsidR="00FD5AB3" w:rsidRPr="00FD0336">
        <w:rPr>
          <w:lang w:val="en-GB"/>
        </w:rPr>
        <w:t>8</w:t>
      </w:r>
      <w:r w:rsidR="00E93F94" w:rsidRPr="00FD0336">
        <w:rPr>
          <w:lang w:val="en-GB"/>
        </w:rPr>
        <w:t>], due to being a break in bulk point, where cargo is transferred from one form of transport to another. This led to the growth of supplementary activities and industries around bulk points, such as manufacturing [</w:t>
      </w:r>
      <w:r w:rsidR="00B61B6C">
        <w:rPr>
          <w:lang w:val="en-GB"/>
        </w:rPr>
        <w:t>50</w:t>
      </w:r>
      <w:r w:rsidR="00E93F94" w:rsidRPr="00FD0336">
        <w:rPr>
          <w:lang w:val="en-GB"/>
        </w:rPr>
        <w:t xml:space="preserve">]. </w:t>
      </w:r>
      <w:r w:rsidR="001D7AAC" w:rsidRPr="00FD0336">
        <w:rPr>
          <w:lang w:val="en-GB"/>
        </w:rPr>
        <w:t>Despite the negative environmental impacts, t</w:t>
      </w:r>
      <w:r w:rsidR="00E93F94" w:rsidRPr="00FD0336">
        <w:rPr>
          <w:lang w:val="en-GB"/>
        </w:rPr>
        <w:t>he economic benefits of industrial development are clear</w:t>
      </w:r>
      <w:r w:rsidRPr="00FD0336">
        <w:rPr>
          <w:lang w:val="en-GB"/>
        </w:rPr>
        <w:t xml:space="preserve"> and CE principles could be used to enable industrial development to take place whilst reducing the environmental impact. This is especially important in developing countries where industrial development may be pursued as a path to growth</w:t>
      </w:r>
      <w:r w:rsidR="00E93F94" w:rsidRPr="00FD0336">
        <w:rPr>
          <w:lang w:val="en-GB"/>
        </w:rPr>
        <w:t>. Policies can be implemented to encourage industrial development within port areas, such as special economic zones, as in Shenzhen [</w:t>
      </w:r>
      <w:r w:rsidR="00FD5AB3" w:rsidRPr="00FD0336">
        <w:rPr>
          <w:lang w:val="en-GB"/>
        </w:rPr>
        <w:t>5</w:t>
      </w:r>
      <w:r w:rsidR="00B61B6C">
        <w:rPr>
          <w:lang w:val="en-GB"/>
        </w:rPr>
        <w:t>1</w:t>
      </w:r>
      <w:r w:rsidR="00E93F94" w:rsidRPr="00FD0336">
        <w:rPr>
          <w:lang w:val="en-GB"/>
        </w:rPr>
        <w:t>]. Ports</w:t>
      </w:r>
      <w:r w:rsidR="00851E06">
        <w:rPr>
          <w:lang w:val="en-GB"/>
        </w:rPr>
        <w:t>,</w:t>
      </w:r>
      <w:r w:rsidR="00E93F94" w:rsidRPr="00FD0336">
        <w:rPr>
          <w:lang w:val="en-GB"/>
        </w:rPr>
        <w:t xml:space="preserve"> such as Shenzhen</w:t>
      </w:r>
      <w:r w:rsidR="00851E06">
        <w:rPr>
          <w:lang w:val="en-GB"/>
        </w:rPr>
        <w:t>,</w:t>
      </w:r>
      <w:r w:rsidR="00E93F94" w:rsidRPr="00FD0336">
        <w:rPr>
          <w:lang w:val="en-GB"/>
        </w:rPr>
        <w:t xml:space="preserve"> have been able to benefit from the creation of a technopole, allowing the port’s growth to be </w:t>
      </w:r>
      <w:r w:rsidR="001D7AAC" w:rsidRPr="00FD0336">
        <w:rPr>
          <w:lang w:val="en-GB"/>
        </w:rPr>
        <w:t>fue</w:t>
      </w:r>
      <w:r w:rsidR="004C1A44">
        <w:rPr>
          <w:lang w:val="en-GB"/>
        </w:rPr>
        <w:t>l</w:t>
      </w:r>
      <w:r w:rsidR="001D7AAC" w:rsidRPr="00FD0336">
        <w:rPr>
          <w:lang w:val="en-GB"/>
        </w:rPr>
        <w:t>led</w:t>
      </w:r>
      <w:r w:rsidR="00E93F94" w:rsidRPr="00FD0336">
        <w:rPr>
          <w:lang w:val="en-GB"/>
        </w:rPr>
        <w:t xml:space="preserve"> by export-led high-tech manufacturing. Port</w:t>
      </w:r>
      <w:r w:rsidR="00851E06">
        <w:rPr>
          <w:lang w:val="en-GB"/>
        </w:rPr>
        <w:t xml:space="preserve"> </w:t>
      </w:r>
      <w:r w:rsidR="00E93F94" w:rsidRPr="00FD0336">
        <w:rPr>
          <w:lang w:val="en-GB"/>
        </w:rPr>
        <w:t>cities that contain technopoles may experience rapid technological and economic growth by benefitting from agglomeration effects. High tech manufacturing and technopoles in and around ports may become more common in the future as the quaternary sector continues to expand, making up a larger percentage of port industrial development.</w:t>
      </w:r>
      <w:r w:rsidRPr="00FD0336">
        <w:rPr>
          <w:lang w:val="en-GB"/>
        </w:rPr>
        <w:t xml:space="preserve"> If this is the case</w:t>
      </w:r>
      <w:r w:rsidR="004C1A44">
        <w:rPr>
          <w:lang w:val="en-GB"/>
        </w:rPr>
        <w:t>,</w:t>
      </w:r>
      <w:r w:rsidRPr="00FD0336">
        <w:rPr>
          <w:lang w:val="en-GB"/>
        </w:rPr>
        <w:t xml:space="preserve"> it is particularly important that these areas pursue CE principles to mitigate the impact</w:t>
      </w:r>
      <w:r w:rsidR="008430FD" w:rsidRPr="00FD0336">
        <w:rPr>
          <w:lang w:val="en-GB"/>
        </w:rPr>
        <w:t>s</w:t>
      </w:r>
      <w:r w:rsidRPr="00FD0336">
        <w:rPr>
          <w:lang w:val="en-GB"/>
        </w:rPr>
        <w:t xml:space="preserve"> whilst providing greater benefits.</w:t>
      </w:r>
    </w:p>
    <w:p w14:paraId="4ADE3834" w14:textId="37D20CD9" w:rsidR="00E93F94" w:rsidRPr="00FD0336" w:rsidRDefault="00E93F94" w:rsidP="004F2BC6">
      <w:pPr>
        <w:pStyle w:val="MDPI31text"/>
        <w:rPr>
          <w:b/>
          <w:lang w:val="en-GB"/>
        </w:rPr>
      </w:pPr>
      <w:r w:rsidRPr="00FD0336">
        <w:rPr>
          <w:lang w:val="en-GB"/>
        </w:rPr>
        <w:t>Globally</w:t>
      </w:r>
      <w:r w:rsidR="002A7208">
        <w:rPr>
          <w:lang w:val="en-GB"/>
        </w:rPr>
        <w:t>,</w:t>
      </w:r>
      <w:r w:rsidRPr="00FD0336">
        <w:rPr>
          <w:lang w:val="en-GB"/>
        </w:rPr>
        <w:t xml:space="preserve"> there has been a shift, with industry moving from developed nations to developing nations since the second half of the 20th century [</w:t>
      </w:r>
      <w:r w:rsidR="00FD5AB3" w:rsidRPr="00FD0336">
        <w:rPr>
          <w:lang w:val="en-GB"/>
        </w:rPr>
        <w:t>5</w:t>
      </w:r>
      <w:r w:rsidR="00B61B6C">
        <w:rPr>
          <w:lang w:val="en-GB"/>
        </w:rPr>
        <w:t>2</w:t>
      </w:r>
      <w:r w:rsidRPr="00FD0336">
        <w:rPr>
          <w:lang w:val="en-GB"/>
        </w:rPr>
        <w:t>]. This, in many cases, has led to a decline in port industry in developed countries and an expansion in developing countries. In places like China, industrial development within a port may be encouraged through measures</w:t>
      </w:r>
      <w:r w:rsidR="002A7208">
        <w:rPr>
          <w:lang w:val="en-GB"/>
        </w:rPr>
        <w:t>,</w:t>
      </w:r>
      <w:r w:rsidRPr="00FD0336">
        <w:rPr>
          <w:lang w:val="en-GB"/>
        </w:rPr>
        <w:t xml:space="preserve"> such as special economic zones [</w:t>
      </w:r>
      <w:r w:rsidR="00FD5AB3" w:rsidRPr="00FD0336">
        <w:rPr>
          <w:lang w:val="en-GB"/>
        </w:rPr>
        <w:t>5</w:t>
      </w:r>
      <w:r w:rsidR="00B61B6C">
        <w:rPr>
          <w:lang w:val="en-GB"/>
        </w:rPr>
        <w:t>3</w:t>
      </w:r>
      <w:r w:rsidRPr="00FD0336">
        <w:rPr>
          <w:lang w:val="en-GB"/>
        </w:rPr>
        <w:t>]</w:t>
      </w:r>
      <w:r w:rsidR="002A7208">
        <w:rPr>
          <w:lang w:val="en-GB"/>
        </w:rPr>
        <w:t>.</w:t>
      </w:r>
      <w:r w:rsidRPr="00FD0336">
        <w:rPr>
          <w:lang w:val="en-GB"/>
        </w:rPr>
        <w:t xml:space="preserve"> However, in many developed countries, these facilities are increasingly under pressure due to their environmental impact and the pursuit of greener paths to growth [</w:t>
      </w:r>
      <w:r w:rsidR="00FD5AB3" w:rsidRPr="00FD0336">
        <w:rPr>
          <w:lang w:val="en-GB"/>
        </w:rPr>
        <w:t>5</w:t>
      </w:r>
      <w:r w:rsidR="00B61B6C">
        <w:rPr>
          <w:lang w:val="en-GB"/>
        </w:rPr>
        <w:t>4</w:t>
      </w:r>
      <w:r w:rsidRPr="00FD0336">
        <w:rPr>
          <w:lang w:val="en-GB"/>
        </w:rPr>
        <w:t>]. Despite this, it has been suggested that free ports or special economic zones could be implemented in the UK post-Brexit to encourage economic growth in deprived areas [</w:t>
      </w:r>
      <w:r w:rsidR="00FD5AB3" w:rsidRPr="00FD0336">
        <w:rPr>
          <w:lang w:val="en-GB"/>
        </w:rPr>
        <w:t>5</w:t>
      </w:r>
      <w:r w:rsidR="00B61B6C">
        <w:rPr>
          <w:lang w:val="en-GB"/>
        </w:rPr>
        <w:t>5</w:t>
      </w:r>
      <w:r w:rsidRPr="00FD0336">
        <w:rPr>
          <w:lang w:val="en-GB"/>
        </w:rPr>
        <w:t>].</w:t>
      </w:r>
    </w:p>
    <w:p w14:paraId="4A1EFD07" w14:textId="7FE7D76F" w:rsidR="00E93F94" w:rsidRPr="00FD0336" w:rsidRDefault="00E93F94" w:rsidP="004F2BC6">
      <w:pPr>
        <w:pStyle w:val="MDPI31text"/>
        <w:rPr>
          <w:b/>
          <w:lang w:val="en-GB"/>
        </w:rPr>
      </w:pPr>
      <w:r w:rsidRPr="00FD0336">
        <w:rPr>
          <w:lang w:val="en-GB"/>
        </w:rPr>
        <w:t xml:space="preserve">Free ports allow the movement of goods into the free port without paying tariffs, which can then be processed into final goods and exported without paying </w:t>
      </w:r>
      <w:proofErr w:type="gramStart"/>
      <w:r w:rsidRPr="00FD0336">
        <w:rPr>
          <w:lang w:val="en-GB"/>
        </w:rPr>
        <w:t>tariffs, or</w:t>
      </w:r>
      <w:proofErr w:type="gramEnd"/>
      <w:r w:rsidRPr="00FD0336">
        <w:rPr>
          <w:lang w:val="en-GB"/>
        </w:rPr>
        <w:t xml:space="preserve"> sold in the domestic market once the tariffs are paid on the final goods [</w:t>
      </w:r>
      <w:r w:rsidR="00FD5AB3" w:rsidRPr="00FD0336">
        <w:rPr>
          <w:lang w:val="en-GB"/>
        </w:rPr>
        <w:t>5</w:t>
      </w:r>
      <w:r w:rsidR="00B61B6C">
        <w:rPr>
          <w:lang w:val="en-GB"/>
        </w:rPr>
        <w:t>5</w:t>
      </w:r>
      <w:r w:rsidRPr="00FD0336">
        <w:rPr>
          <w:lang w:val="en-GB"/>
        </w:rPr>
        <w:t xml:space="preserve">]. There may also be additional benefits due to the agglomeration effect, where the </w:t>
      </w:r>
      <w:proofErr w:type="gramStart"/>
      <w:r w:rsidRPr="00FD0336">
        <w:rPr>
          <w:lang w:val="en-GB"/>
        </w:rPr>
        <w:t>close proximity</w:t>
      </w:r>
      <w:proofErr w:type="gramEnd"/>
      <w:r w:rsidRPr="00FD0336">
        <w:rPr>
          <w:lang w:val="en-GB"/>
        </w:rPr>
        <w:t xml:space="preserve"> of related businesses leads to an economic advantage. It is hoped that this will spur economic growth in these areas, with Mace [</w:t>
      </w:r>
      <w:r w:rsidR="00FD5AB3" w:rsidRPr="00FD0336">
        <w:rPr>
          <w:lang w:val="en-GB"/>
        </w:rPr>
        <w:t>5</w:t>
      </w:r>
      <w:r w:rsidR="00B61B6C">
        <w:rPr>
          <w:lang w:val="en-GB"/>
        </w:rPr>
        <w:t>6</w:t>
      </w:r>
      <w:r w:rsidRPr="00FD0336">
        <w:rPr>
          <w:lang w:val="en-GB"/>
        </w:rPr>
        <w:t xml:space="preserve">] suggesting free ports in the UK could lead to 150,000 new jobs and contribute </w:t>
      </w:r>
      <w:r w:rsidR="002A7208" w:rsidRPr="00001C64">
        <w:rPr>
          <w:lang w:val="en-GB"/>
        </w:rPr>
        <w:t xml:space="preserve">GBP </w:t>
      </w:r>
      <w:r w:rsidRPr="00001C64">
        <w:rPr>
          <w:lang w:val="en-GB"/>
        </w:rPr>
        <w:t xml:space="preserve">9 </w:t>
      </w:r>
      <w:r w:rsidRPr="00FD0336">
        <w:rPr>
          <w:lang w:val="en-GB"/>
        </w:rPr>
        <w:t xml:space="preserve">billion annually to the national economy. It is debatable as to </w:t>
      </w:r>
      <w:proofErr w:type="gramStart"/>
      <w:r w:rsidRPr="00FD0336">
        <w:rPr>
          <w:lang w:val="en-GB"/>
        </w:rPr>
        <w:t>whether or not</w:t>
      </w:r>
      <w:proofErr w:type="gramEnd"/>
      <w:r w:rsidRPr="00FD0336">
        <w:rPr>
          <w:lang w:val="en-GB"/>
        </w:rPr>
        <w:t xml:space="preserve"> free ports actually create new businesses or employment, or simply lead to a relocation of existing businesses and employment to the free port area [</w:t>
      </w:r>
      <w:r w:rsidR="00FD5AB3" w:rsidRPr="00FD0336">
        <w:rPr>
          <w:lang w:val="en-GB"/>
        </w:rPr>
        <w:t>5</w:t>
      </w:r>
      <w:r w:rsidR="00B61B6C">
        <w:rPr>
          <w:lang w:val="en-GB"/>
        </w:rPr>
        <w:t>7</w:t>
      </w:r>
      <w:r w:rsidRPr="00FD0336">
        <w:rPr>
          <w:lang w:val="en-GB"/>
        </w:rPr>
        <w:t xml:space="preserve">]. It is therefore unclear whether this policy will </w:t>
      </w:r>
      <w:proofErr w:type="gramStart"/>
      <w:r w:rsidRPr="00FD0336">
        <w:rPr>
          <w:lang w:val="en-GB"/>
        </w:rPr>
        <w:t>actually create</w:t>
      </w:r>
      <w:proofErr w:type="gramEnd"/>
      <w:r w:rsidRPr="00FD0336">
        <w:rPr>
          <w:lang w:val="en-GB"/>
        </w:rPr>
        <w:t xml:space="preserve"> additional local benefits, with </w:t>
      </w:r>
      <w:proofErr w:type="spellStart"/>
      <w:r w:rsidRPr="00FD0336">
        <w:rPr>
          <w:lang w:val="en-GB"/>
        </w:rPr>
        <w:t>Serwicka</w:t>
      </w:r>
      <w:proofErr w:type="spellEnd"/>
      <w:r w:rsidRPr="00FD0336">
        <w:rPr>
          <w:lang w:val="en-GB"/>
        </w:rPr>
        <w:t xml:space="preserve"> and Holmes [</w:t>
      </w:r>
      <w:r w:rsidR="00FD5AB3" w:rsidRPr="00FD0336">
        <w:rPr>
          <w:lang w:val="en-GB"/>
        </w:rPr>
        <w:t>5</w:t>
      </w:r>
      <w:r w:rsidR="00B61B6C">
        <w:rPr>
          <w:lang w:val="en-GB"/>
        </w:rPr>
        <w:t>7</w:t>
      </w:r>
      <w:r w:rsidR="00FD5AB3" w:rsidRPr="00FD0336">
        <w:rPr>
          <w:lang w:val="en-GB"/>
        </w:rPr>
        <w:t>]</w:t>
      </w:r>
      <w:r w:rsidRPr="00FD0336">
        <w:rPr>
          <w:lang w:val="en-GB"/>
        </w:rPr>
        <w:t xml:space="preserve"> concluding that the net benefit to the UK economy would be small. Free ports may however be used to encourage new and more sustainable industries, such as developing </w:t>
      </w:r>
      <w:r w:rsidR="002A7208">
        <w:rPr>
          <w:lang w:val="en-GB"/>
        </w:rPr>
        <w:t>h</w:t>
      </w:r>
      <w:r w:rsidRPr="00FD0336">
        <w:rPr>
          <w:lang w:val="en-GB"/>
        </w:rPr>
        <w:t xml:space="preserve">ydrogen hubs, such as </w:t>
      </w:r>
      <w:r w:rsidR="002A7208">
        <w:rPr>
          <w:lang w:val="en-GB"/>
        </w:rPr>
        <w:t xml:space="preserve">the proposed </w:t>
      </w:r>
      <w:r w:rsidRPr="00FD0336">
        <w:rPr>
          <w:lang w:val="en-GB"/>
        </w:rPr>
        <w:t>Freeport East Hydrogen Hub [</w:t>
      </w:r>
      <w:r w:rsidR="00FD5AB3" w:rsidRPr="00FD0336">
        <w:rPr>
          <w:lang w:val="en-GB"/>
        </w:rPr>
        <w:t>5</w:t>
      </w:r>
      <w:r w:rsidR="00B61B6C">
        <w:rPr>
          <w:lang w:val="en-GB"/>
        </w:rPr>
        <w:t>8</w:t>
      </w:r>
      <w:r w:rsidRPr="00FD0336">
        <w:rPr>
          <w:lang w:val="en-GB"/>
        </w:rPr>
        <w:t>].</w:t>
      </w:r>
    </w:p>
    <w:p w14:paraId="21DDE317" w14:textId="44640C09" w:rsidR="00E93F94" w:rsidRPr="00FD0336" w:rsidRDefault="00F160FD" w:rsidP="004F2BC6">
      <w:pPr>
        <w:pStyle w:val="MDPI31text"/>
        <w:rPr>
          <w:b/>
          <w:lang w:val="en-GB"/>
        </w:rPr>
      </w:pPr>
      <w:r w:rsidRPr="00FD0336">
        <w:rPr>
          <w:lang w:val="en-GB"/>
        </w:rPr>
        <w:lastRenderedPageBreak/>
        <w:t>Industrial development in port areas may be inevitable</w:t>
      </w:r>
      <w:r w:rsidR="002A7208">
        <w:rPr>
          <w:lang w:val="en-GB"/>
        </w:rPr>
        <w:t>,</w:t>
      </w:r>
      <w:r w:rsidRPr="00FD0336">
        <w:rPr>
          <w:lang w:val="en-GB"/>
        </w:rPr>
        <w:t xml:space="preserve"> and o</w:t>
      </w:r>
      <w:r w:rsidR="00E93F94" w:rsidRPr="00FD0336">
        <w:rPr>
          <w:lang w:val="en-GB"/>
        </w:rPr>
        <w:t>ne possible way for ports to benefit from industrial development within the port</w:t>
      </w:r>
      <w:r w:rsidR="002A7208">
        <w:rPr>
          <w:lang w:val="en-GB"/>
        </w:rPr>
        <w:t>,</w:t>
      </w:r>
      <w:r w:rsidR="00E93F94" w:rsidRPr="00FD0336">
        <w:rPr>
          <w:lang w:val="en-GB"/>
        </w:rPr>
        <w:t xml:space="preserve"> whilst reducing the negative impacts on the city</w:t>
      </w:r>
      <w:r w:rsidR="002A7208">
        <w:rPr>
          <w:lang w:val="en-GB"/>
        </w:rPr>
        <w:t>,</w:t>
      </w:r>
      <w:r w:rsidR="00E93F94" w:rsidRPr="00FD0336">
        <w:rPr>
          <w:lang w:val="en-GB"/>
        </w:rPr>
        <w:t xml:space="preserve"> is through circular economy principles.</w:t>
      </w:r>
    </w:p>
    <w:p w14:paraId="585DB242" w14:textId="346FA330" w:rsidR="00E93F94" w:rsidRPr="00FD0336" w:rsidRDefault="004F2BC6" w:rsidP="004F2BC6">
      <w:pPr>
        <w:pStyle w:val="MDPI22heading2"/>
        <w:spacing w:before="240"/>
        <w:rPr>
          <w:noProof w:val="0"/>
          <w:lang w:val="en-GB"/>
        </w:rPr>
      </w:pPr>
      <w:r w:rsidRPr="00FD0336">
        <w:rPr>
          <w:noProof w:val="0"/>
          <w:lang w:val="en-GB"/>
        </w:rPr>
        <w:t xml:space="preserve">1.4. </w:t>
      </w:r>
      <w:r w:rsidR="00E93F94" w:rsidRPr="00FD0336">
        <w:rPr>
          <w:noProof w:val="0"/>
          <w:lang w:val="en-GB"/>
        </w:rPr>
        <w:t xml:space="preserve">Waterfront </w:t>
      </w:r>
      <w:r w:rsidR="00B76AC7" w:rsidRPr="00FD0336">
        <w:rPr>
          <w:noProof w:val="0"/>
          <w:lang w:val="en-GB"/>
        </w:rPr>
        <w:t>E</w:t>
      </w:r>
      <w:r w:rsidR="00E93F94" w:rsidRPr="00FD0336">
        <w:rPr>
          <w:noProof w:val="0"/>
          <w:lang w:val="en-GB"/>
        </w:rPr>
        <w:t xml:space="preserve">conomy and </w:t>
      </w:r>
      <w:r w:rsidR="00B76AC7" w:rsidRPr="00FD0336">
        <w:rPr>
          <w:noProof w:val="0"/>
          <w:lang w:val="en-GB"/>
        </w:rPr>
        <w:t>R</w:t>
      </w:r>
      <w:r w:rsidR="00E93F94" w:rsidRPr="00FD0336">
        <w:rPr>
          <w:noProof w:val="0"/>
          <w:lang w:val="en-GB"/>
        </w:rPr>
        <w:t>egeneration</w:t>
      </w:r>
    </w:p>
    <w:p w14:paraId="32B33DD8" w14:textId="5C3DD5B4" w:rsidR="00E93F94" w:rsidRPr="00FD0336" w:rsidRDefault="00E93F94" w:rsidP="004F2BC6">
      <w:pPr>
        <w:pStyle w:val="MDPI31text"/>
        <w:rPr>
          <w:b/>
          <w:lang w:val="en-GB"/>
        </w:rPr>
      </w:pPr>
      <w:r w:rsidRPr="00FD0336">
        <w:rPr>
          <w:lang w:val="en-GB"/>
        </w:rPr>
        <w:t xml:space="preserve">Waterfront regeneration and development can </w:t>
      </w:r>
      <w:r w:rsidR="00D50246" w:rsidRPr="00FD0336">
        <w:rPr>
          <w:lang w:val="en-GB"/>
        </w:rPr>
        <w:t xml:space="preserve">also </w:t>
      </w:r>
      <w:r w:rsidRPr="00FD0336">
        <w:rPr>
          <w:lang w:val="en-GB"/>
        </w:rPr>
        <w:t>create numerous social, economic</w:t>
      </w:r>
      <w:r w:rsidR="002A7208">
        <w:rPr>
          <w:lang w:val="en-GB"/>
        </w:rPr>
        <w:t>,</w:t>
      </w:r>
      <w:r w:rsidRPr="00FD0336">
        <w:rPr>
          <w:lang w:val="en-GB"/>
        </w:rPr>
        <w:t xml:space="preserve"> and environmental benefits. As ships became larger and more advanced, older port areas have increasingly fallen into decline if they are unable to be adapted to fit the new requirements [</w:t>
      </w:r>
      <w:r w:rsidR="00FD5AB3" w:rsidRPr="00FD0336">
        <w:rPr>
          <w:lang w:val="en-GB"/>
        </w:rPr>
        <w:t>5</w:t>
      </w:r>
      <w:r w:rsidR="00B61B6C">
        <w:rPr>
          <w:lang w:val="en-GB"/>
        </w:rPr>
        <w:t>9</w:t>
      </w:r>
      <w:r w:rsidRPr="00FD0336">
        <w:rPr>
          <w:lang w:val="en-GB"/>
        </w:rPr>
        <w:t>]. This has left many cities with areas of abandoned inner-city port land. In many cases, the reuse of this port land has boosted the local economy and created new areas and facilities that benefit the local communities. Hoyle [</w:t>
      </w:r>
      <w:r w:rsidR="00B61B6C">
        <w:rPr>
          <w:lang w:val="en-GB"/>
        </w:rPr>
        <w:t>60</w:t>
      </w:r>
      <w:r w:rsidRPr="00FD0336">
        <w:rPr>
          <w:lang w:val="en-GB"/>
        </w:rPr>
        <w:t>] highlights how decline in inner-city port areas has led to waterfront development and urban renewal, leading to revitalised inner</w:t>
      </w:r>
      <w:r w:rsidR="004C1A44">
        <w:rPr>
          <w:lang w:val="en-GB"/>
        </w:rPr>
        <w:t xml:space="preserve"> </w:t>
      </w:r>
      <w:r w:rsidRPr="00FD0336">
        <w:rPr>
          <w:lang w:val="en-GB"/>
        </w:rPr>
        <w:t>cities. Alongside this, an increasing focus on the quality of life and pollution reduction in port</w:t>
      </w:r>
      <w:r w:rsidR="00851E06">
        <w:rPr>
          <w:lang w:val="en-GB"/>
        </w:rPr>
        <w:t xml:space="preserve"> </w:t>
      </w:r>
      <w:r w:rsidRPr="00FD0336">
        <w:rPr>
          <w:lang w:val="en-GB"/>
        </w:rPr>
        <w:t xml:space="preserve">cities has led to many particularly polluting industries being moved from the traditional port areas at the heart of cities to </w:t>
      </w:r>
      <w:proofErr w:type="gramStart"/>
      <w:r w:rsidRPr="00FD0336">
        <w:rPr>
          <w:lang w:val="en-GB"/>
        </w:rPr>
        <w:t>less</w:t>
      </w:r>
      <w:proofErr w:type="gramEnd"/>
      <w:r w:rsidRPr="00FD0336">
        <w:rPr>
          <w:lang w:val="en-GB"/>
        </w:rPr>
        <w:t xml:space="preserve"> central locations [</w:t>
      </w:r>
      <w:r w:rsidR="00FD5AB3" w:rsidRPr="00FD0336">
        <w:rPr>
          <w:lang w:val="en-GB"/>
        </w:rPr>
        <w:t>6</w:t>
      </w:r>
      <w:r w:rsidR="00B61B6C">
        <w:rPr>
          <w:lang w:val="en-GB"/>
        </w:rPr>
        <w:t>1</w:t>
      </w:r>
      <w:r w:rsidRPr="00FD0336">
        <w:rPr>
          <w:lang w:val="en-GB"/>
        </w:rPr>
        <w:t>]. A good example of waterfront regeneration can be found in Baltimore, which was among the earliest to regenerate its waterfront in 1963. This allowed Baltimore to revitalise a degraded area of port land and set an example, which many port</w:t>
      </w:r>
      <w:r w:rsidR="00851E06">
        <w:rPr>
          <w:lang w:val="en-GB"/>
        </w:rPr>
        <w:t xml:space="preserve"> </w:t>
      </w:r>
      <w:r w:rsidRPr="00FD0336">
        <w:rPr>
          <w:lang w:val="en-GB"/>
        </w:rPr>
        <w:t>cities worldwide have subsequently tried to emulate, with varying degrees of success [</w:t>
      </w:r>
      <w:r w:rsidR="00FD5AB3" w:rsidRPr="00FD0336">
        <w:rPr>
          <w:lang w:val="en-GB"/>
        </w:rPr>
        <w:t>6</w:t>
      </w:r>
      <w:r w:rsidR="00B61B6C">
        <w:rPr>
          <w:lang w:val="en-GB"/>
        </w:rPr>
        <w:t>2</w:t>
      </w:r>
      <w:r w:rsidRPr="00FD0336">
        <w:rPr>
          <w:lang w:val="en-GB"/>
        </w:rPr>
        <w:t>]. Some examples of waterfront development include Port Vell, Barcelona [</w:t>
      </w:r>
      <w:r w:rsidR="00FD5AB3" w:rsidRPr="00FD0336">
        <w:rPr>
          <w:lang w:val="en-GB"/>
        </w:rPr>
        <w:t>6</w:t>
      </w:r>
      <w:r w:rsidR="00B61B6C">
        <w:rPr>
          <w:lang w:val="en-GB"/>
        </w:rPr>
        <w:t>3</w:t>
      </w:r>
      <w:r w:rsidRPr="00FD0336">
        <w:rPr>
          <w:lang w:val="en-GB"/>
        </w:rPr>
        <w:t>], HafenCity, Hamburg [</w:t>
      </w:r>
      <w:r w:rsidR="00FD5AB3" w:rsidRPr="00FD0336">
        <w:rPr>
          <w:lang w:val="en-GB"/>
        </w:rPr>
        <w:t>6</w:t>
      </w:r>
      <w:r w:rsidR="00B61B6C">
        <w:rPr>
          <w:lang w:val="en-GB"/>
        </w:rPr>
        <w:t>4</w:t>
      </w:r>
      <w:r w:rsidRPr="00FD0336">
        <w:rPr>
          <w:lang w:val="en-GB"/>
        </w:rPr>
        <w:t>], Royal William Yard, Plymouth [</w:t>
      </w:r>
      <w:r w:rsidR="00FD5AB3" w:rsidRPr="00FD0336">
        <w:rPr>
          <w:lang w:val="en-GB"/>
        </w:rPr>
        <w:t>6</w:t>
      </w:r>
      <w:r w:rsidR="00B61B6C">
        <w:rPr>
          <w:lang w:val="en-GB"/>
        </w:rPr>
        <w:t>5</w:t>
      </w:r>
      <w:r w:rsidRPr="00FD0336">
        <w:rPr>
          <w:lang w:val="en-GB"/>
        </w:rPr>
        <w:t>], Red Brick Warehouse, Yokohama [</w:t>
      </w:r>
      <w:r w:rsidR="00FD5AB3" w:rsidRPr="00FD0336">
        <w:rPr>
          <w:lang w:val="en-GB"/>
        </w:rPr>
        <w:t>6</w:t>
      </w:r>
      <w:r w:rsidR="00B61B6C">
        <w:rPr>
          <w:lang w:val="en-GB"/>
        </w:rPr>
        <w:t>6</w:t>
      </w:r>
      <w:r w:rsidRPr="00FD0336">
        <w:rPr>
          <w:lang w:val="en-GB"/>
        </w:rPr>
        <w:t>]</w:t>
      </w:r>
      <w:r w:rsidR="002A7208">
        <w:rPr>
          <w:lang w:val="en-GB"/>
        </w:rPr>
        <w:t>,</w:t>
      </w:r>
      <w:r w:rsidRPr="00FD0336">
        <w:rPr>
          <w:lang w:val="en-GB"/>
        </w:rPr>
        <w:t xml:space="preserve"> and Inner </w:t>
      </w:r>
      <w:proofErr w:type="spellStart"/>
      <w:r w:rsidR="002A7208">
        <w:rPr>
          <w:lang w:val="en-GB"/>
        </w:rPr>
        <w:t>H</w:t>
      </w:r>
      <w:r w:rsidRPr="00FD0336">
        <w:rPr>
          <w:lang w:val="en-GB"/>
        </w:rPr>
        <w:t>arbor</w:t>
      </w:r>
      <w:proofErr w:type="spellEnd"/>
      <w:r w:rsidRPr="00FD0336">
        <w:rPr>
          <w:lang w:val="en-GB"/>
        </w:rPr>
        <w:t>, Baltimore [</w:t>
      </w:r>
      <w:r w:rsidR="00FD5AB3" w:rsidRPr="00FD0336">
        <w:rPr>
          <w:lang w:val="en-GB"/>
        </w:rPr>
        <w:t>6</w:t>
      </w:r>
      <w:r w:rsidR="00B61B6C">
        <w:rPr>
          <w:lang w:val="en-GB"/>
        </w:rPr>
        <w:t>7</w:t>
      </w:r>
      <w:r w:rsidRPr="00FD0336">
        <w:rPr>
          <w:lang w:val="en-GB"/>
        </w:rPr>
        <w:t>].</w:t>
      </w:r>
      <w:r w:rsidR="007971C5" w:rsidRPr="00FD0336">
        <w:rPr>
          <w:lang w:val="en-GB"/>
        </w:rPr>
        <w:t xml:space="preserve"> </w:t>
      </w:r>
      <w:r w:rsidRPr="00FD0336">
        <w:rPr>
          <w:lang w:val="en-GB"/>
        </w:rPr>
        <w:t xml:space="preserve">Regeneration can include a range of commercial, residential, tourism and leisure facilities. Although all ports would hope to remain competitive, inevitably, some will not. Even within successful ports, areas of port land may no longer be required. Cities often wish to have greater access to the waterfront and the economic advantages that it brings. Waterfront regeneration is an effective way for a city to benefit from its waterfront, whilst in many cases maintaining its maritime heritage. </w:t>
      </w:r>
      <w:r w:rsidR="007971C5" w:rsidRPr="00FD0336">
        <w:rPr>
          <w:lang w:val="en-GB"/>
        </w:rPr>
        <w:t>CE principles could also be applied to this redevelopment and reuse of land, creating less impactful development.</w:t>
      </w:r>
    </w:p>
    <w:p w14:paraId="21584DC1" w14:textId="54EF0E99" w:rsidR="00E93F94" w:rsidRPr="00451C31" w:rsidRDefault="004F2BC6" w:rsidP="004F2BC6">
      <w:pPr>
        <w:pStyle w:val="MDPI22heading2"/>
        <w:spacing w:before="240"/>
        <w:rPr>
          <w:noProof w:val="0"/>
          <w:lang w:val="en-GB"/>
        </w:rPr>
      </w:pPr>
      <w:r w:rsidRPr="00604689">
        <w:rPr>
          <w:noProof w:val="0"/>
          <w:lang w:val="en-GB"/>
        </w:rPr>
        <w:t xml:space="preserve">1.5. </w:t>
      </w:r>
      <w:r w:rsidR="00E93F94" w:rsidRPr="00604689">
        <w:rPr>
          <w:noProof w:val="0"/>
          <w:lang w:val="en-GB"/>
        </w:rPr>
        <w:t>Maritime Clusters</w:t>
      </w:r>
    </w:p>
    <w:p w14:paraId="53ABA720" w14:textId="4B3C3A39" w:rsidR="00E93F94" w:rsidRPr="00FD0336" w:rsidRDefault="00E93F94" w:rsidP="004F2BC6">
      <w:pPr>
        <w:pStyle w:val="MDPI31text"/>
        <w:rPr>
          <w:b/>
          <w:lang w:val="en-GB"/>
        </w:rPr>
      </w:pPr>
      <w:r w:rsidRPr="00451C31">
        <w:rPr>
          <w:lang w:val="en-GB"/>
        </w:rPr>
        <w:t>A</w:t>
      </w:r>
      <w:r w:rsidR="007971C5" w:rsidRPr="00451C31">
        <w:rPr>
          <w:lang w:val="en-GB"/>
        </w:rPr>
        <w:t xml:space="preserve"> further </w:t>
      </w:r>
      <w:r w:rsidRPr="00451C31">
        <w:rPr>
          <w:lang w:val="en-GB"/>
        </w:rPr>
        <w:t>effective way for a port to provide additional localised economic benefits is to develop a maritime cluster. A maritime cluster refers to an agglomeration of interconnected po</w:t>
      </w:r>
      <w:r w:rsidRPr="009E3ED6">
        <w:rPr>
          <w:lang w:val="en-GB"/>
        </w:rPr>
        <w:t>rt-related industries within a port</w:t>
      </w:r>
      <w:r w:rsidR="00851E06" w:rsidRPr="006E7FB8">
        <w:rPr>
          <w:lang w:val="en-GB"/>
        </w:rPr>
        <w:t xml:space="preserve"> </w:t>
      </w:r>
      <w:r w:rsidRPr="006E7FB8">
        <w:rPr>
          <w:lang w:val="en-GB"/>
        </w:rPr>
        <w:t>city [</w:t>
      </w:r>
      <w:r w:rsidR="00FD5AB3" w:rsidRPr="006E7FB8">
        <w:rPr>
          <w:lang w:val="en-GB"/>
        </w:rPr>
        <w:t>6</w:t>
      </w:r>
      <w:r w:rsidR="00B61B6C" w:rsidRPr="006E7FB8">
        <w:rPr>
          <w:lang w:val="en-GB"/>
        </w:rPr>
        <w:t>8</w:t>
      </w:r>
      <w:r w:rsidRPr="001D19A9">
        <w:rPr>
          <w:lang w:val="en-GB"/>
        </w:rPr>
        <w:t>]</w:t>
      </w:r>
      <w:r w:rsidR="00EF5129">
        <w:rPr>
          <w:lang w:val="en-GB"/>
        </w:rPr>
        <w:t xml:space="preserve">, such as </w:t>
      </w:r>
      <w:r w:rsidR="00217137">
        <w:rPr>
          <w:lang w:val="en-GB"/>
        </w:rPr>
        <w:t>ship building, coastal tourism, maritime services, fisheries, dredging and shipping</w:t>
      </w:r>
      <w:r w:rsidR="009344DA">
        <w:rPr>
          <w:lang w:val="en-GB"/>
        </w:rPr>
        <w:t xml:space="preserve"> amongst others</w:t>
      </w:r>
      <w:r w:rsidR="00217137">
        <w:rPr>
          <w:lang w:val="en-GB"/>
        </w:rPr>
        <w:t xml:space="preserve"> [69]</w:t>
      </w:r>
      <w:r w:rsidR="004C1A44" w:rsidRPr="006E7FB8">
        <w:rPr>
          <w:lang w:val="en-GB"/>
        </w:rPr>
        <w:t xml:space="preserve">; </w:t>
      </w:r>
      <w:r w:rsidRPr="006E7FB8">
        <w:rPr>
          <w:lang w:val="en-GB"/>
        </w:rPr>
        <w:t xml:space="preserve">see Figure </w:t>
      </w:r>
      <w:r w:rsidR="00851163" w:rsidRPr="006E7FB8">
        <w:rPr>
          <w:lang w:val="en-GB"/>
        </w:rPr>
        <w:t>2</w:t>
      </w:r>
      <w:r w:rsidRPr="006E7FB8">
        <w:rPr>
          <w:lang w:val="en-GB"/>
        </w:rPr>
        <w:t>.</w:t>
      </w:r>
    </w:p>
    <w:p w14:paraId="7B37516F" w14:textId="0C471E5E" w:rsidR="00E93F94" w:rsidRPr="00FD0336" w:rsidRDefault="001069DC" w:rsidP="004F2BC6">
      <w:pPr>
        <w:pStyle w:val="MDPI52figure"/>
        <w:ind w:left="2608"/>
        <w:jc w:val="left"/>
        <w:rPr>
          <w:lang w:val="en-GB"/>
        </w:rPr>
      </w:pPr>
      <w:r>
        <w:rPr>
          <w:noProof/>
          <w:lang w:val="en-GB"/>
        </w:rPr>
        <w:lastRenderedPageBreak/>
        <w:drawing>
          <wp:inline distT="0" distB="0" distL="0" distR="0" wp14:anchorId="3B2544C7" wp14:editId="07A08E64">
            <wp:extent cx="3921125" cy="3611245"/>
            <wp:effectExtent l="0" t="0" r="317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125" cy="3611245"/>
                    </a:xfrm>
                    <a:prstGeom prst="rect">
                      <a:avLst/>
                    </a:prstGeom>
                    <a:noFill/>
                    <a:ln>
                      <a:noFill/>
                    </a:ln>
                  </pic:spPr>
                </pic:pic>
              </a:graphicData>
            </a:graphic>
          </wp:inline>
        </w:drawing>
      </w:r>
    </w:p>
    <w:p w14:paraId="143C1539" w14:textId="2D44C821" w:rsidR="00E93F94" w:rsidRPr="00FD0336" w:rsidRDefault="004F2BC6" w:rsidP="004F2BC6">
      <w:pPr>
        <w:pStyle w:val="MDPI51figurecaption"/>
        <w:rPr>
          <w:b/>
          <w:lang w:val="en-GB"/>
        </w:rPr>
      </w:pPr>
      <w:r w:rsidRPr="00FD0336">
        <w:rPr>
          <w:b/>
          <w:lang w:val="en-GB"/>
        </w:rPr>
        <w:t xml:space="preserve">Figure 2. </w:t>
      </w:r>
      <w:r w:rsidR="00E93F94" w:rsidRPr="00FD0336">
        <w:rPr>
          <w:lang w:val="en-GB"/>
        </w:rPr>
        <w:t xml:space="preserve">Example of </w:t>
      </w:r>
      <w:r w:rsidR="002F35A4" w:rsidRPr="00FD0336">
        <w:rPr>
          <w:lang w:val="en-GB"/>
        </w:rPr>
        <w:t>maritime cluster composition</w:t>
      </w:r>
      <w:r w:rsidR="00E93F94" w:rsidRPr="00FD0336">
        <w:rPr>
          <w:lang w:val="en-GB"/>
        </w:rPr>
        <w:t xml:space="preserve">. </w:t>
      </w:r>
    </w:p>
    <w:p w14:paraId="6006F5F6" w14:textId="58F2258D" w:rsidR="00E93F94" w:rsidRPr="00FD0336" w:rsidRDefault="00C874EE" w:rsidP="004F2BC6">
      <w:pPr>
        <w:pStyle w:val="MDPI31text"/>
        <w:rPr>
          <w:lang w:val="en-GB"/>
        </w:rPr>
      </w:pPr>
      <w:r w:rsidRPr="00001C64">
        <w:rPr>
          <w:lang w:val="en-GB"/>
        </w:rPr>
        <w:t xml:space="preserve">Maritime clusters </w:t>
      </w:r>
      <w:r w:rsidR="00E93F94" w:rsidRPr="00232DB2">
        <w:rPr>
          <w:lang w:val="en-GB"/>
        </w:rPr>
        <w:t>help</w:t>
      </w:r>
      <w:r w:rsidR="00E93F94" w:rsidRPr="00FD0336">
        <w:rPr>
          <w:lang w:val="en-GB"/>
        </w:rPr>
        <w:t xml:space="preserve"> increase the port's economic benefit</w:t>
      </w:r>
      <w:r w:rsidR="002F35A4">
        <w:rPr>
          <w:lang w:val="en-GB"/>
        </w:rPr>
        <w:t>,</w:t>
      </w:r>
      <w:r w:rsidR="00E93F94" w:rsidRPr="00FD0336">
        <w:rPr>
          <w:lang w:val="en-GB"/>
        </w:rPr>
        <w:t xml:space="preserve"> whilst strengthening the port's status and providing added resilience if the port activity were to decline. Li and Luo [</w:t>
      </w:r>
      <w:r w:rsidR="00B61B6C">
        <w:rPr>
          <w:lang w:val="en-GB"/>
        </w:rPr>
        <w:t>70</w:t>
      </w:r>
      <w:r w:rsidR="00E93F94" w:rsidRPr="00FD0336">
        <w:rPr>
          <w:lang w:val="en-GB"/>
        </w:rPr>
        <w:t xml:space="preserve">] described a maritime cluster as an </w:t>
      </w:r>
      <w:proofErr w:type="gramStart"/>
      <w:r w:rsidR="00E93F94" w:rsidRPr="00FD0336">
        <w:rPr>
          <w:lang w:val="en-GB"/>
        </w:rPr>
        <w:t>ecosystem in itself, where</w:t>
      </w:r>
      <w:proofErr w:type="gramEnd"/>
      <w:r w:rsidR="00E93F94" w:rsidRPr="00FD0336">
        <w:rPr>
          <w:lang w:val="en-GB"/>
        </w:rPr>
        <w:t xml:space="preserve"> maritime-related industries and institutions can work and develop together in a symbiotic way.</w:t>
      </w:r>
      <w:r w:rsidR="00784431" w:rsidRPr="00FD0336">
        <w:rPr>
          <w:lang w:val="en-GB"/>
        </w:rPr>
        <w:t xml:space="preserve"> </w:t>
      </w:r>
      <w:r w:rsidR="00E93F94" w:rsidRPr="00FD0336">
        <w:rPr>
          <w:lang w:val="en-GB"/>
        </w:rPr>
        <w:t>This provides benefits for the businesses involved in the cluster and the local and national economies. A good example of this is London, which</w:t>
      </w:r>
      <w:r w:rsidR="002F35A4">
        <w:rPr>
          <w:lang w:val="en-GB"/>
        </w:rPr>
        <w:t>,</w:t>
      </w:r>
      <w:r w:rsidR="00E93F94" w:rsidRPr="00FD0336">
        <w:rPr>
          <w:lang w:val="en-GB"/>
        </w:rPr>
        <w:t xml:space="preserve"> despite being behind other UK ports</w:t>
      </w:r>
      <w:r w:rsidR="002F35A4">
        <w:rPr>
          <w:lang w:val="en-GB"/>
        </w:rPr>
        <w:t>,</w:t>
      </w:r>
      <w:r w:rsidR="00E93F94" w:rsidRPr="00FD0336">
        <w:rPr>
          <w:lang w:val="en-GB"/>
        </w:rPr>
        <w:t xml:space="preserve"> such as Southampton</w:t>
      </w:r>
      <w:r w:rsidR="002F35A4">
        <w:rPr>
          <w:lang w:val="en-GB"/>
        </w:rPr>
        <w:t>,</w:t>
      </w:r>
      <w:r w:rsidR="00E93F94" w:rsidRPr="00FD0336">
        <w:rPr>
          <w:lang w:val="en-GB"/>
        </w:rPr>
        <w:t xml:space="preserve"> in terms of cargo tonnage and passenger numbers, possesses a maritime cluster that </w:t>
      </w:r>
      <w:proofErr w:type="gramStart"/>
      <w:r w:rsidR="00E93F94" w:rsidRPr="00FD0336">
        <w:rPr>
          <w:lang w:val="en-GB"/>
        </w:rPr>
        <w:t>is considered to be</w:t>
      </w:r>
      <w:proofErr w:type="gramEnd"/>
      <w:r w:rsidR="00E93F94" w:rsidRPr="00FD0336">
        <w:rPr>
          <w:lang w:val="en-GB"/>
        </w:rPr>
        <w:t xml:space="preserve"> among the most extensive in the world [1</w:t>
      </w:r>
      <w:r w:rsidR="00E667D2" w:rsidRPr="00FD0336">
        <w:rPr>
          <w:lang w:val="en-GB"/>
        </w:rPr>
        <w:t>8</w:t>
      </w:r>
      <w:r w:rsidR="00E93F94" w:rsidRPr="00FD0336">
        <w:rPr>
          <w:lang w:val="en-GB"/>
        </w:rPr>
        <w:t>]. This may be due to the path dependency effect and the fact London’s historic status as a major global port has led to it developing such a well-established maritime cluster [</w:t>
      </w:r>
      <w:r w:rsidR="00E667D2" w:rsidRPr="00FD0336">
        <w:rPr>
          <w:lang w:val="en-GB"/>
        </w:rPr>
        <w:t>7</w:t>
      </w:r>
      <w:r w:rsidR="00B61B6C">
        <w:rPr>
          <w:lang w:val="en-GB"/>
        </w:rPr>
        <w:t>1</w:t>
      </w:r>
      <w:r w:rsidR="00E667D2" w:rsidRPr="00FD0336">
        <w:rPr>
          <w:lang w:val="en-GB"/>
        </w:rPr>
        <w:t>]</w:t>
      </w:r>
      <w:r w:rsidR="00E93F94" w:rsidRPr="00FD0336">
        <w:rPr>
          <w:lang w:val="en-GB"/>
        </w:rPr>
        <w:t>. The example of London suggests a maritime cluster can provide longevity as a source of economic benefits. The formation of maritime clusters benefits both the port and the city, and ports and cities can work together to encourage their growth.</w:t>
      </w:r>
      <w:r w:rsidR="007971C5" w:rsidRPr="00FD0336">
        <w:rPr>
          <w:lang w:val="en-GB"/>
        </w:rPr>
        <w:t xml:space="preserve"> This symbiotic system may provide a network for CE activities to take place, taking advantage of the existing connections and coordination between stakeholders.</w:t>
      </w:r>
    </w:p>
    <w:p w14:paraId="3915D0BA" w14:textId="0171C136" w:rsidR="00A6585D" w:rsidRPr="00FD0336" w:rsidRDefault="004F2BC6" w:rsidP="004F2BC6">
      <w:pPr>
        <w:pStyle w:val="MDPI22heading2"/>
        <w:spacing w:before="240"/>
        <w:rPr>
          <w:noProof w:val="0"/>
          <w:lang w:val="en-GB"/>
        </w:rPr>
      </w:pPr>
      <w:r w:rsidRPr="00FD0336">
        <w:rPr>
          <w:noProof w:val="0"/>
          <w:lang w:val="en-GB"/>
        </w:rPr>
        <w:t xml:space="preserve">1.6. </w:t>
      </w:r>
      <w:r w:rsidR="00A6585D" w:rsidRPr="00FD0336">
        <w:rPr>
          <w:noProof w:val="0"/>
          <w:lang w:val="en-GB"/>
        </w:rPr>
        <w:t xml:space="preserve">Research </w:t>
      </w:r>
      <w:r w:rsidR="00B76AC7" w:rsidRPr="00FD0336">
        <w:rPr>
          <w:noProof w:val="0"/>
          <w:lang w:val="en-GB"/>
        </w:rPr>
        <w:t>G</w:t>
      </w:r>
      <w:r w:rsidR="00A6585D" w:rsidRPr="00FD0336">
        <w:rPr>
          <w:noProof w:val="0"/>
          <w:lang w:val="en-GB"/>
        </w:rPr>
        <w:t>ap</w:t>
      </w:r>
    </w:p>
    <w:p w14:paraId="6F22472C" w14:textId="3FC6F6AD" w:rsidR="00A6585D" w:rsidRPr="00FD0336" w:rsidRDefault="00A6585D" w:rsidP="004F2BC6">
      <w:pPr>
        <w:pStyle w:val="MDPI31text"/>
        <w:rPr>
          <w:lang w:val="en-GB"/>
        </w:rPr>
      </w:pPr>
      <w:r w:rsidRPr="00FD0336">
        <w:rPr>
          <w:lang w:val="en-GB"/>
        </w:rPr>
        <w:t xml:space="preserve">There is a lack of research investigating the levels of interest, levels of adoption of, and barriers to, </w:t>
      </w:r>
      <w:r w:rsidR="002F35A4">
        <w:rPr>
          <w:lang w:val="en-GB"/>
        </w:rPr>
        <w:t xml:space="preserve">a </w:t>
      </w:r>
      <w:r w:rsidRPr="00FD0336">
        <w:rPr>
          <w:lang w:val="en-GB"/>
        </w:rPr>
        <w:t xml:space="preserve">circular economy </w:t>
      </w:r>
      <w:r w:rsidR="003266BF" w:rsidRPr="00FD0336">
        <w:rPr>
          <w:lang w:val="en-GB"/>
        </w:rPr>
        <w:t>in port</w:t>
      </w:r>
      <w:r w:rsidR="00851E06">
        <w:rPr>
          <w:lang w:val="en-GB"/>
        </w:rPr>
        <w:t xml:space="preserve"> </w:t>
      </w:r>
      <w:r w:rsidR="003266BF" w:rsidRPr="00FD0336">
        <w:rPr>
          <w:lang w:val="en-GB"/>
        </w:rPr>
        <w:t xml:space="preserve">cities </w:t>
      </w:r>
      <w:r w:rsidRPr="00FD0336">
        <w:rPr>
          <w:lang w:val="en-GB"/>
        </w:rPr>
        <w:t xml:space="preserve">on a global scale, considering ports of all sizes and ports from countries at all stages of development. This paper aims to identify the global potential of the circular economy within ports, by investigating the levels of adoption, </w:t>
      </w:r>
      <w:proofErr w:type="gramStart"/>
      <w:r w:rsidRPr="00FD0336">
        <w:rPr>
          <w:lang w:val="en-GB"/>
        </w:rPr>
        <w:t>interest</w:t>
      </w:r>
      <w:proofErr w:type="gramEnd"/>
      <w:r w:rsidRPr="00FD0336">
        <w:rPr>
          <w:lang w:val="en-GB"/>
        </w:rPr>
        <w:t xml:space="preserve"> and key barriers, with comparisons to maritime clusters, industrial development</w:t>
      </w:r>
      <w:r w:rsidR="002F35A4">
        <w:rPr>
          <w:lang w:val="en-GB"/>
        </w:rPr>
        <w:t>,</w:t>
      </w:r>
      <w:r w:rsidRPr="00FD0336">
        <w:rPr>
          <w:lang w:val="en-GB"/>
        </w:rPr>
        <w:t xml:space="preserve"> and waterfront development. This paper will also propose a framework to encourage greater levels of circular economy activity in port</w:t>
      </w:r>
      <w:r w:rsidR="00851E06">
        <w:rPr>
          <w:lang w:val="en-GB"/>
        </w:rPr>
        <w:t xml:space="preserve"> </w:t>
      </w:r>
      <w:r w:rsidRPr="00FD0336">
        <w:rPr>
          <w:lang w:val="en-GB"/>
        </w:rPr>
        <w:t>cities.</w:t>
      </w:r>
    </w:p>
    <w:p w14:paraId="6E5EC5F6" w14:textId="1ACCF16D" w:rsidR="00E93F94" w:rsidRPr="00FD0336" w:rsidRDefault="004F2BC6" w:rsidP="004F2BC6">
      <w:pPr>
        <w:pStyle w:val="MDPI21heading1"/>
        <w:rPr>
          <w:lang w:val="en-GB"/>
        </w:rPr>
      </w:pPr>
      <w:r w:rsidRPr="00FD0336">
        <w:rPr>
          <w:lang w:val="en-GB" w:eastAsia="zh-CN"/>
        </w:rPr>
        <w:t xml:space="preserve">2. </w:t>
      </w:r>
      <w:r w:rsidR="00E93F94" w:rsidRPr="00FD0336">
        <w:rPr>
          <w:lang w:val="en-GB"/>
        </w:rPr>
        <w:t>Materials and Methods</w:t>
      </w:r>
    </w:p>
    <w:p w14:paraId="44DD58EA" w14:textId="2D2E288F" w:rsidR="00E93F94" w:rsidRPr="00FD0336" w:rsidRDefault="00E93F94" w:rsidP="004F2BC6">
      <w:pPr>
        <w:pStyle w:val="MDPI31text"/>
        <w:rPr>
          <w:b/>
          <w:lang w:val="en-GB"/>
        </w:rPr>
      </w:pPr>
      <w:r w:rsidRPr="00FD0336">
        <w:rPr>
          <w:lang w:val="en-GB"/>
        </w:rPr>
        <w:t xml:space="preserve">An online questionnaire was distributed to professionals employed by port authorities in 26 countries (Albania, Australia, Belgium, Belize, Brazil, Egypt, Canada, Chile, </w:t>
      </w:r>
      <w:r w:rsidRPr="00FD0336">
        <w:rPr>
          <w:lang w:val="en-GB"/>
        </w:rPr>
        <w:lastRenderedPageBreak/>
        <w:t>China, Finland, France, Japan, Latvia, Morocco, Namibia, Netherlands, Portugal, Romania, Saudi Arabia, Singapore, South Korea, Spain, Sri Lanka, Togo, UK</w:t>
      </w:r>
      <w:r w:rsidR="002F35A4">
        <w:rPr>
          <w:lang w:val="en-GB"/>
        </w:rPr>
        <w:t>,</w:t>
      </w:r>
      <w:r w:rsidRPr="00FD0336">
        <w:rPr>
          <w:lang w:val="en-GB"/>
        </w:rPr>
        <w:t xml:space="preserve"> and the USA)</w:t>
      </w:r>
      <w:r w:rsidR="002F35A4">
        <w:rPr>
          <w:lang w:val="en-GB"/>
        </w:rPr>
        <w:t>.</w:t>
      </w:r>
      <w:r w:rsidRPr="00FD0336">
        <w:rPr>
          <w:lang w:val="en-GB"/>
        </w:rPr>
        <w:t xml:space="preserve"> Response levels varied from a maximum of 51 to a minimum of 33 respondents per question. This </w:t>
      </w:r>
      <w:r w:rsidR="002F35A4">
        <w:rPr>
          <w:lang w:val="en-GB"/>
        </w:rPr>
        <w:t>wa</w:t>
      </w:r>
      <w:r w:rsidRPr="00FD0336">
        <w:rPr>
          <w:lang w:val="en-GB"/>
        </w:rPr>
        <w:t>s an acceptable number of participants for research into ports and compares with the sample size of other similar studies</w:t>
      </w:r>
      <w:r w:rsidR="002F35A4">
        <w:rPr>
          <w:lang w:val="en-GB"/>
        </w:rPr>
        <w:t>,</w:t>
      </w:r>
      <w:r w:rsidRPr="00FD0336">
        <w:rPr>
          <w:lang w:val="en-GB"/>
        </w:rPr>
        <w:t xml:space="preserve"> such as </w:t>
      </w:r>
      <w:proofErr w:type="spellStart"/>
      <w:r w:rsidRPr="00FD0336">
        <w:rPr>
          <w:lang w:val="en-GB"/>
        </w:rPr>
        <w:t>Moeremans</w:t>
      </w:r>
      <w:proofErr w:type="spellEnd"/>
      <w:r w:rsidRPr="00FD0336">
        <w:rPr>
          <w:lang w:val="en-GB"/>
        </w:rPr>
        <w:t xml:space="preserve"> and Dooms [</w:t>
      </w:r>
      <w:r w:rsidR="00E667D2" w:rsidRPr="00FD0336">
        <w:rPr>
          <w:lang w:val="en-GB"/>
        </w:rPr>
        <w:t>7</w:t>
      </w:r>
      <w:r w:rsidR="00B61B6C">
        <w:rPr>
          <w:lang w:val="en-GB"/>
        </w:rPr>
        <w:t>2</w:t>
      </w:r>
      <w:r w:rsidRPr="00FD0336">
        <w:rPr>
          <w:lang w:val="en-GB"/>
        </w:rPr>
        <w:t>]</w:t>
      </w:r>
      <w:r w:rsidR="002F35A4">
        <w:rPr>
          <w:lang w:val="en-GB"/>
        </w:rPr>
        <w:t>,</w:t>
      </w:r>
      <w:r w:rsidR="00EF5A1A" w:rsidRPr="00FD0336">
        <w:rPr>
          <w:lang w:val="en-GB"/>
        </w:rPr>
        <w:t xml:space="preserve"> and ensure</w:t>
      </w:r>
      <w:r w:rsidR="002F35A4">
        <w:rPr>
          <w:lang w:val="en-GB"/>
        </w:rPr>
        <w:t>d</w:t>
      </w:r>
      <w:r w:rsidR="00EF5A1A" w:rsidRPr="00FD0336">
        <w:rPr>
          <w:lang w:val="en-GB"/>
        </w:rPr>
        <w:t xml:space="preserve"> the sample </w:t>
      </w:r>
      <w:r w:rsidR="002F35A4">
        <w:rPr>
          <w:lang w:val="en-GB"/>
        </w:rPr>
        <w:t>wa</w:t>
      </w:r>
      <w:r w:rsidR="00EF5A1A" w:rsidRPr="00FD0336">
        <w:rPr>
          <w:lang w:val="en-GB"/>
        </w:rPr>
        <w:t>s global, addressing the call for greater representation from developing regions</w:t>
      </w:r>
      <w:r w:rsidR="00604689">
        <w:rPr>
          <w:lang w:val="en-GB"/>
        </w:rPr>
        <w:t xml:space="preserve"> [48]</w:t>
      </w:r>
      <w:r w:rsidR="00EF5A1A" w:rsidRPr="00FD0336">
        <w:rPr>
          <w:lang w:val="en-GB"/>
        </w:rPr>
        <w:t>.</w:t>
      </w:r>
    </w:p>
    <w:p w14:paraId="7AA8EE3C" w14:textId="380C14E2" w:rsidR="00E93F94" w:rsidRPr="00FD0336" w:rsidRDefault="00E93F94" w:rsidP="004F2BC6">
      <w:pPr>
        <w:pStyle w:val="MDPI31text"/>
        <w:rPr>
          <w:b/>
          <w:lang w:val="en-GB"/>
        </w:rPr>
      </w:pPr>
      <w:r w:rsidRPr="00FD0336">
        <w:rPr>
          <w:lang w:val="en-GB"/>
        </w:rPr>
        <w:t>Ports were initially targeted using lists of the world's largest ports according to cargo tonnage [</w:t>
      </w:r>
      <w:r w:rsidR="00E667D2" w:rsidRPr="00FD0336">
        <w:rPr>
          <w:lang w:val="en-GB"/>
        </w:rPr>
        <w:t>7</w:t>
      </w:r>
      <w:r w:rsidR="00B61B6C">
        <w:rPr>
          <w:lang w:val="en-GB"/>
        </w:rPr>
        <w:t>3</w:t>
      </w:r>
      <w:r w:rsidRPr="00FD0336">
        <w:rPr>
          <w:lang w:val="en-GB"/>
        </w:rPr>
        <w:t>], TEU [</w:t>
      </w:r>
      <w:r w:rsidR="00E667D2" w:rsidRPr="00FD0336">
        <w:rPr>
          <w:lang w:val="en-GB"/>
        </w:rPr>
        <w:t>7</w:t>
      </w:r>
      <w:r w:rsidR="00B61B6C">
        <w:rPr>
          <w:lang w:val="en-GB"/>
        </w:rPr>
        <w:t>4</w:t>
      </w:r>
      <w:r w:rsidRPr="00FD0336">
        <w:rPr>
          <w:lang w:val="en-GB"/>
        </w:rPr>
        <w:t>] and passenger numbers [</w:t>
      </w:r>
      <w:r w:rsidR="00E667D2" w:rsidRPr="00FD0336">
        <w:rPr>
          <w:lang w:val="en-GB"/>
        </w:rPr>
        <w:t>7</w:t>
      </w:r>
      <w:r w:rsidR="00177D99">
        <w:rPr>
          <w:lang w:val="en-GB"/>
        </w:rPr>
        <w:t>5</w:t>
      </w:r>
      <w:r w:rsidR="00A03430" w:rsidRPr="00FD0336">
        <w:rPr>
          <w:lang w:val="en-GB"/>
        </w:rPr>
        <w:t>–</w:t>
      </w:r>
      <w:r w:rsidR="00E667D2" w:rsidRPr="00FD0336">
        <w:rPr>
          <w:lang w:val="en-GB"/>
        </w:rPr>
        <w:t>7</w:t>
      </w:r>
      <w:r w:rsidR="00177D99">
        <w:rPr>
          <w:lang w:val="en-GB"/>
        </w:rPr>
        <w:t>7</w:t>
      </w:r>
      <w:r w:rsidRPr="00FD0336">
        <w:rPr>
          <w:lang w:val="en-GB"/>
        </w:rPr>
        <w:t>]. Additional ports were included if relevant professionals with suitable expertise were found during the search process, regardless of their size. The final sample contains 16% of the world's top 100 container ports [</w:t>
      </w:r>
      <w:r w:rsidR="00E667D2" w:rsidRPr="00FD0336">
        <w:rPr>
          <w:lang w:val="en-GB"/>
        </w:rPr>
        <w:t>7</w:t>
      </w:r>
      <w:r w:rsidR="00177D99">
        <w:rPr>
          <w:lang w:val="en-GB"/>
        </w:rPr>
        <w:t>4</w:t>
      </w:r>
      <w:r w:rsidRPr="00FD0336">
        <w:rPr>
          <w:lang w:val="en-GB"/>
        </w:rPr>
        <w:t>], 10% of the world's top 100 largest cruise ports [</w:t>
      </w:r>
      <w:r w:rsidR="00E667D2" w:rsidRPr="00FD0336">
        <w:rPr>
          <w:lang w:val="en-GB"/>
        </w:rPr>
        <w:t>7</w:t>
      </w:r>
      <w:r w:rsidR="00177D99">
        <w:rPr>
          <w:lang w:val="en-GB"/>
        </w:rPr>
        <w:t>7</w:t>
      </w:r>
      <w:r w:rsidRPr="00FD0336">
        <w:rPr>
          <w:lang w:val="en-GB"/>
        </w:rPr>
        <w:t>]</w:t>
      </w:r>
      <w:r w:rsidR="002F35A4">
        <w:rPr>
          <w:lang w:val="en-GB"/>
        </w:rPr>
        <w:t>,</w:t>
      </w:r>
      <w:r w:rsidRPr="00FD0336">
        <w:rPr>
          <w:lang w:val="en-GB"/>
        </w:rPr>
        <w:t xml:space="preserve"> and a geographical distribution covering a large variety of countries at varying levels of development</w:t>
      </w:r>
      <w:r w:rsidR="00EF5A1A" w:rsidRPr="00FD0336">
        <w:rPr>
          <w:lang w:val="en-GB"/>
        </w:rPr>
        <w:t>, as well as including smaller ports that have been left out of previous studies [10].</w:t>
      </w:r>
    </w:p>
    <w:p w14:paraId="3DC85CD9" w14:textId="4289F32D" w:rsidR="00E93F94" w:rsidRPr="00FD0336" w:rsidRDefault="00E93F94" w:rsidP="004F2BC6">
      <w:pPr>
        <w:pStyle w:val="MDPI31text"/>
        <w:rPr>
          <w:b/>
          <w:lang w:val="en-GB"/>
        </w:rPr>
      </w:pPr>
      <w:r w:rsidRPr="00FD0336">
        <w:rPr>
          <w:lang w:val="en-GB"/>
        </w:rPr>
        <w:t xml:space="preserve">Professionals with adequate expertise in port authorities were identified in numerous ways, such as using port authority websites and the professional networking website LinkedIn. In addition, the British Ports Association (BPA) distributed the questionnaire to UK ports. Participants linked to a port’s LinkedIn page were approached if their role in the port </w:t>
      </w:r>
      <w:r w:rsidR="002F35A4">
        <w:rPr>
          <w:lang w:val="en-GB"/>
        </w:rPr>
        <w:t>wa</w:t>
      </w:r>
      <w:r w:rsidRPr="00FD0336">
        <w:rPr>
          <w:lang w:val="en-GB"/>
        </w:rPr>
        <w:t>s related to management, operations, planning, engineering</w:t>
      </w:r>
      <w:r w:rsidR="002F35A4">
        <w:rPr>
          <w:lang w:val="en-GB"/>
        </w:rPr>
        <w:t>,</w:t>
      </w:r>
      <w:r w:rsidRPr="00FD0336">
        <w:rPr>
          <w:lang w:val="en-GB"/>
        </w:rPr>
        <w:t xml:space="preserve"> or the environment. In some cases, the final participant was recruited via recommendations from the person who was contacted initially. The questionnaire contained political, economic, social, technological, environmental</w:t>
      </w:r>
      <w:r w:rsidR="002F35A4">
        <w:rPr>
          <w:lang w:val="en-GB"/>
        </w:rPr>
        <w:t>,</w:t>
      </w:r>
      <w:r w:rsidRPr="00FD0336">
        <w:rPr>
          <w:lang w:val="en-GB"/>
        </w:rPr>
        <w:t xml:space="preserve"> and legal (PESTLE) sections. The PESTLE framework was chosen as an appropriate tool for conducting a broad </w:t>
      </w:r>
      <w:proofErr w:type="gramStart"/>
      <w:r w:rsidRPr="00FD0336">
        <w:rPr>
          <w:lang w:val="en-GB"/>
        </w:rPr>
        <w:t>fact finding</w:t>
      </w:r>
      <w:proofErr w:type="gramEnd"/>
      <w:r w:rsidRPr="00FD0336">
        <w:rPr>
          <w:lang w:val="en-GB"/>
        </w:rPr>
        <w:t xml:space="preserve"> exercise and has been shown to be useful in analysing both internal and external factors [</w:t>
      </w:r>
      <w:r w:rsidR="00E667D2" w:rsidRPr="00FD0336">
        <w:rPr>
          <w:lang w:val="en-GB"/>
        </w:rPr>
        <w:t>7</w:t>
      </w:r>
      <w:r w:rsidR="00177D99">
        <w:rPr>
          <w:lang w:val="en-GB"/>
        </w:rPr>
        <w:t>8</w:t>
      </w:r>
      <w:r w:rsidRPr="00FD0336">
        <w:rPr>
          <w:lang w:val="en-GB"/>
        </w:rPr>
        <w:t>], which is highly important for work on ports.</w:t>
      </w:r>
    </w:p>
    <w:p w14:paraId="4A9EBDC8" w14:textId="6175C795" w:rsidR="00E93F94" w:rsidRPr="00FD0336" w:rsidRDefault="00E93F94" w:rsidP="004F2BC6">
      <w:pPr>
        <w:pStyle w:val="MDPI31text"/>
        <w:rPr>
          <w:b/>
          <w:lang w:val="en-GB"/>
        </w:rPr>
      </w:pPr>
      <w:r w:rsidRPr="00FD0336">
        <w:rPr>
          <w:lang w:val="en-GB"/>
        </w:rPr>
        <w:t>Current levels of adoption and future interest in encouraging maritime clusters, industrial development, circular economy</w:t>
      </w:r>
      <w:r w:rsidR="002F35A4">
        <w:rPr>
          <w:lang w:val="en-GB"/>
        </w:rPr>
        <w:t>,</w:t>
      </w:r>
      <w:r w:rsidRPr="00FD0336">
        <w:rPr>
          <w:lang w:val="en-GB"/>
        </w:rPr>
        <w:t xml:space="preserve"> and waterfront development were all recorded as yes or no responses. These were analysed using chi-squared and 2</w:t>
      </w:r>
      <w:r w:rsidR="00E82C92" w:rsidRPr="00FD0336">
        <w:rPr>
          <w:lang w:val="en-GB"/>
        </w:rPr>
        <w:t xml:space="preserve"> </w:t>
      </w:r>
      <w:r w:rsidRPr="00FD0336">
        <w:rPr>
          <w:lang w:val="en-GB"/>
        </w:rPr>
        <w:t>x</w:t>
      </w:r>
      <w:r w:rsidR="00E82C92" w:rsidRPr="00FD0336">
        <w:rPr>
          <w:lang w:val="en-GB"/>
        </w:rPr>
        <w:t xml:space="preserve"> </w:t>
      </w:r>
      <w:r w:rsidRPr="00FD0336">
        <w:rPr>
          <w:lang w:val="en-GB"/>
        </w:rPr>
        <w:t xml:space="preserve">2 contingency tables. The </w:t>
      </w:r>
      <w:r w:rsidR="002F35A4">
        <w:rPr>
          <w:lang w:val="en-GB"/>
        </w:rPr>
        <w:t>c</w:t>
      </w:r>
      <w:r w:rsidRPr="00FD0336">
        <w:rPr>
          <w:lang w:val="en-GB"/>
        </w:rPr>
        <w:t>hi-square</w:t>
      </w:r>
      <w:r w:rsidR="002F35A4">
        <w:rPr>
          <w:lang w:val="en-GB"/>
        </w:rPr>
        <w:t>d</w:t>
      </w:r>
      <w:r w:rsidRPr="00FD0336">
        <w:rPr>
          <w:lang w:val="en-GB"/>
        </w:rPr>
        <w:t xml:space="preserve"> based measure of association Phi coefficient was used as a measure of association due to the low sample size and occasional cells with a count of less than 5 [</w:t>
      </w:r>
      <w:r w:rsidR="00E667D2" w:rsidRPr="00FD0336">
        <w:rPr>
          <w:lang w:val="en-GB"/>
        </w:rPr>
        <w:t>7</w:t>
      </w:r>
      <w:r w:rsidR="00177D99">
        <w:rPr>
          <w:lang w:val="en-GB"/>
        </w:rPr>
        <w:t>9</w:t>
      </w:r>
      <w:r w:rsidRPr="00FD0336">
        <w:rPr>
          <w:lang w:val="en-GB"/>
        </w:rPr>
        <w:t>]. A phi of &gt;</w:t>
      </w:r>
      <w:r w:rsidR="00E82C92" w:rsidRPr="00FD0336">
        <w:rPr>
          <w:lang w:val="en-GB"/>
        </w:rPr>
        <w:t xml:space="preserve"> </w:t>
      </w:r>
      <w:r w:rsidR="00C874EE">
        <w:rPr>
          <w:lang w:val="en-GB"/>
        </w:rPr>
        <w:t>0</w:t>
      </w:r>
      <w:r w:rsidRPr="00001C64">
        <w:rPr>
          <w:lang w:val="en-GB"/>
        </w:rPr>
        <w:t>.5</w:t>
      </w:r>
      <w:r w:rsidRPr="00FD0336">
        <w:rPr>
          <w:lang w:val="en-GB"/>
        </w:rPr>
        <w:t xml:space="preserve"> was considered a high association, </w:t>
      </w:r>
      <w:r w:rsidR="00C874EE" w:rsidRPr="001D19A9">
        <w:rPr>
          <w:lang w:val="en-GB"/>
        </w:rPr>
        <w:t>0</w:t>
      </w:r>
      <w:r w:rsidRPr="00001C64">
        <w:rPr>
          <w:lang w:val="en-GB"/>
        </w:rPr>
        <w:t>.3-</w:t>
      </w:r>
      <w:r w:rsidR="00C874EE" w:rsidRPr="00001C64">
        <w:rPr>
          <w:lang w:val="en-GB"/>
        </w:rPr>
        <w:t>0</w:t>
      </w:r>
      <w:r w:rsidRPr="00001C64">
        <w:rPr>
          <w:lang w:val="en-GB"/>
        </w:rPr>
        <w:t>.5</w:t>
      </w:r>
      <w:r w:rsidRPr="00FD0336">
        <w:rPr>
          <w:lang w:val="en-GB"/>
        </w:rPr>
        <w:t xml:space="preserve"> medium association </w:t>
      </w:r>
      <w:r w:rsidRPr="00001C64">
        <w:rPr>
          <w:lang w:val="en-GB"/>
        </w:rPr>
        <w:t xml:space="preserve">and </w:t>
      </w:r>
      <w:r w:rsidR="00C874EE" w:rsidRPr="00001C64">
        <w:rPr>
          <w:lang w:val="en-GB"/>
        </w:rPr>
        <w:t>0</w:t>
      </w:r>
      <w:r w:rsidRPr="00001C64">
        <w:rPr>
          <w:lang w:val="en-GB"/>
        </w:rPr>
        <w:t>.</w:t>
      </w:r>
      <w:r w:rsidR="00383253" w:rsidRPr="00001C64">
        <w:rPr>
          <w:lang w:val="en-GB"/>
        </w:rPr>
        <w:t>1–</w:t>
      </w:r>
      <w:r w:rsidR="00C874EE">
        <w:rPr>
          <w:lang w:val="en-GB"/>
        </w:rPr>
        <w:t>0.</w:t>
      </w:r>
      <w:r w:rsidR="00383253" w:rsidRPr="00FD0336">
        <w:rPr>
          <w:lang w:val="en-GB"/>
        </w:rPr>
        <w:t>3</w:t>
      </w:r>
      <w:r w:rsidRPr="00FD0336">
        <w:rPr>
          <w:lang w:val="en-GB"/>
        </w:rPr>
        <w:t xml:space="preserve"> as a low association. Yates' correction was used to provide continuity corrected chi-squared values and p values. Yates' correction effectiveness is disputed, with some sources saying it tends to be too conservative [</w:t>
      </w:r>
      <w:r w:rsidR="00177D99">
        <w:rPr>
          <w:lang w:val="en-GB"/>
        </w:rPr>
        <w:t>80</w:t>
      </w:r>
      <w:r w:rsidRPr="00FD0336">
        <w:rPr>
          <w:lang w:val="en-GB"/>
        </w:rPr>
        <w:t xml:space="preserve">]; therefore, Fisher's exact test </w:t>
      </w:r>
      <w:r w:rsidR="002F35A4">
        <w:rPr>
          <w:lang w:val="en-GB"/>
        </w:rPr>
        <w:t>was</w:t>
      </w:r>
      <w:r w:rsidR="002F35A4" w:rsidRPr="00FD0336">
        <w:rPr>
          <w:lang w:val="en-GB"/>
        </w:rPr>
        <w:t xml:space="preserve"> </w:t>
      </w:r>
      <w:r w:rsidRPr="00FD0336">
        <w:rPr>
          <w:lang w:val="en-GB"/>
        </w:rPr>
        <w:t>also provided as a further level of scrutiny. Spearman's rank correlation was used to analyse the port size and GDP per capita of host countries with responses. Spearman’s rank was chosen due since the responses are measured with categorical responses (yes or no) or an ordinal Likert scale, making the use of non-parametric statistics the preferred option [</w:t>
      </w:r>
      <w:r w:rsidR="00E667D2" w:rsidRPr="00FD0336">
        <w:rPr>
          <w:lang w:val="en-GB"/>
        </w:rPr>
        <w:t>80</w:t>
      </w:r>
      <w:r w:rsidRPr="00FD0336">
        <w:rPr>
          <w:lang w:val="en-GB"/>
        </w:rPr>
        <w:t>].</w:t>
      </w:r>
    </w:p>
    <w:p w14:paraId="46E39066" w14:textId="7E768747" w:rsidR="00E93F94" w:rsidRPr="00FD0336" w:rsidRDefault="00E93F94" w:rsidP="004F2BC6">
      <w:pPr>
        <w:pStyle w:val="MDPI31text"/>
        <w:rPr>
          <w:b/>
          <w:lang w:val="en-GB"/>
        </w:rPr>
      </w:pPr>
      <w:r w:rsidRPr="00FD0336">
        <w:rPr>
          <w:lang w:val="en-GB"/>
        </w:rPr>
        <w:t>The size of obstacles to maritime clusters, industrial development, circular economy</w:t>
      </w:r>
      <w:r w:rsidR="0058776F">
        <w:rPr>
          <w:lang w:val="en-GB"/>
        </w:rPr>
        <w:t>,</w:t>
      </w:r>
      <w:r w:rsidRPr="00FD0336">
        <w:rPr>
          <w:lang w:val="en-GB"/>
        </w:rPr>
        <w:t xml:space="preserve"> and waterfront economy were recorded using a Likert scale (</w:t>
      </w:r>
      <w:proofErr w:type="gramStart"/>
      <w:r w:rsidRPr="00FD0336">
        <w:rPr>
          <w:lang w:val="en-GB"/>
        </w:rPr>
        <w:t>very small</w:t>
      </w:r>
      <w:proofErr w:type="gramEnd"/>
      <w:r w:rsidRPr="00FD0336">
        <w:rPr>
          <w:lang w:val="en-GB"/>
        </w:rPr>
        <w:t>, small, medium, large</w:t>
      </w:r>
      <w:r w:rsidR="0058776F">
        <w:rPr>
          <w:lang w:val="en-GB"/>
        </w:rPr>
        <w:t>,</w:t>
      </w:r>
      <w:r w:rsidRPr="00FD0336">
        <w:rPr>
          <w:lang w:val="en-GB"/>
        </w:rPr>
        <w:t xml:space="preserve"> and very large). This data </w:t>
      </w:r>
      <w:proofErr w:type="gramStart"/>
      <w:r w:rsidRPr="00FD0336">
        <w:rPr>
          <w:lang w:val="en-GB"/>
        </w:rPr>
        <w:t>w</w:t>
      </w:r>
      <w:r w:rsidR="0058776F">
        <w:rPr>
          <w:lang w:val="en-GB"/>
        </w:rPr>
        <w:t>ere</w:t>
      </w:r>
      <w:proofErr w:type="gramEnd"/>
      <w:r w:rsidRPr="00FD0336">
        <w:rPr>
          <w:lang w:val="en-GB"/>
        </w:rPr>
        <w:t xml:space="preserve"> further investigated by creating mean and median values and ranking the barriers. Mean and median were chosen as the most appropriate measures of central tendency for Likert scales [</w:t>
      </w:r>
      <w:r w:rsidR="00E667D2" w:rsidRPr="00FD0336">
        <w:rPr>
          <w:lang w:val="en-GB"/>
        </w:rPr>
        <w:t>8</w:t>
      </w:r>
      <w:r w:rsidR="00177D99">
        <w:rPr>
          <w:lang w:val="en-GB"/>
        </w:rPr>
        <w:t>1</w:t>
      </w:r>
      <w:r w:rsidRPr="00FD0336">
        <w:rPr>
          <w:lang w:val="en-GB"/>
        </w:rPr>
        <w:t>].</w:t>
      </w:r>
    </w:p>
    <w:p w14:paraId="232784BB" w14:textId="3E45B478" w:rsidR="00E93F94" w:rsidRPr="00FD0336" w:rsidRDefault="00E93F94" w:rsidP="004F2BC6">
      <w:pPr>
        <w:pStyle w:val="MDPI31text"/>
        <w:rPr>
          <w:b/>
          <w:lang w:val="en-GB"/>
        </w:rPr>
      </w:pPr>
      <w:r w:rsidRPr="00FD0336">
        <w:rPr>
          <w:lang w:val="en-GB"/>
        </w:rPr>
        <w:t xml:space="preserve">The answers of the respondents to the following </w:t>
      </w:r>
      <w:r w:rsidRPr="00001C64">
        <w:rPr>
          <w:lang w:val="en-GB"/>
        </w:rPr>
        <w:t>questions</w:t>
      </w:r>
      <w:r w:rsidR="0058776F">
        <w:rPr>
          <w:lang w:val="en-GB"/>
        </w:rPr>
        <w:t>/statements</w:t>
      </w:r>
      <w:r w:rsidRPr="00FD0336">
        <w:rPr>
          <w:lang w:val="en-GB"/>
        </w:rPr>
        <w:t xml:space="preserve"> were also analysed:</w:t>
      </w:r>
    </w:p>
    <w:p w14:paraId="3E1BAE16" w14:textId="08097651" w:rsidR="00E93F94" w:rsidRPr="00FD0336" w:rsidRDefault="00E93F94" w:rsidP="004F2BC6">
      <w:pPr>
        <w:pStyle w:val="MDPI31text"/>
        <w:rPr>
          <w:b/>
          <w:lang w:val="en-GB"/>
        </w:rPr>
      </w:pPr>
      <w:r w:rsidRPr="00FD0336">
        <w:rPr>
          <w:lang w:val="en-GB"/>
        </w:rPr>
        <w:t>Please rate your level of agreement with the following statements</w:t>
      </w:r>
      <w:r w:rsidR="0058776F">
        <w:rPr>
          <w:lang w:val="en-GB"/>
        </w:rPr>
        <w:t>:</w:t>
      </w:r>
    </w:p>
    <w:p w14:paraId="46F245A7" w14:textId="6A58D1DC" w:rsidR="00E93F94" w:rsidRPr="00FD0336" w:rsidRDefault="00E93F94" w:rsidP="00901A30">
      <w:pPr>
        <w:pStyle w:val="MDPI31text"/>
        <w:numPr>
          <w:ilvl w:val="0"/>
          <w:numId w:val="17"/>
        </w:numPr>
        <w:rPr>
          <w:b/>
          <w:lang w:val="en-GB"/>
        </w:rPr>
      </w:pPr>
      <w:r w:rsidRPr="00001C64">
        <w:rPr>
          <w:lang w:val="en-GB"/>
        </w:rPr>
        <w:t>It is</w:t>
      </w:r>
      <w:r w:rsidRPr="00FD0336">
        <w:rPr>
          <w:lang w:val="en-GB"/>
        </w:rPr>
        <w:t xml:space="preserve"> important for the local population to be knowledgeable about the port</w:t>
      </w:r>
      <w:r w:rsidR="004760C0" w:rsidRPr="00001C64">
        <w:rPr>
          <w:lang w:val="en-GB"/>
        </w:rPr>
        <w:t>.</w:t>
      </w:r>
    </w:p>
    <w:p w14:paraId="5766F255" w14:textId="6C77D84F" w:rsidR="00E93F94" w:rsidRPr="00FD0336" w:rsidRDefault="00E93F94" w:rsidP="00901A30">
      <w:pPr>
        <w:pStyle w:val="MDPI31text"/>
        <w:numPr>
          <w:ilvl w:val="0"/>
          <w:numId w:val="17"/>
        </w:numPr>
        <w:rPr>
          <w:b/>
          <w:lang w:val="en-GB"/>
        </w:rPr>
      </w:pPr>
      <w:r w:rsidRPr="00001C64">
        <w:rPr>
          <w:lang w:val="en-GB"/>
        </w:rPr>
        <w:t>It is</w:t>
      </w:r>
      <w:r w:rsidRPr="00FD0336">
        <w:rPr>
          <w:lang w:val="en-GB"/>
        </w:rPr>
        <w:t xml:space="preserve"> important for the port to create benefits for the local populatio</w:t>
      </w:r>
      <w:r w:rsidRPr="001D19A9">
        <w:rPr>
          <w:lang w:val="en-GB"/>
        </w:rPr>
        <w:t>n</w:t>
      </w:r>
      <w:r w:rsidR="00914B5B" w:rsidRPr="00001C64">
        <w:rPr>
          <w:lang w:val="en-GB"/>
        </w:rPr>
        <w:t>.</w:t>
      </w:r>
    </w:p>
    <w:p w14:paraId="236B787A" w14:textId="4CB24469" w:rsidR="00E93F94" w:rsidRPr="00FD0336" w:rsidRDefault="00E93F94" w:rsidP="00901A30">
      <w:pPr>
        <w:pStyle w:val="MDPI31text"/>
        <w:numPr>
          <w:ilvl w:val="0"/>
          <w:numId w:val="17"/>
        </w:numPr>
        <w:rPr>
          <w:b/>
          <w:lang w:val="en-GB"/>
        </w:rPr>
      </w:pPr>
      <w:r w:rsidRPr="00FD0336">
        <w:rPr>
          <w:lang w:val="en-GB"/>
        </w:rPr>
        <w:t xml:space="preserve">Do you feel the local population </w:t>
      </w:r>
      <w:r w:rsidR="0058776F">
        <w:rPr>
          <w:lang w:val="en-GB"/>
        </w:rPr>
        <w:t>is</w:t>
      </w:r>
      <w:r w:rsidR="0058776F" w:rsidRPr="00FD0336">
        <w:rPr>
          <w:lang w:val="en-GB"/>
        </w:rPr>
        <w:t xml:space="preserve"> </w:t>
      </w:r>
      <w:r w:rsidRPr="00FD0336">
        <w:rPr>
          <w:lang w:val="en-GB"/>
        </w:rPr>
        <w:t>aware of the benefits the port provides?</w:t>
      </w:r>
    </w:p>
    <w:p w14:paraId="6CF9B2BD" w14:textId="77777777" w:rsidR="00E93F94" w:rsidRPr="00FD0336" w:rsidRDefault="00E93F94" w:rsidP="00901A30">
      <w:pPr>
        <w:pStyle w:val="MDPI31text"/>
        <w:numPr>
          <w:ilvl w:val="0"/>
          <w:numId w:val="17"/>
        </w:numPr>
        <w:rPr>
          <w:b/>
          <w:lang w:val="en-GB"/>
        </w:rPr>
      </w:pPr>
      <w:r w:rsidRPr="00FD0336">
        <w:rPr>
          <w:lang w:val="en-GB"/>
        </w:rPr>
        <w:t>Do you feel the attitude of the local population towards the port is positive?</w:t>
      </w:r>
    </w:p>
    <w:p w14:paraId="424AF55F" w14:textId="77777777" w:rsidR="00E93F94" w:rsidRPr="00FD0336" w:rsidRDefault="00E93F94" w:rsidP="00901A30">
      <w:pPr>
        <w:pStyle w:val="MDPI31text"/>
        <w:numPr>
          <w:ilvl w:val="0"/>
          <w:numId w:val="17"/>
        </w:numPr>
        <w:rPr>
          <w:b/>
          <w:lang w:val="en-GB"/>
        </w:rPr>
      </w:pPr>
      <w:r w:rsidRPr="00FD0336">
        <w:rPr>
          <w:lang w:val="en-GB"/>
        </w:rPr>
        <w:t>How interested is the port in improving the attitude of the local population towards the port?</w:t>
      </w:r>
    </w:p>
    <w:p w14:paraId="50B408F7" w14:textId="77777777" w:rsidR="00E93F94" w:rsidRPr="00FD0336" w:rsidRDefault="00E93F94" w:rsidP="00901A30">
      <w:pPr>
        <w:pStyle w:val="MDPI31text"/>
        <w:numPr>
          <w:ilvl w:val="0"/>
          <w:numId w:val="17"/>
        </w:numPr>
        <w:rPr>
          <w:b/>
          <w:lang w:val="en-GB"/>
        </w:rPr>
      </w:pPr>
      <w:r w:rsidRPr="00FD0336">
        <w:rPr>
          <w:lang w:val="en-GB"/>
        </w:rPr>
        <w:t xml:space="preserve">Does the port feel under pressure from </w:t>
      </w:r>
      <w:proofErr w:type="gramStart"/>
      <w:r w:rsidRPr="00FD0336">
        <w:rPr>
          <w:lang w:val="en-GB"/>
        </w:rPr>
        <w:t>local residents</w:t>
      </w:r>
      <w:proofErr w:type="gramEnd"/>
      <w:r w:rsidRPr="00FD0336">
        <w:rPr>
          <w:lang w:val="en-GB"/>
        </w:rPr>
        <w:t xml:space="preserve"> to reduce its negative impact?</w:t>
      </w:r>
    </w:p>
    <w:p w14:paraId="25C8C233" w14:textId="24309B11" w:rsidR="00E93F94" w:rsidRPr="00FD0336" w:rsidRDefault="00E93F94" w:rsidP="00901A30">
      <w:pPr>
        <w:pStyle w:val="MDPI31text"/>
        <w:rPr>
          <w:lang w:val="en-GB"/>
        </w:rPr>
      </w:pPr>
      <w:r w:rsidRPr="00FD0336">
        <w:rPr>
          <w:lang w:val="en-GB"/>
        </w:rPr>
        <w:lastRenderedPageBreak/>
        <w:t>These responses were recorded on a Likert scale (</w:t>
      </w:r>
      <w:r w:rsidR="00383253" w:rsidRPr="00FD0336">
        <w:rPr>
          <w:lang w:val="en-GB"/>
        </w:rPr>
        <w:t>1–5</w:t>
      </w:r>
      <w:r w:rsidRPr="00FD0336">
        <w:rPr>
          <w:lang w:val="en-GB"/>
        </w:rPr>
        <w:t>); however, responses were converted to a simple yes or no to make analysis using chi-squared possible by increasing the cell counts. The mid-point on the Likert scale was categorised as a no as it show</w:t>
      </w:r>
      <w:r w:rsidR="0058776F">
        <w:rPr>
          <w:lang w:val="en-GB"/>
        </w:rPr>
        <w:t>ed</w:t>
      </w:r>
      <w:r w:rsidRPr="00FD0336">
        <w:rPr>
          <w:lang w:val="en-GB"/>
        </w:rPr>
        <w:t xml:space="preserve"> a lack of agreement with the statements, so this analysis focused on identifying the frequency of positive responses. This was then analysed using chi-squared following the same method outlined earlier. </w:t>
      </w:r>
      <w:r w:rsidR="0058776F">
        <w:rPr>
          <w:lang w:val="en-GB"/>
        </w:rPr>
        <w:t>S</w:t>
      </w:r>
      <w:r w:rsidRPr="00FD0336">
        <w:rPr>
          <w:lang w:val="en-GB"/>
        </w:rPr>
        <w:t>tatistical analysis was undertaken using Statistical Package for the Social Sciences (SPSS) software [</w:t>
      </w:r>
      <w:r w:rsidR="00C874EE">
        <w:rPr>
          <w:lang w:val="en-GB"/>
        </w:rPr>
        <w:t>8</w:t>
      </w:r>
      <w:r w:rsidR="00177D99">
        <w:rPr>
          <w:lang w:val="en-GB"/>
        </w:rPr>
        <w:t>2</w:t>
      </w:r>
      <w:r w:rsidRPr="00FD0336">
        <w:rPr>
          <w:lang w:val="en-GB"/>
        </w:rPr>
        <w:t>]</w:t>
      </w:r>
      <w:r w:rsidR="0058776F">
        <w:rPr>
          <w:lang w:val="en-GB"/>
        </w:rPr>
        <w:t>,</w:t>
      </w:r>
      <w:r w:rsidRPr="00FD0336">
        <w:rPr>
          <w:lang w:val="en-GB"/>
        </w:rPr>
        <w:t xml:space="preserve"> and the findings</w:t>
      </w:r>
      <w:r w:rsidR="0058776F">
        <w:rPr>
          <w:lang w:val="en-GB"/>
        </w:rPr>
        <w:t>,</w:t>
      </w:r>
      <w:r w:rsidRPr="00FD0336">
        <w:rPr>
          <w:lang w:val="en-GB"/>
        </w:rPr>
        <w:t xml:space="preserve"> which were significant at the 95% confidence level</w:t>
      </w:r>
      <w:r w:rsidR="0058776F">
        <w:rPr>
          <w:lang w:val="en-GB"/>
        </w:rPr>
        <w:t>,</w:t>
      </w:r>
      <w:r w:rsidRPr="00FD0336">
        <w:rPr>
          <w:lang w:val="en-GB"/>
        </w:rPr>
        <w:t xml:space="preserve"> are presented.</w:t>
      </w:r>
    </w:p>
    <w:p w14:paraId="21CEE988" w14:textId="0D3D55CC" w:rsidR="00E93F94" w:rsidRPr="00FD0336" w:rsidRDefault="00901A30" w:rsidP="00901A30">
      <w:pPr>
        <w:pStyle w:val="MDPI21heading1"/>
        <w:rPr>
          <w:lang w:val="en-GB"/>
        </w:rPr>
      </w:pPr>
      <w:r w:rsidRPr="00FD0336">
        <w:rPr>
          <w:lang w:val="en-GB"/>
        </w:rPr>
        <w:t xml:space="preserve">3. </w:t>
      </w:r>
      <w:r w:rsidR="00E93F94" w:rsidRPr="00FD0336">
        <w:rPr>
          <w:lang w:val="en-GB"/>
        </w:rPr>
        <w:t>Results</w:t>
      </w:r>
    </w:p>
    <w:p w14:paraId="19E1D96E" w14:textId="44FFF289" w:rsidR="00E93F94" w:rsidRPr="00FD0336" w:rsidRDefault="00E93F94" w:rsidP="00901A30">
      <w:pPr>
        <w:pStyle w:val="MDPI31text"/>
        <w:rPr>
          <w:lang w:val="en-GB"/>
        </w:rPr>
      </w:pPr>
      <w:r w:rsidRPr="00FD0336">
        <w:rPr>
          <w:lang w:val="en-GB"/>
        </w:rPr>
        <w:t>The participants were involved in various areas of port authority operations, such as management (37.2%), planning (30.2%), environment (11.6%), engineering (4.6%), commercial (6.9%), administration (4.6%)</w:t>
      </w:r>
      <w:r w:rsidR="00A142F4">
        <w:rPr>
          <w:lang w:val="en-GB"/>
        </w:rPr>
        <w:t>,</w:t>
      </w:r>
      <w:r w:rsidRPr="00FD0336">
        <w:rPr>
          <w:lang w:val="en-GB"/>
        </w:rPr>
        <w:t xml:space="preserve"> and others (4.6%). Using the Southampton System's port grouping as a framework </w:t>
      </w:r>
      <w:r w:rsidRPr="00001C64">
        <w:rPr>
          <w:lang w:val="en-GB"/>
        </w:rPr>
        <w:t>[</w:t>
      </w:r>
      <w:r w:rsidR="00E667D2" w:rsidRPr="00001C64">
        <w:rPr>
          <w:lang w:val="en-GB"/>
        </w:rPr>
        <w:t>8</w:t>
      </w:r>
      <w:r w:rsidR="00177D99" w:rsidRPr="00001C64">
        <w:rPr>
          <w:lang w:val="en-GB"/>
        </w:rPr>
        <w:t>3</w:t>
      </w:r>
      <w:r w:rsidR="00D23348" w:rsidRPr="00001C64">
        <w:rPr>
          <w:lang w:val="en-GB"/>
        </w:rPr>
        <w:t>]</w:t>
      </w:r>
      <w:r w:rsidRPr="00001C64">
        <w:rPr>
          <w:lang w:val="en-GB"/>
        </w:rPr>
        <w:t>,</w:t>
      </w:r>
      <w:r w:rsidRPr="00FD0336">
        <w:rPr>
          <w:lang w:val="en-GB"/>
        </w:rPr>
        <w:t xml:space="preserve"> this survey included four micro-ports, nine small-ports, 12 medium-ports, 13 large-ports</w:t>
      </w:r>
      <w:r w:rsidR="00822D82">
        <w:rPr>
          <w:lang w:val="en-GB"/>
        </w:rPr>
        <w:t>,</w:t>
      </w:r>
      <w:r w:rsidRPr="00FD0336">
        <w:rPr>
          <w:lang w:val="en-GB"/>
        </w:rPr>
        <w:t xml:space="preserve"> and 13 ports that chose not to specify their size, some of which were possible to group from </w:t>
      </w:r>
      <w:proofErr w:type="spellStart"/>
      <w:r w:rsidRPr="00FD0336">
        <w:rPr>
          <w:lang w:val="en-GB"/>
        </w:rPr>
        <w:t>publically</w:t>
      </w:r>
      <w:proofErr w:type="spellEnd"/>
      <w:r w:rsidRPr="00FD0336">
        <w:rPr>
          <w:lang w:val="en-GB"/>
        </w:rPr>
        <w:t xml:space="preserve"> available online data for cargo and passenger numbers of that port.</w:t>
      </w:r>
    </w:p>
    <w:p w14:paraId="085F0E55" w14:textId="2A46841A" w:rsidR="00E93F94" w:rsidRPr="00FD0336" w:rsidRDefault="00E93F94" w:rsidP="00901A30">
      <w:pPr>
        <w:pStyle w:val="MDPI31text"/>
        <w:rPr>
          <w:lang w:val="en-GB"/>
        </w:rPr>
      </w:pPr>
      <w:r w:rsidRPr="00FD0336">
        <w:rPr>
          <w:lang w:val="en-GB"/>
        </w:rPr>
        <w:t>The current levels of adoption of maritime clusters, port industrial development, circular economy</w:t>
      </w:r>
      <w:r w:rsidR="00A142F4">
        <w:rPr>
          <w:lang w:val="en-GB"/>
        </w:rPr>
        <w:t>,</w:t>
      </w:r>
      <w:r w:rsidRPr="00FD0336">
        <w:rPr>
          <w:lang w:val="en-GB"/>
        </w:rPr>
        <w:t xml:space="preserve"> and waterfront development, as well as</w:t>
      </w:r>
      <w:r w:rsidR="00A142F4">
        <w:rPr>
          <w:lang w:val="en-GB"/>
        </w:rPr>
        <w:t xml:space="preserve"> the</w:t>
      </w:r>
      <w:r w:rsidRPr="00FD0336">
        <w:rPr>
          <w:lang w:val="en-GB"/>
        </w:rPr>
        <w:t xml:space="preserve"> level of interest in encouraging them in the future</w:t>
      </w:r>
      <w:r w:rsidR="00A142F4">
        <w:rPr>
          <w:lang w:val="en-GB"/>
        </w:rPr>
        <w:t>,</w:t>
      </w:r>
      <w:r w:rsidRPr="00FD0336">
        <w:rPr>
          <w:lang w:val="en-GB"/>
        </w:rPr>
        <w:t xml:space="preserve"> are presented in Table 1. This shows that</w:t>
      </w:r>
      <w:r w:rsidR="00A142F4">
        <w:rPr>
          <w:lang w:val="en-GB"/>
        </w:rPr>
        <w:t>,</w:t>
      </w:r>
      <w:r w:rsidRPr="00FD0336">
        <w:rPr>
          <w:lang w:val="en-GB"/>
        </w:rPr>
        <w:t xml:space="preserve"> of the four methods considered in this study, the </w:t>
      </w:r>
      <w:r w:rsidR="00A142F4">
        <w:rPr>
          <w:lang w:val="en-GB"/>
        </w:rPr>
        <w:t>c</w:t>
      </w:r>
      <w:r w:rsidRPr="00FD0336">
        <w:rPr>
          <w:lang w:val="en-GB"/>
        </w:rPr>
        <w:t xml:space="preserve">ircular </w:t>
      </w:r>
      <w:r w:rsidR="00A142F4">
        <w:rPr>
          <w:lang w:val="en-GB"/>
        </w:rPr>
        <w:t>e</w:t>
      </w:r>
      <w:r w:rsidRPr="00FD0336">
        <w:rPr>
          <w:lang w:val="en-GB"/>
        </w:rPr>
        <w:t>conomy is the method with the lowest reported current levels of adoption, and it is the only option described as showing a large increase between current levels and future interest (58.8%). Maritime clusters and port industrial development are relatively stable between current levels and future interest; however, waterfront economy shows a fall in interest from current levels.</w:t>
      </w:r>
    </w:p>
    <w:p w14:paraId="6A945260" w14:textId="25035DC8" w:rsidR="00E93F94" w:rsidRPr="00FD0336" w:rsidRDefault="00901A30" w:rsidP="00901A30">
      <w:pPr>
        <w:pStyle w:val="MDPI41tablecaption"/>
        <w:rPr>
          <w:lang w:val="en-GB"/>
        </w:rPr>
      </w:pPr>
      <w:r w:rsidRPr="00FD0336">
        <w:rPr>
          <w:b/>
          <w:lang w:val="en-GB"/>
        </w:rPr>
        <w:t xml:space="preserve">Table 1. </w:t>
      </w:r>
      <w:r w:rsidR="00E93F94" w:rsidRPr="00FD0336">
        <w:rPr>
          <w:lang w:val="en-GB"/>
        </w:rPr>
        <w:t xml:space="preserve">Current presence </w:t>
      </w:r>
      <w:r w:rsidR="00D05A3E">
        <w:rPr>
          <w:lang w:val="en-GB"/>
        </w:rPr>
        <w:t>(</w:t>
      </w:r>
      <w:r w:rsidR="00E93F94" w:rsidRPr="00FD0336">
        <w:rPr>
          <w:lang w:val="en-GB"/>
        </w:rPr>
        <w:t>and levels</w:t>
      </w:r>
      <w:r w:rsidR="00D05A3E">
        <w:rPr>
          <w:lang w:val="en-GB"/>
        </w:rPr>
        <w:t>)</w:t>
      </w:r>
      <w:r w:rsidR="00E93F94" w:rsidRPr="00FD0336">
        <w:rPr>
          <w:lang w:val="en-GB"/>
        </w:rPr>
        <w:t xml:space="preserve"> of interest in encouraging various methods of increasing </w:t>
      </w:r>
      <w:r w:rsidR="00D05A3E">
        <w:rPr>
          <w:lang w:val="en-GB"/>
        </w:rPr>
        <w:t xml:space="preserve">the </w:t>
      </w:r>
      <w:r w:rsidR="00E93F94" w:rsidRPr="00FD0336">
        <w:rPr>
          <w:lang w:val="en-GB"/>
        </w:rPr>
        <w:t>economic benefits of ports (%).</w:t>
      </w:r>
    </w:p>
    <w:tbl>
      <w:tblPr>
        <w:tblW w:w="7857" w:type="dxa"/>
        <w:tblInd w:w="2608" w:type="dxa"/>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1645"/>
        <w:gridCol w:w="1134"/>
        <w:gridCol w:w="1417"/>
        <w:gridCol w:w="2268"/>
        <w:gridCol w:w="1393"/>
      </w:tblGrid>
      <w:tr w:rsidR="00C54694" w:rsidRPr="006E7FB8" w14:paraId="08618C2E" w14:textId="77777777" w:rsidTr="00901A30">
        <w:tc>
          <w:tcPr>
            <w:tcW w:w="1645" w:type="dxa"/>
            <w:tcBorders>
              <w:top w:val="single" w:sz="8" w:space="0" w:color="auto"/>
              <w:bottom w:val="single" w:sz="4" w:space="0" w:color="auto"/>
            </w:tcBorders>
            <w:shd w:val="clear" w:color="auto" w:fill="auto"/>
            <w:vAlign w:val="center"/>
          </w:tcPr>
          <w:p w14:paraId="57292C8D" w14:textId="77777777" w:rsidR="00E93F94" w:rsidRPr="00FD0336" w:rsidRDefault="00E93F94" w:rsidP="00901A30">
            <w:pPr>
              <w:autoSpaceDE w:val="0"/>
              <w:autoSpaceDN w:val="0"/>
              <w:adjustRightInd w:val="0"/>
              <w:snapToGrid w:val="0"/>
              <w:spacing w:line="240" w:lineRule="auto"/>
              <w:jc w:val="center"/>
              <w:rPr>
                <w:b/>
                <w:noProof w:val="0"/>
                <w:szCs w:val="24"/>
                <w:lang w:val="en-GB"/>
              </w:rPr>
            </w:pPr>
          </w:p>
        </w:tc>
        <w:tc>
          <w:tcPr>
            <w:tcW w:w="1134" w:type="dxa"/>
            <w:tcBorders>
              <w:top w:val="single" w:sz="8" w:space="0" w:color="auto"/>
              <w:bottom w:val="single" w:sz="4" w:space="0" w:color="auto"/>
            </w:tcBorders>
            <w:shd w:val="clear" w:color="auto" w:fill="auto"/>
            <w:vAlign w:val="center"/>
          </w:tcPr>
          <w:p w14:paraId="619F0AD7" w14:textId="77777777" w:rsidR="00E93F94" w:rsidRPr="00001C64" w:rsidRDefault="00E93F94" w:rsidP="00901A30">
            <w:pPr>
              <w:autoSpaceDE w:val="0"/>
              <w:autoSpaceDN w:val="0"/>
              <w:adjustRightInd w:val="0"/>
              <w:snapToGrid w:val="0"/>
              <w:spacing w:line="240" w:lineRule="auto"/>
              <w:jc w:val="center"/>
              <w:rPr>
                <w:bCs/>
                <w:noProof w:val="0"/>
                <w:szCs w:val="24"/>
                <w:lang w:val="en-GB"/>
              </w:rPr>
            </w:pPr>
            <w:r w:rsidRPr="00001C64">
              <w:rPr>
                <w:bCs/>
                <w:noProof w:val="0"/>
                <w:szCs w:val="24"/>
                <w:lang w:val="en-GB"/>
              </w:rPr>
              <w:t>Present</w:t>
            </w:r>
          </w:p>
        </w:tc>
        <w:tc>
          <w:tcPr>
            <w:tcW w:w="1417" w:type="dxa"/>
            <w:tcBorders>
              <w:top w:val="single" w:sz="8" w:space="0" w:color="auto"/>
              <w:bottom w:val="single" w:sz="4" w:space="0" w:color="auto"/>
            </w:tcBorders>
            <w:shd w:val="clear" w:color="auto" w:fill="auto"/>
            <w:vAlign w:val="center"/>
          </w:tcPr>
          <w:p w14:paraId="2D6FD058" w14:textId="77777777" w:rsidR="00E93F94" w:rsidRPr="00001C64" w:rsidRDefault="00E93F94" w:rsidP="00901A30">
            <w:pPr>
              <w:autoSpaceDE w:val="0"/>
              <w:autoSpaceDN w:val="0"/>
              <w:adjustRightInd w:val="0"/>
              <w:snapToGrid w:val="0"/>
              <w:spacing w:line="240" w:lineRule="auto"/>
              <w:jc w:val="center"/>
              <w:rPr>
                <w:bCs/>
                <w:noProof w:val="0"/>
                <w:szCs w:val="24"/>
                <w:lang w:val="en-GB"/>
              </w:rPr>
            </w:pPr>
            <w:r w:rsidRPr="00001C64">
              <w:rPr>
                <w:bCs/>
                <w:noProof w:val="0"/>
                <w:szCs w:val="24"/>
                <w:lang w:val="en-GB"/>
              </w:rPr>
              <w:t>Not present</w:t>
            </w:r>
          </w:p>
        </w:tc>
        <w:tc>
          <w:tcPr>
            <w:tcW w:w="2268" w:type="dxa"/>
            <w:tcBorders>
              <w:top w:val="single" w:sz="8" w:space="0" w:color="auto"/>
              <w:bottom w:val="single" w:sz="4" w:space="0" w:color="auto"/>
            </w:tcBorders>
            <w:shd w:val="clear" w:color="auto" w:fill="auto"/>
            <w:vAlign w:val="center"/>
          </w:tcPr>
          <w:p w14:paraId="35988B93" w14:textId="77777777" w:rsidR="00E93F94" w:rsidRPr="00001C64" w:rsidRDefault="00E93F94" w:rsidP="00901A30">
            <w:pPr>
              <w:autoSpaceDE w:val="0"/>
              <w:autoSpaceDN w:val="0"/>
              <w:adjustRightInd w:val="0"/>
              <w:snapToGrid w:val="0"/>
              <w:spacing w:line="240" w:lineRule="auto"/>
              <w:jc w:val="center"/>
              <w:rPr>
                <w:bCs/>
                <w:noProof w:val="0"/>
                <w:szCs w:val="24"/>
                <w:lang w:val="en-GB"/>
              </w:rPr>
            </w:pPr>
            <w:r w:rsidRPr="00001C64">
              <w:rPr>
                <w:bCs/>
                <w:noProof w:val="0"/>
                <w:szCs w:val="24"/>
                <w:lang w:val="en-GB"/>
              </w:rPr>
              <w:t>Interested in encouraging in the future</w:t>
            </w:r>
          </w:p>
        </w:tc>
        <w:tc>
          <w:tcPr>
            <w:tcW w:w="1393" w:type="dxa"/>
            <w:tcBorders>
              <w:top w:val="single" w:sz="8" w:space="0" w:color="auto"/>
              <w:bottom w:val="single" w:sz="4" w:space="0" w:color="auto"/>
            </w:tcBorders>
            <w:shd w:val="clear" w:color="auto" w:fill="auto"/>
            <w:vAlign w:val="center"/>
          </w:tcPr>
          <w:p w14:paraId="382F4472" w14:textId="77777777" w:rsidR="00E93F94" w:rsidRPr="00001C64" w:rsidRDefault="00E93F94" w:rsidP="00901A30">
            <w:pPr>
              <w:autoSpaceDE w:val="0"/>
              <w:autoSpaceDN w:val="0"/>
              <w:adjustRightInd w:val="0"/>
              <w:snapToGrid w:val="0"/>
              <w:spacing w:line="240" w:lineRule="auto"/>
              <w:jc w:val="center"/>
              <w:rPr>
                <w:bCs/>
                <w:noProof w:val="0"/>
                <w:szCs w:val="24"/>
                <w:lang w:val="en-GB"/>
              </w:rPr>
            </w:pPr>
            <w:r w:rsidRPr="00001C64">
              <w:rPr>
                <w:bCs/>
                <w:noProof w:val="0"/>
                <w:szCs w:val="24"/>
                <w:lang w:val="en-GB"/>
              </w:rPr>
              <w:t>Percentage change</w:t>
            </w:r>
          </w:p>
        </w:tc>
      </w:tr>
      <w:tr w:rsidR="00C54694" w:rsidRPr="00FD0336" w14:paraId="59CE9A05" w14:textId="77777777" w:rsidTr="00901A30">
        <w:tc>
          <w:tcPr>
            <w:tcW w:w="1645" w:type="dxa"/>
            <w:tcBorders>
              <w:top w:val="single" w:sz="4" w:space="0" w:color="auto"/>
            </w:tcBorders>
            <w:shd w:val="clear" w:color="auto" w:fill="auto"/>
            <w:vAlign w:val="center"/>
          </w:tcPr>
          <w:p w14:paraId="214B6E1F"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Maritime clusters</w:t>
            </w:r>
          </w:p>
        </w:tc>
        <w:tc>
          <w:tcPr>
            <w:tcW w:w="1134" w:type="dxa"/>
            <w:tcBorders>
              <w:top w:val="single" w:sz="4" w:space="0" w:color="auto"/>
            </w:tcBorders>
            <w:shd w:val="clear" w:color="auto" w:fill="auto"/>
            <w:vAlign w:val="center"/>
          </w:tcPr>
          <w:p w14:paraId="65CC5195"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23</w:t>
            </w:r>
          </w:p>
        </w:tc>
        <w:tc>
          <w:tcPr>
            <w:tcW w:w="1417" w:type="dxa"/>
            <w:tcBorders>
              <w:top w:val="single" w:sz="4" w:space="0" w:color="auto"/>
            </w:tcBorders>
            <w:shd w:val="clear" w:color="auto" w:fill="auto"/>
            <w:vAlign w:val="center"/>
          </w:tcPr>
          <w:p w14:paraId="6A62B56A"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28</w:t>
            </w:r>
          </w:p>
        </w:tc>
        <w:tc>
          <w:tcPr>
            <w:tcW w:w="2268" w:type="dxa"/>
            <w:tcBorders>
              <w:top w:val="single" w:sz="4" w:space="0" w:color="auto"/>
            </w:tcBorders>
            <w:shd w:val="clear" w:color="auto" w:fill="auto"/>
            <w:vAlign w:val="center"/>
          </w:tcPr>
          <w:p w14:paraId="67D6A01D"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23</w:t>
            </w:r>
          </w:p>
        </w:tc>
        <w:tc>
          <w:tcPr>
            <w:tcW w:w="1393" w:type="dxa"/>
            <w:tcBorders>
              <w:top w:val="single" w:sz="4" w:space="0" w:color="auto"/>
            </w:tcBorders>
            <w:shd w:val="clear" w:color="auto" w:fill="auto"/>
            <w:vAlign w:val="center"/>
          </w:tcPr>
          <w:p w14:paraId="2FC954FF"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0</w:t>
            </w:r>
          </w:p>
        </w:tc>
      </w:tr>
      <w:tr w:rsidR="00C54694" w:rsidRPr="00FD0336" w14:paraId="39043397" w14:textId="77777777" w:rsidTr="00901A30">
        <w:tc>
          <w:tcPr>
            <w:tcW w:w="1645" w:type="dxa"/>
            <w:shd w:val="clear" w:color="auto" w:fill="auto"/>
            <w:vAlign w:val="center"/>
          </w:tcPr>
          <w:p w14:paraId="65F7946C" w14:textId="4135DF2F"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 xml:space="preserve">Port </w:t>
            </w:r>
            <w:r w:rsidR="001378DE">
              <w:rPr>
                <w:noProof w:val="0"/>
                <w:szCs w:val="24"/>
                <w:lang w:val="en-GB"/>
              </w:rPr>
              <w:t>i</w:t>
            </w:r>
            <w:r w:rsidRPr="00FD0336">
              <w:rPr>
                <w:noProof w:val="0"/>
                <w:szCs w:val="24"/>
                <w:lang w:val="en-GB"/>
              </w:rPr>
              <w:t xml:space="preserve">ndustrial </w:t>
            </w:r>
            <w:r w:rsidR="001378DE">
              <w:rPr>
                <w:noProof w:val="0"/>
                <w:szCs w:val="24"/>
                <w:lang w:val="en-GB"/>
              </w:rPr>
              <w:t>d</w:t>
            </w:r>
            <w:r w:rsidRPr="00FD0336">
              <w:rPr>
                <w:noProof w:val="0"/>
                <w:szCs w:val="24"/>
                <w:lang w:val="en-GB"/>
              </w:rPr>
              <w:t>evelopment</w:t>
            </w:r>
          </w:p>
        </w:tc>
        <w:tc>
          <w:tcPr>
            <w:tcW w:w="1134" w:type="dxa"/>
            <w:shd w:val="clear" w:color="auto" w:fill="auto"/>
            <w:vAlign w:val="center"/>
          </w:tcPr>
          <w:p w14:paraId="6605CE92"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30</w:t>
            </w:r>
          </w:p>
        </w:tc>
        <w:tc>
          <w:tcPr>
            <w:tcW w:w="1417" w:type="dxa"/>
            <w:shd w:val="clear" w:color="auto" w:fill="auto"/>
            <w:vAlign w:val="center"/>
          </w:tcPr>
          <w:p w14:paraId="07D2A0FE"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19</w:t>
            </w:r>
          </w:p>
        </w:tc>
        <w:tc>
          <w:tcPr>
            <w:tcW w:w="2268" w:type="dxa"/>
            <w:shd w:val="clear" w:color="auto" w:fill="auto"/>
            <w:vAlign w:val="center"/>
          </w:tcPr>
          <w:p w14:paraId="3676DD9B"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31</w:t>
            </w:r>
          </w:p>
        </w:tc>
        <w:tc>
          <w:tcPr>
            <w:tcW w:w="1393" w:type="dxa"/>
            <w:shd w:val="clear" w:color="auto" w:fill="auto"/>
            <w:vAlign w:val="center"/>
          </w:tcPr>
          <w:p w14:paraId="09205908"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3.3</w:t>
            </w:r>
          </w:p>
        </w:tc>
      </w:tr>
      <w:tr w:rsidR="00C54694" w:rsidRPr="00FD0336" w14:paraId="2244B508" w14:textId="77777777" w:rsidTr="00901A30">
        <w:tc>
          <w:tcPr>
            <w:tcW w:w="1645" w:type="dxa"/>
            <w:shd w:val="clear" w:color="auto" w:fill="auto"/>
            <w:vAlign w:val="center"/>
          </w:tcPr>
          <w:p w14:paraId="713BFDB8" w14:textId="4ABFD781"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 xml:space="preserve">Circular </w:t>
            </w:r>
            <w:r w:rsidR="001378DE">
              <w:rPr>
                <w:noProof w:val="0"/>
                <w:szCs w:val="24"/>
                <w:lang w:val="en-GB"/>
              </w:rPr>
              <w:t>e</w:t>
            </w:r>
            <w:r w:rsidRPr="00FD0336">
              <w:rPr>
                <w:noProof w:val="0"/>
                <w:szCs w:val="24"/>
                <w:lang w:val="en-GB"/>
              </w:rPr>
              <w:t>conomy</w:t>
            </w:r>
          </w:p>
        </w:tc>
        <w:tc>
          <w:tcPr>
            <w:tcW w:w="1134" w:type="dxa"/>
            <w:shd w:val="clear" w:color="auto" w:fill="auto"/>
            <w:vAlign w:val="center"/>
          </w:tcPr>
          <w:p w14:paraId="25818231"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17</w:t>
            </w:r>
          </w:p>
        </w:tc>
        <w:tc>
          <w:tcPr>
            <w:tcW w:w="1417" w:type="dxa"/>
            <w:shd w:val="clear" w:color="auto" w:fill="auto"/>
            <w:vAlign w:val="center"/>
          </w:tcPr>
          <w:p w14:paraId="746C5F80"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29</w:t>
            </w:r>
          </w:p>
        </w:tc>
        <w:tc>
          <w:tcPr>
            <w:tcW w:w="2268" w:type="dxa"/>
            <w:shd w:val="clear" w:color="auto" w:fill="auto"/>
            <w:vAlign w:val="center"/>
          </w:tcPr>
          <w:p w14:paraId="7C989933"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27</w:t>
            </w:r>
          </w:p>
        </w:tc>
        <w:tc>
          <w:tcPr>
            <w:tcW w:w="1393" w:type="dxa"/>
            <w:shd w:val="clear" w:color="auto" w:fill="auto"/>
            <w:vAlign w:val="center"/>
          </w:tcPr>
          <w:p w14:paraId="053A225B"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58.8</w:t>
            </w:r>
          </w:p>
        </w:tc>
      </w:tr>
      <w:tr w:rsidR="00C54694" w:rsidRPr="00FD0336" w14:paraId="10019F0C" w14:textId="77777777" w:rsidTr="00901A30">
        <w:tc>
          <w:tcPr>
            <w:tcW w:w="1645" w:type="dxa"/>
            <w:shd w:val="clear" w:color="auto" w:fill="auto"/>
            <w:vAlign w:val="center"/>
          </w:tcPr>
          <w:p w14:paraId="40E1C1AF" w14:textId="3CBB4A01"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 xml:space="preserve">Waterfront </w:t>
            </w:r>
            <w:r w:rsidR="001378DE">
              <w:rPr>
                <w:noProof w:val="0"/>
                <w:szCs w:val="24"/>
                <w:lang w:val="en-GB"/>
              </w:rPr>
              <w:t>e</w:t>
            </w:r>
            <w:r w:rsidRPr="00FD0336">
              <w:rPr>
                <w:noProof w:val="0"/>
                <w:szCs w:val="24"/>
                <w:lang w:val="en-GB"/>
              </w:rPr>
              <w:t>conomy</w:t>
            </w:r>
          </w:p>
        </w:tc>
        <w:tc>
          <w:tcPr>
            <w:tcW w:w="1134" w:type="dxa"/>
            <w:shd w:val="clear" w:color="auto" w:fill="auto"/>
            <w:vAlign w:val="center"/>
          </w:tcPr>
          <w:p w14:paraId="2FD01EE2"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33</w:t>
            </w:r>
          </w:p>
        </w:tc>
        <w:tc>
          <w:tcPr>
            <w:tcW w:w="1417" w:type="dxa"/>
            <w:shd w:val="clear" w:color="auto" w:fill="auto"/>
            <w:vAlign w:val="center"/>
          </w:tcPr>
          <w:p w14:paraId="5E3D8271"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18</w:t>
            </w:r>
          </w:p>
        </w:tc>
        <w:tc>
          <w:tcPr>
            <w:tcW w:w="2268" w:type="dxa"/>
            <w:shd w:val="clear" w:color="auto" w:fill="auto"/>
            <w:vAlign w:val="center"/>
          </w:tcPr>
          <w:p w14:paraId="78C207AF"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24</w:t>
            </w:r>
          </w:p>
        </w:tc>
        <w:tc>
          <w:tcPr>
            <w:tcW w:w="1393" w:type="dxa"/>
            <w:shd w:val="clear" w:color="auto" w:fill="auto"/>
            <w:vAlign w:val="center"/>
          </w:tcPr>
          <w:p w14:paraId="46ADAE39" w14:textId="1BA28D56" w:rsidR="00E93F94" w:rsidRPr="00FD0336" w:rsidRDefault="00C874EE" w:rsidP="00901A30">
            <w:pPr>
              <w:autoSpaceDE w:val="0"/>
              <w:autoSpaceDN w:val="0"/>
              <w:adjustRightInd w:val="0"/>
              <w:snapToGrid w:val="0"/>
              <w:spacing w:line="240" w:lineRule="auto"/>
              <w:jc w:val="center"/>
              <w:rPr>
                <w:noProof w:val="0"/>
                <w:szCs w:val="24"/>
                <w:lang w:val="en-GB"/>
              </w:rPr>
            </w:pPr>
            <w:r w:rsidRPr="00C874EE">
              <w:rPr>
                <w:noProof w:val="0"/>
                <w:szCs w:val="24"/>
                <w:lang w:val="en-GB"/>
              </w:rPr>
              <w:t>−</w:t>
            </w:r>
            <w:r w:rsidR="00E93F94" w:rsidRPr="00FD0336">
              <w:rPr>
                <w:noProof w:val="0"/>
                <w:szCs w:val="24"/>
                <w:lang w:val="en-GB"/>
              </w:rPr>
              <w:t>27.2</w:t>
            </w:r>
          </w:p>
        </w:tc>
      </w:tr>
      <w:tr w:rsidR="00C54694" w:rsidRPr="00FD0336" w14:paraId="3D25E92F" w14:textId="77777777" w:rsidTr="00901A30">
        <w:tc>
          <w:tcPr>
            <w:tcW w:w="1645" w:type="dxa"/>
            <w:shd w:val="clear" w:color="auto" w:fill="auto"/>
            <w:vAlign w:val="center"/>
          </w:tcPr>
          <w:p w14:paraId="293F36C6"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None</w:t>
            </w:r>
          </w:p>
        </w:tc>
        <w:tc>
          <w:tcPr>
            <w:tcW w:w="1134" w:type="dxa"/>
            <w:shd w:val="clear" w:color="auto" w:fill="auto"/>
            <w:vAlign w:val="center"/>
          </w:tcPr>
          <w:p w14:paraId="7925123B"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5</w:t>
            </w:r>
          </w:p>
        </w:tc>
        <w:tc>
          <w:tcPr>
            <w:tcW w:w="1417" w:type="dxa"/>
            <w:shd w:val="clear" w:color="auto" w:fill="auto"/>
            <w:vAlign w:val="center"/>
          </w:tcPr>
          <w:p w14:paraId="1E396C81"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NA</w:t>
            </w:r>
          </w:p>
        </w:tc>
        <w:tc>
          <w:tcPr>
            <w:tcW w:w="2268" w:type="dxa"/>
            <w:shd w:val="clear" w:color="auto" w:fill="auto"/>
            <w:vAlign w:val="center"/>
          </w:tcPr>
          <w:p w14:paraId="1C044923" w14:textId="77777777" w:rsidR="00E93F94" w:rsidRPr="00FD0336" w:rsidRDefault="00E93F94" w:rsidP="00901A30">
            <w:pPr>
              <w:autoSpaceDE w:val="0"/>
              <w:autoSpaceDN w:val="0"/>
              <w:adjustRightInd w:val="0"/>
              <w:snapToGrid w:val="0"/>
              <w:spacing w:line="240" w:lineRule="auto"/>
              <w:jc w:val="center"/>
              <w:rPr>
                <w:noProof w:val="0"/>
                <w:szCs w:val="24"/>
                <w:lang w:val="en-GB"/>
              </w:rPr>
            </w:pPr>
            <w:r w:rsidRPr="00FD0336">
              <w:rPr>
                <w:noProof w:val="0"/>
                <w:szCs w:val="24"/>
                <w:lang w:val="en-GB"/>
              </w:rPr>
              <w:t>2</w:t>
            </w:r>
          </w:p>
        </w:tc>
        <w:tc>
          <w:tcPr>
            <w:tcW w:w="1393" w:type="dxa"/>
            <w:shd w:val="clear" w:color="auto" w:fill="auto"/>
            <w:vAlign w:val="center"/>
          </w:tcPr>
          <w:p w14:paraId="6B768700" w14:textId="6642D974" w:rsidR="00E93F94" w:rsidRPr="00FD0336" w:rsidRDefault="00E82C92" w:rsidP="00901A30">
            <w:pPr>
              <w:autoSpaceDE w:val="0"/>
              <w:autoSpaceDN w:val="0"/>
              <w:adjustRightInd w:val="0"/>
              <w:snapToGrid w:val="0"/>
              <w:spacing w:line="240" w:lineRule="auto"/>
              <w:jc w:val="center"/>
              <w:rPr>
                <w:noProof w:val="0"/>
                <w:szCs w:val="24"/>
                <w:lang w:val="en-GB"/>
              </w:rPr>
            </w:pPr>
            <w:r w:rsidRPr="00FD0336">
              <w:rPr>
                <w:noProof w:val="0"/>
                <w:szCs w:val="24"/>
                <w:lang w:val="en-GB"/>
              </w:rPr>
              <w:t>−6</w:t>
            </w:r>
            <w:r w:rsidR="00E93F94" w:rsidRPr="00FD0336">
              <w:rPr>
                <w:noProof w:val="0"/>
                <w:szCs w:val="24"/>
                <w:lang w:val="en-GB"/>
              </w:rPr>
              <w:t>0</w:t>
            </w:r>
          </w:p>
        </w:tc>
      </w:tr>
    </w:tbl>
    <w:p w14:paraId="3DE7D236" w14:textId="01EB5063" w:rsidR="00E93F94" w:rsidRPr="00FD0336" w:rsidRDefault="00E93F94" w:rsidP="00CB41C3">
      <w:pPr>
        <w:pStyle w:val="MDPI31text"/>
        <w:rPr>
          <w:lang w:val="en-GB"/>
        </w:rPr>
      </w:pPr>
      <w:r w:rsidRPr="00FD0336">
        <w:rPr>
          <w:lang w:val="en-GB"/>
        </w:rPr>
        <w:t>The levels of association</w:t>
      </w:r>
      <w:r w:rsidR="00D05A3E">
        <w:rPr>
          <w:lang w:val="en-GB"/>
        </w:rPr>
        <w:t>,</w:t>
      </w:r>
      <w:r w:rsidRPr="00FD0336">
        <w:rPr>
          <w:lang w:val="en-GB"/>
        </w:rPr>
        <w:t xml:space="preserve"> </w:t>
      </w:r>
      <w:proofErr w:type="gramStart"/>
      <w:r w:rsidR="00D05A3E">
        <w:rPr>
          <w:lang w:val="en-GB"/>
        </w:rPr>
        <w:t>in regards to</w:t>
      </w:r>
      <w:proofErr w:type="gramEnd"/>
      <w:r w:rsidR="006C5CC4" w:rsidRPr="00FD0336">
        <w:rPr>
          <w:lang w:val="en-GB"/>
        </w:rPr>
        <w:t xml:space="preserve"> </w:t>
      </w:r>
      <w:r w:rsidRPr="00FD0336">
        <w:rPr>
          <w:lang w:val="en-GB"/>
        </w:rPr>
        <w:t>the presence of maritime clusters, port industrial development, circular economy</w:t>
      </w:r>
      <w:r w:rsidR="006C5CC4">
        <w:rPr>
          <w:lang w:val="en-GB"/>
        </w:rPr>
        <w:t>,</w:t>
      </w:r>
      <w:r w:rsidRPr="00FD0336">
        <w:rPr>
          <w:lang w:val="en-GB"/>
        </w:rPr>
        <w:t xml:space="preserve"> and waterfront development are shown in Table 2. Continuity correction was used when required, however sections where it was not necessary or not possible </w:t>
      </w:r>
      <w:r w:rsidR="0098767A">
        <w:rPr>
          <w:lang w:val="en-GB"/>
        </w:rPr>
        <w:t xml:space="preserve">are </w:t>
      </w:r>
      <w:r w:rsidRPr="00FD0336">
        <w:rPr>
          <w:lang w:val="en-GB"/>
        </w:rPr>
        <w:t>left blank</w:t>
      </w:r>
      <w:r w:rsidR="0098767A">
        <w:rPr>
          <w:lang w:val="en-GB"/>
        </w:rPr>
        <w:t>.</w:t>
      </w:r>
      <w:r w:rsidRPr="00FD0336">
        <w:rPr>
          <w:lang w:val="en-GB"/>
        </w:rPr>
        <w:t xml:space="preserve"> </w:t>
      </w:r>
      <w:r w:rsidR="0098767A">
        <w:rPr>
          <w:lang w:val="en-GB"/>
        </w:rPr>
        <w:t>T</w:t>
      </w:r>
      <w:r w:rsidRPr="00FD0336">
        <w:rPr>
          <w:lang w:val="en-GB"/>
        </w:rPr>
        <w:t xml:space="preserve">his is also the case for later tables. Table 2 shows a statistically significant association </w:t>
      </w:r>
      <w:r w:rsidR="00822D82">
        <w:rPr>
          <w:lang w:val="en-GB"/>
        </w:rPr>
        <w:t>among</w:t>
      </w:r>
      <w:r w:rsidR="00822D82" w:rsidRPr="00FD0336">
        <w:rPr>
          <w:lang w:val="en-GB"/>
        </w:rPr>
        <w:t xml:space="preserve"> </w:t>
      </w:r>
      <w:r w:rsidRPr="00FD0336">
        <w:rPr>
          <w:lang w:val="en-GB"/>
        </w:rPr>
        <w:t>the current adoption</w:t>
      </w:r>
      <w:r w:rsidR="00822D82">
        <w:rPr>
          <w:lang w:val="en-GB"/>
        </w:rPr>
        <w:t>s</w:t>
      </w:r>
      <w:r w:rsidRPr="00FD0336">
        <w:rPr>
          <w:lang w:val="en-GB"/>
        </w:rPr>
        <w:t xml:space="preserve"> of all methods considered in the study, with the adoption of one method increasing the likelihood of adopting another. The strongest associations among these are </w:t>
      </w:r>
      <w:r w:rsidR="0098767A">
        <w:rPr>
          <w:lang w:val="en-GB"/>
        </w:rPr>
        <w:t>with</w:t>
      </w:r>
      <w:r w:rsidR="0098767A" w:rsidRPr="00FD0336">
        <w:rPr>
          <w:lang w:val="en-GB"/>
        </w:rPr>
        <w:t xml:space="preserve"> </w:t>
      </w:r>
      <w:r w:rsidRPr="00FD0336">
        <w:rPr>
          <w:lang w:val="en-GB"/>
        </w:rPr>
        <w:t xml:space="preserve">waterfront development and the presence of circular economy and industrial developments. </w:t>
      </w:r>
    </w:p>
    <w:p w14:paraId="7D73BED4" w14:textId="580693E9" w:rsidR="00E93F94" w:rsidRPr="00FD0336" w:rsidRDefault="00CB41C3" w:rsidP="00CB41C3">
      <w:pPr>
        <w:pStyle w:val="MDPI41tablecaption"/>
        <w:rPr>
          <w:lang w:val="en-GB"/>
        </w:rPr>
      </w:pPr>
      <w:r w:rsidRPr="00FD0336">
        <w:rPr>
          <w:b/>
          <w:lang w:val="en-GB"/>
        </w:rPr>
        <w:t xml:space="preserve">Table 2. </w:t>
      </w:r>
      <w:r w:rsidR="00E93F94" w:rsidRPr="00FD0336">
        <w:rPr>
          <w:lang w:val="en-GB"/>
        </w:rPr>
        <w:t>The presence of a method for increasing a port</w:t>
      </w:r>
      <w:r w:rsidR="0098767A">
        <w:rPr>
          <w:lang w:val="en-GB"/>
        </w:rPr>
        <w:t>’</w:t>
      </w:r>
      <w:r w:rsidR="00E93F94" w:rsidRPr="00FD0336">
        <w:rPr>
          <w:lang w:val="en-GB"/>
        </w:rPr>
        <w:t>s economic benefits and the presence of other methods.</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09"/>
        <w:gridCol w:w="1309"/>
        <w:gridCol w:w="1309"/>
        <w:gridCol w:w="1310"/>
        <w:gridCol w:w="1310"/>
        <w:gridCol w:w="1310"/>
      </w:tblGrid>
      <w:tr w:rsidR="00C54694" w:rsidRPr="006E7FB8" w14:paraId="16723355" w14:textId="77777777" w:rsidTr="00476B4C">
        <w:tc>
          <w:tcPr>
            <w:tcW w:w="0" w:type="dxa"/>
            <w:tcBorders>
              <w:top w:val="single" w:sz="8" w:space="0" w:color="auto"/>
              <w:bottom w:val="single" w:sz="4" w:space="0" w:color="auto"/>
            </w:tcBorders>
            <w:shd w:val="clear" w:color="auto" w:fill="auto"/>
            <w:vAlign w:val="center"/>
          </w:tcPr>
          <w:p w14:paraId="5C6CB3FD" w14:textId="77777777" w:rsidR="00E93F94" w:rsidRPr="00FD0336" w:rsidRDefault="00E93F94" w:rsidP="00476B4C">
            <w:pPr>
              <w:autoSpaceDE w:val="0"/>
              <w:autoSpaceDN w:val="0"/>
              <w:adjustRightInd w:val="0"/>
              <w:snapToGrid w:val="0"/>
              <w:spacing w:line="240" w:lineRule="auto"/>
              <w:jc w:val="center"/>
              <w:rPr>
                <w:b/>
                <w:noProof w:val="0"/>
                <w:color w:val="000000" w:themeColor="text1"/>
                <w:lang w:val="en-GB"/>
              </w:rPr>
            </w:pPr>
          </w:p>
        </w:tc>
        <w:tc>
          <w:tcPr>
            <w:tcW w:w="0" w:type="dxa"/>
            <w:tcBorders>
              <w:top w:val="single" w:sz="8" w:space="0" w:color="auto"/>
              <w:bottom w:val="single" w:sz="4" w:space="0" w:color="auto"/>
            </w:tcBorders>
            <w:shd w:val="clear" w:color="auto" w:fill="auto"/>
            <w:vAlign w:val="center"/>
          </w:tcPr>
          <w:p w14:paraId="5141E8B8" w14:textId="77777777" w:rsidR="00E93F94" w:rsidRPr="00001C64" w:rsidRDefault="00E93F94" w:rsidP="00476B4C">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 xml:space="preserve">Value </w:t>
            </w:r>
          </w:p>
        </w:tc>
        <w:tc>
          <w:tcPr>
            <w:tcW w:w="0" w:type="dxa"/>
            <w:tcBorders>
              <w:top w:val="single" w:sz="8" w:space="0" w:color="auto"/>
              <w:bottom w:val="single" w:sz="4" w:space="0" w:color="auto"/>
            </w:tcBorders>
            <w:shd w:val="clear" w:color="auto" w:fill="auto"/>
            <w:vAlign w:val="center"/>
          </w:tcPr>
          <w:p w14:paraId="6889C5B0" w14:textId="77777777" w:rsidR="00E93F94" w:rsidRPr="00001C64" w:rsidRDefault="00E93F94" w:rsidP="00476B4C">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Presence of a Maritime Cluster</w:t>
            </w:r>
          </w:p>
        </w:tc>
        <w:tc>
          <w:tcPr>
            <w:tcW w:w="0" w:type="dxa"/>
            <w:tcBorders>
              <w:top w:val="single" w:sz="8" w:space="0" w:color="auto"/>
              <w:bottom w:val="single" w:sz="4" w:space="0" w:color="auto"/>
            </w:tcBorders>
            <w:shd w:val="clear" w:color="auto" w:fill="auto"/>
            <w:vAlign w:val="center"/>
          </w:tcPr>
          <w:p w14:paraId="0871F1E5" w14:textId="77777777" w:rsidR="00E93F94" w:rsidRPr="00001C64" w:rsidRDefault="00E93F94" w:rsidP="00476B4C">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Presence of Port Industrial Development</w:t>
            </w:r>
          </w:p>
        </w:tc>
        <w:tc>
          <w:tcPr>
            <w:tcW w:w="0" w:type="dxa"/>
            <w:tcBorders>
              <w:top w:val="single" w:sz="8" w:space="0" w:color="auto"/>
              <w:bottom w:val="single" w:sz="4" w:space="0" w:color="auto"/>
            </w:tcBorders>
            <w:shd w:val="clear" w:color="auto" w:fill="auto"/>
            <w:vAlign w:val="center"/>
          </w:tcPr>
          <w:p w14:paraId="16598276" w14:textId="77777777" w:rsidR="00E93F94" w:rsidRPr="00001C64" w:rsidRDefault="00E93F94" w:rsidP="00476B4C">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Presence of Circular Economy</w:t>
            </w:r>
          </w:p>
        </w:tc>
        <w:tc>
          <w:tcPr>
            <w:tcW w:w="0" w:type="dxa"/>
            <w:tcBorders>
              <w:top w:val="single" w:sz="8" w:space="0" w:color="auto"/>
              <w:bottom w:val="single" w:sz="4" w:space="0" w:color="auto"/>
            </w:tcBorders>
            <w:shd w:val="clear" w:color="auto" w:fill="auto"/>
            <w:vAlign w:val="center"/>
          </w:tcPr>
          <w:p w14:paraId="02EE990D" w14:textId="77777777" w:rsidR="00E93F94" w:rsidRPr="00001C64" w:rsidRDefault="00E93F94" w:rsidP="00476B4C">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Presence of Waterfront Development</w:t>
            </w:r>
          </w:p>
        </w:tc>
      </w:tr>
      <w:tr w:rsidR="00D62335" w:rsidRPr="00FD0336" w14:paraId="4F69386C" w14:textId="77777777" w:rsidTr="00476B4C">
        <w:tc>
          <w:tcPr>
            <w:tcW w:w="0" w:type="dxa"/>
            <w:vMerge w:val="restart"/>
            <w:tcBorders>
              <w:top w:val="single" w:sz="4" w:space="0" w:color="auto"/>
            </w:tcBorders>
            <w:shd w:val="clear" w:color="auto" w:fill="auto"/>
            <w:vAlign w:val="center"/>
          </w:tcPr>
          <w:p w14:paraId="362812C8" w14:textId="575D6C50"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a </w:t>
            </w:r>
            <w:r w:rsidR="0098767A" w:rsidRPr="00FD0336">
              <w:rPr>
                <w:noProof w:val="0"/>
                <w:color w:val="000000" w:themeColor="text1"/>
                <w:lang w:val="en-GB"/>
              </w:rPr>
              <w:t>maritime cluster</w:t>
            </w:r>
          </w:p>
        </w:tc>
        <w:tc>
          <w:tcPr>
            <w:tcW w:w="0" w:type="dxa"/>
            <w:tcBorders>
              <w:top w:val="single" w:sz="4" w:space="0" w:color="auto"/>
              <w:bottom w:val="nil"/>
            </w:tcBorders>
            <w:shd w:val="clear" w:color="auto" w:fill="auto"/>
            <w:vAlign w:val="center"/>
          </w:tcPr>
          <w:p w14:paraId="3F481504" w14:textId="0F6538AD"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98767A">
              <w:rPr>
                <w:noProof w:val="0"/>
                <w:color w:val="000000" w:themeColor="text1"/>
                <w:lang w:val="en-GB"/>
              </w:rPr>
              <w:t>s</w:t>
            </w:r>
            <w:r w:rsidRPr="00FD0336">
              <w:rPr>
                <w:noProof w:val="0"/>
                <w:color w:val="000000" w:themeColor="text1"/>
                <w:lang w:val="en-GB"/>
              </w:rPr>
              <w:t>quare</w:t>
            </w:r>
            <w:r w:rsidR="0098767A">
              <w:rPr>
                <w:noProof w:val="0"/>
                <w:color w:val="000000" w:themeColor="text1"/>
                <w:lang w:val="en-GB"/>
              </w:rPr>
              <w:t>d</w:t>
            </w:r>
          </w:p>
        </w:tc>
        <w:tc>
          <w:tcPr>
            <w:tcW w:w="0" w:type="dxa"/>
            <w:tcBorders>
              <w:top w:val="single" w:sz="4" w:space="0" w:color="auto"/>
              <w:bottom w:val="nil"/>
            </w:tcBorders>
            <w:shd w:val="clear" w:color="auto" w:fill="auto"/>
            <w:vAlign w:val="center"/>
          </w:tcPr>
          <w:p w14:paraId="1A2D74CE"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6E34C11" w14:textId="6402BAFB"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6.117</w:t>
            </w:r>
          </w:p>
        </w:tc>
        <w:tc>
          <w:tcPr>
            <w:tcW w:w="0" w:type="dxa"/>
            <w:tcBorders>
              <w:top w:val="single" w:sz="4" w:space="0" w:color="auto"/>
              <w:bottom w:val="nil"/>
            </w:tcBorders>
            <w:shd w:val="clear" w:color="auto" w:fill="auto"/>
            <w:vAlign w:val="center"/>
          </w:tcPr>
          <w:p w14:paraId="4A04F4F5" w14:textId="798412A2"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9.031</w:t>
            </w:r>
          </w:p>
        </w:tc>
        <w:tc>
          <w:tcPr>
            <w:tcW w:w="0" w:type="dxa"/>
            <w:tcBorders>
              <w:top w:val="single" w:sz="4" w:space="0" w:color="auto"/>
              <w:bottom w:val="nil"/>
            </w:tcBorders>
            <w:shd w:val="clear" w:color="auto" w:fill="auto"/>
            <w:vAlign w:val="center"/>
          </w:tcPr>
          <w:p w14:paraId="49A4B965" w14:textId="3E84A9D3"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5.107</w:t>
            </w:r>
          </w:p>
        </w:tc>
      </w:tr>
      <w:tr w:rsidR="00D62335" w:rsidRPr="00FD0336" w14:paraId="76FECD8C" w14:textId="77777777" w:rsidTr="00476B4C">
        <w:tc>
          <w:tcPr>
            <w:tcW w:w="0" w:type="dxa"/>
            <w:vMerge/>
            <w:shd w:val="clear" w:color="auto" w:fill="auto"/>
            <w:vAlign w:val="center"/>
          </w:tcPr>
          <w:p w14:paraId="3B86B891"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3A63536A" w14:textId="5DC0AC3E" w:rsidR="00D62335"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D62335" w:rsidRPr="00FD0336">
              <w:rPr>
                <w:noProof w:val="0"/>
                <w:color w:val="000000" w:themeColor="text1"/>
                <w:lang w:val="en-GB"/>
              </w:rPr>
              <w:t>correction</w:t>
            </w:r>
          </w:p>
        </w:tc>
        <w:tc>
          <w:tcPr>
            <w:tcW w:w="0" w:type="dxa"/>
            <w:tcBorders>
              <w:top w:val="nil"/>
              <w:bottom w:val="nil"/>
            </w:tcBorders>
            <w:shd w:val="clear" w:color="auto" w:fill="auto"/>
            <w:vAlign w:val="center"/>
          </w:tcPr>
          <w:p w14:paraId="0F83E0F4" w14:textId="71EA5CB2"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nil"/>
              <w:bottom w:val="nil"/>
            </w:tcBorders>
            <w:shd w:val="clear" w:color="auto" w:fill="auto"/>
            <w:vAlign w:val="center"/>
          </w:tcPr>
          <w:p w14:paraId="5159A324" w14:textId="17A50B25"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4.652</w:t>
            </w:r>
          </w:p>
        </w:tc>
        <w:tc>
          <w:tcPr>
            <w:tcW w:w="0" w:type="dxa"/>
            <w:tcBorders>
              <w:top w:val="nil"/>
              <w:bottom w:val="nil"/>
            </w:tcBorders>
            <w:shd w:val="clear" w:color="auto" w:fill="auto"/>
            <w:vAlign w:val="center"/>
          </w:tcPr>
          <w:p w14:paraId="76D48640"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22F2DD9" w14:textId="68FD733A"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3.768</w:t>
            </w:r>
          </w:p>
        </w:tc>
      </w:tr>
      <w:tr w:rsidR="00D62335" w:rsidRPr="00FD0336" w14:paraId="4EC9B647" w14:textId="77777777" w:rsidTr="00476B4C">
        <w:tc>
          <w:tcPr>
            <w:tcW w:w="0" w:type="dxa"/>
            <w:vMerge/>
            <w:shd w:val="clear" w:color="auto" w:fill="auto"/>
            <w:vAlign w:val="center"/>
          </w:tcPr>
          <w:p w14:paraId="28206D65"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F118724" w14:textId="6B8721A1"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5E7A6CE8"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19B0F1CD" w14:textId="63843EB6"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0.373</w:t>
            </w:r>
          </w:p>
        </w:tc>
        <w:tc>
          <w:tcPr>
            <w:tcW w:w="0" w:type="dxa"/>
            <w:tcBorders>
              <w:top w:val="nil"/>
              <w:bottom w:val="single" w:sz="4" w:space="0" w:color="auto"/>
            </w:tcBorders>
            <w:shd w:val="clear" w:color="auto" w:fill="auto"/>
            <w:vAlign w:val="center"/>
          </w:tcPr>
          <w:p w14:paraId="34390011" w14:textId="335205E1"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0.453</w:t>
            </w:r>
          </w:p>
        </w:tc>
        <w:tc>
          <w:tcPr>
            <w:tcW w:w="0" w:type="dxa"/>
            <w:tcBorders>
              <w:top w:val="nil"/>
              <w:bottom w:val="single" w:sz="4" w:space="0" w:color="auto"/>
            </w:tcBorders>
            <w:shd w:val="clear" w:color="auto" w:fill="auto"/>
            <w:vAlign w:val="center"/>
          </w:tcPr>
          <w:p w14:paraId="09C467AB" w14:textId="258F9D92"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0.341</w:t>
            </w:r>
          </w:p>
        </w:tc>
      </w:tr>
      <w:tr w:rsidR="00D62335" w:rsidRPr="006E7FB8" w14:paraId="24E699CE" w14:textId="77777777" w:rsidTr="00476B4C">
        <w:tc>
          <w:tcPr>
            <w:tcW w:w="0" w:type="dxa"/>
            <w:vMerge/>
            <w:shd w:val="clear" w:color="auto" w:fill="auto"/>
            <w:vAlign w:val="center"/>
          </w:tcPr>
          <w:p w14:paraId="12A6742F"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EF0DCAD" w14:textId="4B4B09FD"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Sig (</w:t>
            </w:r>
            <w:r w:rsidR="0098767A" w:rsidRPr="00001C64">
              <w:rPr>
                <w:noProof w:val="0"/>
                <w:color w:val="000000" w:themeColor="text1"/>
                <w:lang w:val="en-GB"/>
              </w:rPr>
              <w:t>two</w:t>
            </w:r>
            <w:r w:rsidRPr="00001C64">
              <w:rPr>
                <w:noProof w:val="0"/>
                <w:color w:val="000000" w:themeColor="text1"/>
                <w:lang w:val="en-GB"/>
              </w:rPr>
              <w:t xml:space="preserve">-tailed) </w:t>
            </w:r>
          </w:p>
        </w:tc>
        <w:tc>
          <w:tcPr>
            <w:tcW w:w="0" w:type="dxa"/>
            <w:vMerge w:val="restart"/>
            <w:tcBorders>
              <w:top w:val="single" w:sz="4" w:space="0" w:color="auto"/>
              <w:bottom w:val="nil"/>
            </w:tcBorders>
            <w:shd w:val="clear" w:color="auto" w:fill="auto"/>
            <w:vAlign w:val="center"/>
          </w:tcPr>
          <w:p w14:paraId="594EBB61" w14:textId="77777777"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NA</w:t>
            </w:r>
          </w:p>
        </w:tc>
        <w:tc>
          <w:tcPr>
            <w:tcW w:w="0" w:type="dxa"/>
            <w:tcBorders>
              <w:top w:val="single" w:sz="4" w:space="0" w:color="auto"/>
              <w:bottom w:val="nil"/>
            </w:tcBorders>
            <w:shd w:val="clear" w:color="auto" w:fill="auto"/>
            <w:vAlign w:val="center"/>
          </w:tcPr>
          <w:p w14:paraId="4866F317" w14:textId="4F9D9E6D"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0.013</w:t>
            </w:r>
          </w:p>
        </w:tc>
        <w:tc>
          <w:tcPr>
            <w:tcW w:w="0" w:type="dxa"/>
            <w:tcBorders>
              <w:top w:val="single" w:sz="4" w:space="0" w:color="auto"/>
              <w:bottom w:val="nil"/>
            </w:tcBorders>
            <w:shd w:val="clear" w:color="auto" w:fill="auto"/>
            <w:vAlign w:val="center"/>
          </w:tcPr>
          <w:p w14:paraId="5D4C0546" w14:textId="240BB54F"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0.003</w:t>
            </w:r>
          </w:p>
        </w:tc>
        <w:tc>
          <w:tcPr>
            <w:tcW w:w="0" w:type="dxa"/>
            <w:tcBorders>
              <w:top w:val="single" w:sz="4" w:space="0" w:color="auto"/>
              <w:bottom w:val="nil"/>
            </w:tcBorders>
            <w:shd w:val="clear" w:color="auto" w:fill="auto"/>
            <w:vAlign w:val="center"/>
          </w:tcPr>
          <w:p w14:paraId="7365D699" w14:textId="7983C941"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0.024</w:t>
            </w:r>
          </w:p>
        </w:tc>
      </w:tr>
      <w:tr w:rsidR="00D62335" w:rsidRPr="006E7FB8" w14:paraId="590D9768" w14:textId="77777777" w:rsidTr="00476B4C">
        <w:tc>
          <w:tcPr>
            <w:tcW w:w="0" w:type="dxa"/>
            <w:vMerge/>
            <w:shd w:val="clear" w:color="auto" w:fill="auto"/>
            <w:vAlign w:val="center"/>
          </w:tcPr>
          <w:p w14:paraId="5831C760"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8BA8D56" w14:textId="37567CB4" w:rsidR="00D62335" w:rsidRPr="00001C64" w:rsidRDefault="0098767A"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 xml:space="preserve">continuity </w:t>
            </w:r>
            <w:r w:rsidR="00D62335" w:rsidRPr="00001C64">
              <w:rPr>
                <w:noProof w:val="0"/>
                <w:color w:val="000000" w:themeColor="text1"/>
                <w:lang w:val="en-GB"/>
              </w:rPr>
              <w:t>correction</w:t>
            </w:r>
          </w:p>
        </w:tc>
        <w:tc>
          <w:tcPr>
            <w:tcW w:w="0" w:type="dxa"/>
            <w:vMerge/>
            <w:tcBorders>
              <w:top w:val="nil"/>
              <w:bottom w:val="single" w:sz="4" w:space="0" w:color="auto"/>
            </w:tcBorders>
            <w:shd w:val="clear" w:color="auto" w:fill="auto"/>
            <w:vAlign w:val="center"/>
          </w:tcPr>
          <w:p w14:paraId="77CCDF73" w14:textId="77777777"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9A53C5C" w14:textId="4663FDA9"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0.031</w:t>
            </w:r>
          </w:p>
        </w:tc>
        <w:tc>
          <w:tcPr>
            <w:tcW w:w="0" w:type="dxa"/>
            <w:tcBorders>
              <w:top w:val="nil"/>
              <w:bottom w:val="single" w:sz="4" w:space="0" w:color="auto"/>
            </w:tcBorders>
            <w:shd w:val="clear" w:color="auto" w:fill="auto"/>
            <w:vAlign w:val="center"/>
          </w:tcPr>
          <w:p w14:paraId="23095962" w14:textId="77777777"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38B6D4C7" w14:textId="40D1540D" w:rsidR="00D62335" w:rsidRPr="00001C64" w:rsidRDefault="00D62335" w:rsidP="00476B4C">
            <w:pPr>
              <w:autoSpaceDE w:val="0"/>
              <w:autoSpaceDN w:val="0"/>
              <w:adjustRightInd w:val="0"/>
              <w:snapToGrid w:val="0"/>
              <w:spacing w:line="240" w:lineRule="auto"/>
              <w:jc w:val="center"/>
              <w:rPr>
                <w:noProof w:val="0"/>
                <w:color w:val="000000" w:themeColor="text1"/>
                <w:lang w:val="en-GB"/>
              </w:rPr>
            </w:pPr>
            <w:r w:rsidRPr="00001C64">
              <w:rPr>
                <w:noProof w:val="0"/>
                <w:color w:val="000000" w:themeColor="text1"/>
                <w:lang w:val="en-GB"/>
              </w:rPr>
              <w:t>0.052</w:t>
            </w:r>
          </w:p>
        </w:tc>
      </w:tr>
      <w:tr w:rsidR="00D62335" w:rsidRPr="00FD0336" w14:paraId="41C1EE81" w14:textId="77777777" w:rsidTr="00476B4C">
        <w:tc>
          <w:tcPr>
            <w:tcW w:w="0" w:type="dxa"/>
            <w:vMerge/>
            <w:shd w:val="clear" w:color="auto" w:fill="auto"/>
            <w:vAlign w:val="center"/>
          </w:tcPr>
          <w:p w14:paraId="3DA72ECE"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51BB6CCD"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1E49D7C1"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single" w:sz="4" w:space="0" w:color="auto"/>
            </w:tcBorders>
            <w:shd w:val="clear" w:color="auto" w:fill="auto"/>
            <w:vAlign w:val="center"/>
          </w:tcPr>
          <w:p w14:paraId="11E6D471"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5F70B7E9"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024C3CB7" w14:textId="77777777" w:rsidR="00D62335" w:rsidRPr="00FD0336" w:rsidRDefault="00D62335"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9E5996" w:rsidRPr="00FD0336" w14:paraId="2EEE150A" w14:textId="77777777" w:rsidTr="00476B4C">
        <w:tc>
          <w:tcPr>
            <w:tcW w:w="0" w:type="dxa"/>
            <w:vMerge w:val="restart"/>
            <w:shd w:val="clear" w:color="auto" w:fill="auto"/>
            <w:vAlign w:val="center"/>
          </w:tcPr>
          <w:p w14:paraId="47E7A348" w14:textId="71D8C90E"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98767A" w:rsidRPr="00FD0336">
              <w:rPr>
                <w:noProof w:val="0"/>
                <w:color w:val="000000" w:themeColor="text1"/>
                <w:lang w:val="en-GB"/>
              </w:rPr>
              <w:t>port industrial development</w:t>
            </w:r>
          </w:p>
        </w:tc>
        <w:tc>
          <w:tcPr>
            <w:tcW w:w="0" w:type="dxa"/>
            <w:tcBorders>
              <w:top w:val="single" w:sz="4" w:space="0" w:color="auto"/>
              <w:bottom w:val="nil"/>
            </w:tcBorders>
            <w:shd w:val="clear" w:color="auto" w:fill="auto"/>
            <w:vAlign w:val="center"/>
          </w:tcPr>
          <w:p w14:paraId="717CD60C" w14:textId="18CB18B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98767A">
              <w:rPr>
                <w:noProof w:val="0"/>
                <w:color w:val="000000" w:themeColor="text1"/>
                <w:lang w:val="en-GB"/>
              </w:rPr>
              <w:t>s</w:t>
            </w:r>
            <w:r w:rsidRPr="00FD0336">
              <w:rPr>
                <w:noProof w:val="0"/>
                <w:color w:val="000000" w:themeColor="text1"/>
                <w:lang w:val="en-GB"/>
              </w:rPr>
              <w:t>quare</w:t>
            </w:r>
            <w:r w:rsidR="0098767A">
              <w:rPr>
                <w:noProof w:val="0"/>
                <w:color w:val="000000" w:themeColor="text1"/>
                <w:lang w:val="en-GB"/>
              </w:rPr>
              <w:t>d</w:t>
            </w:r>
          </w:p>
        </w:tc>
        <w:tc>
          <w:tcPr>
            <w:tcW w:w="0" w:type="dxa"/>
            <w:tcBorders>
              <w:top w:val="single" w:sz="4" w:space="0" w:color="auto"/>
              <w:bottom w:val="nil"/>
            </w:tcBorders>
            <w:shd w:val="clear" w:color="auto" w:fill="auto"/>
            <w:vAlign w:val="center"/>
          </w:tcPr>
          <w:p w14:paraId="371F94B0" w14:textId="4781FF7F"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6.117</w:t>
            </w:r>
          </w:p>
        </w:tc>
        <w:tc>
          <w:tcPr>
            <w:tcW w:w="0" w:type="dxa"/>
            <w:tcBorders>
              <w:top w:val="single" w:sz="4" w:space="0" w:color="auto"/>
              <w:bottom w:val="nil"/>
            </w:tcBorders>
            <w:shd w:val="clear" w:color="auto" w:fill="auto"/>
            <w:vAlign w:val="center"/>
          </w:tcPr>
          <w:p w14:paraId="51980066" w14:textId="075326A4"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36DD5BA2" w14:textId="0F905FC5"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8.264</w:t>
            </w:r>
          </w:p>
        </w:tc>
        <w:tc>
          <w:tcPr>
            <w:tcW w:w="0" w:type="dxa"/>
            <w:tcBorders>
              <w:top w:val="single" w:sz="4" w:space="0" w:color="auto"/>
              <w:bottom w:val="nil"/>
            </w:tcBorders>
            <w:shd w:val="clear" w:color="auto" w:fill="auto"/>
            <w:vAlign w:val="center"/>
          </w:tcPr>
          <w:p w14:paraId="31F8C018" w14:textId="2CC10113"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10.471</w:t>
            </w:r>
          </w:p>
        </w:tc>
      </w:tr>
      <w:tr w:rsidR="009E5996" w:rsidRPr="00FD0336" w14:paraId="26DC9292" w14:textId="77777777" w:rsidTr="00476B4C">
        <w:tc>
          <w:tcPr>
            <w:tcW w:w="0" w:type="dxa"/>
            <w:vMerge/>
            <w:shd w:val="clear" w:color="auto" w:fill="auto"/>
            <w:vAlign w:val="center"/>
          </w:tcPr>
          <w:p w14:paraId="63D6A171"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3BFC5986" w14:textId="2E231915" w:rsidR="009E5996"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w:t>
            </w:r>
            <w:r w:rsidR="009E5996" w:rsidRPr="00FD0336">
              <w:rPr>
                <w:noProof w:val="0"/>
                <w:color w:val="000000" w:themeColor="text1"/>
                <w:lang w:val="en-GB"/>
              </w:rPr>
              <w:t>uity correction</w:t>
            </w:r>
          </w:p>
        </w:tc>
        <w:tc>
          <w:tcPr>
            <w:tcW w:w="0" w:type="dxa"/>
            <w:tcBorders>
              <w:top w:val="nil"/>
              <w:bottom w:val="nil"/>
            </w:tcBorders>
            <w:shd w:val="clear" w:color="auto" w:fill="auto"/>
            <w:vAlign w:val="center"/>
          </w:tcPr>
          <w:p w14:paraId="5B032B9E" w14:textId="41E88DF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4.652</w:t>
            </w:r>
          </w:p>
        </w:tc>
        <w:tc>
          <w:tcPr>
            <w:tcW w:w="0" w:type="dxa"/>
            <w:tcBorders>
              <w:top w:val="nil"/>
              <w:bottom w:val="nil"/>
            </w:tcBorders>
            <w:shd w:val="clear" w:color="auto" w:fill="auto"/>
            <w:vAlign w:val="center"/>
          </w:tcPr>
          <w:p w14:paraId="23AD203F" w14:textId="54B7FA23"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nil"/>
              <w:bottom w:val="nil"/>
            </w:tcBorders>
            <w:shd w:val="clear" w:color="auto" w:fill="auto"/>
            <w:vAlign w:val="center"/>
          </w:tcPr>
          <w:p w14:paraId="43BACE2E" w14:textId="214304C8"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6.521</w:t>
            </w:r>
          </w:p>
        </w:tc>
        <w:tc>
          <w:tcPr>
            <w:tcW w:w="0" w:type="dxa"/>
            <w:tcBorders>
              <w:top w:val="nil"/>
              <w:bottom w:val="nil"/>
            </w:tcBorders>
            <w:shd w:val="clear" w:color="auto" w:fill="auto"/>
            <w:vAlign w:val="center"/>
          </w:tcPr>
          <w:p w14:paraId="70848483"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r>
      <w:tr w:rsidR="009E5996" w:rsidRPr="00FD0336" w14:paraId="7661BF1A" w14:textId="77777777" w:rsidTr="00476B4C">
        <w:tc>
          <w:tcPr>
            <w:tcW w:w="0" w:type="dxa"/>
            <w:vMerge/>
            <w:shd w:val="clear" w:color="auto" w:fill="auto"/>
            <w:vAlign w:val="center"/>
          </w:tcPr>
          <w:p w14:paraId="76EFC3FA"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73E3EF6" w14:textId="581F7532"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5A0247FF" w14:textId="562EE914"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0.373</w:t>
            </w:r>
          </w:p>
        </w:tc>
        <w:tc>
          <w:tcPr>
            <w:tcW w:w="0" w:type="dxa"/>
            <w:tcBorders>
              <w:top w:val="nil"/>
              <w:bottom w:val="single" w:sz="4" w:space="0" w:color="auto"/>
            </w:tcBorders>
            <w:shd w:val="clear" w:color="auto" w:fill="auto"/>
            <w:vAlign w:val="center"/>
          </w:tcPr>
          <w:p w14:paraId="2490D94E"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3ED4CBE" w14:textId="5F4B58AC"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0.433</w:t>
            </w:r>
          </w:p>
        </w:tc>
        <w:tc>
          <w:tcPr>
            <w:tcW w:w="0" w:type="dxa"/>
            <w:tcBorders>
              <w:top w:val="nil"/>
              <w:bottom w:val="single" w:sz="4" w:space="0" w:color="auto"/>
            </w:tcBorders>
            <w:shd w:val="clear" w:color="auto" w:fill="auto"/>
            <w:vAlign w:val="center"/>
          </w:tcPr>
          <w:p w14:paraId="21A5F2D6" w14:textId="773D8A2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0.488</w:t>
            </w:r>
          </w:p>
        </w:tc>
      </w:tr>
      <w:tr w:rsidR="009E5996" w:rsidRPr="00FD0336" w14:paraId="5A2AF875" w14:textId="77777777" w:rsidTr="00476B4C">
        <w:tc>
          <w:tcPr>
            <w:tcW w:w="0" w:type="dxa"/>
            <w:vMerge/>
            <w:shd w:val="clear" w:color="auto" w:fill="auto"/>
            <w:vAlign w:val="center"/>
          </w:tcPr>
          <w:p w14:paraId="7EA9DC92"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14FA86EF" w14:textId="3A8A465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98767A">
              <w:rPr>
                <w:noProof w:val="0"/>
                <w:color w:val="000000" w:themeColor="text1"/>
                <w:lang w:val="en-GB"/>
              </w:rPr>
              <w:t>two</w:t>
            </w:r>
            <w:r w:rsidRPr="00FD0336">
              <w:rPr>
                <w:noProof w:val="0"/>
                <w:color w:val="000000" w:themeColor="text1"/>
                <w:lang w:val="en-GB"/>
              </w:rPr>
              <w:t>-tailed)</w:t>
            </w:r>
          </w:p>
        </w:tc>
        <w:tc>
          <w:tcPr>
            <w:tcW w:w="0" w:type="dxa"/>
            <w:tcBorders>
              <w:top w:val="single" w:sz="4" w:space="0" w:color="auto"/>
              <w:bottom w:val="nil"/>
            </w:tcBorders>
            <w:shd w:val="clear" w:color="auto" w:fill="auto"/>
            <w:vAlign w:val="center"/>
          </w:tcPr>
          <w:p w14:paraId="3FA2F958" w14:textId="441F1D45"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0.013</w:t>
            </w:r>
          </w:p>
        </w:tc>
        <w:tc>
          <w:tcPr>
            <w:tcW w:w="0" w:type="dxa"/>
            <w:vMerge w:val="restart"/>
            <w:tcBorders>
              <w:top w:val="single" w:sz="4" w:space="0" w:color="auto"/>
              <w:bottom w:val="nil"/>
            </w:tcBorders>
            <w:shd w:val="clear" w:color="auto" w:fill="auto"/>
            <w:vAlign w:val="center"/>
          </w:tcPr>
          <w:p w14:paraId="6A4474FD"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3F4321E6" w14:textId="0B9FFA13"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0.004</w:t>
            </w:r>
          </w:p>
        </w:tc>
        <w:tc>
          <w:tcPr>
            <w:tcW w:w="0" w:type="dxa"/>
            <w:vMerge w:val="restart"/>
            <w:tcBorders>
              <w:top w:val="single" w:sz="4" w:space="0" w:color="auto"/>
            </w:tcBorders>
            <w:shd w:val="clear" w:color="auto" w:fill="auto"/>
            <w:vAlign w:val="center"/>
          </w:tcPr>
          <w:p w14:paraId="0D78463B"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r>
      <w:tr w:rsidR="009E5996" w:rsidRPr="00FD0336" w14:paraId="2DEE84F5" w14:textId="77777777" w:rsidTr="00476B4C">
        <w:tc>
          <w:tcPr>
            <w:tcW w:w="0" w:type="dxa"/>
            <w:vMerge/>
            <w:shd w:val="clear" w:color="auto" w:fill="auto"/>
            <w:vAlign w:val="center"/>
          </w:tcPr>
          <w:p w14:paraId="56FC7A5F"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2EEF73D1" w14:textId="65B9228A" w:rsidR="009E5996" w:rsidRPr="00FD0336" w:rsidRDefault="0098767A" w:rsidP="00476B4C">
            <w:pPr>
              <w:autoSpaceDE w:val="0"/>
              <w:autoSpaceDN w:val="0"/>
              <w:adjustRightInd w:val="0"/>
              <w:snapToGrid w:val="0"/>
              <w:spacing w:line="240" w:lineRule="auto"/>
              <w:jc w:val="center"/>
              <w:rPr>
                <w:noProof w:val="0"/>
                <w:color w:val="000000" w:themeColor="text1"/>
                <w:lang w:val="en-GB"/>
              </w:rPr>
            </w:pPr>
            <w:r>
              <w:rPr>
                <w:noProof w:val="0"/>
                <w:color w:val="000000" w:themeColor="text1"/>
                <w:lang w:val="en-GB"/>
              </w:rPr>
              <w:t>c</w:t>
            </w:r>
            <w:r w:rsidR="009E5996" w:rsidRPr="00FD0336">
              <w:rPr>
                <w:noProof w:val="0"/>
                <w:color w:val="000000" w:themeColor="text1"/>
                <w:lang w:val="en-GB"/>
              </w:rPr>
              <w:t>ontinuity correction</w:t>
            </w:r>
          </w:p>
        </w:tc>
        <w:tc>
          <w:tcPr>
            <w:tcW w:w="0" w:type="dxa"/>
            <w:tcBorders>
              <w:top w:val="nil"/>
              <w:bottom w:val="single" w:sz="4" w:space="0" w:color="auto"/>
            </w:tcBorders>
            <w:shd w:val="clear" w:color="auto" w:fill="auto"/>
            <w:vAlign w:val="center"/>
          </w:tcPr>
          <w:p w14:paraId="333AE295" w14:textId="78B28035"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0.031</w:t>
            </w:r>
          </w:p>
        </w:tc>
        <w:tc>
          <w:tcPr>
            <w:tcW w:w="0" w:type="dxa"/>
            <w:vMerge/>
            <w:tcBorders>
              <w:top w:val="nil"/>
              <w:bottom w:val="single" w:sz="4" w:space="0" w:color="auto"/>
            </w:tcBorders>
            <w:shd w:val="clear" w:color="auto" w:fill="auto"/>
            <w:vAlign w:val="center"/>
          </w:tcPr>
          <w:p w14:paraId="751336CE"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D2A8461" w14:textId="1DBD0E05"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0.011</w:t>
            </w:r>
          </w:p>
        </w:tc>
        <w:tc>
          <w:tcPr>
            <w:tcW w:w="0" w:type="dxa"/>
            <w:vMerge/>
            <w:shd w:val="clear" w:color="auto" w:fill="auto"/>
            <w:vAlign w:val="center"/>
          </w:tcPr>
          <w:p w14:paraId="63256DB4"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r>
      <w:tr w:rsidR="009E5996" w:rsidRPr="00FD0336" w14:paraId="056871FC" w14:textId="77777777" w:rsidTr="00476B4C">
        <w:tc>
          <w:tcPr>
            <w:tcW w:w="0" w:type="dxa"/>
            <w:vMerge/>
            <w:shd w:val="clear" w:color="auto" w:fill="auto"/>
            <w:vAlign w:val="center"/>
          </w:tcPr>
          <w:p w14:paraId="3D8A9518"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0886857A"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2BBB3EF0"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496A37B5"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single" w:sz="4" w:space="0" w:color="auto"/>
            </w:tcBorders>
            <w:shd w:val="clear" w:color="auto" w:fill="auto"/>
            <w:vAlign w:val="center"/>
          </w:tcPr>
          <w:p w14:paraId="0AE7EF47"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7ED32612"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9E5996" w:rsidRPr="00FD0336" w14:paraId="62C46AF5" w14:textId="77777777" w:rsidTr="00476B4C">
        <w:tc>
          <w:tcPr>
            <w:tcW w:w="0" w:type="dxa"/>
            <w:vMerge w:val="restart"/>
            <w:shd w:val="clear" w:color="auto" w:fill="auto"/>
            <w:vAlign w:val="center"/>
          </w:tcPr>
          <w:p w14:paraId="12E98453" w14:textId="696E760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98767A" w:rsidRPr="00FD0336">
              <w:rPr>
                <w:noProof w:val="0"/>
                <w:color w:val="000000" w:themeColor="text1"/>
                <w:lang w:val="en-GB"/>
              </w:rPr>
              <w:t>circular economy</w:t>
            </w:r>
          </w:p>
        </w:tc>
        <w:tc>
          <w:tcPr>
            <w:tcW w:w="0" w:type="dxa"/>
            <w:tcBorders>
              <w:top w:val="single" w:sz="4" w:space="0" w:color="auto"/>
              <w:bottom w:val="nil"/>
            </w:tcBorders>
            <w:shd w:val="clear" w:color="auto" w:fill="auto"/>
            <w:vAlign w:val="center"/>
          </w:tcPr>
          <w:p w14:paraId="1C148F98" w14:textId="6DDD20A4"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Chi-Square</w:t>
            </w:r>
            <w:r w:rsidR="0098767A">
              <w:rPr>
                <w:noProof w:val="0"/>
                <w:color w:val="000000" w:themeColor="text1"/>
                <w:lang w:val="en-GB"/>
              </w:rPr>
              <w:t>d</w:t>
            </w:r>
          </w:p>
        </w:tc>
        <w:tc>
          <w:tcPr>
            <w:tcW w:w="0" w:type="dxa"/>
            <w:tcBorders>
              <w:top w:val="single" w:sz="4" w:space="0" w:color="auto"/>
              <w:bottom w:val="nil"/>
            </w:tcBorders>
            <w:shd w:val="clear" w:color="auto" w:fill="auto"/>
            <w:vAlign w:val="center"/>
          </w:tcPr>
          <w:p w14:paraId="30492A02" w14:textId="6A712E71"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9.031</w:t>
            </w:r>
          </w:p>
        </w:tc>
        <w:tc>
          <w:tcPr>
            <w:tcW w:w="0" w:type="dxa"/>
            <w:tcBorders>
              <w:top w:val="single" w:sz="4" w:space="0" w:color="auto"/>
              <w:bottom w:val="nil"/>
            </w:tcBorders>
            <w:shd w:val="clear" w:color="auto" w:fill="auto"/>
            <w:vAlign w:val="center"/>
          </w:tcPr>
          <w:p w14:paraId="34559BD1" w14:textId="6EBF9445"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8.264</w:t>
            </w:r>
          </w:p>
        </w:tc>
        <w:tc>
          <w:tcPr>
            <w:tcW w:w="0" w:type="dxa"/>
            <w:vMerge w:val="restart"/>
            <w:tcBorders>
              <w:top w:val="single" w:sz="4" w:space="0" w:color="auto"/>
              <w:bottom w:val="nil"/>
            </w:tcBorders>
            <w:shd w:val="clear" w:color="auto" w:fill="auto"/>
            <w:vAlign w:val="center"/>
          </w:tcPr>
          <w:p w14:paraId="534774D8"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2EF75D56" w14:textId="610B9543"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11.039</w:t>
            </w:r>
          </w:p>
        </w:tc>
      </w:tr>
      <w:tr w:rsidR="009E5996" w:rsidRPr="00FD0336" w14:paraId="2CFFAA40" w14:textId="77777777" w:rsidTr="00476B4C">
        <w:tc>
          <w:tcPr>
            <w:tcW w:w="0" w:type="dxa"/>
            <w:vMerge/>
            <w:shd w:val="clear" w:color="auto" w:fill="auto"/>
            <w:vAlign w:val="center"/>
          </w:tcPr>
          <w:p w14:paraId="399C9A9E"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47E4756A" w14:textId="5C1821E8" w:rsidR="009E5996"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0" w:type="dxa"/>
            <w:tcBorders>
              <w:top w:val="nil"/>
              <w:bottom w:val="nil"/>
            </w:tcBorders>
            <w:shd w:val="clear" w:color="auto" w:fill="auto"/>
            <w:vAlign w:val="center"/>
          </w:tcPr>
          <w:p w14:paraId="2279516E"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2335AE59" w14:textId="7729D300"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6.521</w:t>
            </w:r>
          </w:p>
        </w:tc>
        <w:tc>
          <w:tcPr>
            <w:tcW w:w="0" w:type="dxa"/>
            <w:vMerge/>
            <w:tcBorders>
              <w:top w:val="nil"/>
              <w:bottom w:val="nil"/>
            </w:tcBorders>
            <w:shd w:val="clear" w:color="auto" w:fill="auto"/>
            <w:vAlign w:val="center"/>
          </w:tcPr>
          <w:p w14:paraId="5D6E4773"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6AB7ECAD" w14:textId="615382BD"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8.995</w:t>
            </w:r>
          </w:p>
        </w:tc>
      </w:tr>
      <w:tr w:rsidR="009E5996" w:rsidRPr="00FD0336" w14:paraId="3C8EDD3E" w14:textId="77777777" w:rsidTr="00476B4C">
        <w:tc>
          <w:tcPr>
            <w:tcW w:w="0" w:type="dxa"/>
            <w:vMerge/>
            <w:shd w:val="clear" w:color="auto" w:fill="auto"/>
            <w:vAlign w:val="center"/>
          </w:tcPr>
          <w:p w14:paraId="67332753"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30787F55" w14:textId="737B05B8"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19B9B41A" w14:textId="2A65204A"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0.453</w:t>
            </w:r>
          </w:p>
        </w:tc>
        <w:tc>
          <w:tcPr>
            <w:tcW w:w="0" w:type="dxa"/>
            <w:tcBorders>
              <w:top w:val="nil"/>
              <w:bottom w:val="single" w:sz="4" w:space="0" w:color="auto"/>
            </w:tcBorders>
            <w:shd w:val="clear" w:color="auto" w:fill="auto"/>
            <w:vAlign w:val="center"/>
          </w:tcPr>
          <w:p w14:paraId="043F0338" w14:textId="02CA41A2"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0.433</w:t>
            </w:r>
          </w:p>
        </w:tc>
        <w:tc>
          <w:tcPr>
            <w:tcW w:w="0" w:type="dxa"/>
            <w:vMerge/>
            <w:tcBorders>
              <w:top w:val="nil"/>
              <w:bottom w:val="single" w:sz="4" w:space="0" w:color="auto"/>
            </w:tcBorders>
            <w:shd w:val="clear" w:color="auto" w:fill="auto"/>
            <w:vAlign w:val="center"/>
          </w:tcPr>
          <w:p w14:paraId="006B308C"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2B321CFD" w14:textId="23129539"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0.501</w:t>
            </w:r>
          </w:p>
        </w:tc>
      </w:tr>
      <w:tr w:rsidR="009E5996" w:rsidRPr="00FD0336" w14:paraId="1C911F3E" w14:textId="77777777" w:rsidTr="00476B4C">
        <w:tc>
          <w:tcPr>
            <w:tcW w:w="0" w:type="dxa"/>
            <w:vMerge/>
            <w:shd w:val="clear" w:color="auto" w:fill="auto"/>
            <w:vAlign w:val="center"/>
          </w:tcPr>
          <w:p w14:paraId="24482B1F"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2EEBDB97" w14:textId="5B55B9D3"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98767A">
              <w:rPr>
                <w:noProof w:val="0"/>
                <w:color w:val="000000" w:themeColor="text1"/>
                <w:lang w:val="en-GB"/>
              </w:rPr>
              <w:t>two</w:t>
            </w:r>
            <w:r w:rsidRPr="00FD0336">
              <w:rPr>
                <w:noProof w:val="0"/>
                <w:color w:val="000000" w:themeColor="text1"/>
                <w:lang w:val="en-GB"/>
              </w:rPr>
              <w:t xml:space="preserve">-tailed) </w:t>
            </w:r>
          </w:p>
        </w:tc>
        <w:tc>
          <w:tcPr>
            <w:tcW w:w="0" w:type="dxa"/>
            <w:vMerge w:val="restart"/>
            <w:tcBorders>
              <w:top w:val="single" w:sz="4" w:space="0" w:color="auto"/>
              <w:bottom w:val="nil"/>
            </w:tcBorders>
            <w:shd w:val="clear" w:color="auto" w:fill="auto"/>
            <w:vAlign w:val="center"/>
          </w:tcPr>
          <w:p w14:paraId="29540C78"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0.003</w:t>
            </w:r>
          </w:p>
        </w:tc>
        <w:tc>
          <w:tcPr>
            <w:tcW w:w="0" w:type="dxa"/>
            <w:tcBorders>
              <w:top w:val="single" w:sz="4" w:space="0" w:color="auto"/>
              <w:bottom w:val="nil"/>
            </w:tcBorders>
            <w:shd w:val="clear" w:color="auto" w:fill="auto"/>
            <w:vAlign w:val="center"/>
          </w:tcPr>
          <w:p w14:paraId="170E3235" w14:textId="02AEB9BF"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0.004</w:t>
            </w:r>
          </w:p>
        </w:tc>
        <w:tc>
          <w:tcPr>
            <w:tcW w:w="0" w:type="dxa"/>
            <w:vMerge w:val="restart"/>
            <w:tcBorders>
              <w:top w:val="single" w:sz="4" w:space="0" w:color="auto"/>
              <w:bottom w:val="nil"/>
            </w:tcBorders>
            <w:shd w:val="clear" w:color="auto" w:fill="auto"/>
            <w:vAlign w:val="center"/>
          </w:tcPr>
          <w:p w14:paraId="16A8CA3D"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5596FDBD" w14:textId="10113C49"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r>
      <w:tr w:rsidR="009E5996" w:rsidRPr="00FD0336" w14:paraId="60D3A9A1" w14:textId="77777777" w:rsidTr="00476B4C">
        <w:tc>
          <w:tcPr>
            <w:tcW w:w="0" w:type="dxa"/>
            <w:vMerge/>
            <w:shd w:val="clear" w:color="auto" w:fill="auto"/>
            <w:vAlign w:val="center"/>
          </w:tcPr>
          <w:p w14:paraId="07048720"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53C09411" w14:textId="78A246BB" w:rsidR="009E5996"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w:t>
            </w:r>
            <w:r w:rsidR="009E5996" w:rsidRPr="00FD0336">
              <w:rPr>
                <w:noProof w:val="0"/>
                <w:color w:val="000000" w:themeColor="text1"/>
                <w:lang w:val="en-GB"/>
              </w:rPr>
              <w:t>ction</w:t>
            </w:r>
          </w:p>
        </w:tc>
        <w:tc>
          <w:tcPr>
            <w:tcW w:w="0" w:type="dxa"/>
            <w:vMerge/>
            <w:tcBorders>
              <w:top w:val="nil"/>
              <w:bottom w:val="single" w:sz="4" w:space="0" w:color="auto"/>
            </w:tcBorders>
            <w:shd w:val="clear" w:color="auto" w:fill="auto"/>
            <w:vAlign w:val="center"/>
          </w:tcPr>
          <w:p w14:paraId="1DFD27EB"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13F130C0" w14:textId="358D5E56"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0.011</w:t>
            </w:r>
          </w:p>
        </w:tc>
        <w:tc>
          <w:tcPr>
            <w:tcW w:w="0" w:type="dxa"/>
            <w:vMerge/>
            <w:tcBorders>
              <w:top w:val="nil"/>
              <w:bottom w:val="single" w:sz="4" w:space="0" w:color="auto"/>
            </w:tcBorders>
            <w:shd w:val="clear" w:color="auto" w:fill="auto"/>
            <w:vAlign w:val="center"/>
          </w:tcPr>
          <w:p w14:paraId="26E7E914"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29E56801" w14:textId="56E1460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0.003</w:t>
            </w:r>
          </w:p>
        </w:tc>
      </w:tr>
      <w:tr w:rsidR="009E5996" w:rsidRPr="00FD0336" w14:paraId="5C07E150" w14:textId="77777777" w:rsidTr="00476B4C">
        <w:tc>
          <w:tcPr>
            <w:tcW w:w="0" w:type="dxa"/>
            <w:vMerge/>
            <w:shd w:val="clear" w:color="auto" w:fill="auto"/>
            <w:vAlign w:val="center"/>
          </w:tcPr>
          <w:p w14:paraId="0668505D"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6ADFB428"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230F6176"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201ABA52"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3C6A9615"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single" w:sz="4" w:space="0" w:color="auto"/>
            </w:tcBorders>
            <w:shd w:val="clear" w:color="auto" w:fill="auto"/>
            <w:vAlign w:val="center"/>
          </w:tcPr>
          <w:p w14:paraId="600C899B" w14:textId="77777777" w:rsidR="009E5996" w:rsidRPr="00FD0336" w:rsidRDefault="009E5996"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90640E" w:rsidRPr="00FD0336" w14:paraId="60795C65" w14:textId="77777777" w:rsidTr="00476B4C">
        <w:tc>
          <w:tcPr>
            <w:tcW w:w="0" w:type="dxa"/>
            <w:vMerge w:val="restart"/>
            <w:shd w:val="clear" w:color="auto" w:fill="auto"/>
            <w:vAlign w:val="center"/>
          </w:tcPr>
          <w:p w14:paraId="355BAA62" w14:textId="0EFD43A6"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98767A" w:rsidRPr="00FD0336">
              <w:rPr>
                <w:noProof w:val="0"/>
                <w:color w:val="000000" w:themeColor="text1"/>
                <w:lang w:val="en-GB"/>
              </w:rPr>
              <w:t>waterfront development</w:t>
            </w:r>
          </w:p>
        </w:tc>
        <w:tc>
          <w:tcPr>
            <w:tcW w:w="0" w:type="dxa"/>
            <w:tcBorders>
              <w:top w:val="single" w:sz="4" w:space="0" w:color="auto"/>
              <w:bottom w:val="nil"/>
            </w:tcBorders>
            <w:shd w:val="clear" w:color="auto" w:fill="auto"/>
            <w:vAlign w:val="center"/>
          </w:tcPr>
          <w:p w14:paraId="3971CE23" w14:textId="30193511"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98767A" w:rsidRPr="00FD0336">
              <w:rPr>
                <w:noProof w:val="0"/>
                <w:color w:val="000000" w:themeColor="text1"/>
                <w:lang w:val="en-GB"/>
              </w:rPr>
              <w:t>square</w:t>
            </w:r>
            <w:r w:rsidR="0098767A">
              <w:rPr>
                <w:noProof w:val="0"/>
                <w:color w:val="000000" w:themeColor="text1"/>
                <w:lang w:val="en-GB"/>
              </w:rPr>
              <w:t>d</w:t>
            </w:r>
          </w:p>
        </w:tc>
        <w:tc>
          <w:tcPr>
            <w:tcW w:w="0" w:type="dxa"/>
            <w:tcBorders>
              <w:top w:val="single" w:sz="4" w:space="0" w:color="auto"/>
              <w:bottom w:val="nil"/>
            </w:tcBorders>
            <w:shd w:val="clear" w:color="auto" w:fill="auto"/>
            <w:vAlign w:val="center"/>
          </w:tcPr>
          <w:p w14:paraId="7DCB7FFA" w14:textId="7492D31F"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5.107</w:t>
            </w:r>
          </w:p>
        </w:tc>
        <w:tc>
          <w:tcPr>
            <w:tcW w:w="0" w:type="dxa"/>
            <w:tcBorders>
              <w:top w:val="single" w:sz="4" w:space="0" w:color="auto"/>
              <w:bottom w:val="nil"/>
            </w:tcBorders>
            <w:shd w:val="clear" w:color="auto" w:fill="auto"/>
            <w:vAlign w:val="center"/>
          </w:tcPr>
          <w:p w14:paraId="3F62C090" w14:textId="4212CACA"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10.471</w:t>
            </w:r>
          </w:p>
        </w:tc>
        <w:tc>
          <w:tcPr>
            <w:tcW w:w="0" w:type="dxa"/>
            <w:tcBorders>
              <w:top w:val="single" w:sz="4" w:space="0" w:color="auto"/>
              <w:bottom w:val="nil"/>
            </w:tcBorders>
            <w:shd w:val="clear" w:color="auto" w:fill="auto"/>
            <w:vAlign w:val="center"/>
          </w:tcPr>
          <w:p w14:paraId="1DF3117B" w14:textId="338E3BF1"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11.039</w:t>
            </w:r>
          </w:p>
        </w:tc>
        <w:tc>
          <w:tcPr>
            <w:tcW w:w="0" w:type="dxa"/>
            <w:tcBorders>
              <w:top w:val="single" w:sz="4" w:space="0" w:color="auto"/>
              <w:bottom w:val="nil"/>
            </w:tcBorders>
            <w:shd w:val="clear" w:color="auto" w:fill="auto"/>
            <w:vAlign w:val="center"/>
          </w:tcPr>
          <w:p w14:paraId="1E669546" w14:textId="1587B73E"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r>
      <w:tr w:rsidR="0090640E" w:rsidRPr="00FD0336" w14:paraId="26FFC603" w14:textId="77777777" w:rsidTr="00476B4C">
        <w:tc>
          <w:tcPr>
            <w:tcW w:w="0" w:type="dxa"/>
            <w:vMerge/>
            <w:shd w:val="clear" w:color="auto" w:fill="auto"/>
            <w:vAlign w:val="center"/>
          </w:tcPr>
          <w:p w14:paraId="3D0C773E"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749353D9" w14:textId="18497088" w:rsidR="0090640E"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90640E" w:rsidRPr="00FD0336">
              <w:rPr>
                <w:noProof w:val="0"/>
                <w:color w:val="000000" w:themeColor="text1"/>
                <w:lang w:val="en-GB"/>
              </w:rPr>
              <w:t>correction</w:t>
            </w:r>
          </w:p>
        </w:tc>
        <w:tc>
          <w:tcPr>
            <w:tcW w:w="0" w:type="dxa"/>
            <w:tcBorders>
              <w:top w:val="nil"/>
              <w:bottom w:val="nil"/>
            </w:tcBorders>
            <w:shd w:val="clear" w:color="auto" w:fill="auto"/>
            <w:vAlign w:val="center"/>
          </w:tcPr>
          <w:p w14:paraId="5304934F" w14:textId="2B9C04E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3.768</w:t>
            </w:r>
          </w:p>
        </w:tc>
        <w:tc>
          <w:tcPr>
            <w:tcW w:w="0" w:type="dxa"/>
            <w:tcBorders>
              <w:top w:val="nil"/>
              <w:bottom w:val="nil"/>
            </w:tcBorders>
            <w:shd w:val="clear" w:color="auto" w:fill="auto"/>
            <w:vAlign w:val="center"/>
          </w:tcPr>
          <w:p w14:paraId="719411B1"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877A4E4" w14:textId="29140453"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8.995</w:t>
            </w:r>
          </w:p>
        </w:tc>
        <w:tc>
          <w:tcPr>
            <w:tcW w:w="0" w:type="dxa"/>
            <w:tcBorders>
              <w:top w:val="nil"/>
              <w:bottom w:val="nil"/>
            </w:tcBorders>
            <w:shd w:val="clear" w:color="auto" w:fill="auto"/>
            <w:vAlign w:val="center"/>
          </w:tcPr>
          <w:p w14:paraId="22475E77" w14:textId="7AAE458E"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r w:rsidR="0090640E" w:rsidRPr="00FD0336" w14:paraId="568D7C32" w14:textId="77777777" w:rsidTr="00476B4C">
        <w:tc>
          <w:tcPr>
            <w:tcW w:w="0" w:type="dxa"/>
            <w:vMerge/>
            <w:shd w:val="clear" w:color="auto" w:fill="auto"/>
            <w:vAlign w:val="center"/>
          </w:tcPr>
          <w:p w14:paraId="3D5C1F35"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E948270" w14:textId="7DC21C65"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525CE2F8" w14:textId="7416CA8D"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0.341</w:t>
            </w:r>
          </w:p>
        </w:tc>
        <w:tc>
          <w:tcPr>
            <w:tcW w:w="0" w:type="dxa"/>
            <w:tcBorders>
              <w:top w:val="nil"/>
              <w:bottom w:val="single" w:sz="4" w:space="0" w:color="auto"/>
            </w:tcBorders>
            <w:shd w:val="clear" w:color="auto" w:fill="auto"/>
            <w:vAlign w:val="center"/>
          </w:tcPr>
          <w:p w14:paraId="507C2DAB" w14:textId="05897E8D"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0.488</w:t>
            </w:r>
          </w:p>
        </w:tc>
        <w:tc>
          <w:tcPr>
            <w:tcW w:w="0" w:type="dxa"/>
            <w:tcBorders>
              <w:top w:val="nil"/>
              <w:bottom w:val="single" w:sz="4" w:space="0" w:color="auto"/>
            </w:tcBorders>
            <w:shd w:val="clear" w:color="auto" w:fill="auto"/>
            <w:vAlign w:val="center"/>
          </w:tcPr>
          <w:p w14:paraId="46F0D056" w14:textId="2D470FD3"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0.501</w:t>
            </w:r>
          </w:p>
        </w:tc>
        <w:tc>
          <w:tcPr>
            <w:tcW w:w="0" w:type="dxa"/>
            <w:tcBorders>
              <w:top w:val="nil"/>
              <w:bottom w:val="single" w:sz="4" w:space="0" w:color="auto"/>
            </w:tcBorders>
            <w:shd w:val="clear" w:color="auto" w:fill="auto"/>
            <w:vAlign w:val="center"/>
          </w:tcPr>
          <w:p w14:paraId="1225FDFD" w14:textId="7CA20486"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r>
      <w:tr w:rsidR="0090640E" w:rsidRPr="00FD0336" w14:paraId="3D67579A" w14:textId="77777777" w:rsidTr="00476B4C">
        <w:tc>
          <w:tcPr>
            <w:tcW w:w="0" w:type="dxa"/>
            <w:vMerge/>
            <w:shd w:val="clear" w:color="auto" w:fill="auto"/>
            <w:vAlign w:val="center"/>
          </w:tcPr>
          <w:p w14:paraId="2ADA70D9"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68D7FD97" w14:textId="1E5605C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98767A">
              <w:rPr>
                <w:noProof w:val="0"/>
                <w:color w:val="000000" w:themeColor="text1"/>
                <w:lang w:val="en-GB"/>
              </w:rPr>
              <w:t>two</w:t>
            </w:r>
            <w:r w:rsidRPr="00FD0336">
              <w:rPr>
                <w:noProof w:val="0"/>
                <w:color w:val="000000" w:themeColor="text1"/>
                <w:lang w:val="en-GB"/>
              </w:rPr>
              <w:t>-tailed)</w:t>
            </w:r>
          </w:p>
        </w:tc>
        <w:tc>
          <w:tcPr>
            <w:tcW w:w="0" w:type="dxa"/>
            <w:tcBorders>
              <w:top w:val="single" w:sz="4" w:space="0" w:color="auto"/>
              <w:bottom w:val="nil"/>
            </w:tcBorders>
            <w:shd w:val="clear" w:color="auto" w:fill="auto"/>
            <w:vAlign w:val="center"/>
          </w:tcPr>
          <w:p w14:paraId="7756CDD7" w14:textId="6D3612B3"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0.024</w:t>
            </w:r>
          </w:p>
        </w:tc>
        <w:tc>
          <w:tcPr>
            <w:tcW w:w="0" w:type="dxa"/>
            <w:vMerge w:val="restart"/>
            <w:tcBorders>
              <w:top w:val="single" w:sz="4" w:space="0" w:color="auto"/>
              <w:bottom w:val="nil"/>
            </w:tcBorders>
            <w:shd w:val="clear" w:color="auto" w:fill="auto"/>
            <w:vAlign w:val="center"/>
          </w:tcPr>
          <w:p w14:paraId="7900EA95" w14:textId="06276E81"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c>
          <w:tcPr>
            <w:tcW w:w="0" w:type="dxa"/>
            <w:tcBorders>
              <w:top w:val="single" w:sz="4" w:space="0" w:color="auto"/>
              <w:bottom w:val="nil"/>
            </w:tcBorders>
            <w:shd w:val="clear" w:color="auto" w:fill="auto"/>
            <w:vAlign w:val="center"/>
          </w:tcPr>
          <w:p w14:paraId="67B79B22" w14:textId="37B58F6F"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c>
          <w:tcPr>
            <w:tcW w:w="0" w:type="dxa"/>
            <w:vMerge w:val="restart"/>
            <w:tcBorders>
              <w:top w:val="single" w:sz="4" w:space="0" w:color="auto"/>
            </w:tcBorders>
            <w:shd w:val="clear" w:color="auto" w:fill="auto"/>
            <w:vAlign w:val="center"/>
          </w:tcPr>
          <w:p w14:paraId="09C749D0" w14:textId="37D2C43B"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r w:rsidR="0090640E" w:rsidRPr="00FD0336" w14:paraId="676BEEB9" w14:textId="77777777" w:rsidTr="00476B4C">
        <w:tc>
          <w:tcPr>
            <w:tcW w:w="0" w:type="dxa"/>
            <w:vMerge/>
            <w:shd w:val="clear" w:color="auto" w:fill="auto"/>
            <w:vAlign w:val="center"/>
          </w:tcPr>
          <w:p w14:paraId="74430CA9"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4E556843" w14:textId="77814D70" w:rsidR="0090640E" w:rsidRPr="00FD0336" w:rsidRDefault="0098767A"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90640E" w:rsidRPr="00FD0336">
              <w:rPr>
                <w:noProof w:val="0"/>
                <w:color w:val="000000" w:themeColor="text1"/>
                <w:lang w:val="en-GB"/>
              </w:rPr>
              <w:t>correction</w:t>
            </w:r>
          </w:p>
        </w:tc>
        <w:tc>
          <w:tcPr>
            <w:tcW w:w="0" w:type="dxa"/>
            <w:tcBorders>
              <w:top w:val="nil"/>
              <w:bottom w:val="single" w:sz="4" w:space="0" w:color="auto"/>
            </w:tcBorders>
            <w:shd w:val="clear" w:color="auto" w:fill="auto"/>
            <w:vAlign w:val="center"/>
          </w:tcPr>
          <w:p w14:paraId="3D8DBEB0" w14:textId="1D9C6E9B"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0.052</w:t>
            </w:r>
          </w:p>
        </w:tc>
        <w:tc>
          <w:tcPr>
            <w:tcW w:w="0" w:type="dxa"/>
            <w:vMerge/>
            <w:tcBorders>
              <w:top w:val="nil"/>
              <w:bottom w:val="single" w:sz="4" w:space="0" w:color="auto"/>
            </w:tcBorders>
            <w:shd w:val="clear" w:color="auto" w:fill="auto"/>
            <w:vAlign w:val="center"/>
          </w:tcPr>
          <w:p w14:paraId="01D93272"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4B49AA20" w14:textId="0857D8DD"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0.003</w:t>
            </w:r>
          </w:p>
        </w:tc>
        <w:tc>
          <w:tcPr>
            <w:tcW w:w="0" w:type="dxa"/>
            <w:vMerge/>
            <w:shd w:val="clear" w:color="auto" w:fill="auto"/>
            <w:vAlign w:val="center"/>
          </w:tcPr>
          <w:p w14:paraId="64107BD8"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r>
      <w:tr w:rsidR="0090640E" w:rsidRPr="00FD0336" w14:paraId="3E2056FE" w14:textId="77777777" w:rsidTr="00476B4C">
        <w:tc>
          <w:tcPr>
            <w:tcW w:w="0" w:type="dxa"/>
            <w:vMerge/>
            <w:tcBorders>
              <w:bottom w:val="single" w:sz="8" w:space="0" w:color="auto"/>
            </w:tcBorders>
            <w:shd w:val="clear" w:color="auto" w:fill="auto"/>
            <w:vAlign w:val="center"/>
          </w:tcPr>
          <w:p w14:paraId="40987AC6"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8" w:space="0" w:color="auto"/>
            </w:tcBorders>
            <w:shd w:val="clear" w:color="auto" w:fill="auto"/>
            <w:vAlign w:val="center"/>
          </w:tcPr>
          <w:p w14:paraId="34AAD0E0"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8" w:space="0" w:color="auto"/>
            </w:tcBorders>
            <w:shd w:val="clear" w:color="auto" w:fill="auto"/>
            <w:vAlign w:val="center"/>
          </w:tcPr>
          <w:p w14:paraId="181BFE24"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04F1599D"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3A0787CB"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8" w:space="0" w:color="auto"/>
            </w:tcBorders>
            <w:shd w:val="clear" w:color="auto" w:fill="auto"/>
            <w:vAlign w:val="center"/>
          </w:tcPr>
          <w:p w14:paraId="4DF15395" w14:textId="77777777" w:rsidR="0090640E" w:rsidRPr="00FD0336" w:rsidRDefault="0090640E" w:rsidP="00476B4C">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bl>
    <w:p w14:paraId="5A6786A4" w14:textId="5C94D2B1" w:rsidR="00E93F94" w:rsidRPr="00FD0336" w:rsidRDefault="00E93F94" w:rsidP="00CB41C3">
      <w:pPr>
        <w:pStyle w:val="MDPI31text"/>
        <w:rPr>
          <w:lang w:val="en-GB"/>
        </w:rPr>
      </w:pPr>
      <w:r w:rsidRPr="00FD0336">
        <w:rPr>
          <w:lang w:val="en-GB"/>
        </w:rPr>
        <w:t>The levels of association</w:t>
      </w:r>
      <w:r w:rsidR="00D05A3E">
        <w:rPr>
          <w:lang w:val="en-GB"/>
        </w:rPr>
        <w:t>,</w:t>
      </w:r>
      <w:r w:rsidRPr="00FD0336">
        <w:rPr>
          <w:lang w:val="en-GB"/>
        </w:rPr>
        <w:t xml:space="preserve"> </w:t>
      </w:r>
      <w:proofErr w:type="gramStart"/>
      <w:r w:rsidR="00D05A3E">
        <w:rPr>
          <w:lang w:val="en-GB"/>
        </w:rPr>
        <w:t>in regards to</w:t>
      </w:r>
      <w:proofErr w:type="gramEnd"/>
      <w:r w:rsidR="003E66C7" w:rsidRPr="00FD0336">
        <w:rPr>
          <w:lang w:val="en-GB"/>
        </w:rPr>
        <w:t xml:space="preserve"> </w:t>
      </w:r>
      <w:r w:rsidRPr="00FD0336">
        <w:rPr>
          <w:lang w:val="en-GB"/>
        </w:rPr>
        <w:t>the presence of maritime clusters, port industrial development, circular economy</w:t>
      </w:r>
      <w:r w:rsidR="003E66C7">
        <w:rPr>
          <w:lang w:val="en-GB"/>
        </w:rPr>
        <w:t>,</w:t>
      </w:r>
      <w:r w:rsidRPr="00FD0336">
        <w:rPr>
          <w:lang w:val="en-GB"/>
        </w:rPr>
        <w:t xml:space="preserve"> and waterfront development</w:t>
      </w:r>
      <w:r w:rsidR="003E66C7">
        <w:rPr>
          <w:lang w:val="en-GB"/>
        </w:rPr>
        <w:t>,</w:t>
      </w:r>
      <w:r w:rsidRPr="00FD0336">
        <w:rPr>
          <w:lang w:val="en-GB"/>
        </w:rPr>
        <w:t xml:space="preserve"> and interest in encouraging these methods in the future</w:t>
      </w:r>
      <w:r w:rsidR="003E66C7">
        <w:rPr>
          <w:lang w:val="en-GB"/>
        </w:rPr>
        <w:t>,</w:t>
      </w:r>
      <w:r w:rsidRPr="00FD0336">
        <w:rPr>
          <w:lang w:val="en-GB"/>
        </w:rPr>
        <w:t xml:space="preserve"> are presented in Table 3. It shows levels of association </w:t>
      </w:r>
      <w:r w:rsidR="003E66C7">
        <w:rPr>
          <w:lang w:val="en-GB"/>
        </w:rPr>
        <w:t>among</w:t>
      </w:r>
      <w:r w:rsidR="003E66C7" w:rsidRPr="00FD0336">
        <w:rPr>
          <w:lang w:val="en-GB"/>
        </w:rPr>
        <w:t xml:space="preserve"> </w:t>
      </w:r>
      <w:r w:rsidRPr="00FD0336">
        <w:rPr>
          <w:lang w:val="en-GB"/>
        </w:rPr>
        <w:t>the reported current presence of the four methods and levels of interest in encouraging them in the future. The presence of a maritime cluster is associated with interest in maritime clusters and port industrial development. The presence of port industrial development is associated with interest in port industrial development, circular economy</w:t>
      </w:r>
      <w:r w:rsidR="003E66C7">
        <w:rPr>
          <w:lang w:val="en-GB"/>
        </w:rPr>
        <w:t>,</w:t>
      </w:r>
      <w:r w:rsidRPr="00FD0336">
        <w:rPr>
          <w:lang w:val="en-GB"/>
        </w:rPr>
        <w:t xml:space="preserve"> and waterfront developments. The presence of existing circular economy is associated with interest in encouraging port industrial development and circular economy. The presence of waterfront development is associated with interest in port industrial development, circular economy</w:t>
      </w:r>
      <w:r w:rsidR="003E66C7">
        <w:rPr>
          <w:lang w:val="en-GB"/>
        </w:rPr>
        <w:t>,</w:t>
      </w:r>
      <w:r w:rsidRPr="00FD0336">
        <w:rPr>
          <w:lang w:val="en-GB"/>
        </w:rPr>
        <w:t xml:space="preserve"> and waterfront development.</w:t>
      </w:r>
    </w:p>
    <w:p w14:paraId="68E02C21" w14:textId="6EF78907" w:rsidR="00E93F94" w:rsidRPr="00FD0336" w:rsidRDefault="008067BC" w:rsidP="0040637F">
      <w:pPr>
        <w:pStyle w:val="MDPI41tablecaption"/>
        <w:rPr>
          <w:lang w:val="en-GB"/>
        </w:rPr>
      </w:pPr>
      <w:r w:rsidRPr="00FD0336">
        <w:rPr>
          <w:b/>
          <w:lang w:val="en-GB"/>
        </w:rPr>
        <w:t xml:space="preserve">Table 3. </w:t>
      </w:r>
      <w:r w:rsidR="00E93F94" w:rsidRPr="00FD0336">
        <w:rPr>
          <w:lang w:val="en-GB"/>
        </w:rPr>
        <w:t>The presence of a method for increasing a port’s economic benefits and levels of interest in encouraging the other methods.</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09"/>
        <w:gridCol w:w="1309"/>
        <w:gridCol w:w="1309"/>
        <w:gridCol w:w="1310"/>
        <w:gridCol w:w="1310"/>
        <w:gridCol w:w="1310"/>
      </w:tblGrid>
      <w:tr w:rsidR="00C54694" w:rsidRPr="00C874EE" w14:paraId="0AF736A3" w14:textId="77777777" w:rsidTr="00F7596B">
        <w:tc>
          <w:tcPr>
            <w:tcW w:w="0" w:type="dxa"/>
            <w:tcBorders>
              <w:top w:val="single" w:sz="8" w:space="0" w:color="auto"/>
              <w:bottom w:val="single" w:sz="4" w:space="0" w:color="auto"/>
            </w:tcBorders>
            <w:shd w:val="clear" w:color="auto" w:fill="auto"/>
            <w:vAlign w:val="center"/>
          </w:tcPr>
          <w:p w14:paraId="7B09CD12" w14:textId="77777777" w:rsidR="00E93F94" w:rsidRPr="00FD0336" w:rsidRDefault="00E93F94" w:rsidP="00F7596B">
            <w:pPr>
              <w:autoSpaceDE w:val="0"/>
              <w:autoSpaceDN w:val="0"/>
              <w:adjustRightInd w:val="0"/>
              <w:snapToGrid w:val="0"/>
              <w:spacing w:line="240" w:lineRule="auto"/>
              <w:jc w:val="center"/>
              <w:rPr>
                <w:b/>
                <w:noProof w:val="0"/>
                <w:color w:val="000000" w:themeColor="text1"/>
                <w:lang w:val="en-GB"/>
              </w:rPr>
            </w:pPr>
          </w:p>
        </w:tc>
        <w:tc>
          <w:tcPr>
            <w:tcW w:w="0" w:type="dxa"/>
            <w:tcBorders>
              <w:top w:val="single" w:sz="8" w:space="0" w:color="auto"/>
              <w:bottom w:val="single" w:sz="4" w:space="0" w:color="auto"/>
            </w:tcBorders>
            <w:shd w:val="clear" w:color="auto" w:fill="auto"/>
            <w:vAlign w:val="center"/>
          </w:tcPr>
          <w:p w14:paraId="420D18A3" w14:textId="77777777" w:rsidR="00E93F94" w:rsidRPr="00001C64" w:rsidRDefault="00E93F94" w:rsidP="00F7596B">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 xml:space="preserve">Value </w:t>
            </w:r>
          </w:p>
        </w:tc>
        <w:tc>
          <w:tcPr>
            <w:tcW w:w="0" w:type="dxa"/>
            <w:tcBorders>
              <w:top w:val="single" w:sz="8" w:space="0" w:color="auto"/>
              <w:bottom w:val="single" w:sz="4" w:space="0" w:color="auto"/>
            </w:tcBorders>
            <w:shd w:val="clear" w:color="auto" w:fill="auto"/>
            <w:vAlign w:val="center"/>
          </w:tcPr>
          <w:p w14:paraId="0B76EAAD" w14:textId="77777777" w:rsidR="00E93F94" w:rsidRPr="00001C64" w:rsidRDefault="00E93F94" w:rsidP="00F7596B">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a Maritime Cluster</w:t>
            </w:r>
          </w:p>
        </w:tc>
        <w:tc>
          <w:tcPr>
            <w:tcW w:w="0" w:type="dxa"/>
            <w:tcBorders>
              <w:top w:val="single" w:sz="8" w:space="0" w:color="auto"/>
              <w:bottom w:val="single" w:sz="4" w:space="0" w:color="auto"/>
            </w:tcBorders>
            <w:shd w:val="clear" w:color="auto" w:fill="auto"/>
            <w:vAlign w:val="center"/>
          </w:tcPr>
          <w:p w14:paraId="6C15B0EF" w14:textId="77777777" w:rsidR="00E93F94" w:rsidRPr="00001C64" w:rsidRDefault="00E93F94" w:rsidP="00F7596B">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Port Industrial Development</w:t>
            </w:r>
          </w:p>
        </w:tc>
        <w:tc>
          <w:tcPr>
            <w:tcW w:w="0" w:type="dxa"/>
            <w:tcBorders>
              <w:top w:val="single" w:sz="8" w:space="0" w:color="auto"/>
              <w:bottom w:val="single" w:sz="4" w:space="0" w:color="auto"/>
            </w:tcBorders>
            <w:shd w:val="clear" w:color="auto" w:fill="auto"/>
            <w:vAlign w:val="center"/>
          </w:tcPr>
          <w:p w14:paraId="1731A29C" w14:textId="77777777" w:rsidR="00E93F94" w:rsidRPr="00001C64" w:rsidRDefault="00E93F94" w:rsidP="00F7596B">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Circular Economy</w:t>
            </w:r>
          </w:p>
        </w:tc>
        <w:tc>
          <w:tcPr>
            <w:tcW w:w="0" w:type="dxa"/>
            <w:tcBorders>
              <w:top w:val="single" w:sz="8" w:space="0" w:color="auto"/>
              <w:bottom w:val="single" w:sz="4" w:space="0" w:color="auto"/>
            </w:tcBorders>
            <w:shd w:val="clear" w:color="auto" w:fill="auto"/>
            <w:vAlign w:val="center"/>
          </w:tcPr>
          <w:p w14:paraId="6637EFCB" w14:textId="77777777" w:rsidR="00E93F94" w:rsidRPr="00001C64" w:rsidRDefault="00E93F94" w:rsidP="00F7596B">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Waterfront Development</w:t>
            </w:r>
          </w:p>
        </w:tc>
      </w:tr>
      <w:tr w:rsidR="002C7F7D" w:rsidRPr="00FD0336" w14:paraId="5CF94751" w14:textId="77777777" w:rsidTr="00F7596B">
        <w:tc>
          <w:tcPr>
            <w:tcW w:w="0" w:type="dxa"/>
            <w:vMerge w:val="restart"/>
            <w:tcBorders>
              <w:top w:val="single" w:sz="4" w:space="0" w:color="auto"/>
            </w:tcBorders>
            <w:shd w:val="clear" w:color="auto" w:fill="auto"/>
            <w:vAlign w:val="center"/>
          </w:tcPr>
          <w:p w14:paraId="48F7B04E" w14:textId="1F25C5C2"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a </w:t>
            </w:r>
            <w:r w:rsidR="00373015" w:rsidRPr="00FD0336">
              <w:rPr>
                <w:noProof w:val="0"/>
                <w:color w:val="000000" w:themeColor="text1"/>
                <w:lang w:val="en-GB"/>
              </w:rPr>
              <w:t>maritime cluster</w:t>
            </w:r>
          </w:p>
        </w:tc>
        <w:tc>
          <w:tcPr>
            <w:tcW w:w="0" w:type="dxa"/>
            <w:tcBorders>
              <w:top w:val="single" w:sz="4" w:space="0" w:color="auto"/>
              <w:bottom w:val="nil"/>
            </w:tcBorders>
            <w:shd w:val="clear" w:color="auto" w:fill="auto"/>
            <w:vAlign w:val="center"/>
          </w:tcPr>
          <w:p w14:paraId="5859FF29" w14:textId="161A6434"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373015" w:rsidRPr="00FD0336">
              <w:rPr>
                <w:noProof w:val="0"/>
                <w:color w:val="000000" w:themeColor="text1"/>
                <w:lang w:val="en-GB"/>
              </w:rPr>
              <w:t>square</w:t>
            </w:r>
            <w:r w:rsidR="00373015">
              <w:rPr>
                <w:noProof w:val="0"/>
                <w:color w:val="000000" w:themeColor="text1"/>
                <w:lang w:val="en-GB"/>
              </w:rPr>
              <w:t>d</w:t>
            </w:r>
          </w:p>
        </w:tc>
        <w:tc>
          <w:tcPr>
            <w:tcW w:w="0" w:type="dxa"/>
            <w:tcBorders>
              <w:top w:val="single" w:sz="4" w:space="0" w:color="auto"/>
              <w:bottom w:val="nil"/>
            </w:tcBorders>
            <w:shd w:val="clear" w:color="auto" w:fill="auto"/>
            <w:vAlign w:val="center"/>
          </w:tcPr>
          <w:p w14:paraId="2B1083A8" w14:textId="03C710C0"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9.031</w:t>
            </w:r>
          </w:p>
        </w:tc>
        <w:tc>
          <w:tcPr>
            <w:tcW w:w="0" w:type="dxa"/>
            <w:tcBorders>
              <w:top w:val="single" w:sz="4" w:space="0" w:color="auto"/>
              <w:bottom w:val="nil"/>
            </w:tcBorders>
            <w:shd w:val="clear" w:color="auto" w:fill="auto"/>
            <w:vAlign w:val="center"/>
          </w:tcPr>
          <w:p w14:paraId="75A8DE32" w14:textId="5D88B59B"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7.232</w:t>
            </w:r>
          </w:p>
        </w:tc>
        <w:tc>
          <w:tcPr>
            <w:tcW w:w="0" w:type="dxa"/>
            <w:tcBorders>
              <w:top w:val="single" w:sz="4" w:space="0" w:color="auto"/>
              <w:bottom w:val="nil"/>
            </w:tcBorders>
            <w:shd w:val="clear" w:color="auto" w:fill="auto"/>
            <w:vAlign w:val="center"/>
          </w:tcPr>
          <w:p w14:paraId="1AB2731C" w14:textId="1DB0AE20"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2.199</w:t>
            </w:r>
          </w:p>
        </w:tc>
        <w:tc>
          <w:tcPr>
            <w:tcW w:w="0" w:type="dxa"/>
            <w:tcBorders>
              <w:top w:val="single" w:sz="4" w:space="0" w:color="auto"/>
              <w:bottom w:val="nil"/>
            </w:tcBorders>
            <w:shd w:val="clear" w:color="auto" w:fill="auto"/>
            <w:vAlign w:val="center"/>
          </w:tcPr>
          <w:p w14:paraId="2FF4CA15" w14:textId="3DFD6B88"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2.448</w:t>
            </w:r>
          </w:p>
        </w:tc>
      </w:tr>
      <w:tr w:rsidR="002C7F7D" w:rsidRPr="00FD0336" w14:paraId="20FB84C0" w14:textId="77777777" w:rsidTr="00F7596B">
        <w:tc>
          <w:tcPr>
            <w:tcW w:w="0" w:type="dxa"/>
            <w:vMerge/>
            <w:shd w:val="clear" w:color="auto" w:fill="auto"/>
            <w:vAlign w:val="center"/>
          </w:tcPr>
          <w:p w14:paraId="114B1F7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B9348CE" w14:textId="0610A1B3" w:rsidR="002C7F7D"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2C7F7D" w:rsidRPr="00FD0336">
              <w:rPr>
                <w:noProof w:val="0"/>
                <w:color w:val="000000" w:themeColor="text1"/>
                <w:lang w:val="en-GB"/>
              </w:rPr>
              <w:t>correction</w:t>
            </w:r>
          </w:p>
        </w:tc>
        <w:tc>
          <w:tcPr>
            <w:tcW w:w="0" w:type="dxa"/>
            <w:tcBorders>
              <w:top w:val="nil"/>
              <w:bottom w:val="nil"/>
            </w:tcBorders>
            <w:shd w:val="clear" w:color="auto" w:fill="auto"/>
            <w:vAlign w:val="center"/>
          </w:tcPr>
          <w:p w14:paraId="3C5CDB6E"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15AE792" w14:textId="5643248D"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5.638</w:t>
            </w:r>
          </w:p>
        </w:tc>
        <w:tc>
          <w:tcPr>
            <w:tcW w:w="0" w:type="dxa"/>
            <w:tcBorders>
              <w:top w:val="nil"/>
              <w:bottom w:val="nil"/>
            </w:tcBorders>
            <w:shd w:val="clear" w:color="auto" w:fill="auto"/>
            <w:vAlign w:val="center"/>
          </w:tcPr>
          <w:p w14:paraId="2772B95C"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0A029ADB" w14:textId="45EE21CB"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r>
      <w:tr w:rsidR="002C7F7D" w:rsidRPr="00FD0336" w14:paraId="540DEBE2" w14:textId="77777777" w:rsidTr="00F7596B">
        <w:tc>
          <w:tcPr>
            <w:tcW w:w="0" w:type="dxa"/>
            <w:vMerge/>
            <w:shd w:val="clear" w:color="auto" w:fill="auto"/>
            <w:vAlign w:val="center"/>
          </w:tcPr>
          <w:p w14:paraId="6C206E4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60BBC18" w14:textId="6F7F6D9F"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0B3BA8E8" w14:textId="7DC7C8B9"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0.453</w:t>
            </w:r>
          </w:p>
        </w:tc>
        <w:tc>
          <w:tcPr>
            <w:tcW w:w="0" w:type="dxa"/>
            <w:tcBorders>
              <w:top w:val="nil"/>
              <w:bottom w:val="single" w:sz="4" w:space="0" w:color="auto"/>
            </w:tcBorders>
            <w:shd w:val="clear" w:color="auto" w:fill="auto"/>
            <w:vAlign w:val="center"/>
          </w:tcPr>
          <w:p w14:paraId="0ACB8B00" w14:textId="22344AEF"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0.405</w:t>
            </w:r>
          </w:p>
        </w:tc>
        <w:tc>
          <w:tcPr>
            <w:tcW w:w="0" w:type="dxa"/>
            <w:tcBorders>
              <w:top w:val="nil"/>
              <w:bottom w:val="single" w:sz="4" w:space="0" w:color="auto"/>
            </w:tcBorders>
            <w:shd w:val="clear" w:color="auto" w:fill="auto"/>
            <w:vAlign w:val="center"/>
          </w:tcPr>
          <w:p w14:paraId="3DA033C0" w14:textId="4370DAB0"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0.224</w:t>
            </w:r>
          </w:p>
        </w:tc>
        <w:tc>
          <w:tcPr>
            <w:tcW w:w="0" w:type="dxa"/>
            <w:tcBorders>
              <w:top w:val="nil"/>
              <w:bottom w:val="single" w:sz="4" w:space="0" w:color="auto"/>
            </w:tcBorders>
            <w:shd w:val="clear" w:color="auto" w:fill="auto"/>
            <w:vAlign w:val="center"/>
          </w:tcPr>
          <w:p w14:paraId="333359EF" w14:textId="600BF6DB"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0.236</w:t>
            </w:r>
          </w:p>
        </w:tc>
      </w:tr>
      <w:tr w:rsidR="002C7F7D" w:rsidRPr="00FD0336" w14:paraId="15FF2746" w14:textId="77777777" w:rsidTr="00F7596B">
        <w:tc>
          <w:tcPr>
            <w:tcW w:w="0" w:type="dxa"/>
            <w:vMerge/>
            <w:shd w:val="clear" w:color="auto" w:fill="auto"/>
            <w:vAlign w:val="center"/>
          </w:tcPr>
          <w:p w14:paraId="6231D76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7FDE8DE2" w14:textId="1CA81CD8"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373015">
              <w:rPr>
                <w:noProof w:val="0"/>
                <w:color w:val="000000" w:themeColor="text1"/>
                <w:lang w:val="en-GB"/>
              </w:rPr>
              <w:t>two</w:t>
            </w:r>
            <w:r w:rsidRPr="00FD0336">
              <w:rPr>
                <w:noProof w:val="0"/>
                <w:color w:val="000000" w:themeColor="text1"/>
                <w:lang w:val="en-GB"/>
              </w:rPr>
              <w:t>-tailed)</w:t>
            </w:r>
          </w:p>
        </w:tc>
        <w:tc>
          <w:tcPr>
            <w:tcW w:w="0" w:type="dxa"/>
            <w:vMerge w:val="restart"/>
            <w:tcBorders>
              <w:top w:val="single" w:sz="4" w:space="0" w:color="auto"/>
              <w:bottom w:val="nil"/>
            </w:tcBorders>
            <w:shd w:val="clear" w:color="auto" w:fill="auto"/>
            <w:vAlign w:val="center"/>
          </w:tcPr>
          <w:p w14:paraId="17F61AE7"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0.003</w:t>
            </w:r>
          </w:p>
        </w:tc>
        <w:tc>
          <w:tcPr>
            <w:tcW w:w="0" w:type="dxa"/>
            <w:tcBorders>
              <w:top w:val="single" w:sz="4" w:space="0" w:color="auto"/>
              <w:bottom w:val="nil"/>
            </w:tcBorders>
            <w:shd w:val="clear" w:color="auto" w:fill="auto"/>
            <w:vAlign w:val="center"/>
          </w:tcPr>
          <w:p w14:paraId="0421130B" w14:textId="05C2C7E5"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0.007</w:t>
            </w:r>
          </w:p>
        </w:tc>
        <w:tc>
          <w:tcPr>
            <w:tcW w:w="0" w:type="dxa"/>
            <w:vMerge w:val="restart"/>
            <w:tcBorders>
              <w:top w:val="single" w:sz="4" w:space="0" w:color="auto"/>
            </w:tcBorders>
            <w:shd w:val="clear" w:color="auto" w:fill="auto"/>
            <w:vAlign w:val="center"/>
          </w:tcPr>
          <w:p w14:paraId="03E442F3"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0.138</w:t>
            </w:r>
          </w:p>
        </w:tc>
        <w:tc>
          <w:tcPr>
            <w:tcW w:w="0" w:type="dxa"/>
            <w:vMerge w:val="restart"/>
            <w:tcBorders>
              <w:top w:val="single" w:sz="4" w:space="0" w:color="auto"/>
            </w:tcBorders>
            <w:shd w:val="clear" w:color="auto" w:fill="auto"/>
            <w:vAlign w:val="center"/>
          </w:tcPr>
          <w:p w14:paraId="66E90F5C"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0.118</w:t>
            </w:r>
          </w:p>
        </w:tc>
      </w:tr>
      <w:tr w:rsidR="002C7F7D" w:rsidRPr="00FD0336" w14:paraId="3C6AFB62" w14:textId="77777777" w:rsidTr="00F7596B">
        <w:tc>
          <w:tcPr>
            <w:tcW w:w="0" w:type="dxa"/>
            <w:vMerge/>
            <w:shd w:val="clear" w:color="auto" w:fill="auto"/>
            <w:vAlign w:val="center"/>
          </w:tcPr>
          <w:p w14:paraId="071FF155"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F79ED64" w14:textId="26BD851F" w:rsidR="002C7F7D"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0" w:type="dxa"/>
            <w:vMerge/>
            <w:tcBorders>
              <w:top w:val="nil"/>
              <w:bottom w:val="single" w:sz="4" w:space="0" w:color="auto"/>
            </w:tcBorders>
            <w:shd w:val="clear" w:color="auto" w:fill="auto"/>
            <w:vAlign w:val="center"/>
          </w:tcPr>
          <w:p w14:paraId="33951947"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9F78DAF" w14:textId="4F057C52"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0.018</w:t>
            </w:r>
          </w:p>
        </w:tc>
        <w:tc>
          <w:tcPr>
            <w:tcW w:w="0" w:type="dxa"/>
            <w:vMerge/>
            <w:shd w:val="clear" w:color="auto" w:fill="auto"/>
            <w:vAlign w:val="center"/>
          </w:tcPr>
          <w:p w14:paraId="29036B10"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vMerge/>
            <w:shd w:val="clear" w:color="auto" w:fill="auto"/>
            <w:vAlign w:val="center"/>
          </w:tcPr>
          <w:p w14:paraId="032EFB4A"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r>
      <w:tr w:rsidR="002C7F7D" w:rsidRPr="00FD0336" w14:paraId="27AED73B" w14:textId="77777777" w:rsidTr="00F7596B">
        <w:tc>
          <w:tcPr>
            <w:tcW w:w="0" w:type="dxa"/>
            <w:vMerge/>
            <w:shd w:val="clear" w:color="auto" w:fill="auto"/>
            <w:vAlign w:val="center"/>
          </w:tcPr>
          <w:p w14:paraId="78925CA7"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21F963A9"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777120EF"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4A096929"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661418F1"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2C0DC798"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2C7F7D" w:rsidRPr="00FD0336" w14:paraId="5BC618D3" w14:textId="77777777" w:rsidTr="00F7596B">
        <w:tc>
          <w:tcPr>
            <w:tcW w:w="0" w:type="dxa"/>
            <w:vMerge w:val="restart"/>
            <w:shd w:val="clear" w:color="auto" w:fill="auto"/>
            <w:vAlign w:val="center"/>
          </w:tcPr>
          <w:p w14:paraId="7983B112" w14:textId="2B698694"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373015" w:rsidRPr="00FD0336">
              <w:rPr>
                <w:noProof w:val="0"/>
                <w:color w:val="000000" w:themeColor="text1"/>
                <w:lang w:val="en-GB"/>
              </w:rPr>
              <w:t>port industrial development</w:t>
            </w:r>
          </w:p>
        </w:tc>
        <w:tc>
          <w:tcPr>
            <w:tcW w:w="0" w:type="dxa"/>
            <w:tcBorders>
              <w:top w:val="single" w:sz="4" w:space="0" w:color="auto"/>
              <w:bottom w:val="nil"/>
            </w:tcBorders>
            <w:shd w:val="clear" w:color="auto" w:fill="auto"/>
            <w:vAlign w:val="center"/>
          </w:tcPr>
          <w:p w14:paraId="41705A46" w14:textId="168C8BC2"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373015" w:rsidRPr="00FD0336">
              <w:rPr>
                <w:noProof w:val="0"/>
                <w:color w:val="000000" w:themeColor="text1"/>
                <w:lang w:val="en-GB"/>
              </w:rPr>
              <w:t>square</w:t>
            </w:r>
            <w:r w:rsidR="00373015">
              <w:rPr>
                <w:noProof w:val="0"/>
                <w:color w:val="000000" w:themeColor="text1"/>
                <w:lang w:val="en-GB"/>
              </w:rPr>
              <w:t>d</w:t>
            </w:r>
          </w:p>
        </w:tc>
        <w:tc>
          <w:tcPr>
            <w:tcW w:w="0" w:type="dxa"/>
            <w:tcBorders>
              <w:top w:val="single" w:sz="4" w:space="0" w:color="auto"/>
              <w:bottom w:val="nil"/>
            </w:tcBorders>
            <w:shd w:val="clear" w:color="auto" w:fill="auto"/>
            <w:vAlign w:val="center"/>
          </w:tcPr>
          <w:p w14:paraId="26AE9300" w14:textId="799091BB"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2.530</w:t>
            </w:r>
          </w:p>
        </w:tc>
        <w:tc>
          <w:tcPr>
            <w:tcW w:w="0" w:type="dxa"/>
            <w:tcBorders>
              <w:top w:val="single" w:sz="4" w:space="0" w:color="auto"/>
              <w:bottom w:val="nil"/>
            </w:tcBorders>
            <w:shd w:val="clear" w:color="auto" w:fill="auto"/>
            <w:vAlign w:val="center"/>
          </w:tcPr>
          <w:p w14:paraId="3E64D384" w14:textId="230FC034"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10.748</w:t>
            </w:r>
          </w:p>
        </w:tc>
        <w:tc>
          <w:tcPr>
            <w:tcW w:w="0" w:type="dxa"/>
            <w:tcBorders>
              <w:top w:val="single" w:sz="4" w:space="0" w:color="auto"/>
              <w:bottom w:val="nil"/>
            </w:tcBorders>
            <w:shd w:val="clear" w:color="auto" w:fill="auto"/>
            <w:vAlign w:val="center"/>
          </w:tcPr>
          <w:p w14:paraId="596A349B" w14:textId="2ABF6AC9"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6.145</w:t>
            </w:r>
          </w:p>
        </w:tc>
        <w:tc>
          <w:tcPr>
            <w:tcW w:w="0" w:type="dxa"/>
            <w:tcBorders>
              <w:top w:val="single" w:sz="4" w:space="0" w:color="auto"/>
              <w:bottom w:val="nil"/>
            </w:tcBorders>
            <w:shd w:val="clear" w:color="auto" w:fill="auto"/>
            <w:vAlign w:val="center"/>
          </w:tcPr>
          <w:p w14:paraId="56CEEF7B" w14:textId="78FB12F1"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8.729</w:t>
            </w:r>
          </w:p>
        </w:tc>
      </w:tr>
      <w:tr w:rsidR="002C7F7D" w:rsidRPr="00FD0336" w14:paraId="38F5FE8C" w14:textId="77777777" w:rsidTr="00F7596B">
        <w:tc>
          <w:tcPr>
            <w:tcW w:w="0" w:type="dxa"/>
            <w:vMerge/>
            <w:shd w:val="clear" w:color="auto" w:fill="auto"/>
            <w:vAlign w:val="center"/>
          </w:tcPr>
          <w:p w14:paraId="442DD15D"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3AEA96A2" w14:textId="3E5C4222" w:rsidR="002C7F7D"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2C7F7D" w:rsidRPr="00FD0336">
              <w:rPr>
                <w:noProof w:val="0"/>
                <w:color w:val="000000" w:themeColor="text1"/>
                <w:lang w:val="en-GB"/>
              </w:rPr>
              <w:t>correction</w:t>
            </w:r>
          </w:p>
        </w:tc>
        <w:tc>
          <w:tcPr>
            <w:tcW w:w="0" w:type="dxa"/>
            <w:tcBorders>
              <w:top w:val="nil"/>
              <w:bottom w:val="nil"/>
            </w:tcBorders>
            <w:shd w:val="clear" w:color="auto" w:fill="auto"/>
            <w:vAlign w:val="center"/>
          </w:tcPr>
          <w:p w14:paraId="54A19CBE" w14:textId="42E52C58"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1.612</w:t>
            </w:r>
          </w:p>
        </w:tc>
        <w:tc>
          <w:tcPr>
            <w:tcW w:w="0" w:type="dxa"/>
            <w:tcBorders>
              <w:top w:val="nil"/>
              <w:bottom w:val="nil"/>
            </w:tcBorders>
            <w:shd w:val="clear" w:color="auto" w:fill="auto"/>
            <w:vAlign w:val="center"/>
          </w:tcPr>
          <w:p w14:paraId="5707015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42CB11B0"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2CC5BD25" w14:textId="5FA6F0E6"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6.996</w:t>
            </w:r>
          </w:p>
        </w:tc>
      </w:tr>
      <w:tr w:rsidR="002C7F7D" w:rsidRPr="00FD0336" w14:paraId="1EE1F86E" w14:textId="77777777" w:rsidTr="00F7596B">
        <w:tc>
          <w:tcPr>
            <w:tcW w:w="0" w:type="dxa"/>
            <w:vMerge/>
            <w:shd w:val="clear" w:color="auto" w:fill="auto"/>
            <w:vAlign w:val="center"/>
          </w:tcPr>
          <w:p w14:paraId="50330CFC"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55BD7E4E" w14:textId="3F974D4F"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61A369CC" w14:textId="481A9090"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0.240</w:t>
            </w:r>
          </w:p>
        </w:tc>
        <w:tc>
          <w:tcPr>
            <w:tcW w:w="0" w:type="dxa"/>
            <w:tcBorders>
              <w:top w:val="nil"/>
              <w:bottom w:val="single" w:sz="4" w:space="0" w:color="auto"/>
            </w:tcBorders>
            <w:shd w:val="clear" w:color="auto" w:fill="auto"/>
            <w:vAlign w:val="center"/>
          </w:tcPr>
          <w:p w14:paraId="551EB3CA" w14:textId="489640EE"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0.494</w:t>
            </w:r>
          </w:p>
        </w:tc>
        <w:tc>
          <w:tcPr>
            <w:tcW w:w="0" w:type="dxa"/>
            <w:tcBorders>
              <w:top w:val="nil"/>
              <w:bottom w:val="single" w:sz="4" w:space="0" w:color="auto"/>
            </w:tcBorders>
            <w:shd w:val="clear" w:color="auto" w:fill="auto"/>
            <w:vAlign w:val="center"/>
          </w:tcPr>
          <w:p w14:paraId="15E42FD1" w14:textId="21C1D5A9"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0.374</w:t>
            </w:r>
          </w:p>
        </w:tc>
        <w:tc>
          <w:tcPr>
            <w:tcW w:w="0" w:type="dxa"/>
            <w:tcBorders>
              <w:top w:val="nil"/>
              <w:bottom w:val="single" w:sz="4" w:space="0" w:color="auto"/>
            </w:tcBorders>
            <w:shd w:val="clear" w:color="auto" w:fill="auto"/>
            <w:vAlign w:val="center"/>
          </w:tcPr>
          <w:p w14:paraId="51860E5D" w14:textId="6194CA4C"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0.445</w:t>
            </w:r>
          </w:p>
        </w:tc>
      </w:tr>
      <w:tr w:rsidR="002C7F7D" w:rsidRPr="00FD0336" w14:paraId="3729BCC7" w14:textId="77777777" w:rsidTr="00F7596B">
        <w:tc>
          <w:tcPr>
            <w:tcW w:w="0" w:type="dxa"/>
            <w:vMerge/>
            <w:shd w:val="clear" w:color="auto" w:fill="auto"/>
            <w:vAlign w:val="center"/>
          </w:tcPr>
          <w:p w14:paraId="59B33A02"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3AEF127" w14:textId="2C4D1840"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373015">
              <w:rPr>
                <w:noProof w:val="0"/>
                <w:color w:val="000000" w:themeColor="text1"/>
                <w:lang w:val="en-GB"/>
              </w:rPr>
              <w:t>two</w:t>
            </w:r>
            <w:r w:rsidRPr="00FD0336">
              <w:rPr>
                <w:noProof w:val="0"/>
                <w:color w:val="000000" w:themeColor="text1"/>
                <w:lang w:val="en-GB"/>
              </w:rPr>
              <w:t>-tailed)</w:t>
            </w:r>
          </w:p>
        </w:tc>
        <w:tc>
          <w:tcPr>
            <w:tcW w:w="0" w:type="dxa"/>
            <w:tcBorders>
              <w:top w:val="single" w:sz="4" w:space="0" w:color="auto"/>
              <w:bottom w:val="nil"/>
            </w:tcBorders>
            <w:shd w:val="clear" w:color="auto" w:fill="auto"/>
            <w:vAlign w:val="center"/>
          </w:tcPr>
          <w:p w14:paraId="3C8A93FE" w14:textId="1C5A588A"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0.112</w:t>
            </w:r>
          </w:p>
        </w:tc>
        <w:tc>
          <w:tcPr>
            <w:tcW w:w="0" w:type="dxa"/>
            <w:vMerge w:val="restart"/>
            <w:tcBorders>
              <w:top w:val="single" w:sz="4" w:space="0" w:color="auto"/>
              <w:bottom w:val="nil"/>
            </w:tcBorders>
            <w:shd w:val="clear" w:color="auto" w:fill="auto"/>
            <w:vAlign w:val="center"/>
          </w:tcPr>
          <w:p w14:paraId="2B5C4294"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c>
          <w:tcPr>
            <w:tcW w:w="0" w:type="dxa"/>
            <w:vMerge w:val="restart"/>
            <w:tcBorders>
              <w:top w:val="single" w:sz="4" w:space="0" w:color="auto"/>
              <w:bottom w:val="nil"/>
            </w:tcBorders>
            <w:shd w:val="clear" w:color="auto" w:fill="auto"/>
            <w:vAlign w:val="center"/>
          </w:tcPr>
          <w:p w14:paraId="0D72F04D"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0.013</w:t>
            </w:r>
          </w:p>
        </w:tc>
        <w:tc>
          <w:tcPr>
            <w:tcW w:w="0" w:type="dxa"/>
            <w:tcBorders>
              <w:top w:val="single" w:sz="4" w:space="0" w:color="auto"/>
              <w:bottom w:val="nil"/>
            </w:tcBorders>
            <w:shd w:val="clear" w:color="auto" w:fill="auto"/>
            <w:vAlign w:val="center"/>
          </w:tcPr>
          <w:p w14:paraId="6415E61C" w14:textId="105A3CAC"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0.003</w:t>
            </w:r>
          </w:p>
        </w:tc>
      </w:tr>
      <w:tr w:rsidR="002C7F7D" w:rsidRPr="00FD0336" w14:paraId="5E284138" w14:textId="77777777" w:rsidTr="00F7596B">
        <w:tc>
          <w:tcPr>
            <w:tcW w:w="0" w:type="dxa"/>
            <w:vMerge/>
            <w:shd w:val="clear" w:color="auto" w:fill="auto"/>
            <w:vAlign w:val="center"/>
          </w:tcPr>
          <w:p w14:paraId="63A64AD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DDF6805" w14:textId="5B5F3B14" w:rsidR="002C7F7D"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2C7F7D" w:rsidRPr="00FD0336">
              <w:rPr>
                <w:noProof w:val="0"/>
                <w:color w:val="000000" w:themeColor="text1"/>
                <w:lang w:val="en-GB"/>
              </w:rPr>
              <w:t>correction</w:t>
            </w:r>
          </w:p>
        </w:tc>
        <w:tc>
          <w:tcPr>
            <w:tcW w:w="0" w:type="dxa"/>
            <w:tcBorders>
              <w:top w:val="nil"/>
              <w:bottom w:val="single" w:sz="4" w:space="0" w:color="auto"/>
            </w:tcBorders>
            <w:shd w:val="clear" w:color="auto" w:fill="auto"/>
            <w:vAlign w:val="center"/>
          </w:tcPr>
          <w:p w14:paraId="7D91D239" w14:textId="5826D50F"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0.204</w:t>
            </w:r>
          </w:p>
        </w:tc>
        <w:tc>
          <w:tcPr>
            <w:tcW w:w="0" w:type="dxa"/>
            <w:vMerge/>
            <w:tcBorders>
              <w:top w:val="nil"/>
              <w:bottom w:val="single" w:sz="4" w:space="0" w:color="auto"/>
            </w:tcBorders>
            <w:shd w:val="clear" w:color="auto" w:fill="auto"/>
            <w:vAlign w:val="center"/>
          </w:tcPr>
          <w:p w14:paraId="5E3AD6C8"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vMerge/>
            <w:tcBorders>
              <w:top w:val="nil"/>
              <w:bottom w:val="single" w:sz="4" w:space="0" w:color="auto"/>
            </w:tcBorders>
            <w:shd w:val="clear" w:color="auto" w:fill="auto"/>
            <w:vAlign w:val="center"/>
          </w:tcPr>
          <w:p w14:paraId="124E9D16"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CED1414" w14:textId="6C7E9239"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0.008</w:t>
            </w:r>
          </w:p>
        </w:tc>
      </w:tr>
      <w:tr w:rsidR="002C7F7D" w:rsidRPr="00FD0336" w14:paraId="2E1372BC" w14:textId="77777777" w:rsidTr="00F7596B">
        <w:tc>
          <w:tcPr>
            <w:tcW w:w="0" w:type="dxa"/>
            <w:vMerge/>
            <w:shd w:val="clear" w:color="auto" w:fill="auto"/>
            <w:vAlign w:val="center"/>
          </w:tcPr>
          <w:p w14:paraId="573BFAC1"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330F9D80"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7919F3BD"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73A89B5C"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265D0273"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5933AA27" w14:textId="77777777" w:rsidR="002C7F7D" w:rsidRPr="00FD0336" w:rsidRDefault="002C7F7D"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476B4C" w:rsidRPr="00FD0336" w14:paraId="572D3F8F" w14:textId="77777777" w:rsidTr="00F7596B">
        <w:tc>
          <w:tcPr>
            <w:tcW w:w="0" w:type="dxa"/>
            <w:vMerge w:val="restart"/>
            <w:shd w:val="clear" w:color="auto" w:fill="auto"/>
            <w:vAlign w:val="center"/>
          </w:tcPr>
          <w:p w14:paraId="3B256499" w14:textId="1EF5209D"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373015" w:rsidRPr="00FD0336">
              <w:rPr>
                <w:noProof w:val="0"/>
                <w:color w:val="000000" w:themeColor="text1"/>
                <w:lang w:val="en-GB"/>
              </w:rPr>
              <w:t>circular economy</w:t>
            </w:r>
          </w:p>
        </w:tc>
        <w:tc>
          <w:tcPr>
            <w:tcW w:w="0" w:type="dxa"/>
            <w:tcBorders>
              <w:top w:val="single" w:sz="4" w:space="0" w:color="auto"/>
              <w:bottom w:val="nil"/>
            </w:tcBorders>
            <w:shd w:val="clear" w:color="auto" w:fill="auto"/>
            <w:vAlign w:val="center"/>
          </w:tcPr>
          <w:p w14:paraId="49E59985" w14:textId="24A81E9A"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373015">
              <w:rPr>
                <w:noProof w:val="0"/>
                <w:color w:val="000000" w:themeColor="text1"/>
                <w:lang w:val="en-GB"/>
              </w:rPr>
              <w:t>s</w:t>
            </w:r>
            <w:r w:rsidRPr="00FD0336">
              <w:rPr>
                <w:noProof w:val="0"/>
                <w:color w:val="000000" w:themeColor="text1"/>
                <w:lang w:val="en-GB"/>
              </w:rPr>
              <w:t>quare</w:t>
            </w:r>
            <w:r w:rsidR="00373015">
              <w:rPr>
                <w:noProof w:val="0"/>
                <w:color w:val="000000" w:themeColor="text1"/>
                <w:lang w:val="en-GB"/>
              </w:rPr>
              <w:t>d</w:t>
            </w:r>
          </w:p>
        </w:tc>
        <w:tc>
          <w:tcPr>
            <w:tcW w:w="0" w:type="dxa"/>
            <w:tcBorders>
              <w:top w:val="single" w:sz="4" w:space="0" w:color="auto"/>
              <w:bottom w:val="nil"/>
            </w:tcBorders>
            <w:shd w:val="clear" w:color="auto" w:fill="auto"/>
            <w:vAlign w:val="center"/>
          </w:tcPr>
          <w:p w14:paraId="6D79C547" w14:textId="451E10A0"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0.354</w:t>
            </w:r>
          </w:p>
        </w:tc>
        <w:tc>
          <w:tcPr>
            <w:tcW w:w="0" w:type="dxa"/>
            <w:tcBorders>
              <w:top w:val="single" w:sz="4" w:space="0" w:color="auto"/>
              <w:bottom w:val="nil"/>
            </w:tcBorders>
            <w:shd w:val="clear" w:color="auto" w:fill="auto"/>
            <w:vAlign w:val="center"/>
          </w:tcPr>
          <w:p w14:paraId="6E537E3A" w14:textId="30C11E65"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5.948</w:t>
            </w:r>
          </w:p>
        </w:tc>
        <w:tc>
          <w:tcPr>
            <w:tcW w:w="0" w:type="dxa"/>
            <w:tcBorders>
              <w:top w:val="single" w:sz="4" w:space="0" w:color="auto"/>
              <w:bottom w:val="nil"/>
            </w:tcBorders>
            <w:shd w:val="clear" w:color="auto" w:fill="auto"/>
            <w:vAlign w:val="center"/>
          </w:tcPr>
          <w:p w14:paraId="6F6A3F33" w14:textId="063D3C3B"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5.981</w:t>
            </w:r>
          </w:p>
        </w:tc>
        <w:tc>
          <w:tcPr>
            <w:tcW w:w="0" w:type="dxa"/>
            <w:tcBorders>
              <w:top w:val="single" w:sz="4" w:space="0" w:color="auto"/>
              <w:bottom w:val="nil"/>
            </w:tcBorders>
            <w:shd w:val="clear" w:color="auto" w:fill="auto"/>
            <w:vAlign w:val="center"/>
          </w:tcPr>
          <w:p w14:paraId="6CD58A73" w14:textId="615EDC55"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1.453</w:t>
            </w:r>
          </w:p>
        </w:tc>
      </w:tr>
      <w:tr w:rsidR="00476B4C" w:rsidRPr="00FD0336" w14:paraId="24F624B9" w14:textId="77777777" w:rsidTr="00F7596B">
        <w:tc>
          <w:tcPr>
            <w:tcW w:w="0" w:type="dxa"/>
            <w:vMerge/>
            <w:shd w:val="clear" w:color="auto" w:fill="auto"/>
            <w:vAlign w:val="center"/>
          </w:tcPr>
          <w:p w14:paraId="35759047"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315F125C" w14:textId="3DE54372" w:rsidR="00476B4C"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476B4C" w:rsidRPr="00FD0336">
              <w:rPr>
                <w:noProof w:val="0"/>
                <w:color w:val="000000" w:themeColor="text1"/>
                <w:lang w:val="en-GB"/>
              </w:rPr>
              <w:t>correction</w:t>
            </w:r>
          </w:p>
        </w:tc>
        <w:tc>
          <w:tcPr>
            <w:tcW w:w="0" w:type="dxa"/>
            <w:tcBorders>
              <w:top w:val="nil"/>
              <w:bottom w:val="nil"/>
            </w:tcBorders>
            <w:shd w:val="clear" w:color="auto" w:fill="auto"/>
            <w:vAlign w:val="center"/>
          </w:tcPr>
          <w:p w14:paraId="275025B2"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48C2E213" w14:textId="5FFBA95D"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4.492</w:t>
            </w:r>
          </w:p>
        </w:tc>
        <w:tc>
          <w:tcPr>
            <w:tcW w:w="0" w:type="dxa"/>
            <w:tcBorders>
              <w:top w:val="nil"/>
              <w:bottom w:val="nil"/>
            </w:tcBorders>
            <w:shd w:val="clear" w:color="auto" w:fill="auto"/>
            <w:vAlign w:val="center"/>
          </w:tcPr>
          <w:p w14:paraId="7767C685" w14:textId="13CA7C52"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4.525</w:t>
            </w:r>
          </w:p>
        </w:tc>
        <w:tc>
          <w:tcPr>
            <w:tcW w:w="0" w:type="dxa"/>
            <w:tcBorders>
              <w:top w:val="nil"/>
              <w:bottom w:val="nil"/>
            </w:tcBorders>
            <w:shd w:val="clear" w:color="auto" w:fill="auto"/>
            <w:vAlign w:val="center"/>
          </w:tcPr>
          <w:p w14:paraId="7A2CD50C" w14:textId="3CAF6FC1"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r>
      <w:tr w:rsidR="00476B4C" w:rsidRPr="00FD0336" w14:paraId="195E1161" w14:textId="77777777" w:rsidTr="00F7596B">
        <w:tc>
          <w:tcPr>
            <w:tcW w:w="0" w:type="dxa"/>
            <w:vMerge/>
            <w:shd w:val="clear" w:color="auto" w:fill="auto"/>
            <w:vAlign w:val="center"/>
          </w:tcPr>
          <w:p w14:paraId="11EB8E53"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4DEFB28E" w14:textId="57299918"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7FA1D862" w14:textId="1A804CE0"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0.090</w:t>
            </w:r>
          </w:p>
        </w:tc>
        <w:tc>
          <w:tcPr>
            <w:tcW w:w="0" w:type="dxa"/>
            <w:tcBorders>
              <w:top w:val="nil"/>
              <w:bottom w:val="single" w:sz="4" w:space="0" w:color="auto"/>
            </w:tcBorders>
            <w:shd w:val="clear" w:color="auto" w:fill="auto"/>
            <w:vAlign w:val="center"/>
          </w:tcPr>
          <w:p w14:paraId="7EF72FE5" w14:textId="5AF4CB44"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0.368</w:t>
            </w:r>
          </w:p>
        </w:tc>
        <w:tc>
          <w:tcPr>
            <w:tcW w:w="0" w:type="dxa"/>
            <w:tcBorders>
              <w:top w:val="nil"/>
              <w:bottom w:val="single" w:sz="4" w:space="0" w:color="auto"/>
            </w:tcBorders>
            <w:shd w:val="clear" w:color="auto" w:fill="auto"/>
            <w:vAlign w:val="center"/>
          </w:tcPr>
          <w:p w14:paraId="6BF54D9D" w14:textId="2793DE6C"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0.369</w:t>
            </w:r>
          </w:p>
        </w:tc>
        <w:tc>
          <w:tcPr>
            <w:tcW w:w="0" w:type="dxa"/>
            <w:tcBorders>
              <w:top w:val="nil"/>
              <w:bottom w:val="single" w:sz="4" w:space="0" w:color="auto"/>
            </w:tcBorders>
            <w:shd w:val="clear" w:color="auto" w:fill="auto"/>
            <w:vAlign w:val="center"/>
          </w:tcPr>
          <w:p w14:paraId="14BFB3B6" w14:textId="42B0F33B"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0.182</w:t>
            </w:r>
          </w:p>
        </w:tc>
      </w:tr>
      <w:tr w:rsidR="00476B4C" w:rsidRPr="00FD0336" w14:paraId="4C574076" w14:textId="77777777" w:rsidTr="00F7596B">
        <w:tc>
          <w:tcPr>
            <w:tcW w:w="0" w:type="dxa"/>
            <w:vMerge/>
            <w:shd w:val="clear" w:color="auto" w:fill="auto"/>
            <w:vAlign w:val="center"/>
          </w:tcPr>
          <w:p w14:paraId="7DEC2C6F"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244C601" w14:textId="10D9E23E"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373015">
              <w:rPr>
                <w:noProof w:val="0"/>
                <w:color w:val="000000" w:themeColor="text1"/>
                <w:lang w:val="en-GB"/>
              </w:rPr>
              <w:t>two</w:t>
            </w:r>
            <w:r w:rsidRPr="00FD0336">
              <w:rPr>
                <w:noProof w:val="0"/>
                <w:color w:val="000000" w:themeColor="text1"/>
                <w:lang w:val="en-GB"/>
              </w:rPr>
              <w:t>-tailed)</w:t>
            </w:r>
          </w:p>
        </w:tc>
        <w:tc>
          <w:tcPr>
            <w:tcW w:w="0" w:type="dxa"/>
            <w:vMerge w:val="restart"/>
            <w:tcBorders>
              <w:top w:val="single" w:sz="4" w:space="0" w:color="auto"/>
              <w:bottom w:val="nil"/>
            </w:tcBorders>
            <w:shd w:val="clear" w:color="auto" w:fill="auto"/>
            <w:vAlign w:val="center"/>
          </w:tcPr>
          <w:p w14:paraId="336D05BB" w14:textId="53AF7A43"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0.552</w:t>
            </w:r>
          </w:p>
        </w:tc>
        <w:tc>
          <w:tcPr>
            <w:tcW w:w="0" w:type="dxa"/>
            <w:tcBorders>
              <w:top w:val="single" w:sz="4" w:space="0" w:color="auto"/>
              <w:bottom w:val="nil"/>
            </w:tcBorders>
            <w:shd w:val="clear" w:color="auto" w:fill="auto"/>
            <w:vAlign w:val="center"/>
          </w:tcPr>
          <w:p w14:paraId="0430EEDA" w14:textId="16DE7B4D"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0.015</w:t>
            </w:r>
          </w:p>
        </w:tc>
        <w:tc>
          <w:tcPr>
            <w:tcW w:w="0" w:type="dxa"/>
            <w:tcBorders>
              <w:top w:val="single" w:sz="4" w:space="0" w:color="auto"/>
              <w:bottom w:val="nil"/>
            </w:tcBorders>
            <w:shd w:val="clear" w:color="auto" w:fill="auto"/>
            <w:vAlign w:val="center"/>
          </w:tcPr>
          <w:p w14:paraId="55573317" w14:textId="292ADE46"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0.014</w:t>
            </w:r>
          </w:p>
        </w:tc>
        <w:tc>
          <w:tcPr>
            <w:tcW w:w="0" w:type="dxa"/>
            <w:vMerge w:val="restart"/>
            <w:tcBorders>
              <w:top w:val="single" w:sz="4" w:space="0" w:color="auto"/>
            </w:tcBorders>
            <w:shd w:val="clear" w:color="auto" w:fill="auto"/>
            <w:vAlign w:val="center"/>
          </w:tcPr>
          <w:p w14:paraId="0D4FE029"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0.228</w:t>
            </w:r>
          </w:p>
        </w:tc>
      </w:tr>
      <w:tr w:rsidR="00476B4C" w:rsidRPr="00FD0336" w14:paraId="3780E146" w14:textId="77777777" w:rsidTr="00F7596B">
        <w:tc>
          <w:tcPr>
            <w:tcW w:w="0" w:type="dxa"/>
            <w:vMerge/>
            <w:shd w:val="clear" w:color="auto" w:fill="auto"/>
            <w:vAlign w:val="center"/>
          </w:tcPr>
          <w:p w14:paraId="477B6AC4"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4BBABC1" w14:textId="570CA457" w:rsidR="00476B4C"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476B4C" w:rsidRPr="00FD0336">
              <w:rPr>
                <w:noProof w:val="0"/>
                <w:color w:val="000000" w:themeColor="text1"/>
                <w:lang w:val="en-GB"/>
              </w:rPr>
              <w:t>correction</w:t>
            </w:r>
          </w:p>
        </w:tc>
        <w:tc>
          <w:tcPr>
            <w:tcW w:w="0" w:type="dxa"/>
            <w:vMerge/>
            <w:tcBorders>
              <w:top w:val="nil"/>
              <w:bottom w:val="single" w:sz="4" w:space="0" w:color="auto"/>
            </w:tcBorders>
            <w:shd w:val="clear" w:color="auto" w:fill="auto"/>
            <w:vAlign w:val="center"/>
          </w:tcPr>
          <w:p w14:paraId="0EB9010E"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A546157" w14:textId="3D00A9D3"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0.034</w:t>
            </w:r>
          </w:p>
        </w:tc>
        <w:tc>
          <w:tcPr>
            <w:tcW w:w="0" w:type="dxa"/>
            <w:tcBorders>
              <w:top w:val="nil"/>
              <w:bottom w:val="single" w:sz="4" w:space="0" w:color="auto"/>
            </w:tcBorders>
            <w:shd w:val="clear" w:color="auto" w:fill="auto"/>
            <w:vAlign w:val="center"/>
          </w:tcPr>
          <w:p w14:paraId="05399174" w14:textId="3DF9C621"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0.033</w:t>
            </w:r>
          </w:p>
        </w:tc>
        <w:tc>
          <w:tcPr>
            <w:tcW w:w="0" w:type="dxa"/>
            <w:vMerge/>
            <w:shd w:val="clear" w:color="auto" w:fill="auto"/>
            <w:vAlign w:val="center"/>
          </w:tcPr>
          <w:p w14:paraId="0C8DD068"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r>
      <w:tr w:rsidR="00476B4C" w:rsidRPr="00FD0336" w14:paraId="189FD1A3" w14:textId="77777777" w:rsidTr="00F7596B">
        <w:tc>
          <w:tcPr>
            <w:tcW w:w="0" w:type="dxa"/>
            <w:vMerge/>
            <w:shd w:val="clear" w:color="auto" w:fill="auto"/>
            <w:vAlign w:val="center"/>
          </w:tcPr>
          <w:p w14:paraId="4A50D837"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1A839EA8"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466A635B"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7A72691B"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123722DA"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6840CA5A" w14:textId="77777777" w:rsidR="00476B4C" w:rsidRPr="00FD0336" w:rsidRDefault="00476B4C"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F7596B" w:rsidRPr="00FD0336" w14:paraId="102A6028" w14:textId="77777777" w:rsidTr="00F7596B">
        <w:tc>
          <w:tcPr>
            <w:tcW w:w="0" w:type="dxa"/>
            <w:vMerge w:val="restart"/>
            <w:shd w:val="clear" w:color="auto" w:fill="auto"/>
            <w:vAlign w:val="center"/>
          </w:tcPr>
          <w:p w14:paraId="463A261E" w14:textId="7CFBA052"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Presence of </w:t>
            </w:r>
            <w:r w:rsidR="00373015" w:rsidRPr="00FD0336">
              <w:rPr>
                <w:noProof w:val="0"/>
                <w:color w:val="000000" w:themeColor="text1"/>
                <w:lang w:val="en-GB"/>
              </w:rPr>
              <w:t>waterfront development</w:t>
            </w:r>
          </w:p>
        </w:tc>
        <w:tc>
          <w:tcPr>
            <w:tcW w:w="0" w:type="dxa"/>
            <w:tcBorders>
              <w:top w:val="single" w:sz="4" w:space="0" w:color="auto"/>
              <w:bottom w:val="nil"/>
            </w:tcBorders>
            <w:shd w:val="clear" w:color="auto" w:fill="auto"/>
            <w:vAlign w:val="center"/>
          </w:tcPr>
          <w:p w14:paraId="35287B45" w14:textId="496BCFFB"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373015" w:rsidRPr="00FD0336">
              <w:rPr>
                <w:noProof w:val="0"/>
                <w:color w:val="000000" w:themeColor="text1"/>
                <w:lang w:val="en-GB"/>
              </w:rPr>
              <w:t>square</w:t>
            </w:r>
            <w:r w:rsidR="00373015">
              <w:rPr>
                <w:noProof w:val="0"/>
                <w:color w:val="000000" w:themeColor="text1"/>
                <w:lang w:val="en-GB"/>
              </w:rPr>
              <w:t>d</w:t>
            </w:r>
          </w:p>
        </w:tc>
        <w:tc>
          <w:tcPr>
            <w:tcW w:w="0" w:type="dxa"/>
            <w:tcBorders>
              <w:top w:val="single" w:sz="4" w:space="0" w:color="auto"/>
              <w:bottom w:val="nil"/>
            </w:tcBorders>
            <w:shd w:val="clear" w:color="auto" w:fill="auto"/>
            <w:vAlign w:val="center"/>
          </w:tcPr>
          <w:p w14:paraId="23CE6823" w14:textId="35CBBBEF"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0.540</w:t>
            </w:r>
          </w:p>
        </w:tc>
        <w:tc>
          <w:tcPr>
            <w:tcW w:w="0" w:type="dxa"/>
            <w:tcBorders>
              <w:top w:val="single" w:sz="4" w:space="0" w:color="auto"/>
              <w:bottom w:val="nil"/>
            </w:tcBorders>
            <w:shd w:val="clear" w:color="auto" w:fill="auto"/>
            <w:vAlign w:val="center"/>
          </w:tcPr>
          <w:p w14:paraId="4108B8C9" w14:textId="4F6A87FC"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3.012</w:t>
            </w:r>
          </w:p>
        </w:tc>
        <w:tc>
          <w:tcPr>
            <w:tcW w:w="0" w:type="dxa"/>
            <w:tcBorders>
              <w:top w:val="single" w:sz="4" w:space="0" w:color="auto"/>
              <w:bottom w:val="nil"/>
            </w:tcBorders>
            <w:shd w:val="clear" w:color="auto" w:fill="auto"/>
            <w:vAlign w:val="center"/>
          </w:tcPr>
          <w:p w14:paraId="7993CD11" w14:textId="7FE411BC"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7.943</w:t>
            </w:r>
          </w:p>
        </w:tc>
        <w:tc>
          <w:tcPr>
            <w:tcW w:w="0" w:type="dxa"/>
            <w:tcBorders>
              <w:top w:val="single" w:sz="4" w:space="0" w:color="auto"/>
              <w:bottom w:val="nil"/>
            </w:tcBorders>
            <w:shd w:val="clear" w:color="auto" w:fill="auto"/>
            <w:vAlign w:val="center"/>
          </w:tcPr>
          <w:p w14:paraId="0A162F89" w14:textId="5E96C6BE"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11.189</w:t>
            </w:r>
          </w:p>
        </w:tc>
      </w:tr>
      <w:tr w:rsidR="00F7596B" w:rsidRPr="00FD0336" w14:paraId="716C7E2F" w14:textId="77777777" w:rsidTr="00F7596B">
        <w:tc>
          <w:tcPr>
            <w:tcW w:w="0" w:type="dxa"/>
            <w:vMerge/>
            <w:shd w:val="clear" w:color="auto" w:fill="auto"/>
            <w:vAlign w:val="center"/>
          </w:tcPr>
          <w:p w14:paraId="79768290"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088D2062" w14:textId="0CC4E91A" w:rsidR="00F7596B"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F7596B" w:rsidRPr="00FD0336">
              <w:rPr>
                <w:noProof w:val="0"/>
                <w:color w:val="000000" w:themeColor="text1"/>
                <w:lang w:val="en-GB"/>
              </w:rPr>
              <w:t>correction</w:t>
            </w:r>
          </w:p>
        </w:tc>
        <w:tc>
          <w:tcPr>
            <w:tcW w:w="0" w:type="dxa"/>
            <w:tcBorders>
              <w:top w:val="nil"/>
              <w:bottom w:val="nil"/>
            </w:tcBorders>
            <w:shd w:val="clear" w:color="auto" w:fill="auto"/>
            <w:vAlign w:val="center"/>
          </w:tcPr>
          <w:p w14:paraId="291FF93A"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4AA8E8F2"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4CFD56F4" w14:textId="1FBAFA60"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6.307</w:t>
            </w:r>
          </w:p>
        </w:tc>
        <w:tc>
          <w:tcPr>
            <w:tcW w:w="0" w:type="dxa"/>
            <w:tcBorders>
              <w:top w:val="nil"/>
              <w:bottom w:val="nil"/>
            </w:tcBorders>
            <w:shd w:val="clear" w:color="auto" w:fill="auto"/>
            <w:vAlign w:val="center"/>
          </w:tcPr>
          <w:p w14:paraId="527BC61F" w14:textId="464639D2"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9.200</w:t>
            </w:r>
          </w:p>
        </w:tc>
      </w:tr>
      <w:tr w:rsidR="00F7596B" w:rsidRPr="00FD0336" w14:paraId="56F2DB14" w14:textId="77777777" w:rsidTr="00F7596B">
        <w:tc>
          <w:tcPr>
            <w:tcW w:w="0" w:type="dxa"/>
            <w:vMerge/>
            <w:shd w:val="clear" w:color="auto" w:fill="auto"/>
            <w:vAlign w:val="center"/>
          </w:tcPr>
          <w:p w14:paraId="6A31B2A1"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354EE0B7" w14:textId="11C08593"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2E0F8A73" w14:textId="3EBEDF65"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0.111</w:t>
            </w:r>
          </w:p>
        </w:tc>
        <w:tc>
          <w:tcPr>
            <w:tcW w:w="0" w:type="dxa"/>
            <w:tcBorders>
              <w:top w:val="nil"/>
              <w:bottom w:val="single" w:sz="4" w:space="0" w:color="auto"/>
            </w:tcBorders>
            <w:shd w:val="clear" w:color="auto" w:fill="auto"/>
            <w:vAlign w:val="center"/>
          </w:tcPr>
          <w:p w14:paraId="253F1992" w14:textId="7C4BE0EA"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0.262</w:t>
            </w:r>
          </w:p>
        </w:tc>
        <w:tc>
          <w:tcPr>
            <w:tcW w:w="0" w:type="dxa"/>
            <w:tcBorders>
              <w:top w:val="nil"/>
              <w:bottom w:val="single" w:sz="4" w:space="0" w:color="auto"/>
            </w:tcBorders>
            <w:shd w:val="clear" w:color="auto" w:fill="auto"/>
            <w:vAlign w:val="center"/>
          </w:tcPr>
          <w:p w14:paraId="00C4CDEF" w14:textId="0952A69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0.425</w:t>
            </w:r>
          </w:p>
        </w:tc>
        <w:tc>
          <w:tcPr>
            <w:tcW w:w="0" w:type="dxa"/>
            <w:tcBorders>
              <w:top w:val="nil"/>
              <w:bottom w:val="single" w:sz="4" w:space="0" w:color="auto"/>
            </w:tcBorders>
            <w:shd w:val="clear" w:color="auto" w:fill="auto"/>
            <w:vAlign w:val="center"/>
          </w:tcPr>
          <w:p w14:paraId="0F9EB783" w14:textId="7B95619A"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0.504</w:t>
            </w:r>
          </w:p>
        </w:tc>
      </w:tr>
      <w:tr w:rsidR="00F7596B" w:rsidRPr="00FD0336" w14:paraId="7F084E18" w14:textId="77777777" w:rsidTr="00F7596B">
        <w:tc>
          <w:tcPr>
            <w:tcW w:w="0" w:type="dxa"/>
            <w:vMerge/>
            <w:shd w:val="clear" w:color="auto" w:fill="auto"/>
            <w:vAlign w:val="center"/>
          </w:tcPr>
          <w:p w14:paraId="44B799A6"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7E29A52" w14:textId="6C9053D0"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373015">
              <w:rPr>
                <w:noProof w:val="0"/>
                <w:color w:val="000000" w:themeColor="text1"/>
                <w:lang w:val="en-GB"/>
              </w:rPr>
              <w:t>two</w:t>
            </w:r>
            <w:r w:rsidRPr="00FD0336">
              <w:rPr>
                <w:noProof w:val="0"/>
                <w:color w:val="000000" w:themeColor="text1"/>
                <w:lang w:val="en-GB"/>
              </w:rPr>
              <w:t>-tailed)</w:t>
            </w:r>
          </w:p>
        </w:tc>
        <w:tc>
          <w:tcPr>
            <w:tcW w:w="0" w:type="dxa"/>
            <w:vMerge w:val="restart"/>
            <w:tcBorders>
              <w:top w:val="single" w:sz="4" w:space="0" w:color="auto"/>
              <w:bottom w:val="nil"/>
            </w:tcBorders>
            <w:shd w:val="clear" w:color="auto" w:fill="auto"/>
            <w:vAlign w:val="center"/>
          </w:tcPr>
          <w:p w14:paraId="2B471FF8"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0.462</w:t>
            </w:r>
          </w:p>
        </w:tc>
        <w:tc>
          <w:tcPr>
            <w:tcW w:w="0" w:type="dxa"/>
            <w:vMerge w:val="restart"/>
            <w:tcBorders>
              <w:top w:val="single" w:sz="4" w:space="0" w:color="auto"/>
              <w:bottom w:val="nil"/>
            </w:tcBorders>
            <w:shd w:val="clear" w:color="auto" w:fill="auto"/>
            <w:vAlign w:val="center"/>
          </w:tcPr>
          <w:p w14:paraId="62A24150"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0.083</w:t>
            </w:r>
          </w:p>
        </w:tc>
        <w:tc>
          <w:tcPr>
            <w:tcW w:w="0" w:type="dxa"/>
            <w:tcBorders>
              <w:top w:val="single" w:sz="4" w:space="0" w:color="auto"/>
              <w:bottom w:val="nil"/>
            </w:tcBorders>
            <w:shd w:val="clear" w:color="auto" w:fill="auto"/>
            <w:vAlign w:val="center"/>
          </w:tcPr>
          <w:p w14:paraId="53138382" w14:textId="6ECCDC02"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0.005</w:t>
            </w:r>
          </w:p>
        </w:tc>
        <w:tc>
          <w:tcPr>
            <w:tcW w:w="0" w:type="dxa"/>
            <w:tcBorders>
              <w:top w:val="single" w:sz="4" w:space="0" w:color="auto"/>
              <w:bottom w:val="nil"/>
            </w:tcBorders>
            <w:shd w:val="clear" w:color="auto" w:fill="auto"/>
            <w:vAlign w:val="center"/>
          </w:tcPr>
          <w:p w14:paraId="55642C67" w14:textId="01CDAA7D"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0.001</w:t>
            </w:r>
          </w:p>
        </w:tc>
      </w:tr>
      <w:tr w:rsidR="00F7596B" w:rsidRPr="00FD0336" w14:paraId="67C1B14C" w14:textId="77777777" w:rsidTr="00F7596B">
        <w:tc>
          <w:tcPr>
            <w:tcW w:w="0" w:type="dxa"/>
            <w:vMerge/>
            <w:shd w:val="clear" w:color="auto" w:fill="auto"/>
            <w:vAlign w:val="center"/>
          </w:tcPr>
          <w:p w14:paraId="655F06AE"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9902ADD" w14:textId="2AF5BB39" w:rsidR="00F7596B" w:rsidRPr="00FD0336" w:rsidRDefault="00373015"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F7596B" w:rsidRPr="00FD0336">
              <w:rPr>
                <w:noProof w:val="0"/>
                <w:color w:val="000000" w:themeColor="text1"/>
                <w:lang w:val="en-GB"/>
              </w:rPr>
              <w:t>correction</w:t>
            </w:r>
          </w:p>
        </w:tc>
        <w:tc>
          <w:tcPr>
            <w:tcW w:w="0" w:type="dxa"/>
            <w:vMerge/>
            <w:tcBorders>
              <w:top w:val="nil"/>
              <w:bottom w:val="single" w:sz="4" w:space="0" w:color="auto"/>
            </w:tcBorders>
            <w:shd w:val="clear" w:color="auto" w:fill="auto"/>
            <w:vAlign w:val="center"/>
          </w:tcPr>
          <w:p w14:paraId="7AC9181A"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vMerge/>
            <w:tcBorders>
              <w:top w:val="nil"/>
              <w:bottom w:val="single" w:sz="4" w:space="0" w:color="auto"/>
            </w:tcBorders>
            <w:shd w:val="clear" w:color="auto" w:fill="auto"/>
            <w:vAlign w:val="center"/>
          </w:tcPr>
          <w:p w14:paraId="0FAEAA04"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5EBDFC67" w14:textId="31CC4C7D"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0.012</w:t>
            </w:r>
          </w:p>
        </w:tc>
        <w:tc>
          <w:tcPr>
            <w:tcW w:w="0" w:type="dxa"/>
            <w:tcBorders>
              <w:top w:val="nil"/>
              <w:bottom w:val="single" w:sz="4" w:space="0" w:color="auto"/>
            </w:tcBorders>
            <w:shd w:val="clear" w:color="auto" w:fill="auto"/>
            <w:vAlign w:val="center"/>
          </w:tcPr>
          <w:p w14:paraId="008E222C" w14:textId="3B6EBCA2"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0.002</w:t>
            </w:r>
          </w:p>
        </w:tc>
      </w:tr>
      <w:tr w:rsidR="00F7596B" w:rsidRPr="00FD0336" w14:paraId="176A8036" w14:textId="77777777" w:rsidTr="00F7596B">
        <w:tc>
          <w:tcPr>
            <w:tcW w:w="0" w:type="dxa"/>
            <w:vMerge/>
            <w:tcBorders>
              <w:bottom w:val="single" w:sz="8" w:space="0" w:color="auto"/>
            </w:tcBorders>
            <w:shd w:val="clear" w:color="auto" w:fill="auto"/>
            <w:vAlign w:val="center"/>
          </w:tcPr>
          <w:p w14:paraId="7CA8F762"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8" w:space="0" w:color="auto"/>
            </w:tcBorders>
            <w:shd w:val="clear" w:color="auto" w:fill="auto"/>
            <w:vAlign w:val="center"/>
          </w:tcPr>
          <w:p w14:paraId="792776CA"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8" w:space="0" w:color="auto"/>
            </w:tcBorders>
            <w:shd w:val="clear" w:color="auto" w:fill="auto"/>
            <w:vAlign w:val="center"/>
          </w:tcPr>
          <w:p w14:paraId="7A051DE3"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31588D12"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2D28ABE7"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0C5797E2" w14:textId="77777777" w:rsidR="00F7596B" w:rsidRPr="00FD0336" w:rsidRDefault="00F7596B" w:rsidP="00F7596B">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bl>
    <w:p w14:paraId="0D09706F" w14:textId="77EC4C65" w:rsidR="00E93F94" w:rsidRPr="00FD0336" w:rsidRDefault="00E93F94" w:rsidP="008067BC">
      <w:pPr>
        <w:pStyle w:val="MDPI31text"/>
        <w:rPr>
          <w:lang w:val="en-GB"/>
        </w:rPr>
      </w:pPr>
      <w:r w:rsidRPr="00FD0336">
        <w:rPr>
          <w:lang w:val="en-GB"/>
        </w:rPr>
        <w:t>The levels of association</w:t>
      </w:r>
      <w:r w:rsidR="00D05A3E">
        <w:rPr>
          <w:lang w:val="en-GB"/>
        </w:rPr>
        <w:t>,</w:t>
      </w:r>
      <w:r w:rsidRPr="00FD0336">
        <w:rPr>
          <w:lang w:val="en-GB"/>
        </w:rPr>
        <w:t xml:space="preserve"> </w:t>
      </w:r>
      <w:proofErr w:type="gramStart"/>
      <w:r w:rsidR="00D05A3E">
        <w:rPr>
          <w:lang w:val="en-GB"/>
        </w:rPr>
        <w:t>in regards to</w:t>
      </w:r>
      <w:proofErr w:type="gramEnd"/>
      <w:r w:rsidR="00865E1F" w:rsidRPr="00FD0336">
        <w:rPr>
          <w:lang w:val="en-GB"/>
        </w:rPr>
        <w:t xml:space="preserve"> </w:t>
      </w:r>
      <w:r w:rsidR="00D05A3E">
        <w:rPr>
          <w:lang w:val="en-GB"/>
        </w:rPr>
        <w:t xml:space="preserve">the </w:t>
      </w:r>
      <w:r w:rsidRPr="00FD0336">
        <w:rPr>
          <w:lang w:val="en-GB"/>
        </w:rPr>
        <w:t>interest in encouraging maritime clusters, port industrial development, circular economy</w:t>
      </w:r>
      <w:r w:rsidR="00865E1F">
        <w:rPr>
          <w:lang w:val="en-GB"/>
        </w:rPr>
        <w:t>,</w:t>
      </w:r>
      <w:r w:rsidRPr="00FD0336">
        <w:rPr>
          <w:lang w:val="en-GB"/>
        </w:rPr>
        <w:t xml:space="preserve"> and waterfront development are shown in Table 4. It shows that interest in maritime cluster development is associated with interest in port industrial development and circular economy. Interest in port industrial development is associated with interest in maritime cluster development, circular economy</w:t>
      </w:r>
      <w:r w:rsidR="00865E1F">
        <w:rPr>
          <w:lang w:val="en-GB"/>
        </w:rPr>
        <w:t>,</w:t>
      </w:r>
      <w:r w:rsidRPr="00FD0336">
        <w:rPr>
          <w:lang w:val="en-GB"/>
        </w:rPr>
        <w:t xml:space="preserve"> and waterfront development. Interest in the circular economy is associated with maritime cluster development and port industrial development. Interest in waterfront development is associated with interest in port industrial development only.</w:t>
      </w:r>
    </w:p>
    <w:p w14:paraId="3E2B0FB1" w14:textId="6E5CD3DF" w:rsidR="00E93F94" w:rsidRPr="00FD0336" w:rsidRDefault="008067BC" w:rsidP="008067BC">
      <w:pPr>
        <w:pStyle w:val="MDPI41tablecaption"/>
        <w:rPr>
          <w:lang w:val="en-GB"/>
        </w:rPr>
      </w:pPr>
      <w:r w:rsidRPr="00FD0336">
        <w:rPr>
          <w:b/>
          <w:lang w:val="en-GB"/>
        </w:rPr>
        <w:t xml:space="preserve">Table 4. </w:t>
      </w:r>
      <w:r w:rsidR="00E93F94" w:rsidRPr="00FD0336">
        <w:rPr>
          <w:lang w:val="en-GB"/>
        </w:rPr>
        <w:t>The interest</w:t>
      </w:r>
      <w:r w:rsidR="00865E1F">
        <w:rPr>
          <w:lang w:val="en-GB"/>
        </w:rPr>
        <w:t>s</w:t>
      </w:r>
      <w:r w:rsidR="00E93F94" w:rsidRPr="00FD0336">
        <w:rPr>
          <w:lang w:val="en-GB"/>
        </w:rPr>
        <w:t xml:space="preserve"> in encouraging a method for increasing a port’s economic benefits and interest</w:t>
      </w:r>
      <w:r w:rsidR="00865E1F">
        <w:rPr>
          <w:lang w:val="en-GB"/>
        </w:rPr>
        <w:t>s</w:t>
      </w:r>
      <w:r w:rsidR="00E93F94" w:rsidRPr="00FD0336">
        <w:rPr>
          <w:lang w:val="en-GB"/>
        </w:rPr>
        <w:t xml:space="preserve"> in other methods.</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09"/>
        <w:gridCol w:w="1309"/>
        <w:gridCol w:w="1309"/>
        <w:gridCol w:w="1310"/>
        <w:gridCol w:w="1310"/>
        <w:gridCol w:w="1310"/>
      </w:tblGrid>
      <w:tr w:rsidR="00C54694" w:rsidRPr="00F17B5D" w14:paraId="29DCD3D1" w14:textId="77777777" w:rsidTr="006806A3">
        <w:tc>
          <w:tcPr>
            <w:tcW w:w="0" w:type="dxa"/>
            <w:tcBorders>
              <w:top w:val="single" w:sz="8" w:space="0" w:color="auto"/>
              <w:bottom w:val="single" w:sz="4" w:space="0" w:color="auto"/>
            </w:tcBorders>
            <w:shd w:val="clear" w:color="auto" w:fill="auto"/>
            <w:vAlign w:val="center"/>
          </w:tcPr>
          <w:p w14:paraId="1505CA14" w14:textId="77777777" w:rsidR="00E93F94" w:rsidRPr="00FD0336" w:rsidRDefault="00E93F94" w:rsidP="006806A3">
            <w:pPr>
              <w:autoSpaceDE w:val="0"/>
              <w:autoSpaceDN w:val="0"/>
              <w:adjustRightInd w:val="0"/>
              <w:snapToGrid w:val="0"/>
              <w:spacing w:line="240" w:lineRule="auto"/>
              <w:jc w:val="center"/>
              <w:rPr>
                <w:b/>
                <w:noProof w:val="0"/>
                <w:color w:val="000000" w:themeColor="text1"/>
                <w:lang w:val="en-GB"/>
              </w:rPr>
            </w:pPr>
          </w:p>
        </w:tc>
        <w:tc>
          <w:tcPr>
            <w:tcW w:w="0" w:type="dxa"/>
            <w:tcBorders>
              <w:top w:val="single" w:sz="8" w:space="0" w:color="auto"/>
              <w:bottom w:val="single" w:sz="4" w:space="0" w:color="auto"/>
            </w:tcBorders>
            <w:shd w:val="clear" w:color="auto" w:fill="auto"/>
            <w:vAlign w:val="center"/>
          </w:tcPr>
          <w:p w14:paraId="1A260D67" w14:textId="77777777" w:rsidR="00E93F94" w:rsidRPr="00001C64" w:rsidRDefault="00E93F94" w:rsidP="006806A3">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 xml:space="preserve">Value </w:t>
            </w:r>
          </w:p>
        </w:tc>
        <w:tc>
          <w:tcPr>
            <w:tcW w:w="0" w:type="dxa"/>
            <w:tcBorders>
              <w:top w:val="single" w:sz="8" w:space="0" w:color="auto"/>
              <w:bottom w:val="single" w:sz="4" w:space="0" w:color="auto"/>
            </w:tcBorders>
            <w:shd w:val="clear" w:color="auto" w:fill="auto"/>
            <w:vAlign w:val="center"/>
          </w:tcPr>
          <w:p w14:paraId="40DCDB5F" w14:textId="77777777" w:rsidR="00E93F94" w:rsidRPr="00001C64" w:rsidRDefault="00E93F94" w:rsidP="006806A3">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a Maritime Cluster</w:t>
            </w:r>
          </w:p>
        </w:tc>
        <w:tc>
          <w:tcPr>
            <w:tcW w:w="0" w:type="dxa"/>
            <w:tcBorders>
              <w:top w:val="single" w:sz="8" w:space="0" w:color="auto"/>
              <w:bottom w:val="single" w:sz="4" w:space="0" w:color="auto"/>
            </w:tcBorders>
            <w:shd w:val="clear" w:color="auto" w:fill="auto"/>
            <w:vAlign w:val="center"/>
          </w:tcPr>
          <w:p w14:paraId="73D892C4" w14:textId="77777777" w:rsidR="00E93F94" w:rsidRPr="00001C64" w:rsidRDefault="00E93F94" w:rsidP="006806A3">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Port Industrial Development</w:t>
            </w:r>
          </w:p>
        </w:tc>
        <w:tc>
          <w:tcPr>
            <w:tcW w:w="0" w:type="dxa"/>
            <w:tcBorders>
              <w:top w:val="single" w:sz="8" w:space="0" w:color="auto"/>
              <w:bottom w:val="single" w:sz="4" w:space="0" w:color="auto"/>
            </w:tcBorders>
            <w:shd w:val="clear" w:color="auto" w:fill="auto"/>
            <w:vAlign w:val="center"/>
          </w:tcPr>
          <w:p w14:paraId="56835F70" w14:textId="77777777" w:rsidR="00E93F94" w:rsidRPr="00001C64" w:rsidRDefault="00E93F94" w:rsidP="006806A3">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Circular Economy</w:t>
            </w:r>
          </w:p>
        </w:tc>
        <w:tc>
          <w:tcPr>
            <w:tcW w:w="0" w:type="dxa"/>
            <w:tcBorders>
              <w:top w:val="single" w:sz="8" w:space="0" w:color="auto"/>
              <w:bottom w:val="single" w:sz="4" w:space="0" w:color="auto"/>
            </w:tcBorders>
            <w:shd w:val="clear" w:color="auto" w:fill="auto"/>
            <w:vAlign w:val="center"/>
          </w:tcPr>
          <w:p w14:paraId="08F13DCF" w14:textId="77777777" w:rsidR="00E93F94" w:rsidRPr="00001C64" w:rsidRDefault="00E93F94" w:rsidP="006806A3">
            <w:pPr>
              <w:autoSpaceDE w:val="0"/>
              <w:autoSpaceDN w:val="0"/>
              <w:adjustRightInd w:val="0"/>
              <w:snapToGrid w:val="0"/>
              <w:spacing w:line="240" w:lineRule="auto"/>
              <w:jc w:val="center"/>
              <w:rPr>
                <w:bCs/>
                <w:noProof w:val="0"/>
                <w:color w:val="000000" w:themeColor="text1"/>
                <w:lang w:val="en-GB"/>
              </w:rPr>
            </w:pPr>
            <w:r w:rsidRPr="00001C64">
              <w:rPr>
                <w:bCs/>
                <w:noProof w:val="0"/>
                <w:color w:val="000000" w:themeColor="text1"/>
                <w:lang w:val="en-GB"/>
              </w:rPr>
              <w:t>Interest in encouraging Waterfront Development</w:t>
            </w:r>
          </w:p>
        </w:tc>
      </w:tr>
      <w:tr w:rsidR="00EC7CE5" w:rsidRPr="00FD0336" w14:paraId="79CB8E11" w14:textId="77777777" w:rsidTr="006806A3">
        <w:tc>
          <w:tcPr>
            <w:tcW w:w="0" w:type="dxa"/>
            <w:vMerge w:val="restart"/>
            <w:tcBorders>
              <w:top w:val="single" w:sz="4" w:space="0" w:color="auto"/>
            </w:tcBorders>
            <w:shd w:val="clear" w:color="auto" w:fill="auto"/>
            <w:vAlign w:val="center"/>
          </w:tcPr>
          <w:p w14:paraId="17B6B373" w14:textId="358C0AEB"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Interest in encouraging a </w:t>
            </w:r>
            <w:r w:rsidR="00865E1F" w:rsidRPr="00FD0336">
              <w:rPr>
                <w:noProof w:val="0"/>
                <w:color w:val="000000" w:themeColor="text1"/>
                <w:lang w:val="en-GB"/>
              </w:rPr>
              <w:t>maritime cluster</w:t>
            </w:r>
          </w:p>
        </w:tc>
        <w:tc>
          <w:tcPr>
            <w:tcW w:w="0" w:type="dxa"/>
            <w:tcBorders>
              <w:top w:val="single" w:sz="4" w:space="0" w:color="auto"/>
              <w:bottom w:val="nil"/>
            </w:tcBorders>
            <w:shd w:val="clear" w:color="auto" w:fill="auto"/>
            <w:vAlign w:val="center"/>
          </w:tcPr>
          <w:p w14:paraId="1C6BF09B" w14:textId="30F3D3FE"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865E1F" w:rsidRPr="00FD0336">
              <w:rPr>
                <w:noProof w:val="0"/>
                <w:color w:val="000000" w:themeColor="text1"/>
                <w:lang w:val="en-GB"/>
              </w:rPr>
              <w:t>square</w:t>
            </w:r>
            <w:r w:rsidR="00865E1F">
              <w:rPr>
                <w:noProof w:val="0"/>
                <w:color w:val="000000" w:themeColor="text1"/>
                <w:lang w:val="en-GB"/>
              </w:rPr>
              <w:t>d</w:t>
            </w:r>
          </w:p>
        </w:tc>
        <w:tc>
          <w:tcPr>
            <w:tcW w:w="0" w:type="dxa"/>
            <w:vMerge w:val="restart"/>
            <w:tcBorders>
              <w:top w:val="single" w:sz="4" w:space="0" w:color="auto"/>
              <w:bottom w:val="nil"/>
            </w:tcBorders>
            <w:shd w:val="clear" w:color="auto" w:fill="auto"/>
            <w:vAlign w:val="center"/>
          </w:tcPr>
          <w:p w14:paraId="184612CD" w14:textId="20816036"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391A521C" w14:textId="0870AB4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5.948</w:t>
            </w:r>
          </w:p>
        </w:tc>
        <w:tc>
          <w:tcPr>
            <w:tcW w:w="0" w:type="dxa"/>
            <w:tcBorders>
              <w:top w:val="single" w:sz="4" w:space="0" w:color="auto"/>
              <w:bottom w:val="nil"/>
            </w:tcBorders>
            <w:shd w:val="clear" w:color="auto" w:fill="auto"/>
            <w:vAlign w:val="center"/>
          </w:tcPr>
          <w:p w14:paraId="09AC291B" w14:textId="291FF199"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9.501</w:t>
            </w:r>
          </w:p>
        </w:tc>
        <w:tc>
          <w:tcPr>
            <w:tcW w:w="0" w:type="dxa"/>
            <w:tcBorders>
              <w:top w:val="single" w:sz="4" w:space="0" w:color="auto"/>
              <w:bottom w:val="nil"/>
            </w:tcBorders>
            <w:shd w:val="clear" w:color="auto" w:fill="auto"/>
            <w:vAlign w:val="center"/>
          </w:tcPr>
          <w:p w14:paraId="6D8DF3B6" w14:textId="305A965A"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1.453</w:t>
            </w:r>
          </w:p>
        </w:tc>
      </w:tr>
      <w:tr w:rsidR="00EC7CE5" w:rsidRPr="00FD0336" w14:paraId="53DE4F4C" w14:textId="77777777" w:rsidTr="006806A3">
        <w:tc>
          <w:tcPr>
            <w:tcW w:w="0" w:type="dxa"/>
            <w:vMerge/>
            <w:shd w:val="clear" w:color="auto" w:fill="auto"/>
            <w:vAlign w:val="center"/>
          </w:tcPr>
          <w:p w14:paraId="21528826"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763DCCD4" w14:textId="32045494" w:rsidR="00EC7CE5"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EC7CE5" w:rsidRPr="00FD0336">
              <w:rPr>
                <w:noProof w:val="0"/>
                <w:color w:val="000000" w:themeColor="text1"/>
                <w:lang w:val="en-GB"/>
              </w:rPr>
              <w:t>correction</w:t>
            </w:r>
          </w:p>
        </w:tc>
        <w:tc>
          <w:tcPr>
            <w:tcW w:w="0" w:type="dxa"/>
            <w:vMerge/>
            <w:tcBorders>
              <w:top w:val="nil"/>
              <w:bottom w:val="nil"/>
            </w:tcBorders>
            <w:shd w:val="clear" w:color="auto" w:fill="auto"/>
            <w:vAlign w:val="center"/>
          </w:tcPr>
          <w:p w14:paraId="3BE7D59B"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8FC9F0A" w14:textId="3C302BFB"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4.492</w:t>
            </w:r>
          </w:p>
        </w:tc>
        <w:tc>
          <w:tcPr>
            <w:tcW w:w="0" w:type="dxa"/>
            <w:tcBorders>
              <w:top w:val="nil"/>
              <w:bottom w:val="nil"/>
            </w:tcBorders>
            <w:shd w:val="clear" w:color="auto" w:fill="auto"/>
            <w:vAlign w:val="center"/>
          </w:tcPr>
          <w:p w14:paraId="6E6E30ED" w14:textId="034994E8"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7.640</w:t>
            </w:r>
          </w:p>
        </w:tc>
        <w:tc>
          <w:tcPr>
            <w:tcW w:w="0" w:type="dxa"/>
            <w:tcBorders>
              <w:top w:val="nil"/>
              <w:bottom w:val="nil"/>
            </w:tcBorders>
            <w:shd w:val="clear" w:color="auto" w:fill="auto"/>
            <w:vAlign w:val="center"/>
          </w:tcPr>
          <w:p w14:paraId="6B9BD243" w14:textId="171D456A"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r>
      <w:tr w:rsidR="00EC7CE5" w:rsidRPr="00FD0336" w14:paraId="57DBC98C" w14:textId="77777777" w:rsidTr="006806A3">
        <w:tc>
          <w:tcPr>
            <w:tcW w:w="0" w:type="dxa"/>
            <w:vMerge/>
            <w:shd w:val="clear" w:color="auto" w:fill="auto"/>
            <w:vAlign w:val="center"/>
          </w:tcPr>
          <w:p w14:paraId="1294F34C"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7467888" w14:textId="081CFE59"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vMerge/>
            <w:tcBorders>
              <w:top w:val="nil"/>
              <w:bottom w:val="single" w:sz="4" w:space="0" w:color="auto"/>
            </w:tcBorders>
            <w:shd w:val="clear" w:color="auto" w:fill="auto"/>
            <w:vAlign w:val="center"/>
          </w:tcPr>
          <w:p w14:paraId="658AF603"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4D759862" w14:textId="1C3C709B"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0.368</w:t>
            </w:r>
          </w:p>
        </w:tc>
        <w:tc>
          <w:tcPr>
            <w:tcW w:w="0" w:type="dxa"/>
            <w:tcBorders>
              <w:top w:val="nil"/>
              <w:bottom w:val="single" w:sz="4" w:space="0" w:color="auto"/>
            </w:tcBorders>
            <w:shd w:val="clear" w:color="auto" w:fill="auto"/>
            <w:vAlign w:val="center"/>
          </w:tcPr>
          <w:p w14:paraId="3363CF87" w14:textId="1E9D7EDF"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0.465</w:t>
            </w:r>
          </w:p>
        </w:tc>
        <w:tc>
          <w:tcPr>
            <w:tcW w:w="0" w:type="dxa"/>
            <w:tcBorders>
              <w:top w:val="nil"/>
              <w:bottom w:val="single" w:sz="4" w:space="0" w:color="auto"/>
            </w:tcBorders>
            <w:shd w:val="clear" w:color="auto" w:fill="auto"/>
            <w:vAlign w:val="center"/>
          </w:tcPr>
          <w:p w14:paraId="40715BCE" w14:textId="2BAD26A0"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0.182</w:t>
            </w:r>
          </w:p>
        </w:tc>
      </w:tr>
      <w:tr w:rsidR="00EC7CE5" w:rsidRPr="00FD0336" w14:paraId="4F32D229" w14:textId="77777777" w:rsidTr="006806A3">
        <w:tc>
          <w:tcPr>
            <w:tcW w:w="0" w:type="dxa"/>
            <w:vMerge/>
            <w:shd w:val="clear" w:color="auto" w:fill="auto"/>
            <w:vAlign w:val="center"/>
          </w:tcPr>
          <w:p w14:paraId="1116133F"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2C79D06E" w14:textId="798844CB"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865E1F">
              <w:rPr>
                <w:noProof w:val="0"/>
                <w:color w:val="000000" w:themeColor="text1"/>
                <w:lang w:val="en-GB"/>
              </w:rPr>
              <w:t>two</w:t>
            </w:r>
            <w:r w:rsidRPr="00FD0336">
              <w:rPr>
                <w:noProof w:val="0"/>
                <w:color w:val="000000" w:themeColor="text1"/>
                <w:lang w:val="en-GB"/>
              </w:rPr>
              <w:t>-tailed)</w:t>
            </w:r>
          </w:p>
        </w:tc>
        <w:tc>
          <w:tcPr>
            <w:tcW w:w="0" w:type="dxa"/>
            <w:vMerge w:val="restart"/>
            <w:tcBorders>
              <w:top w:val="single" w:sz="4" w:space="0" w:color="auto"/>
              <w:bottom w:val="nil"/>
            </w:tcBorders>
            <w:shd w:val="clear" w:color="auto" w:fill="auto"/>
            <w:vAlign w:val="center"/>
          </w:tcPr>
          <w:p w14:paraId="583DC68E"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7F929A63" w14:textId="03C354CC"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0.015</w:t>
            </w:r>
          </w:p>
        </w:tc>
        <w:tc>
          <w:tcPr>
            <w:tcW w:w="0" w:type="dxa"/>
            <w:tcBorders>
              <w:top w:val="single" w:sz="4" w:space="0" w:color="auto"/>
              <w:bottom w:val="nil"/>
            </w:tcBorders>
            <w:shd w:val="clear" w:color="auto" w:fill="auto"/>
            <w:vAlign w:val="center"/>
          </w:tcPr>
          <w:p w14:paraId="713C275B" w14:textId="4D643A14"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0.002</w:t>
            </w:r>
          </w:p>
        </w:tc>
        <w:tc>
          <w:tcPr>
            <w:tcW w:w="0" w:type="dxa"/>
            <w:vMerge w:val="restart"/>
            <w:tcBorders>
              <w:top w:val="single" w:sz="4" w:space="0" w:color="auto"/>
            </w:tcBorders>
            <w:shd w:val="clear" w:color="auto" w:fill="auto"/>
            <w:vAlign w:val="center"/>
          </w:tcPr>
          <w:p w14:paraId="2BBEBBAE"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0.228</w:t>
            </w:r>
          </w:p>
        </w:tc>
      </w:tr>
      <w:tr w:rsidR="00EC7CE5" w:rsidRPr="00FD0336" w14:paraId="21B939CC" w14:textId="77777777" w:rsidTr="006806A3">
        <w:tc>
          <w:tcPr>
            <w:tcW w:w="0" w:type="dxa"/>
            <w:vMerge/>
            <w:shd w:val="clear" w:color="auto" w:fill="auto"/>
            <w:vAlign w:val="center"/>
          </w:tcPr>
          <w:p w14:paraId="77B97915"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21671AD5" w14:textId="6F33B272" w:rsidR="00EC7CE5"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EC7CE5" w:rsidRPr="00FD0336">
              <w:rPr>
                <w:noProof w:val="0"/>
                <w:color w:val="000000" w:themeColor="text1"/>
                <w:lang w:val="en-GB"/>
              </w:rPr>
              <w:t>correction</w:t>
            </w:r>
          </w:p>
        </w:tc>
        <w:tc>
          <w:tcPr>
            <w:tcW w:w="0" w:type="dxa"/>
            <w:vMerge/>
            <w:tcBorders>
              <w:top w:val="nil"/>
              <w:bottom w:val="single" w:sz="4" w:space="0" w:color="auto"/>
            </w:tcBorders>
            <w:shd w:val="clear" w:color="auto" w:fill="auto"/>
            <w:vAlign w:val="center"/>
          </w:tcPr>
          <w:p w14:paraId="0B7D2F21"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41CDDAD9" w14:textId="2CC2318F"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0.034</w:t>
            </w:r>
          </w:p>
        </w:tc>
        <w:tc>
          <w:tcPr>
            <w:tcW w:w="0" w:type="dxa"/>
            <w:tcBorders>
              <w:top w:val="nil"/>
              <w:bottom w:val="single" w:sz="4" w:space="0" w:color="auto"/>
            </w:tcBorders>
            <w:shd w:val="clear" w:color="auto" w:fill="auto"/>
            <w:vAlign w:val="center"/>
          </w:tcPr>
          <w:p w14:paraId="5C85BEFB" w14:textId="542364B1"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0.006</w:t>
            </w:r>
          </w:p>
        </w:tc>
        <w:tc>
          <w:tcPr>
            <w:tcW w:w="0" w:type="dxa"/>
            <w:vMerge/>
            <w:shd w:val="clear" w:color="auto" w:fill="auto"/>
            <w:vAlign w:val="center"/>
          </w:tcPr>
          <w:p w14:paraId="11FC93A7"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r>
      <w:tr w:rsidR="00EC7CE5" w:rsidRPr="00FD0336" w14:paraId="790FEAFD" w14:textId="77777777" w:rsidTr="006806A3">
        <w:tc>
          <w:tcPr>
            <w:tcW w:w="0" w:type="dxa"/>
            <w:vMerge/>
            <w:shd w:val="clear" w:color="auto" w:fill="auto"/>
            <w:vAlign w:val="center"/>
          </w:tcPr>
          <w:p w14:paraId="6BB54177"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239D5284"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65735529"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single" w:sz="4" w:space="0" w:color="auto"/>
            </w:tcBorders>
            <w:shd w:val="clear" w:color="auto" w:fill="auto"/>
            <w:vAlign w:val="center"/>
          </w:tcPr>
          <w:p w14:paraId="1497037A"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006D2349"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75EF5154" w14:textId="77777777" w:rsidR="00EC7CE5" w:rsidRPr="00FD0336" w:rsidRDefault="00EC7CE5"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6806A3" w:rsidRPr="00FD0336" w14:paraId="3671A64A" w14:textId="77777777" w:rsidTr="006806A3">
        <w:tc>
          <w:tcPr>
            <w:tcW w:w="0" w:type="dxa"/>
            <w:vMerge w:val="restart"/>
            <w:shd w:val="clear" w:color="auto" w:fill="auto"/>
            <w:vAlign w:val="center"/>
          </w:tcPr>
          <w:p w14:paraId="72B6F1CE" w14:textId="6DB489DA"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Interest in encouraging </w:t>
            </w:r>
            <w:r w:rsidR="00865E1F" w:rsidRPr="00FD0336">
              <w:rPr>
                <w:noProof w:val="0"/>
                <w:color w:val="000000" w:themeColor="text1"/>
                <w:lang w:val="en-GB"/>
              </w:rPr>
              <w:t>port industrial development</w:t>
            </w:r>
          </w:p>
        </w:tc>
        <w:tc>
          <w:tcPr>
            <w:tcW w:w="0" w:type="dxa"/>
            <w:tcBorders>
              <w:top w:val="single" w:sz="4" w:space="0" w:color="auto"/>
              <w:bottom w:val="nil"/>
            </w:tcBorders>
            <w:shd w:val="clear" w:color="auto" w:fill="auto"/>
            <w:vAlign w:val="center"/>
          </w:tcPr>
          <w:p w14:paraId="7614C8B5" w14:textId="5A2A7682"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865E1F" w:rsidRPr="00FD0336">
              <w:rPr>
                <w:noProof w:val="0"/>
                <w:color w:val="000000" w:themeColor="text1"/>
                <w:lang w:val="en-GB"/>
              </w:rPr>
              <w:t>square</w:t>
            </w:r>
            <w:r w:rsidR="00865E1F">
              <w:rPr>
                <w:noProof w:val="0"/>
                <w:color w:val="000000" w:themeColor="text1"/>
                <w:lang w:val="en-GB"/>
              </w:rPr>
              <w:t>d</w:t>
            </w:r>
          </w:p>
        </w:tc>
        <w:tc>
          <w:tcPr>
            <w:tcW w:w="0" w:type="dxa"/>
            <w:tcBorders>
              <w:top w:val="single" w:sz="4" w:space="0" w:color="auto"/>
              <w:bottom w:val="nil"/>
            </w:tcBorders>
            <w:shd w:val="clear" w:color="auto" w:fill="auto"/>
            <w:vAlign w:val="center"/>
          </w:tcPr>
          <w:p w14:paraId="48E08170" w14:textId="51C9080F"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5.948</w:t>
            </w:r>
          </w:p>
        </w:tc>
        <w:tc>
          <w:tcPr>
            <w:tcW w:w="0" w:type="dxa"/>
            <w:vMerge w:val="restart"/>
            <w:tcBorders>
              <w:top w:val="single" w:sz="4" w:space="0" w:color="auto"/>
              <w:bottom w:val="nil"/>
            </w:tcBorders>
            <w:shd w:val="clear" w:color="auto" w:fill="auto"/>
            <w:vAlign w:val="center"/>
          </w:tcPr>
          <w:p w14:paraId="67D2727D"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55C92A36" w14:textId="698A44BE"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4.619</w:t>
            </w:r>
          </w:p>
        </w:tc>
        <w:tc>
          <w:tcPr>
            <w:tcW w:w="0" w:type="dxa"/>
            <w:tcBorders>
              <w:top w:val="single" w:sz="4" w:space="0" w:color="auto"/>
              <w:bottom w:val="nil"/>
            </w:tcBorders>
            <w:shd w:val="clear" w:color="auto" w:fill="auto"/>
            <w:vAlign w:val="center"/>
          </w:tcPr>
          <w:p w14:paraId="4F882EA1" w14:textId="610388E1"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14.491</w:t>
            </w:r>
          </w:p>
        </w:tc>
      </w:tr>
      <w:tr w:rsidR="006806A3" w:rsidRPr="00FD0336" w14:paraId="0A721751" w14:textId="77777777" w:rsidTr="006806A3">
        <w:tc>
          <w:tcPr>
            <w:tcW w:w="0" w:type="dxa"/>
            <w:vMerge/>
            <w:shd w:val="clear" w:color="auto" w:fill="auto"/>
            <w:vAlign w:val="center"/>
          </w:tcPr>
          <w:p w14:paraId="3A2B989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2E6B78EC" w14:textId="14C98BA1" w:rsidR="006806A3"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6806A3" w:rsidRPr="00FD0336">
              <w:rPr>
                <w:noProof w:val="0"/>
                <w:color w:val="000000" w:themeColor="text1"/>
                <w:lang w:val="en-GB"/>
              </w:rPr>
              <w:t>correction</w:t>
            </w:r>
          </w:p>
        </w:tc>
        <w:tc>
          <w:tcPr>
            <w:tcW w:w="0" w:type="dxa"/>
            <w:tcBorders>
              <w:top w:val="nil"/>
              <w:bottom w:val="nil"/>
            </w:tcBorders>
            <w:shd w:val="clear" w:color="auto" w:fill="auto"/>
            <w:vAlign w:val="center"/>
          </w:tcPr>
          <w:p w14:paraId="358AA89D" w14:textId="214CD336"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4.492</w:t>
            </w:r>
          </w:p>
        </w:tc>
        <w:tc>
          <w:tcPr>
            <w:tcW w:w="0" w:type="dxa"/>
            <w:vMerge/>
            <w:tcBorders>
              <w:top w:val="nil"/>
              <w:bottom w:val="nil"/>
            </w:tcBorders>
            <w:shd w:val="clear" w:color="auto" w:fill="auto"/>
            <w:vAlign w:val="center"/>
          </w:tcPr>
          <w:p w14:paraId="237356E5"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3EBABFAC"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1CFBFEFE" w14:textId="75FF23B2"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12.242</w:t>
            </w:r>
          </w:p>
        </w:tc>
      </w:tr>
      <w:tr w:rsidR="006806A3" w:rsidRPr="00FD0336" w14:paraId="6F4DE656" w14:textId="77777777" w:rsidTr="006806A3">
        <w:tc>
          <w:tcPr>
            <w:tcW w:w="0" w:type="dxa"/>
            <w:vMerge/>
            <w:shd w:val="clear" w:color="auto" w:fill="auto"/>
            <w:vAlign w:val="center"/>
          </w:tcPr>
          <w:p w14:paraId="55F5250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C8BA645" w14:textId="04EDAD31"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3899D2D6" w14:textId="650A6B8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0.368</w:t>
            </w:r>
          </w:p>
        </w:tc>
        <w:tc>
          <w:tcPr>
            <w:tcW w:w="0" w:type="dxa"/>
            <w:vMerge/>
            <w:tcBorders>
              <w:top w:val="nil"/>
              <w:bottom w:val="single" w:sz="4" w:space="0" w:color="auto"/>
            </w:tcBorders>
            <w:shd w:val="clear" w:color="auto" w:fill="auto"/>
            <w:vAlign w:val="center"/>
          </w:tcPr>
          <w:p w14:paraId="003A210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D683944" w14:textId="64621096"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0.324</w:t>
            </w:r>
          </w:p>
        </w:tc>
        <w:tc>
          <w:tcPr>
            <w:tcW w:w="0" w:type="dxa"/>
            <w:tcBorders>
              <w:top w:val="nil"/>
              <w:bottom w:val="single" w:sz="4" w:space="0" w:color="auto"/>
            </w:tcBorders>
            <w:shd w:val="clear" w:color="auto" w:fill="auto"/>
            <w:vAlign w:val="center"/>
          </w:tcPr>
          <w:p w14:paraId="58E549D2" w14:textId="2CFC8E78"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0.574</w:t>
            </w:r>
          </w:p>
        </w:tc>
      </w:tr>
      <w:tr w:rsidR="006806A3" w:rsidRPr="00FD0336" w14:paraId="28B9A086" w14:textId="77777777" w:rsidTr="006806A3">
        <w:tc>
          <w:tcPr>
            <w:tcW w:w="0" w:type="dxa"/>
            <w:vMerge/>
            <w:shd w:val="clear" w:color="auto" w:fill="auto"/>
            <w:vAlign w:val="center"/>
          </w:tcPr>
          <w:p w14:paraId="41052984"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5615856A" w14:textId="2B13A12B"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865E1F">
              <w:rPr>
                <w:noProof w:val="0"/>
                <w:color w:val="000000" w:themeColor="text1"/>
                <w:lang w:val="en-GB"/>
              </w:rPr>
              <w:t>two</w:t>
            </w:r>
            <w:r w:rsidRPr="00FD0336">
              <w:rPr>
                <w:noProof w:val="0"/>
                <w:color w:val="000000" w:themeColor="text1"/>
                <w:lang w:val="en-GB"/>
              </w:rPr>
              <w:t>-tailed)</w:t>
            </w:r>
          </w:p>
        </w:tc>
        <w:tc>
          <w:tcPr>
            <w:tcW w:w="0" w:type="dxa"/>
            <w:tcBorders>
              <w:top w:val="single" w:sz="4" w:space="0" w:color="auto"/>
              <w:bottom w:val="nil"/>
            </w:tcBorders>
            <w:shd w:val="clear" w:color="auto" w:fill="auto"/>
            <w:vAlign w:val="center"/>
          </w:tcPr>
          <w:p w14:paraId="1D476C35" w14:textId="24120F40"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0.015</w:t>
            </w:r>
          </w:p>
        </w:tc>
        <w:tc>
          <w:tcPr>
            <w:tcW w:w="0" w:type="dxa"/>
            <w:vMerge w:val="restart"/>
            <w:tcBorders>
              <w:top w:val="single" w:sz="4" w:space="0" w:color="auto"/>
              <w:bottom w:val="nil"/>
            </w:tcBorders>
            <w:shd w:val="clear" w:color="auto" w:fill="auto"/>
            <w:vAlign w:val="center"/>
          </w:tcPr>
          <w:p w14:paraId="580EF18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vMerge w:val="restart"/>
            <w:tcBorders>
              <w:top w:val="single" w:sz="4" w:space="0" w:color="auto"/>
              <w:bottom w:val="nil"/>
            </w:tcBorders>
            <w:shd w:val="clear" w:color="auto" w:fill="auto"/>
            <w:vAlign w:val="center"/>
          </w:tcPr>
          <w:p w14:paraId="50541AA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0.032</w:t>
            </w:r>
          </w:p>
        </w:tc>
        <w:tc>
          <w:tcPr>
            <w:tcW w:w="0" w:type="dxa"/>
            <w:tcBorders>
              <w:top w:val="single" w:sz="4" w:space="0" w:color="auto"/>
              <w:bottom w:val="nil"/>
            </w:tcBorders>
            <w:shd w:val="clear" w:color="auto" w:fill="auto"/>
            <w:vAlign w:val="center"/>
          </w:tcPr>
          <w:p w14:paraId="532E0D1B" w14:textId="0DC82FA1"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0.000</w:t>
            </w:r>
          </w:p>
        </w:tc>
      </w:tr>
      <w:tr w:rsidR="006806A3" w:rsidRPr="00FD0336" w14:paraId="4DE1436C" w14:textId="77777777" w:rsidTr="006806A3">
        <w:tc>
          <w:tcPr>
            <w:tcW w:w="0" w:type="dxa"/>
            <w:vMerge/>
            <w:shd w:val="clear" w:color="auto" w:fill="auto"/>
            <w:vAlign w:val="center"/>
          </w:tcPr>
          <w:p w14:paraId="642A6DE6"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1CAD127C" w14:textId="48E788CC" w:rsidR="006806A3"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6806A3" w:rsidRPr="00FD0336">
              <w:rPr>
                <w:noProof w:val="0"/>
                <w:color w:val="000000" w:themeColor="text1"/>
                <w:lang w:val="en-GB"/>
              </w:rPr>
              <w:t>correction</w:t>
            </w:r>
          </w:p>
        </w:tc>
        <w:tc>
          <w:tcPr>
            <w:tcW w:w="0" w:type="dxa"/>
            <w:tcBorders>
              <w:top w:val="nil"/>
              <w:bottom w:val="single" w:sz="4" w:space="0" w:color="auto"/>
            </w:tcBorders>
            <w:shd w:val="clear" w:color="auto" w:fill="auto"/>
            <w:vAlign w:val="center"/>
          </w:tcPr>
          <w:p w14:paraId="4AC70644" w14:textId="422A911D"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0.034</w:t>
            </w:r>
          </w:p>
        </w:tc>
        <w:tc>
          <w:tcPr>
            <w:tcW w:w="0" w:type="dxa"/>
            <w:vMerge/>
            <w:tcBorders>
              <w:top w:val="nil"/>
              <w:bottom w:val="single" w:sz="4" w:space="0" w:color="auto"/>
            </w:tcBorders>
            <w:shd w:val="clear" w:color="auto" w:fill="auto"/>
            <w:vAlign w:val="center"/>
          </w:tcPr>
          <w:p w14:paraId="50484641"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tcBorders>
              <w:top w:val="nil"/>
              <w:bottom w:val="single" w:sz="4" w:space="0" w:color="auto"/>
            </w:tcBorders>
            <w:shd w:val="clear" w:color="auto" w:fill="auto"/>
            <w:vAlign w:val="center"/>
          </w:tcPr>
          <w:p w14:paraId="7FBC067F"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B524300" w14:textId="767F158A"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0.000</w:t>
            </w:r>
          </w:p>
        </w:tc>
      </w:tr>
      <w:tr w:rsidR="006806A3" w:rsidRPr="00FD0336" w14:paraId="475B7523" w14:textId="77777777" w:rsidTr="006806A3">
        <w:tc>
          <w:tcPr>
            <w:tcW w:w="0" w:type="dxa"/>
            <w:vMerge/>
            <w:shd w:val="clear" w:color="auto" w:fill="auto"/>
            <w:vAlign w:val="center"/>
          </w:tcPr>
          <w:p w14:paraId="744FF4B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3A6D027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0304DA11"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6C2E662F"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single" w:sz="4" w:space="0" w:color="auto"/>
            </w:tcBorders>
            <w:shd w:val="clear" w:color="auto" w:fill="auto"/>
            <w:vAlign w:val="center"/>
          </w:tcPr>
          <w:p w14:paraId="4B131921"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4" w:space="0" w:color="auto"/>
            </w:tcBorders>
            <w:shd w:val="clear" w:color="auto" w:fill="auto"/>
            <w:vAlign w:val="center"/>
          </w:tcPr>
          <w:p w14:paraId="36B7E1B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6806A3" w:rsidRPr="00FD0336" w14:paraId="7245C1BB" w14:textId="77777777" w:rsidTr="006806A3">
        <w:tc>
          <w:tcPr>
            <w:tcW w:w="0" w:type="dxa"/>
            <w:vMerge w:val="restart"/>
            <w:shd w:val="clear" w:color="auto" w:fill="auto"/>
            <w:vAlign w:val="center"/>
          </w:tcPr>
          <w:p w14:paraId="1AA98E04" w14:textId="25B44B94"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Interest in encouraging </w:t>
            </w:r>
            <w:r w:rsidR="00865E1F" w:rsidRPr="00FD0336">
              <w:rPr>
                <w:noProof w:val="0"/>
                <w:color w:val="000000" w:themeColor="text1"/>
                <w:lang w:val="en-GB"/>
              </w:rPr>
              <w:t>circular economy</w:t>
            </w:r>
          </w:p>
        </w:tc>
        <w:tc>
          <w:tcPr>
            <w:tcW w:w="0" w:type="dxa"/>
            <w:tcBorders>
              <w:top w:val="single" w:sz="4" w:space="0" w:color="auto"/>
              <w:bottom w:val="nil"/>
            </w:tcBorders>
            <w:shd w:val="clear" w:color="auto" w:fill="auto"/>
            <w:vAlign w:val="center"/>
          </w:tcPr>
          <w:p w14:paraId="00BA053F" w14:textId="273B43FD"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865E1F" w:rsidRPr="00FD0336">
              <w:rPr>
                <w:noProof w:val="0"/>
                <w:color w:val="000000" w:themeColor="text1"/>
                <w:lang w:val="en-GB"/>
              </w:rPr>
              <w:t>square</w:t>
            </w:r>
            <w:r w:rsidR="00865E1F">
              <w:rPr>
                <w:noProof w:val="0"/>
                <w:color w:val="000000" w:themeColor="text1"/>
                <w:lang w:val="en-GB"/>
              </w:rPr>
              <w:t>d</w:t>
            </w:r>
          </w:p>
        </w:tc>
        <w:tc>
          <w:tcPr>
            <w:tcW w:w="0" w:type="dxa"/>
            <w:tcBorders>
              <w:top w:val="single" w:sz="4" w:space="0" w:color="auto"/>
              <w:bottom w:val="nil"/>
            </w:tcBorders>
            <w:shd w:val="clear" w:color="auto" w:fill="auto"/>
            <w:vAlign w:val="center"/>
          </w:tcPr>
          <w:p w14:paraId="65A364B7" w14:textId="2F6ABB92"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9.501</w:t>
            </w:r>
          </w:p>
        </w:tc>
        <w:tc>
          <w:tcPr>
            <w:tcW w:w="0" w:type="dxa"/>
            <w:tcBorders>
              <w:top w:val="single" w:sz="4" w:space="0" w:color="auto"/>
              <w:bottom w:val="nil"/>
            </w:tcBorders>
            <w:shd w:val="clear" w:color="auto" w:fill="auto"/>
            <w:vAlign w:val="center"/>
          </w:tcPr>
          <w:p w14:paraId="62B3B954" w14:textId="7CF39471"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4.619</w:t>
            </w:r>
          </w:p>
        </w:tc>
        <w:tc>
          <w:tcPr>
            <w:tcW w:w="0" w:type="dxa"/>
            <w:vMerge w:val="restart"/>
            <w:tcBorders>
              <w:top w:val="single" w:sz="4" w:space="0" w:color="auto"/>
              <w:bottom w:val="nil"/>
            </w:tcBorders>
            <w:shd w:val="clear" w:color="auto" w:fill="auto"/>
            <w:vAlign w:val="center"/>
          </w:tcPr>
          <w:p w14:paraId="23D9ABB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tcBorders>
              <w:top w:val="single" w:sz="4" w:space="0" w:color="auto"/>
              <w:bottom w:val="nil"/>
            </w:tcBorders>
            <w:shd w:val="clear" w:color="auto" w:fill="auto"/>
            <w:vAlign w:val="center"/>
          </w:tcPr>
          <w:p w14:paraId="4D5934A7" w14:textId="739F412F"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0.748</w:t>
            </w:r>
          </w:p>
        </w:tc>
      </w:tr>
      <w:tr w:rsidR="006806A3" w:rsidRPr="00FD0336" w14:paraId="3F04157A" w14:textId="77777777" w:rsidTr="006806A3">
        <w:tc>
          <w:tcPr>
            <w:tcW w:w="0" w:type="dxa"/>
            <w:vMerge/>
            <w:shd w:val="clear" w:color="auto" w:fill="auto"/>
            <w:vAlign w:val="center"/>
          </w:tcPr>
          <w:p w14:paraId="05ACEE9B"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7112BB21" w14:textId="72ED8230" w:rsidR="006806A3"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6806A3" w:rsidRPr="00FD0336">
              <w:rPr>
                <w:noProof w:val="0"/>
                <w:color w:val="000000" w:themeColor="text1"/>
                <w:lang w:val="en-GB"/>
              </w:rPr>
              <w:t>correction</w:t>
            </w:r>
          </w:p>
        </w:tc>
        <w:tc>
          <w:tcPr>
            <w:tcW w:w="0" w:type="dxa"/>
            <w:tcBorders>
              <w:top w:val="nil"/>
              <w:bottom w:val="nil"/>
            </w:tcBorders>
            <w:shd w:val="clear" w:color="auto" w:fill="auto"/>
            <w:vAlign w:val="center"/>
          </w:tcPr>
          <w:p w14:paraId="76A1C8E9" w14:textId="1CB19B24"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7.640</w:t>
            </w:r>
          </w:p>
        </w:tc>
        <w:tc>
          <w:tcPr>
            <w:tcW w:w="0" w:type="dxa"/>
            <w:tcBorders>
              <w:top w:val="nil"/>
              <w:bottom w:val="nil"/>
            </w:tcBorders>
            <w:shd w:val="clear" w:color="auto" w:fill="auto"/>
            <w:vAlign w:val="center"/>
          </w:tcPr>
          <w:p w14:paraId="564A6941" w14:textId="6C7C2134"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tcBorders>
              <w:top w:val="nil"/>
              <w:bottom w:val="nil"/>
            </w:tcBorders>
            <w:shd w:val="clear" w:color="auto" w:fill="auto"/>
            <w:vAlign w:val="center"/>
          </w:tcPr>
          <w:p w14:paraId="7FB4BE3F"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53F37CB5"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r>
      <w:tr w:rsidR="006806A3" w:rsidRPr="00FD0336" w14:paraId="02302AE5" w14:textId="77777777" w:rsidTr="006806A3">
        <w:tc>
          <w:tcPr>
            <w:tcW w:w="0" w:type="dxa"/>
            <w:vMerge/>
            <w:shd w:val="clear" w:color="auto" w:fill="auto"/>
            <w:vAlign w:val="center"/>
          </w:tcPr>
          <w:p w14:paraId="1AB8CE7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7B6B94ED" w14:textId="19F59CEC"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693D3737" w14:textId="5B2F67AE"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0.465</w:t>
            </w:r>
          </w:p>
        </w:tc>
        <w:tc>
          <w:tcPr>
            <w:tcW w:w="0" w:type="dxa"/>
            <w:tcBorders>
              <w:top w:val="nil"/>
              <w:bottom w:val="single" w:sz="4" w:space="0" w:color="auto"/>
            </w:tcBorders>
            <w:shd w:val="clear" w:color="auto" w:fill="auto"/>
            <w:vAlign w:val="center"/>
          </w:tcPr>
          <w:p w14:paraId="3ED5DA0A" w14:textId="352D9458"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0.324</w:t>
            </w:r>
          </w:p>
        </w:tc>
        <w:tc>
          <w:tcPr>
            <w:tcW w:w="0" w:type="dxa"/>
            <w:vMerge/>
            <w:tcBorders>
              <w:top w:val="nil"/>
              <w:bottom w:val="single" w:sz="4" w:space="0" w:color="auto"/>
            </w:tcBorders>
            <w:shd w:val="clear" w:color="auto" w:fill="auto"/>
            <w:vAlign w:val="center"/>
          </w:tcPr>
          <w:p w14:paraId="2D1A828F"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D0F6204" w14:textId="1FF1124A"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0.130</w:t>
            </w:r>
          </w:p>
        </w:tc>
      </w:tr>
      <w:tr w:rsidR="006806A3" w:rsidRPr="00FD0336" w14:paraId="527905F3" w14:textId="77777777" w:rsidTr="006806A3">
        <w:tc>
          <w:tcPr>
            <w:tcW w:w="0" w:type="dxa"/>
            <w:vMerge/>
            <w:shd w:val="clear" w:color="auto" w:fill="auto"/>
            <w:vAlign w:val="center"/>
          </w:tcPr>
          <w:p w14:paraId="792625A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3ED6B751" w14:textId="3AD74794"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865E1F">
              <w:rPr>
                <w:noProof w:val="0"/>
                <w:color w:val="000000" w:themeColor="text1"/>
                <w:lang w:val="en-GB"/>
              </w:rPr>
              <w:t>two</w:t>
            </w:r>
            <w:r w:rsidRPr="00FD0336">
              <w:rPr>
                <w:noProof w:val="0"/>
                <w:color w:val="000000" w:themeColor="text1"/>
                <w:lang w:val="en-GB"/>
              </w:rPr>
              <w:t>-tailed)</w:t>
            </w:r>
          </w:p>
        </w:tc>
        <w:tc>
          <w:tcPr>
            <w:tcW w:w="0" w:type="dxa"/>
            <w:tcBorders>
              <w:top w:val="single" w:sz="4" w:space="0" w:color="auto"/>
              <w:bottom w:val="nil"/>
            </w:tcBorders>
            <w:shd w:val="clear" w:color="auto" w:fill="auto"/>
            <w:vAlign w:val="center"/>
          </w:tcPr>
          <w:p w14:paraId="34E7F19B" w14:textId="1C8A7D42"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0.002</w:t>
            </w:r>
          </w:p>
        </w:tc>
        <w:tc>
          <w:tcPr>
            <w:tcW w:w="0" w:type="dxa"/>
            <w:vMerge w:val="restart"/>
            <w:tcBorders>
              <w:top w:val="single" w:sz="4" w:space="0" w:color="auto"/>
            </w:tcBorders>
            <w:shd w:val="clear" w:color="auto" w:fill="auto"/>
            <w:vAlign w:val="center"/>
          </w:tcPr>
          <w:p w14:paraId="412C911D"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0.032</w:t>
            </w:r>
          </w:p>
        </w:tc>
        <w:tc>
          <w:tcPr>
            <w:tcW w:w="0" w:type="dxa"/>
            <w:vMerge w:val="restart"/>
            <w:tcBorders>
              <w:top w:val="single" w:sz="4" w:space="0" w:color="auto"/>
            </w:tcBorders>
            <w:shd w:val="clear" w:color="auto" w:fill="auto"/>
            <w:vAlign w:val="center"/>
          </w:tcPr>
          <w:p w14:paraId="65C7DC26"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vMerge w:val="restart"/>
            <w:tcBorders>
              <w:top w:val="single" w:sz="4" w:space="0" w:color="auto"/>
            </w:tcBorders>
            <w:shd w:val="clear" w:color="auto" w:fill="auto"/>
            <w:vAlign w:val="center"/>
          </w:tcPr>
          <w:p w14:paraId="3F559D1C"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0.387</w:t>
            </w:r>
          </w:p>
        </w:tc>
      </w:tr>
      <w:tr w:rsidR="006806A3" w:rsidRPr="00FD0336" w14:paraId="7E437752" w14:textId="77777777" w:rsidTr="006806A3">
        <w:tc>
          <w:tcPr>
            <w:tcW w:w="0" w:type="dxa"/>
            <w:vMerge/>
            <w:shd w:val="clear" w:color="auto" w:fill="auto"/>
            <w:vAlign w:val="center"/>
          </w:tcPr>
          <w:p w14:paraId="749AF556"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8667B59" w14:textId="3898091A"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0" w:type="dxa"/>
            <w:tcBorders>
              <w:top w:val="nil"/>
              <w:bottom w:val="single" w:sz="4" w:space="0" w:color="auto"/>
            </w:tcBorders>
            <w:shd w:val="clear" w:color="auto" w:fill="auto"/>
            <w:vAlign w:val="center"/>
          </w:tcPr>
          <w:p w14:paraId="77C2D54E" w14:textId="0A3EF59D"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0.006</w:t>
            </w:r>
          </w:p>
        </w:tc>
        <w:tc>
          <w:tcPr>
            <w:tcW w:w="0" w:type="dxa"/>
            <w:vMerge/>
            <w:shd w:val="clear" w:color="auto" w:fill="auto"/>
            <w:vAlign w:val="center"/>
          </w:tcPr>
          <w:p w14:paraId="087E154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shd w:val="clear" w:color="auto" w:fill="auto"/>
            <w:vAlign w:val="center"/>
          </w:tcPr>
          <w:p w14:paraId="68036669"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shd w:val="clear" w:color="auto" w:fill="auto"/>
            <w:vAlign w:val="center"/>
          </w:tcPr>
          <w:p w14:paraId="657CC2A1"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r>
      <w:tr w:rsidR="006806A3" w:rsidRPr="00FD0336" w14:paraId="088C0E1D" w14:textId="77777777" w:rsidTr="00D9060D">
        <w:trPr>
          <w:trHeight w:val="589"/>
        </w:trPr>
        <w:tc>
          <w:tcPr>
            <w:tcW w:w="0" w:type="dxa"/>
            <w:vMerge/>
            <w:shd w:val="clear" w:color="auto" w:fill="auto"/>
            <w:vAlign w:val="center"/>
          </w:tcPr>
          <w:p w14:paraId="07E61FC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4" w:space="0" w:color="auto"/>
            </w:tcBorders>
            <w:shd w:val="clear" w:color="auto" w:fill="auto"/>
            <w:vAlign w:val="center"/>
          </w:tcPr>
          <w:p w14:paraId="225D1F35"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4" w:space="0" w:color="auto"/>
            </w:tcBorders>
            <w:shd w:val="clear" w:color="auto" w:fill="auto"/>
            <w:vAlign w:val="center"/>
          </w:tcPr>
          <w:p w14:paraId="698303E7"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623991F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4" w:space="0" w:color="auto"/>
            </w:tcBorders>
            <w:shd w:val="clear" w:color="auto" w:fill="auto"/>
            <w:vAlign w:val="center"/>
          </w:tcPr>
          <w:p w14:paraId="55A21496"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c>
          <w:tcPr>
            <w:tcW w:w="0" w:type="dxa"/>
            <w:shd w:val="clear" w:color="auto" w:fill="auto"/>
            <w:vAlign w:val="center"/>
          </w:tcPr>
          <w:p w14:paraId="45FCA67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r>
      <w:tr w:rsidR="006806A3" w:rsidRPr="00FD0336" w14:paraId="6843F5B3" w14:textId="77777777" w:rsidTr="006806A3">
        <w:tc>
          <w:tcPr>
            <w:tcW w:w="0" w:type="dxa"/>
            <w:vMerge w:val="restart"/>
            <w:shd w:val="clear" w:color="auto" w:fill="auto"/>
            <w:vAlign w:val="center"/>
          </w:tcPr>
          <w:p w14:paraId="000615F4" w14:textId="03DEEDA9"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Interest in encouraging </w:t>
            </w:r>
            <w:r w:rsidR="00865E1F" w:rsidRPr="00FD0336">
              <w:rPr>
                <w:noProof w:val="0"/>
                <w:color w:val="000000" w:themeColor="text1"/>
                <w:lang w:val="en-GB"/>
              </w:rPr>
              <w:t>waterfront development</w:t>
            </w:r>
          </w:p>
        </w:tc>
        <w:tc>
          <w:tcPr>
            <w:tcW w:w="0" w:type="dxa"/>
            <w:tcBorders>
              <w:top w:val="single" w:sz="4" w:space="0" w:color="auto"/>
              <w:bottom w:val="nil"/>
            </w:tcBorders>
            <w:shd w:val="clear" w:color="auto" w:fill="auto"/>
            <w:vAlign w:val="center"/>
          </w:tcPr>
          <w:p w14:paraId="113BDA58" w14:textId="42FEDF00"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865E1F" w:rsidRPr="00FD0336">
              <w:rPr>
                <w:noProof w:val="0"/>
                <w:color w:val="000000" w:themeColor="text1"/>
                <w:lang w:val="en-GB"/>
              </w:rPr>
              <w:t>square</w:t>
            </w:r>
            <w:r w:rsidR="00865E1F">
              <w:rPr>
                <w:noProof w:val="0"/>
                <w:color w:val="000000" w:themeColor="text1"/>
                <w:lang w:val="en-GB"/>
              </w:rPr>
              <w:t>d</w:t>
            </w:r>
          </w:p>
        </w:tc>
        <w:tc>
          <w:tcPr>
            <w:tcW w:w="0" w:type="dxa"/>
            <w:tcBorders>
              <w:top w:val="single" w:sz="4" w:space="0" w:color="auto"/>
              <w:bottom w:val="nil"/>
            </w:tcBorders>
            <w:shd w:val="clear" w:color="auto" w:fill="auto"/>
            <w:vAlign w:val="center"/>
          </w:tcPr>
          <w:p w14:paraId="41A84236" w14:textId="5DABB12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1.453</w:t>
            </w:r>
          </w:p>
        </w:tc>
        <w:tc>
          <w:tcPr>
            <w:tcW w:w="0" w:type="dxa"/>
            <w:tcBorders>
              <w:top w:val="single" w:sz="4" w:space="0" w:color="auto"/>
              <w:bottom w:val="nil"/>
            </w:tcBorders>
            <w:shd w:val="clear" w:color="auto" w:fill="auto"/>
            <w:vAlign w:val="center"/>
          </w:tcPr>
          <w:p w14:paraId="4FBEAB14" w14:textId="3BC81289"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14.491</w:t>
            </w:r>
          </w:p>
        </w:tc>
        <w:tc>
          <w:tcPr>
            <w:tcW w:w="0" w:type="dxa"/>
            <w:tcBorders>
              <w:top w:val="single" w:sz="4" w:space="0" w:color="auto"/>
              <w:bottom w:val="nil"/>
            </w:tcBorders>
            <w:shd w:val="clear" w:color="auto" w:fill="auto"/>
            <w:vAlign w:val="center"/>
          </w:tcPr>
          <w:p w14:paraId="050DC9F4" w14:textId="2055873C"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0.748</w:t>
            </w:r>
          </w:p>
        </w:tc>
        <w:tc>
          <w:tcPr>
            <w:tcW w:w="0" w:type="dxa"/>
            <w:vMerge w:val="restart"/>
            <w:shd w:val="clear" w:color="auto" w:fill="auto"/>
            <w:vAlign w:val="center"/>
          </w:tcPr>
          <w:p w14:paraId="7D09490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r w:rsidR="006806A3" w:rsidRPr="00FD0336" w14:paraId="01AEC74E" w14:textId="77777777" w:rsidTr="006806A3">
        <w:tc>
          <w:tcPr>
            <w:tcW w:w="0" w:type="dxa"/>
            <w:vMerge/>
            <w:shd w:val="clear" w:color="auto" w:fill="auto"/>
            <w:vAlign w:val="center"/>
          </w:tcPr>
          <w:p w14:paraId="2EF51960"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7A0EA7A9" w14:textId="57BD8CAF" w:rsidR="006806A3" w:rsidRPr="00FD0336" w:rsidRDefault="00865E1F"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continuity </w:t>
            </w:r>
            <w:r w:rsidR="006806A3" w:rsidRPr="00FD0336">
              <w:rPr>
                <w:noProof w:val="0"/>
                <w:color w:val="000000" w:themeColor="text1"/>
                <w:lang w:val="en-GB"/>
              </w:rPr>
              <w:t>correction</w:t>
            </w:r>
          </w:p>
        </w:tc>
        <w:tc>
          <w:tcPr>
            <w:tcW w:w="0" w:type="dxa"/>
            <w:tcBorders>
              <w:top w:val="nil"/>
              <w:bottom w:val="nil"/>
            </w:tcBorders>
            <w:shd w:val="clear" w:color="auto" w:fill="auto"/>
            <w:vAlign w:val="center"/>
          </w:tcPr>
          <w:p w14:paraId="1F42F6BB"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nil"/>
            </w:tcBorders>
            <w:shd w:val="clear" w:color="auto" w:fill="auto"/>
            <w:vAlign w:val="center"/>
          </w:tcPr>
          <w:p w14:paraId="670032FB" w14:textId="064A73D0"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12.242</w:t>
            </w:r>
          </w:p>
        </w:tc>
        <w:tc>
          <w:tcPr>
            <w:tcW w:w="0" w:type="dxa"/>
            <w:tcBorders>
              <w:top w:val="nil"/>
              <w:bottom w:val="nil"/>
            </w:tcBorders>
            <w:shd w:val="clear" w:color="auto" w:fill="auto"/>
            <w:vAlign w:val="center"/>
          </w:tcPr>
          <w:p w14:paraId="0BDB4222" w14:textId="5783E5AB"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shd w:val="clear" w:color="auto" w:fill="auto"/>
            <w:vAlign w:val="center"/>
          </w:tcPr>
          <w:p w14:paraId="7584C60D"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r>
      <w:tr w:rsidR="006806A3" w:rsidRPr="00FD0336" w14:paraId="54985B7D" w14:textId="77777777" w:rsidTr="006806A3">
        <w:tc>
          <w:tcPr>
            <w:tcW w:w="0" w:type="dxa"/>
            <w:vMerge/>
            <w:shd w:val="clear" w:color="auto" w:fill="auto"/>
            <w:vAlign w:val="center"/>
          </w:tcPr>
          <w:p w14:paraId="2920A21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CDEB2F7" w14:textId="4CFC020D"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w:t>
            </w:r>
          </w:p>
        </w:tc>
        <w:tc>
          <w:tcPr>
            <w:tcW w:w="0" w:type="dxa"/>
            <w:tcBorders>
              <w:top w:val="nil"/>
              <w:bottom w:val="single" w:sz="4" w:space="0" w:color="auto"/>
            </w:tcBorders>
            <w:shd w:val="clear" w:color="auto" w:fill="auto"/>
            <w:vAlign w:val="center"/>
          </w:tcPr>
          <w:p w14:paraId="56847237" w14:textId="6C84AA5C"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0.182</w:t>
            </w:r>
          </w:p>
        </w:tc>
        <w:tc>
          <w:tcPr>
            <w:tcW w:w="0" w:type="dxa"/>
            <w:tcBorders>
              <w:top w:val="nil"/>
              <w:bottom w:val="single" w:sz="4" w:space="0" w:color="auto"/>
            </w:tcBorders>
            <w:shd w:val="clear" w:color="auto" w:fill="auto"/>
            <w:vAlign w:val="center"/>
          </w:tcPr>
          <w:p w14:paraId="321E8292" w14:textId="4E8FA848"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0.574</w:t>
            </w:r>
          </w:p>
        </w:tc>
        <w:tc>
          <w:tcPr>
            <w:tcW w:w="0" w:type="dxa"/>
            <w:tcBorders>
              <w:top w:val="nil"/>
              <w:bottom w:val="single" w:sz="4" w:space="0" w:color="auto"/>
            </w:tcBorders>
            <w:shd w:val="clear" w:color="auto" w:fill="auto"/>
            <w:vAlign w:val="center"/>
          </w:tcPr>
          <w:p w14:paraId="63F68938" w14:textId="29C59403"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0.130</w:t>
            </w:r>
          </w:p>
        </w:tc>
        <w:tc>
          <w:tcPr>
            <w:tcW w:w="0" w:type="dxa"/>
            <w:vMerge/>
            <w:shd w:val="clear" w:color="auto" w:fill="auto"/>
            <w:vAlign w:val="center"/>
          </w:tcPr>
          <w:p w14:paraId="03FB23C8"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r>
      <w:tr w:rsidR="006806A3" w:rsidRPr="00FD0336" w14:paraId="7DFFD9CB" w14:textId="77777777" w:rsidTr="006806A3">
        <w:tc>
          <w:tcPr>
            <w:tcW w:w="0" w:type="dxa"/>
            <w:vMerge/>
            <w:shd w:val="clear" w:color="auto" w:fill="auto"/>
            <w:vAlign w:val="center"/>
          </w:tcPr>
          <w:p w14:paraId="1235B19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nil"/>
            </w:tcBorders>
            <w:shd w:val="clear" w:color="auto" w:fill="auto"/>
            <w:vAlign w:val="center"/>
          </w:tcPr>
          <w:p w14:paraId="7BF0BB12" w14:textId="4406253E"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 (</w:t>
            </w:r>
            <w:r w:rsidR="00865E1F">
              <w:rPr>
                <w:noProof w:val="0"/>
                <w:color w:val="000000" w:themeColor="text1"/>
                <w:lang w:val="en-GB"/>
              </w:rPr>
              <w:t>two</w:t>
            </w:r>
            <w:r w:rsidRPr="00FD0336">
              <w:rPr>
                <w:noProof w:val="0"/>
                <w:color w:val="000000" w:themeColor="text1"/>
                <w:lang w:val="en-GB"/>
              </w:rPr>
              <w:t>-tailed)</w:t>
            </w:r>
          </w:p>
        </w:tc>
        <w:tc>
          <w:tcPr>
            <w:tcW w:w="0" w:type="dxa"/>
            <w:vMerge w:val="restart"/>
            <w:tcBorders>
              <w:top w:val="single" w:sz="4" w:space="0" w:color="auto"/>
              <w:bottom w:val="nil"/>
            </w:tcBorders>
            <w:shd w:val="clear" w:color="auto" w:fill="auto"/>
            <w:vAlign w:val="center"/>
          </w:tcPr>
          <w:p w14:paraId="5D45A363"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0.228</w:t>
            </w:r>
          </w:p>
        </w:tc>
        <w:tc>
          <w:tcPr>
            <w:tcW w:w="0" w:type="dxa"/>
            <w:tcBorders>
              <w:top w:val="single" w:sz="4" w:space="0" w:color="auto"/>
              <w:bottom w:val="nil"/>
            </w:tcBorders>
            <w:shd w:val="clear" w:color="auto" w:fill="auto"/>
            <w:vAlign w:val="center"/>
          </w:tcPr>
          <w:p w14:paraId="4628D15D" w14:textId="6093986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0.000</w:t>
            </w:r>
          </w:p>
        </w:tc>
        <w:tc>
          <w:tcPr>
            <w:tcW w:w="0" w:type="dxa"/>
            <w:vMerge w:val="restart"/>
            <w:tcBorders>
              <w:top w:val="single" w:sz="4" w:space="0" w:color="auto"/>
            </w:tcBorders>
            <w:shd w:val="clear" w:color="auto" w:fill="auto"/>
            <w:vAlign w:val="center"/>
          </w:tcPr>
          <w:p w14:paraId="26F4B9D9"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0.387</w:t>
            </w:r>
          </w:p>
        </w:tc>
        <w:tc>
          <w:tcPr>
            <w:tcW w:w="0" w:type="dxa"/>
            <w:vMerge w:val="restart"/>
            <w:shd w:val="clear" w:color="auto" w:fill="auto"/>
            <w:vAlign w:val="center"/>
          </w:tcPr>
          <w:p w14:paraId="158A843D"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r w:rsidR="006806A3" w:rsidRPr="00FD0336" w14:paraId="781352E1" w14:textId="77777777" w:rsidTr="006806A3">
        <w:tc>
          <w:tcPr>
            <w:tcW w:w="0" w:type="dxa"/>
            <w:vMerge/>
            <w:shd w:val="clear" w:color="auto" w:fill="auto"/>
            <w:vAlign w:val="center"/>
          </w:tcPr>
          <w:p w14:paraId="58E5CEFD"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0342B46D" w14:textId="6597ACE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0" w:type="dxa"/>
            <w:vMerge/>
            <w:tcBorders>
              <w:top w:val="nil"/>
              <w:bottom w:val="single" w:sz="4" w:space="0" w:color="auto"/>
            </w:tcBorders>
            <w:shd w:val="clear" w:color="auto" w:fill="auto"/>
            <w:vAlign w:val="center"/>
          </w:tcPr>
          <w:p w14:paraId="31107E62"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nil"/>
              <w:bottom w:val="single" w:sz="4" w:space="0" w:color="auto"/>
            </w:tcBorders>
            <w:shd w:val="clear" w:color="auto" w:fill="auto"/>
            <w:vAlign w:val="center"/>
          </w:tcPr>
          <w:p w14:paraId="60CD45B3" w14:textId="25BB1272"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0.000</w:t>
            </w:r>
          </w:p>
        </w:tc>
        <w:tc>
          <w:tcPr>
            <w:tcW w:w="0" w:type="dxa"/>
            <w:vMerge/>
            <w:shd w:val="clear" w:color="auto" w:fill="auto"/>
            <w:vAlign w:val="center"/>
          </w:tcPr>
          <w:p w14:paraId="3DF7DB8A"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vMerge/>
            <w:shd w:val="clear" w:color="auto" w:fill="auto"/>
            <w:vAlign w:val="center"/>
          </w:tcPr>
          <w:p w14:paraId="68AE0C1B"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r>
      <w:tr w:rsidR="006806A3" w:rsidRPr="00FD0336" w14:paraId="3F3C1C26" w14:textId="77777777" w:rsidTr="006806A3">
        <w:tc>
          <w:tcPr>
            <w:tcW w:w="0" w:type="dxa"/>
            <w:vMerge/>
            <w:tcBorders>
              <w:bottom w:val="single" w:sz="8" w:space="0" w:color="auto"/>
            </w:tcBorders>
            <w:shd w:val="clear" w:color="auto" w:fill="auto"/>
            <w:vAlign w:val="center"/>
          </w:tcPr>
          <w:p w14:paraId="5B534571"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p>
        </w:tc>
        <w:tc>
          <w:tcPr>
            <w:tcW w:w="0" w:type="dxa"/>
            <w:tcBorders>
              <w:top w:val="single" w:sz="4" w:space="0" w:color="auto"/>
              <w:bottom w:val="single" w:sz="8" w:space="0" w:color="auto"/>
            </w:tcBorders>
            <w:shd w:val="clear" w:color="auto" w:fill="auto"/>
            <w:vAlign w:val="center"/>
          </w:tcPr>
          <w:p w14:paraId="249BF444"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w:t>
            </w:r>
          </w:p>
        </w:tc>
        <w:tc>
          <w:tcPr>
            <w:tcW w:w="0" w:type="dxa"/>
            <w:tcBorders>
              <w:top w:val="single" w:sz="4" w:space="0" w:color="auto"/>
              <w:bottom w:val="single" w:sz="8" w:space="0" w:color="auto"/>
            </w:tcBorders>
            <w:shd w:val="clear" w:color="auto" w:fill="auto"/>
            <w:vAlign w:val="center"/>
          </w:tcPr>
          <w:p w14:paraId="0DF6A3FB"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top w:val="single" w:sz="4" w:space="0" w:color="auto"/>
              <w:bottom w:val="single" w:sz="8" w:space="0" w:color="auto"/>
            </w:tcBorders>
            <w:shd w:val="clear" w:color="auto" w:fill="auto"/>
            <w:vAlign w:val="center"/>
          </w:tcPr>
          <w:p w14:paraId="49FD8E67"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8" w:space="0" w:color="auto"/>
            </w:tcBorders>
            <w:shd w:val="clear" w:color="auto" w:fill="auto"/>
            <w:vAlign w:val="center"/>
          </w:tcPr>
          <w:p w14:paraId="1F4CE46E"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44</w:t>
            </w:r>
          </w:p>
        </w:tc>
        <w:tc>
          <w:tcPr>
            <w:tcW w:w="0" w:type="dxa"/>
            <w:tcBorders>
              <w:bottom w:val="single" w:sz="8" w:space="0" w:color="auto"/>
            </w:tcBorders>
            <w:shd w:val="clear" w:color="auto" w:fill="auto"/>
            <w:vAlign w:val="center"/>
          </w:tcPr>
          <w:p w14:paraId="63E40FB9" w14:textId="77777777" w:rsidR="006806A3" w:rsidRPr="00FD0336" w:rsidRDefault="006806A3" w:rsidP="006806A3">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NA</w:t>
            </w:r>
          </w:p>
        </w:tc>
      </w:tr>
    </w:tbl>
    <w:p w14:paraId="1E842E0B" w14:textId="694CEB8A" w:rsidR="00E93F94" w:rsidRPr="00FD0336" w:rsidRDefault="00E93F94" w:rsidP="008067BC">
      <w:pPr>
        <w:pStyle w:val="MDPI31text"/>
        <w:rPr>
          <w:lang w:val="en-GB"/>
        </w:rPr>
      </w:pPr>
      <w:r w:rsidRPr="00FD0336">
        <w:rPr>
          <w:lang w:val="en-GB"/>
        </w:rPr>
        <w:t>The ranking of barriers to</w:t>
      </w:r>
      <w:r w:rsidR="00D05A3E">
        <w:rPr>
          <w:lang w:val="en-GB"/>
        </w:rPr>
        <w:t xml:space="preserve"> a</w:t>
      </w:r>
      <w:r w:rsidRPr="00FD0336">
        <w:rPr>
          <w:lang w:val="en-GB"/>
        </w:rPr>
        <w:t xml:space="preserve"> circular economy</w:t>
      </w:r>
      <w:r w:rsidR="00D05A3E">
        <w:rPr>
          <w:lang w:val="en-GB"/>
        </w:rPr>
        <w:t>,</w:t>
      </w:r>
      <w:r w:rsidRPr="00FD0336">
        <w:rPr>
          <w:lang w:val="en-GB"/>
        </w:rPr>
        <w:t xml:space="preserve"> using median and mode</w:t>
      </w:r>
      <w:r w:rsidR="00D05A3E">
        <w:rPr>
          <w:lang w:val="en-GB"/>
        </w:rPr>
        <w:t>,</w:t>
      </w:r>
      <w:r w:rsidRPr="00FD0336">
        <w:rPr>
          <w:lang w:val="en-GB"/>
        </w:rPr>
        <w:t xml:space="preserve"> </w:t>
      </w:r>
      <w:r w:rsidR="00D05A3E">
        <w:rPr>
          <w:lang w:val="en-GB"/>
        </w:rPr>
        <w:t>are</w:t>
      </w:r>
      <w:r w:rsidRPr="00FD0336">
        <w:rPr>
          <w:lang w:val="en-GB"/>
        </w:rPr>
        <w:t xml:space="preserve"> presented in Table 5. The largest barrier to the circular economy is reported to be high costs, with a median and mode of 4, followed by land use with a median of 4. A value of 4 represents a large barrier according to the </w:t>
      </w:r>
      <w:proofErr w:type="gramStart"/>
      <w:r w:rsidRPr="00FD0336">
        <w:rPr>
          <w:lang w:val="en-GB"/>
        </w:rPr>
        <w:t>5 point</w:t>
      </w:r>
      <w:proofErr w:type="gramEnd"/>
      <w:r w:rsidRPr="00FD0336">
        <w:rPr>
          <w:lang w:val="en-GB"/>
        </w:rPr>
        <w:t xml:space="preserve"> Likert scale. All other values are 3 (medium barrier). The largest obstacles to port industrial development </w:t>
      </w:r>
      <w:proofErr w:type="gramStart"/>
      <w:r w:rsidRPr="00FD0336">
        <w:rPr>
          <w:lang w:val="en-GB"/>
        </w:rPr>
        <w:t>is</w:t>
      </w:r>
      <w:proofErr w:type="gramEnd"/>
      <w:r w:rsidRPr="00FD0336">
        <w:rPr>
          <w:lang w:val="en-GB"/>
        </w:rPr>
        <w:t xml:space="preserve"> land use with a median and mode of 4, followed by high costs with a median of 4. All other barriers record medians and modes of 3, which correspondents to a medium obstacle. The largest obstacles to waterfront development</w:t>
      </w:r>
      <w:r w:rsidR="00833345">
        <w:rPr>
          <w:lang w:val="en-GB"/>
        </w:rPr>
        <w:t>,</w:t>
      </w:r>
      <w:r w:rsidRPr="00FD0336">
        <w:rPr>
          <w:lang w:val="en-GB"/>
        </w:rPr>
        <w:t xml:space="preserve"> shown in Table 6</w:t>
      </w:r>
      <w:r w:rsidR="00833345">
        <w:rPr>
          <w:lang w:val="en-GB"/>
        </w:rPr>
        <w:t>,</w:t>
      </w:r>
      <w:r w:rsidRPr="00FD0336">
        <w:rPr>
          <w:lang w:val="en-GB"/>
        </w:rPr>
        <w:t xml:space="preserve"> are </w:t>
      </w:r>
      <w:r w:rsidR="00833345">
        <w:rPr>
          <w:lang w:val="en-GB"/>
        </w:rPr>
        <w:t xml:space="preserve">the </w:t>
      </w:r>
      <w:r w:rsidRPr="00FD0336">
        <w:rPr>
          <w:lang w:val="en-GB"/>
        </w:rPr>
        <w:t>high costs</w:t>
      </w:r>
      <w:r w:rsidR="00833345">
        <w:rPr>
          <w:lang w:val="en-GB"/>
        </w:rPr>
        <w:t>,</w:t>
      </w:r>
      <w:r w:rsidRPr="00FD0336">
        <w:rPr>
          <w:lang w:val="en-GB"/>
        </w:rPr>
        <w:t xml:space="preserve"> with a median and mode of 4, followed by land use</w:t>
      </w:r>
      <w:r w:rsidR="00833345">
        <w:rPr>
          <w:lang w:val="en-GB"/>
        </w:rPr>
        <w:t>,</w:t>
      </w:r>
      <w:r w:rsidRPr="00FD0336">
        <w:rPr>
          <w:lang w:val="en-GB"/>
        </w:rPr>
        <w:t xml:space="preserve"> with a median of 4. Technology has the lowest median value of 2.5. </w:t>
      </w:r>
      <w:r w:rsidRPr="00FD0336">
        <w:rPr>
          <w:lang w:val="en-GB"/>
        </w:rPr>
        <w:lastRenderedPageBreak/>
        <w:t>The largest barriers to maritime clusters are high costs</w:t>
      </w:r>
      <w:r w:rsidR="00833345">
        <w:rPr>
          <w:lang w:val="en-GB"/>
        </w:rPr>
        <w:t>,</w:t>
      </w:r>
      <w:r w:rsidRPr="00FD0336">
        <w:rPr>
          <w:lang w:val="en-GB"/>
        </w:rPr>
        <w:t xml:space="preserve"> with a median of 4</w:t>
      </w:r>
      <w:r w:rsidR="00833345">
        <w:rPr>
          <w:lang w:val="en-GB"/>
        </w:rPr>
        <w:t>,</w:t>
      </w:r>
      <w:r w:rsidRPr="00FD0336">
        <w:rPr>
          <w:lang w:val="en-GB"/>
        </w:rPr>
        <w:t xml:space="preserve"> and city and municipal authorities with a median of 4. Pressure groups and technology report modes of 1 and medians of 2.5 and 2</w:t>
      </w:r>
      <w:r w:rsidR="00FA1723">
        <w:rPr>
          <w:lang w:val="en-GB"/>
        </w:rPr>
        <w:t>,</w:t>
      </w:r>
      <w:r w:rsidRPr="00FD0336">
        <w:rPr>
          <w:lang w:val="en-GB"/>
        </w:rPr>
        <w:t xml:space="preserve"> respectively.</w:t>
      </w:r>
    </w:p>
    <w:p w14:paraId="4FE725A7" w14:textId="460B0346" w:rsidR="00E93F94" w:rsidRPr="00FD0336" w:rsidRDefault="008067BC" w:rsidP="008067BC">
      <w:pPr>
        <w:pStyle w:val="MDPI41tablecaption"/>
        <w:ind w:left="425" w:right="425"/>
        <w:jc w:val="both"/>
        <w:rPr>
          <w:lang w:val="en-GB"/>
        </w:rPr>
      </w:pPr>
      <w:r w:rsidRPr="00FD0336">
        <w:rPr>
          <w:b/>
          <w:lang w:val="en-GB"/>
        </w:rPr>
        <w:t xml:space="preserve">Table 5. </w:t>
      </w:r>
      <w:r w:rsidR="00E93F94" w:rsidRPr="00FD0336">
        <w:rPr>
          <w:lang w:val="en-GB"/>
        </w:rPr>
        <w:t>Ranking of barriers to industrial development, maritime clusters, circular economy</w:t>
      </w:r>
      <w:r w:rsidR="00807626">
        <w:rPr>
          <w:lang w:val="en-GB"/>
        </w:rPr>
        <w:t>,</w:t>
      </w:r>
      <w:r w:rsidR="00E93F94" w:rsidRPr="00FD0336">
        <w:rPr>
          <w:lang w:val="en-GB"/>
        </w:rPr>
        <w:t xml:space="preserve"> and waterfront development.</w:t>
      </w:r>
    </w:p>
    <w:tbl>
      <w:tblPr>
        <w:tblW w:w="10465" w:type="dxa"/>
        <w:jc w:val="center"/>
        <w:tblLayout w:type="fixed"/>
        <w:tblCellMar>
          <w:left w:w="0" w:type="dxa"/>
          <w:right w:w="0" w:type="dxa"/>
        </w:tblCellMar>
        <w:tblLook w:val="04A0" w:firstRow="1" w:lastRow="0" w:firstColumn="1" w:lastColumn="0" w:noHBand="0" w:noVBand="1"/>
      </w:tblPr>
      <w:tblGrid>
        <w:gridCol w:w="1134"/>
        <w:gridCol w:w="851"/>
        <w:gridCol w:w="850"/>
        <w:gridCol w:w="567"/>
        <w:gridCol w:w="851"/>
        <w:gridCol w:w="709"/>
        <w:gridCol w:w="567"/>
        <w:gridCol w:w="911"/>
        <w:gridCol w:w="805"/>
        <w:gridCol w:w="693"/>
        <w:gridCol w:w="917"/>
        <w:gridCol w:w="805"/>
        <w:gridCol w:w="805"/>
      </w:tblGrid>
      <w:tr w:rsidR="00C54694" w:rsidRPr="00FD0336" w14:paraId="77D0E9F4" w14:textId="77777777" w:rsidTr="008067BC">
        <w:trPr>
          <w:jc w:val="center"/>
        </w:trPr>
        <w:tc>
          <w:tcPr>
            <w:tcW w:w="1134" w:type="dxa"/>
            <w:tcBorders>
              <w:top w:val="single" w:sz="8" w:space="0" w:color="auto"/>
              <w:bottom w:val="single" w:sz="4" w:space="0" w:color="auto"/>
            </w:tcBorders>
            <w:shd w:val="clear" w:color="auto" w:fill="auto"/>
            <w:vAlign w:val="center"/>
            <w:hideMark/>
          </w:tcPr>
          <w:p w14:paraId="719C4DFC"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w:t>
            </w:r>
          </w:p>
        </w:tc>
        <w:tc>
          <w:tcPr>
            <w:tcW w:w="2268" w:type="dxa"/>
            <w:gridSpan w:val="3"/>
            <w:tcBorders>
              <w:top w:val="single" w:sz="8" w:space="0" w:color="auto"/>
              <w:bottom w:val="single" w:sz="4" w:space="0" w:color="auto"/>
            </w:tcBorders>
            <w:shd w:val="clear" w:color="auto" w:fill="auto"/>
            <w:vAlign w:val="center"/>
            <w:hideMark/>
          </w:tcPr>
          <w:p w14:paraId="14689FFB"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Industrial development</w:t>
            </w:r>
          </w:p>
        </w:tc>
        <w:tc>
          <w:tcPr>
            <w:tcW w:w="2127" w:type="dxa"/>
            <w:gridSpan w:val="3"/>
            <w:tcBorders>
              <w:top w:val="single" w:sz="8" w:space="0" w:color="auto"/>
              <w:bottom w:val="single" w:sz="4" w:space="0" w:color="auto"/>
            </w:tcBorders>
            <w:shd w:val="clear" w:color="auto" w:fill="auto"/>
            <w:vAlign w:val="center"/>
            <w:hideMark/>
          </w:tcPr>
          <w:p w14:paraId="0CCE1529"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Maritime clusters</w:t>
            </w:r>
          </w:p>
        </w:tc>
        <w:tc>
          <w:tcPr>
            <w:tcW w:w="2409" w:type="dxa"/>
            <w:gridSpan w:val="3"/>
            <w:tcBorders>
              <w:top w:val="single" w:sz="8" w:space="0" w:color="auto"/>
              <w:bottom w:val="single" w:sz="4" w:space="0" w:color="auto"/>
            </w:tcBorders>
            <w:shd w:val="clear" w:color="auto" w:fill="auto"/>
            <w:vAlign w:val="center"/>
            <w:hideMark/>
          </w:tcPr>
          <w:p w14:paraId="590E897B"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Circular economy</w:t>
            </w:r>
          </w:p>
        </w:tc>
        <w:tc>
          <w:tcPr>
            <w:tcW w:w="2527" w:type="dxa"/>
            <w:gridSpan w:val="3"/>
            <w:tcBorders>
              <w:top w:val="single" w:sz="8" w:space="0" w:color="auto"/>
              <w:bottom w:val="single" w:sz="4" w:space="0" w:color="auto"/>
            </w:tcBorders>
            <w:shd w:val="clear" w:color="auto" w:fill="auto"/>
            <w:vAlign w:val="center"/>
            <w:hideMark/>
          </w:tcPr>
          <w:p w14:paraId="1DBD0762"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Waterfront development</w:t>
            </w:r>
          </w:p>
        </w:tc>
      </w:tr>
      <w:tr w:rsidR="00C54694" w:rsidRPr="00FD0336" w14:paraId="76315A25" w14:textId="77777777" w:rsidTr="008067BC">
        <w:trPr>
          <w:jc w:val="center"/>
        </w:trPr>
        <w:tc>
          <w:tcPr>
            <w:tcW w:w="1134" w:type="dxa"/>
            <w:tcBorders>
              <w:top w:val="nil"/>
              <w:bottom w:val="single" w:sz="4" w:space="0" w:color="auto"/>
            </w:tcBorders>
            <w:shd w:val="clear" w:color="auto" w:fill="auto"/>
            <w:vAlign w:val="center"/>
            <w:hideMark/>
          </w:tcPr>
          <w:p w14:paraId="24AC2E0D"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Barrier</w:t>
            </w:r>
          </w:p>
        </w:tc>
        <w:tc>
          <w:tcPr>
            <w:tcW w:w="851" w:type="dxa"/>
            <w:tcBorders>
              <w:top w:val="nil"/>
              <w:bottom w:val="single" w:sz="4" w:space="0" w:color="auto"/>
            </w:tcBorders>
            <w:shd w:val="clear" w:color="auto" w:fill="auto"/>
            <w:vAlign w:val="center"/>
            <w:hideMark/>
          </w:tcPr>
          <w:p w14:paraId="7C6F7EA9"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xml:space="preserve">Median </w:t>
            </w:r>
          </w:p>
        </w:tc>
        <w:tc>
          <w:tcPr>
            <w:tcW w:w="850" w:type="dxa"/>
            <w:tcBorders>
              <w:top w:val="nil"/>
              <w:bottom w:val="single" w:sz="4" w:space="0" w:color="auto"/>
            </w:tcBorders>
            <w:shd w:val="clear" w:color="auto" w:fill="auto"/>
            <w:vAlign w:val="center"/>
            <w:hideMark/>
          </w:tcPr>
          <w:p w14:paraId="5C5B26B5"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xml:space="preserve">Mode </w:t>
            </w:r>
          </w:p>
        </w:tc>
        <w:tc>
          <w:tcPr>
            <w:tcW w:w="567" w:type="dxa"/>
            <w:tcBorders>
              <w:top w:val="nil"/>
              <w:bottom w:val="single" w:sz="4" w:space="0" w:color="auto"/>
            </w:tcBorders>
            <w:shd w:val="clear" w:color="auto" w:fill="auto"/>
            <w:vAlign w:val="center"/>
            <w:hideMark/>
          </w:tcPr>
          <w:p w14:paraId="2FE8DDC6"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N</w:t>
            </w:r>
          </w:p>
        </w:tc>
        <w:tc>
          <w:tcPr>
            <w:tcW w:w="851" w:type="dxa"/>
            <w:tcBorders>
              <w:top w:val="nil"/>
              <w:bottom w:val="single" w:sz="4" w:space="0" w:color="auto"/>
            </w:tcBorders>
            <w:shd w:val="clear" w:color="auto" w:fill="auto"/>
            <w:vAlign w:val="center"/>
            <w:hideMark/>
          </w:tcPr>
          <w:p w14:paraId="1390BD9D"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xml:space="preserve">Median </w:t>
            </w:r>
          </w:p>
        </w:tc>
        <w:tc>
          <w:tcPr>
            <w:tcW w:w="709" w:type="dxa"/>
            <w:tcBorders>
              <w:top w:val="nil"/>
              <w:bottom w:val="single" w:sz="4" w:space="0" w:color="auto"/>
            </w:tcBorders>
            <w:shd w:val="clear" w:color="auto" w:fill="auto"/>
            <w:vAlign w:val="center"/>
            <w:hideMark/>
          </w:tcPr>
          <w:p w14:paraId="32C6EADB"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xml:space="preserve">Mode </w:t>
            </w:r>
          </w:p>
        </w:tc>
        <w:tc>
          <w:tcPr>
            <w:tcW w:w="567" w:type="dxa"/>
            <w:tcBorders>
              <w:top w:val="nil"/>
              <w:bottom w:val="single" w:sz="4" w:space="0" w:color="auto"/>
            </w:tcBorders>
            <w:shd w:val="clear" w:color="auto" w:fill="auto"/>
            <w:vAlign w:val="center"/>
            <w:hideMark/>
          </w:tcPr>
          <w:p w14:paraId="142C9D97"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N</w:t>
            </w:r>
          </w:p>
        </w:tc>
        <w:tc>
          <w:tcPr>
            <w:tcW w:w="911" w:type="dxa"/>
            <w:tcBorders>
              <w:top w:val="nil"/>
              <w:bottom w:val="single" w:sz="4" w:space="0" w:color="auto"/>
            </w:tcBorders>
            <w:shd w:val="clear" w:color="auto" w:fill="auto"/>
            <w:vAlign w:val="center"/>
            <w:hideMark/>
          </w:tcPr>
          <w:p w14:paraId="0EA66F05" w14:textId="77777777" w:rsidR="00E93F94" w:rsidRPr="00001C64" w:rsidRDefault="00E93F94" w:rsidP="008067BC">
            <w:pPr>
              <w:autoSpaceDE w:val="0"/>
              <w:autoSpaceDN w:val="0"/>
              <w:adjustRightInd w:val="0"/>
              <w:snapToGrid w:val="0"/>
              <w:spacing w:line="240" w:lineRule="auto"/>
              <w:jc w:val="center"/>
              <w:rPr>
                <w:rFonts w:eastAsia="Times New Roman" w:cs="Calibri"/>
                <w:bCs/>
                <w:noProof w:val="0"/>
                <w:lang w:val="en-GB" w:eastAsia="en-GB"/>
              </w:rPr>
            </w:pPr>
            <w:r w:rsidRPr="00001C64">
              <w:rPr>
                <w:rFonts w:eastAsia="Times New Roman" w:cs="Calibri"/>
                <w:bCs/>
                <w:noProof w:val="0"/>
                <w:lang w:val="en-GB" w:eastAsia="en-GB"/>
              </w:rPr>
              <w:t xml:space="preserve">Median </w:t>
            </w:r>
          </w:p>
        </w:tc>
        <w:tc>
          <w:tcPr>
            <w:tcW w:w="805" w:type="dxa"/>
            <w:tcBorders>
              <w:top w:val="nil"/>
              <w:bottom w:val="single" w:sz="4" w:space="0" w:color="auto"/>
            </w:tcBorders>
            <w:shd w:val="clear" w:color="auto" w:fill="auto"/>
            <w:vAlign w:val="center"/>
            <w:hideMark/>
          </w:tcPr>
          <w:p w14:paraId="21FDB908" w14:textId="77777777" w:rsidR="00E93F94" w:rsidRPr="00D2334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 xml:space="preserve">Mode </w:t>
            </w:r>
          </w:p>
        </w:tc>
        <w:tc>
          <w:tcPr>
            <w:tcW w:w="693" w:type="dxa"/>
            <w:tcBorders>
              <w:top w:val="nil"/>
              <w:bottom w:val="single" w:sz="4" w:space="0" w:color="auto"/>
            </w:tcBorders>
            <w:shd w:val="clear" w:color="auto" w:fill="auto"/>
            <w:vAlign w:val="center"/>
            <w:hideMark/>
          </w:tcPr>
          <w:p w14:paraId="1DB033D0"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1D19A9">
              <w:rPr>
                <w:rFonts w:eastAsia="Times New Roman" w:cs="Calibri"/>
                <w:noProof w:val="0"/>
                <w:lang w:val="en-GB" w:eastAsia="en-GB"/>
              </w:rPr>
              <w:t>N</w:t>
            </w:r>
          </w:p>
        </w:tc>
        <w:tc>
          <w:tcPr>
            <w:tcW w:w="917" w:type="dxa"/>
            <w:tcBorders>
              <w:top w:val="nil"/>
              <w:bottom w:val="single" w:sz="4" w:space="0" w:color="auto"/>
            </w:tcBorders>
            <w:shd w:val="clear" w:color="auto" w:fill="auto"/>
            <w:vAlign w:val="center"/>
            <w:hideMark/>
          </w:tcPr>
          <w:p w14:paraId="0BC0661E"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 xml:space="preserve">Median </w:t>
            </w:r>
          </w:p>
        </w:tc>
        <w:tc>
          <w:tcPr>
            <w:tcW w:w="805" w:type="dxa"/>
            <w:tcBorders>
              <w:top w:val="nil"/>
              <w:bottom w:val="single" w:sz="4" w:space="0" w:color="auto"/>
            </w:tcBorders>
            <w:shd w:val="clear" w:color="auto" w:fill="auto"/>
            <w:vAlign w:val="center"/>
            <w:hideMark/>
          </w:tcPr>
          <w:p w14:paraId="6F1A3F2C"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 xml:space="preserve">Mode </w:t>
            </w:r>
          </w:p>
        </w:tc>
        <w:tc>
          <w:tcPr>
            <w:tcW w:w="805" w:type="dxa"/>
            <w:tcBorders>
              <w:top w:val="nil"/>
              <w:bottom w:val="single" w:sz="4" w:space="0" w:color="auto"/>
            </w:tcBorders>
            <w:shd w:val="clear" w:color="auto" w:fill="auto"/>
            <w:vAlign w:val="center"/>
            <w:hideMark/>
          </w:tcPr>
          <w:p w14:paraId="5CF6769D"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N</w:t>
            </w:r>
          </w:p>
        </w:tc>
      </w:tr>
      <w:tr w:rsidR="00C54694" w:rsidRPr="00FD0336" w14:paraId="1A79FBEA" w14:textId="77777777" w:rsidTr="008067BC">
        <w:trPr>
          <w:jc w:val="center"/>
        </w:trPr>
        <w:tc>
          <w:tcPr>
            <w:tcW w:w="1134" w:type="dxa"/>
            <w:tcBorders>
              <w:top w:val="nil"/>
              <w:bottom w:val="single" w:sz="4" w:space="0" w:color="auto"/>
            </w:tcBorders>
            <w:shd w:val="clear" w:color="auto" w:fill="auto"/>
            <w:vAlign w:val="center"/>
            <w:hideMark/>
          </w:tcPr>
          <w:p w14:paraId="5E5C39F9" w14:textId="77777777" w:rsidR="00E93F94" w:rsidRPr="00D2334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Land use</w:t>
            </w:r>
          </w:p>
        </w:tc>
        <w:tc>
          <w:tcPr>
            <w:tcW w:w="851" w:type="dxa"/>
            <w:tcBorders>
              <w:top w:val="nil"/>
              <w:bottom w:val="single" w:sz="4" w:space="0" w:color="auto"/>
            </w:tcBorders>
            <w:shd w:val="clear" w:color="auto" w:fill="auto"/>
            <w:vAlign w:val="center"/>
            <w:hideMark/>
          </w:tcPr>
          <w:p w14:paraId="1328DB1A"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1D19A9">
              <w:rPr>
                <w:rFonts w:eastAsia="Times New Roman" w:cs="Calibri"/>
                <w:noProof w:val="0"/>
                <w:lang w:val="en-GB" w:eastAsia="en-GB"/>
              </w:rPr>
              <w:t>4</w:t>
            </w:r>
          </w:p>
        </w:tc>
        <w:tc>
          <w:tcPr>
            <w:tcW w:w="850" w:type="dxa"/>
            <w:tcBorders>
              <w:top w:val="nil"/>
              <w:bottom w:val="single" w:sz="4" w:space="0" w:color="auto"/>
            </w:tcBorders>
            <w:shd w:val="clear" w:color="auto" w:fill="auto"/>
            <w:vAlign w:val="center"/>
            <w:hideMark/>
          </w:tcPr>
          <w:p w14:paraId="216A3F8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567" w:type="dxa"/>
            <w:tcBorders>
              <w:top w:val="nil"/>
              <w:bottom w:val="single" w:sz="4" w:space="0" w:color="auto"/>
            </w:tcBorders>
            <w:shd w:val="clear" w:color="auto" w:fill="auto"/>
            <w:vAlign w:val="center"/>
            <w:hideMark/>
          </w:tcPr>
          <w:p w14:paraId="0413D1AC"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4" w:space="0" w:color="auto"/>
            </w:tcBorders>
            <w:shd w:val="clear" w:color="auto" w:fill="auto"/>
            <w:vAlign w:val="center"/>
            <w:hideMark/>
          </w:tcPr>
          <w:p w14:paraId="075F6CBC"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709" w:type="dxa"/>
            <w:tcBorders>
              <w:top w:val="nil"/>
              <w:bottom w:val="single" w:sz="4" w:space="0" w:color="auto"/>
            </w:tcBorders>
            <w:shd w:val="clear" w:color="auto" w:fill="auto"/>
            <w:vAlign w:val="center"/>
            <w:hideMark/>
          </w:tcPr>
          <w:p w14:paraId="72DB131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5977DB9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41</w:t>
            </w:r>
          </w:p>
        </w:tc>
        <w:tc>
          <w:tcPr>
            <w:tcW w:w="911" w:type="dxa"/>
            <w:tcBorders>
              <w:top w:val="nil"/>
              <w:bottom w:val="single" w:sz="4" w:space="0" w:color="auto"/>
            </w:tcBorders>
            <w:shd w:val="clear" w:color="auto" w:fill="auto"/>
            <w:vAlign w:val="center"/>
            <w:hideMark/>
          </w:tcPr>
          <w:p w14:paraId="66308E2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805" w:type="dxa"/>
            <w:tcBorders>
              <w:top w:val="nil"/>
              <w:bottom w:val="single" w:sz="4" w:space="0" w:color="auto"/>
            </w:tcBorders>
            <w:shd w:val="clear" w:color="auto" w:fill="auto"/>
            <w:vAlign w:val="center"/>
            <w:hideMark/>
          </w:tcPr>
          <w:p w14:paraId="6FCADEAF"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4" w:space="0" w:color="auto"/>
            </w:tcBorders>
            <w:shd w:val="clear" w:color="auto" w:fill="auto"/>
            <w:vAlign w:val="center"/>
            <w:hideMark/>
          </w:tcPr>
          <w:p w14:paraId="54CDE25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41</w:t>
            </w:r>
          </w:p>
        </w:tc>
        <w:tc>
          <w:tcPr>
            <w:tcW w:w="917" w:type="dxa"/>
            <w:tcBorders>
              <w:top w:val="nil"/>
              <w:bottom w:val="single" w:sz="4" w:space="0" w:color="auto"/>
            </w:tcBorders>
            <w:shd w:val="clear" w:color="auto" w:fill="auto"/>
            <w:vAlign w:val="center"/>
            <w:hideMark/>
          </w:tcPr>
          <w:p w14:paraId="797062A4"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w:t>
            </w:r>
          </w:p>
        </w:tc>
        <w:tc>
          <w:tcPr>
            <w:tcW w:w="805" w:type="dxa"/>
            <w:tcBorders>
              <w:top w:val="nil"/>
              <w:bottom w:val="single" w:sz="4" w:space="0" w:color="auto"/>
            </w:tcBorders>
            <w:shd w:val="clear" w:color="auto" w:fill="auto"/>
            <w:vAlign w:val="center"/>
            <w:hideMark/>
          </w:tcPr>
          <w:p w14:paraId="67851B45"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78742345"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42</w:t>
            </w:r>
          </w:p>
        </w:tc>
      </w:tr>
      <w:tr w:rsidR="00C54694" w:rsidRPr="00FD0336" w14:paraId="38E39F99" w14:textId="77777777" w:rsidTr="008067BC">
        <w:trPr>
          <w:jc w:val="center"/>
        </w:trPr>
        <w:tc>
          <w:tcPr>
            <w:tcW w:w="1134" w:type="dxa"/>
            <w:tcBorders>
              <w:top w:val="nil"/>
              <w:bottom w:val="single" w:sz="4" w:space="0" w:color="auto"/>
            </w:tcBorders>
            <w:shd w:val="clear" w:color="auto" w:fill="auto"/>
            <w:vAlign w:val="center"/>
            <w:hideMark/>
          </w:tcPr>
          <w:p w14:paraId="54C1FE92" w14:textId="77777777" w:rsidR="00E93F94" w:rsidRPr="00D2334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High costs</w:t>
            </w:r>
          </w:p>
        </w:tc>
        <w:tc>
          <w:tcPr>
            <w:tcW w:w="851" w:type="dxa"/>
            <w:tcBorders>
              <w:top w:val="nil"/>
              <w:bottom w:val="single" w:sz="4" w:space="0" w:color="auto"/>
            </w:tcBorders>
            <w:shd w:val="clear" w:color="auto" w:fill="auto"/>
            <w:vAlign w:val="center"/>
            <w:hideMark/>
          </w:tcPr>
          <w:p w14:paraId="31501A94"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1D19A9">
              <w:rPr>
                <w:rFonts w:eastAsia="Times New Roman" w:cs="Calibri"/>
                <w:noProof w:val="0"/>
                <w:lang w:val="en-GB" w:eastAsia="en-GB"/>
              </w:rPr>
              <w:t>4</w:t>
            </w:r>
          </w:p>
        </w:tc>
        <w:tc>
          <w:tcPr>
            <w:tcW w:w="850" w:type="dxa"/>
            <w:tcBorders>
              <w:top w:val="nil"/>
              <w:bottom w:val="single" w:sz="4" w:space="0" w:color="auto"/>
            </w:tcBorders>
            <w:shd w:val="clear" w:color="auto" w:fill="auto"/>
            <w:vAlign w:val="center"/>
            <w:hideMark/>
          </w:tcPr>
          <w:p w14:paraId="69187D0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6B823B0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47</w:t>
            </w:r>
          </w:p>
        </w:tc>
        <w:tc>
          <w:tcPr>
            <w:tcW w:w="851" w:type="dxa"/>
            <w:tcBorders>
              <w:top w:val="nil"/>
              <w:bottom w:val="single" w:sz="4" w:space="0" w:color="auto"/>
            </w:tcBorders>
            <w:shd w:val="clear" w:color="auto" w:fill="auto"/>
            <w:vAlign w:val="center"/>
            <w:hideMark/>
          </w:tcPr>
          <w:p w14:paraId="7E1F7D8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709" w:type="dxa"/>
            <w:tcBorders>
              <w:top w:val="nil"/>
              <w:bottom w:val="single" w:sz="4" w:space="0" w:color="auto"/>
            </w:tcBorders>
            <w:shd w:val="clear" w:color="auto" w:fill="auto"/>
            <w:vAlign w:val="center"/>
            <w:hideMark/>
          </w:tcPr>
          <w:p w14:paraId="19201D08"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0006862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46</w:t>
            </w:r>
          </w:p>
        </w:tc>
        <w:tc>
          <w:tcPr>
            <w:tcW w:w="911" w:type="dxa"/>
            <w:tcBorders>
              <w:top w:val="nil"/>
              <w:bottom w:val="single" w:sz="4" w:space="0" w:color="auto"/>
            </w:tcBorders>
            <w:shd w:val="clear" w:color="auto" w:fill="auto"/>
            <w:vAlign w:val="center"/>
            <w:hideMark/>
          </w:tcPr>
          <w:p w14:paraId="1555ACF6"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805" w:type="dxa"/>
            <w:tcBorders>
              <w:top w:val="nil"/>
              <w:bottom w:val="single" w:sz="4" w:space="0" w:color="auto"/>
            </w:tcBorders>
            <w:shd w:val="clear" w:color="auto" w:fill="auto"/>
            <w:vAlign w:val="center"/>
            <w:hideMark/>
          </w:tcPr>
          <w:p w14:paraId="12D91996"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693" w:type="dxa"/>
            <w:tcBorders>
              <w:top w:val="nil"/>
              <w:bottom w:val="single" w:sz="4" w:space="0" w:color="auto"/>
            </w:tcBorders>
            <w:shd w:val="clear" w:color="auto" w:fill="auto"/>
            <w:vAlign w:val="center"/>
            <w:hideMark/>
          </w:tcPr>
          <w:p w14:paraId="2DB743D0"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42</w:t>
            </w:r>
          </w:p>
        </w:tc>
        <w:tc>
          <w:tcPr>
            <w:tcW w:w="917" w:type="dxa"/>
            <w:tcBorders>
              <w:top w:val="nil"/>
              <w:bottom w:val="single" w:sz="4" w:space="0" w:color="auto"/>
            </w:tcBorders>
            <w:shd w:val="clear" w:color="auto" w:fill="auto"/>
            <w:vAlign w:val="center"/>
            <w:hideMark/>
          </w:tcPr>
          <w:p w14:paraId="6AB14C4F"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w:t>
            </w:r>
          </w:p>
        </w:tc>
        <w:tc>
          <w:tcPr>
            <w:tcW w:w="805" w:type="dxa"/>
            <w:tcBorders>
              <w:top w:val="nil"/>
              <w:bottom w:val="single" w:sz="4" w:space="0" w:color="auto"/>
            </w:tcBorders>
            <w:shd w:val="clear" w:color="auto" w:fill="auto"/>
            <w:vAlign w:val="center"/>
            <w:hideMark/>
          </w:tcPr>
          <w:p w14:paraId="2EC960D8"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w:t>
            </w:r>
          </w:p>
        </w:tc>
        <w:tc>
          <w:tcPr>
            <w:tcW w:w="805" w:type="dxa"/>
            <w:tcBorders>
              <w:top w:val="nil"/>
              <w:bottom w:val="single" w:sz="4" w:space="0" w:color="auto"/>
            </w:tcBorders>
            <w:shd w:val="clear" w:color="auto" w:fill="auto"/>
            <w:vAlign w:val="center"/>
            <w:hideMark/>
          </w:tcPr>
          <w:p w14:paraId="7E9518C1"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44</w:t>
            </w:r>
          </w:p>
        </w:tc>
      </w:tr>
      <w:tr w:rsidR="00C54694" w:rsidRPr="00FD0336" w14:paraId="79777A5B" w14:textId="77777777" w:rsidTr="008067BC">
        <w:trPr>
          <w:jc w:val="center"/>
        </w:trPr>
        <w:tc>
          <w:tcPr>
            <w:tcW w:w="1134" w:type="dxa"/>
            <w:tcBorders>
              <w:top w:val="nil"/>
              <w:bottom w:val="single" w:sz="4" w:space="0" w:color="auto"/>
            </w:tcBorders>
            <w:shd w:val="clear" w:color="auto" w:fill="auto"/>
            <w:vAlign w:val="center"/>
            <w:hideMark/>
          </w:tcPr>
          <w:p w14:paraId="0F6E7140"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Pressure groups</w:t>
            </w:r>
          </w:p>
        </w:tc>
        <w:tc>
          <w:tcPr>
            <w:tcW w:w="851" w:type="dxa"/>
            <w:tcBorders>
              <w:top w:val="nil"/>
              <w:bottom w:val="single" w:sz="4" w:space="0" w:color="auto"/>
            </w:tcBorders>
            <w:shd w:val="clear" w:color="auto" w:fill="auto"/>
            <w:vAlign w:val="center"/>
            <w:hideMark/>
          </w:tcPr>
          <w:p w14:paraId="1AFB4E5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50" w:type="dxa"/>
            <w:tcBorders>
              <w:top w:val="nil"/>
              <w:bottom w:val="single" w:sz="4" w:space="0" w:color="auto"/>
            </w:tcBorders>
            <w:shd w:val="clear" w:color="auto" w:fill="auto"/>
            <w:vAlign w:val="center"/>
            <w:hideMark/>
          </w:tcPr>
          <w:p w14:paraId="35F9FC69"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52550B9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4" w:space="0" w:color="auto"/>
            </w:tcBorders>
            <w:shd w:val="clear" w:color="auto" w:fill="auto"/>
            <w:vAlign w:val="center"/>
            <w:hideMark/>
          </w:tcPr>
          <w:p w14:paraId="23AA18E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2.5</w:t>
            </w:r>
          </w:p>
        </w:tc>
        <w:tc>
          <w:tcPr>
            <w:tcW w:w="709" w:type="dxa"/>
            <w:tcBorders>
              <w:top w:val="nil"/>
              <w:bottom w:val="single" w:sz="4" w:space="0" w:color="auto"/>
            </w:tcBorders>
            <w:shd w:val="clear" w:color="auto" w:fill="auto"/>
            <w:vAlign w:val="center"/>
            <w:hideMark/>
          </w:tcPr>
          <w:p w14:paraId="4F899A6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1</w:t>
            </w:r>
          </w:p>
        </w:tc>
        <w:tc>
          <w:tcPr>
            <w:tcW w:w="567" w:type="dxa"/>
            <w:tcBorders>
              <w:top w:val="nil"/>
              <w:bottom w:val="single" w:sz="4" w:space="0" w:color="auto"/>
            </w:tcBorders>
            <w:shd w:val="clear" w:color="auto" w:fill="auto"/>
            <w:vAlign w:val="center"/>
            <w:hideMark/>
          </w:tcPr>
          <w:p w14:paraId="6CF618E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1" w:type="dxa"/>
            <w:tcBorders>
              <w:top w:val="nil"/>
              <w:bottom w:val="single" w:sz="4" w:space="0" w:color="auto"/>
            </w:tcBorders>
            <w:shd w:val="clear" w:color="auto" w:fill="auto"/>
            <w:vAlign w:val="center"/>
            <w:hideMark/>
          </w:tcPr>
          <w:p w14:paraId="3825E61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20F9564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4" w:space="0" w:color="auto"/>
            </w:tcBorders>
            <w:shd w:val="clear" w:color="auto" w:fill="auto"/>
            <w:vAlign w:val="center"/>
            <w:hideMark/>
          </w:tcPr>
          <w:p w14:paraId="186FABA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7" w:type="dxa"/>
            <w:tcBorders>
              <w:top w:val="nil"/>
              <w:bottom w:val="single" w:sz="4" w:space="0" w:color="auto"/>
            </w:tcBorders>
            <w:shd w:val="clear" w:color="auto" w:fill="auto"/>
            <w:vAlign w:val="center"/>
            <w:hideMark/>
          </w:tcPr>
          <w:p w14:paraId="0F19C313"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6A5D5E5B"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1AF9BA94"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42</w:t>
            </w:r>
          </w:p>
        </w:tc>
      </w:tr>
      <w:tr w:rsidR="00C54694" w:rsidRPr="00FD0336" w14:paraId="246FBEF2" w14:textId="77777777" w:rsidTr="008067BC">
        <w:trPr>
          <w:jc w:val="center"/>
        </w:trPr>
        <w:tc>
          <w:tcPr>
            <w:tcW w:w="1134" w:type="dxa"/>
            <w:tcBorders>
              <w:top w:val="nil"/>
              <w:bottom w:val="single" w:sz="4" w:space="0" w:color="auto"/>
            </w:tcBorders>
            <w:shd w:val="clear" w:color="auto" w:fill="auto"/>
            <w:vAlign w:val="center"/>
            <w:hideMark/>
          </w:tcPr>
          <w:p w14:paraId="779DF6E8"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Private stakeholders</w:t>
            </w:r>
          </w:p>
        </w:tc>
        <w:tc>
          <w:tcPr>
            <w:tcW w:w="851" w:type="dxa"/>
            <w:tcBorders>
              <w:top w:val="nil"/>
              <w:bottom w:val="single" w:sz="4" w:space="0" w:color="auto"/>
            </w:tcBorders>
            <w:shd w:val="clear" w:color="auto" w:fill="auto"/>
            <w:vAlign w:val="center"/>
            <w:hideMark/>
          </w:tcPr>
          <w:p w14:paraId="02161A3F"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50" w:type="dxa"/>
            <w:tcBorders>
              <w:top w:val="nil"/>
              <w:bottom w:val="single" w:sz="4" w:space="0" w:color="auto"/>
            </w:tcBorders>
            <w:shd w:val="clear" w:color="auto" w:fill="auto"/>
            <w:vAlign w:val="center"/>
            <w:hideMark/>
          </w:tcPr>
          <w:p w14:paraId="24F98F05"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14F08C2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4" w:space="0" w:color="auto"/>
            </w:tcBorders>
            <w:shd w:val="clear" w:color="auto" w:fill="auto"/>
            <w:vAlign w:val="center"/>
            <w:hideMark/>
          </w:tcPr>
          <w:p w14:paraId="6B3CD29C"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709" w:type="dxa"/>
            <w:tcBorders>
              <w:top w:val="nil"/>
              <w:bottom w:val="single" w:sz="4" w:space="0" w:color="auto"/>
            </w:tcBorders>
            <w:shd w:val="clear" w:color="auto" w:fill="auto"/>
            <w:vAlign w:val="center"/>
            <w:hideMark/>
          </w:tcPr>
          <w:p w14:paraId="176897D8"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229605F9"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911" w:type="dxa"/>
            <w:tcBorders>
              <w:top w:val="nil"/>
              <w:bottom w:val="single" w:sz="4" w:space="0" w:color="auto"/>
            </w:tcBorders>
            <w:shd w:val="clear" w:color="auto" w:fill="auto"/>
            <w:vAlign w:val="center"/>
            <w:hideMark/>
          </w:tcPr>
          <w:p w14:paraId="706FE66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0FE6685E"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4" w:space="0" w:color="auto"/>
            </w:tcBorders>
            <w:shd w:val="clear" w:color="auto" w:fill="auto"/>
            <w:vAlign w:val="center"/>
            <w:hideMark/>
          </w:tcPr>
          <w:p w14:paraId="153E9021"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7" w:type="dxa"/>
            <w:tcBorders>
              <w:top w:val="nil"/>
              <w:bottom w:val="single" w:sz="4" w:space="0" w:color="auto"/>
            </w:tcBorders>
            <w:shd w:val="clear" w:color="auto" w:fill="auto"/>
            <w:vAlign w:val="center"/>
            <w:hideMark/>
          </w:tcPr>
          <w:p w14:paraId="1C2BFB63"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5E57BDAF"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6714CFAB"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43</w:t>
            </w:r>
          </w:p>
        </w:tc>
      </w:tr>
      <w:tr w:rsidR="00C54694" w:rsidRPr="00FD0336" w14:paraId="6C37EA6C" w14:textId="77777777" w:rsidTr="008067BC">
        <w:trPr>
          <w:jc w:val="center"/>
        </w:trPr>
        <w:tc>
          <w:tcPr>
            <w:tcW w:w="1134" w:type="dxa"/>
            <w:tcBorders>
              <w:top w:val="nil"/>
              <w:bottom w:val="single" w:sz="4" w:space="0" w:color="auto"/>
            </w:tcBorders>
            <w:shd w:val="clear" w:color="auto" w:fill="auto"/>
            <w:vAlign w:val="center"/>
            <w:hideMark/>
          </w:tcPr>
          <w:p w14:paraId="6DFD0C00"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City and municipal authorities</w:t>
            </w:r>
          </w:p>
        </w:tc>
        <w:tc>
          <w:tcPr>
            <w:tcW w:w="851" w:type="dxa"/>
            <w:tcBorders>
              <w:top w:val="nil"/>
              <w:bottom w:val="single" w:sz="4" w:space="0" w:color="auto"/>
            </w:tcBorders>
            <w:shd w:val="clear" w:color="auto" w:fill="auto"/>
            <w:vAlign w:val="center"/>
            <w:hideMark/>
          </w:tcPr>
          <w:p w14:paraId="1FC23DC9"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50" w:type="dxa"/>
            <w:tcBorders>
              <w:top w:val="nil"/>
              <w:bottom w:val="single" w:sz="4" w:space="0" w:color="auto"/>
            </w:tcBorders>
            <w:shd w:val="clear" w:color="auto" w:fill="auto"/>
            <w:vAlign w:val="center"/>
            <w:hideMark/>
          </w:tcPr>
          <w:p w14:paraId="79C8FD2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2EA445F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4" w:space="0" w:color="auto"/>
            </w:tcBorders>
            <w:shd w:val="clear" w:color="auto" w:fill="auto"/>
            <w:vAlign w:val="center"/>
            <w:hideMark/>
          </w:tcPr>
          <w:p w14:paraId="6F1CE02E"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709" w:type="dxa"/>
            <w:tcBorders>
              <w:top w:val="nil"/>
              <w:bottom w:val="single" w:sz="4" w:space="0" w:color="auto"/>
            </w:tcBorders>
            <w:shd w:val="clear" w:color="auto" w:fill="auto"/>
            <w:vAlign w:val="center"/>
            <w:hideMark/>
          </w:tcPr>
          <w:p w14:paraId="41D1418B"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w:t>
            </w:r>
          </w:p>
        </w:tc>
        <w:tc>
          <w:tcPr>
            <w:tcW w:w="567" w:type="dxa"/>
            <w:tcBorders>
              <w:top w:val="nil"/>
              <w:bottom w:val="single" w:sz="4" w:space="0" w:color="auto"/>
            </w:tcBorders>
            <w:shd w:val="clear" w:color="auto" w:fill="auto"/>
            <w:vAlign w:val="center"/>
            <w:hideMark/>
          </w:tcPr>
          <w:p w14:paraId="13CC3CA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911" w:type="dxa"/>
            <w:tcBorders>
              <w:top w:val="nil"/>
              <w:bottom w:val="single" w:sz="4" w:space="0" w:color="auto"/>
            </w:tcBorders>
            <w:shd w:val="clear" w:color="auto" w:fill="auto"/>
            <w:vAlign w:val="center"/>
            <w:hideMark/>
          </w:tcPr>
          <w:p w14:paraId="1D3F8D4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2A1B1ED4"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4" w:space="0" w:color="auto"/>
            </w:tcBorders>
            <w:shd w:val="clear" w:color="auto" w:fill="auto"/>
            <w:vAlign w:val="center"/>
            <w:hideMark/>
          </w:tcPr>
          <w:p w14:paraId="6D7A7C89"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39</w:t>
            </w:r>
          </w:p>
        </w:tc>
        <w:tc>
          <w:tcPr>
            <w:tcW w:w="917" w:type="dxa"/>
            <w:tcBorders>
              <w:top w:val="nil"/>
              <w:bottom w:val="single" w:sz="4" w:space="0" w:color="auto"/>
            </w:tcBorders>
            <w:shd w:val="clear" w:color="auto" w:fill="auto"/>
            <w:vAlign w:val="center"/>
            <w:hideMark/>
          </w:tcPr>
          <w:p w14:paraId="0F088597"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54F9A209"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07CA053F"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42</w:t>
            </w:r>
          </w:p>
        </w:tc>
      </w:tr>
      <w:tr w:rsidR="00C54694" w:rsidRPr="00FD0336" w14:paraId="0FBA1911" w14:textId="77777777" w:rsidTr="008067BC">
        <w:trPr>
          <w:jc w:val="center"/>
        </w:trPr>
        <w:tc>
          <w:tcPr>
            <w:tcW w:w="1134" w:type="dxa"/>
            <w:tcBorders>
              <w:top w:val="nil"/>
              <w:bottom w:val="single" w:sz="4" w:space="0" w:color="auto"/>
            </w:tcBorders>
            <w:shd w:val="clear" w:color="auto" w:fill="auto"/>
            <w:vAlign w:val="center"/>
            <w:hideMark/>
          </w:tcPr>
          <w:p w14:paraId="38291557" w14:textId="77777777" w:rsidR="00E93F94" w:rsidRPr="00D2334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Legislation</w:t>
            </w:r>
          </w:p>
        </w:tc>
        <w:tc>
          <w:tcPr>
            <w:tcW w:w="851" w:type="dxa"/>
            <w:tcBorders>
              <w:top w:val="nil"/>
              <w:bottom w:val="single" w:sz="4" w:space="0" w:color="auto"/>
            </w:tcBorders>
            <w:shd w:val="clear" w:color="auto" w:fill="auto"/>
            <w:vAlign w:val="center"/>
            <w:hideMark/>
          </w:tcPr>
          <w:p w14:paraId="1B2477DC"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1D19A9">
              <w:rPr>
                <w:rFonts w:eastAsia="Times New Roman" w:cs="Calibri"/>
                <w:noProof w:val="0"/>
                <w:lang w:val="en-GB" w:eastAsia="en-GB"/>
              </w:rPr>
              <w:t>3</w:t>
            </w:r>
          </w:p>
        </w:tc>
        <w:tc>
          <w:tcPr>
            <w:tcW w:w="850" w:type="dxa"/>
            <w:tcBorders>
              <w:top w:val="nil"/>
              <w:bottom w:val="single" w:sz="4" w:space="0" w:color="auto"/>
            </w:tcBorders>
            <w:shd w:val="clear" w:color="auto" w:fill="auto"/>
            <w:vAlign w:val="center"/>
            <w:hideMark/>
          </w:tcPr>
          <w:p w14:paraId="6116F0D0"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482136C0"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4" w:space="0" w:color="auto"/>
            </w:tcBorders>
            <w:shd w:val="clear" w:color="auto" w:fill="auto"/>
            <w:vAlign w:val="center"/>
            <w:hideMark/>
          </w:tcPr>
          <w:p w14:paraId="3D3E3FC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709" w:type="dxa"/>
            <w:tcBorders>
              <w:top w:val="nil"/>
              <w:bottom w:val="single" w:sz="4" w:space="0" w:color="auto"/>
            </w:tcBorders>
            <w:shd w:val="clear" w:color="auto" w:fill="auto"/>
            <w:vAlign w:val="center"/>
            <w:hideMark/>
          </w:tcPr>
          <w:p w14:paraId="1820F7C8"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4" w:space="0" w:color="auto"/>
            </w:tcBorders>
            <w:shd w:val="clear" w:color="auto" w:fill="auto"/>
            <w:vAlign w:val="center"/>
            <w:hideMark/>
          </w:tcPr>
          <w:p w14:paraId="43CE624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1" w:type="dxa"/>
            <w:tcBorders>
              <w:top w:val="nil"/>
              <w:bottom w:val="single" w:sz="4" w:space="0" w:color="auto"/>
            </w:tcBorders>
            <w:shd w:val="clear" w:color="auto" w:fill="auto"/>
            <w:vAlign w:val="center"/>
            <w:hideMark/>
          </w:tcPr>
          <w:p w14:paraId="5F9C7D6E"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1184BDAE"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4" w:space="0" w:color="auto"/>
            </w:tcBorders>
            <w:shd w:val="clear" w:color="auto" w:fill="auto"/>
            <w:vAlign w:val="center"/>
            <w:hideMark/>
          </w:tcPr>
          <w:p w14:paraId="2C6D7216"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7" w:type="dxa"/>
            <w:tcBorders>
              <w:top w:val="nil"/>
              <w:bottom w:val="single" w:sz="4" w:space="0" w:color="auto"/>
            </w:tcBorders>
            <w:shd w:val="clear" w:color="auto" w:fill="auto"/>
            <w:vAlign w:val="center"/>
            <w:hideMark/>
          </w:tcPr>
          <w:p w14:paraId="7DBE8078"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10536A91"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4" w:space="0" w:color="auto"/>
            </w:tcBorders>
            <w:shd w:val="clear" w:color="auto" w:fill="auto"/>
            <w:vAlign w:val="center"/>
            <w:hideMark/>
          </w:tcPr>
          <w:p w14:paraId="6B2BF099"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42</w:t>
            </w:r>
          </w:p>
        </w:tc>
      </w:tr>
      <w:tr w:rsidR="00C54694" w:rsidRPr="00FD0336" w14:paraId="637B2CB6" w14:textId="77777777" w:rsidTr="008067BC">
        <w:trPr>
          <w:jc w:val="center"/>
        </w:trPr>
        <w:tc>
          <w:tcPr>
            <w:tcW w:w="1134" w:type="dxa"/>
            <w:tcBorders>
              <w:top w:val="nil"/>
              <w:bottom w:val="single" w:sz="8" w:space="0" w:color="auto"/>
            </w:tcBorders>
            <w:shd w:val="clear" w:color="auto" w:fill="auto"/>
            <w:vAlign w:val="center"/>
            <w:hideMark/>
          </w:tcPr>
          <w:p w14:paraId="716061D6" w14:textId="77777777" w:rsidR="00E93F94" w:rsidRPr="00D2334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D23348">
              <w:rPr>
                <w:rFonts w:eastAsia="Times New Roman" w:cs="Calibri"/>
                <w:noProof w:val="0"/>
                <w:lang w:val="en-GB" w:eastAsia="en-GB"/>
              </w:rPr>
              <w:t>Technology</w:t>
            </w:r>
          </w:p>
        </w:tc>
        <w:tc>
          <w:tcPr>
            <w:tcW w:w="851" w:type="dxa"/>
            <w:tcBorders>
              <w:top w:val="nil"/>
              <w:bottom w:val="single" w:sz="8" w:space="0" w:color="auto"/>
            </w:tcBorders>
            <w:shd w:val="clear" w:color="auto" w:fill="auto"/>
            <w:vAlign w:val="center"/>
            <w:hideMark/>
          </w:tcPr>
          <w:p w14:paraId="19964595" w14:textId="77777777" w:rsidR="00E93F94" w:rsidRPr="001D19A9"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1D19A9">
              <w:rPr>
                <w:rFonts w:eastAsia="Times New Roman" w:cs="Calibri"/>
                <w:noProof w:val="0"/>
                <w:lang w:val="en-GB" w:eastAsia="en-GB"/>
              </w:rPr>
              <w:t>3</w:t>
            </w:r>
          </w:p>
        </w:tc>
        <w:tc>
          <w:tcPr>
            <w:tcW w:w="850" w:type="dxa"/>
            <w:tcBorders>
              <w:top w:val="nil"/>
              <w:bottom w:val="single" w:sz="8" w:space="0" w:color="auto"/>
            </w:tcBorders>
            <w:shd w:val="clear" w:color="auto" w:fill="auto"/>
            <w:vAlign w:val="center"/>
            <w:hideMark/>
          </w:tcPr>
          <w:p w14:paraId="34F81BE7"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567" w:type="dxa"/>
            <w:tcBorders>
              <w:top w:val="nil"/>
              <w:bottom w:val="single" w:sz="8" w:space="0" w:color="auto"/>
            </w:tcBorders>
            <w:shd w:val="clear" w:color="auto" w:fill="auto"/>
            <w:vAlign w:val="center"/>
            <w:hideMark/>
          </w:tcPr>
          <w:p w14:paraId="2D533E4B"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44</w:t>
            </w:r>
          </w:p>
        </w:tc>
        <w:tc>
          <w:tcPr>
            <w:tcW w:w="851" w:type="dxa"/>
            <w:tcBorders>
              <w:top w:val="nil"/>
              <w:bottom w:val="single" w:sz="8" w:space="0" w:color="auto"/>
            </w:tcBorders>
            <w:shd w:val="clear" w:color="auto" w:fill="auto"/>
            <w:vAlign w:val="center"/>
            <w:hideMark/>
          </w:tcPr>
          <w:p w14:paraId="6D8980C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2</w:t>
            </w:r>
          </w:p>
        </w:tc>
        <w:tc>
          <w:tcPr>
            <w:tcW w:w="709" w:type="dxa"/>
            <w:tcBorders>
              <w:top w:val="nil"/>
              <w:bottom w:val="single" w:sz="8" w:space="0" w:color="auto"/>
            </w:tcBorders>
            <w:shd w:val="clear" w:color="auto" w:fill="auto"/>
            <w:vAlign w:val="center"/>
            <w:hideMark/>
          </w:tcPr>
          <w:p w14:paraId="4F1D978C"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1</w:t>
            </w:r>
          </w:p>
        </w:tc>
        <w:tc>
          <w:tcPr>
            <w:tcW w:w="567" w:type="dxa"/>
            <w:tcBorders>
              <w:top w:val="nil"/>
              <w:bottom w:val="single" w:sz="8" w:space="0" w:color="auto"/>
            </w:tcBorders>
            <w:shd w:val="clear" w:color="auto" w:fill="auto"/>
            <w:vAlign w:val="center"/>
            <w:hideMark/>
          </w:tcPr>
          <w:p w14:paraId="3D4BC67A"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39</w:t>
            </w:r>
          </w:p>
        </w:tc>
        <w:tc>
          <w:tcPr>
            <w:tcW w:w="911" w:type="dxa"/>
            <w:tcBorders>
              <w:top w:val="nil"/>
              <w:bottom w:val="single" w:sz="8" w:space="0" w:color="auto"/>
            </w:tcBorders>
            <w:shd w:val="clear" w:color="auto" w:fill="auto"/>
            <w:vAlign w:val="center"/>
            <w:hideMark/>
          </w:tcPr>
          <w:p w14:paraId="1F0A1063"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805" w:type="dxa"/>
            <w:tcBorders>
              <w:top w:val="nil"/>
              <w:bottom w:val="single" w:sz="8" w:space="0" w:color="auto"/>
            </w:tcBorders>
            <w:shd w:val="clear" w:color="auto" w:fill="auto"/>
            <w:vAlign w:val="center"/>
            <w:hideMark/>
          </w:tcPr>
          <w:p w14:paraId="6023662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3</w:t>
            </w:r>
          </w:p>
        </w:tc>
        <w:tc>
          <w:tcPr>
            <w:tcW w:w="693" w:type="dxa"/>
            <w:tcBorders>
              <w:top w:val="nil"/>
              <w:bottom w:val="single" w:sz="8" w:space="0" w:color="auto"/>
            </w:tcBorders>
            <w:shd w:val="clear" w:color="auto" w:fill="auto"/>
            <w:vAlign w:val="center"/>
            <w:hideMark/>
          </w:tcPr>
          <w:p w14:paraId="4913BFBD" w14:textId="77777777" w:rsidR="00E93F94" w:rsidRPr="006E7FB8"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6E7FB8">
              <w:rPr>
                <w:rFonts w:eastAsia="Times New Roman" w:cs="Calibri"/>
                <w:noProof w:val="0"/>
                <w:lang w:val="en-GB" w:eastAsia="en-GB"/>
              </w:rPr>
              <w:t>40</w:t>
            </w:r>
          </w:p>
        </w:tc>
        <w:tc>
          <w:tcPr>
            <w:tcW w:w="917" w:type="dxa"/>
            <w:tcBorders>
              <w:top w:val="nil"/>
              <w:bottom w:val="single" w:sz="8" w:space="0" w:color="auto"/>
            </w:tcBorders>
            <w:shd w:val="clear" w:color="auto" w:fill="auto"/>
            <w:vAlign w:val="center"/>
            <w:hideMark/>
          </w:tcPr>
          <w:p w14:paraId="15AF8503"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2.5</w:t>
            </w:r>
          </w:p>
        </w:tc>
        <w:tc>
          <w:tcPr>
            <w:tcW w:w="805" w:type="dxa"/>
            <w:tcBorders>
              <w:top w:val="nil"/>
              <w:bottom w:val="single" w:sz="8" w:space="0" w:color="auto"/>
            </w:tcBorders>
            <w:shd w:val="clear" w:color="auto" w:fill="auto"/>
            <w:vAlign w:val="center"/>
            <w:hideMark/>
          </w:tcPr>
          <w:p w14:paraId="098E8548"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3</w:t>
            </w:r>
          </w:p>
        </w:tc>
        <w:tc>
          <w:tcPr>
            <w:tcW w:w="805" w:type="dxa"/>
            <w:tcBorders>
              <w:top w:val="nil"/>
              <w:bottom w:val="single" w:sz="8" w:space="0" w:color="auto"/>
            </w:tcBorders>
            <w:shd w:val="clear" w:color="auto" w:fill="auto"/>
            <w:vAlign w:val="center"/>
            <w:hideMark/>
          </w:tcPr>
          <w:p w14:paraId="3B9BCFAE" w14:textId="77777777" w:rsidR="00E93F94" w:rsidRPr="00FD0336" w:rsidRDefault="00E93F94" w:rsidP="008067BC">
            <w:pPr>
              <w:autoSpaceDE w:val="0"/>
              <w:autoSpaceDN w:val="0"/>
              <w:adjustRightInd w:val="0"/>
              <w:snapToGrid w:val="0"/>
              <w:spacing w:line="240" w:lineRule="auto"/>
              <w:jc w:val="center"/>
              <w:rPr>
                <w:rFonts w:eastAsia="Times New Roman" w:cs="Calibri"/>
                <w:noProof w:val="0"/>
                <w:lang w:val="en-GB" w:eastAsia="en-GB"/>
              </w:rPr>
            </w:pPr>
            <w:r w:rsidRPr="00FD0336">
              <w:rPr>
                <w:rFonts w:eastAsia="Times New Roman" w:cs="Calibri"/>
                <w:noProof w:val="0"/>
                <w:lang w:val="en-GB" w:eastAsia="en-GB"/>
              </w:rPr>
              <w:t>40</w:t>
            </w:r>
          </w:p>
        </w:tc>
      </w:tr>
    </w:tbl>
    <w:p w14:paraId="4DCFBC90" w14:textId="77777777" w:rsidR="00807626" w:rsidRDefault="00807626" w:rsidP="008067BC">
      <w:pPr>
        <w:pStyle w:val="MDPI31text"/>
        <w:rPr>
          <w:lang w:val="en-GB"/>
        </w:rPr>
      </w:pPr>
    </w:p>
    <w:p w14:paraId="4F59379A" w14:textId="3EBA9432" w:rsidR="00E93F94" w:rsidRPr="00FD0336" w:rsidRDefault="00E93F94" w:rsidP="008067BC">
      <w:pPr>
        <w:pStyle w:val="MDPI31text"/>
        <w:rPr>
          <w:lang w:val="en-GB"/>
        </w:rPr>
      </w:pPr>
      <w:r w:rsidRPr="00FD0336">
        <w:rPr>
          <w:lang w:val="en-GB"/>
        </w:rPr>
        <w:t>The number of respondents listing each size of barrier to the circular economy is shown in Figure 3. High costs and land use are identified as the most significant source</w:t>
      </w:r>
      <w:r w:rsidR="00807626">
        <w:rPr>
          <w:lang w:val="en-GB"/>
        </w:rPr>
        <w:t>s</w:t>
      </w:r>
      <w:r w:rsidRPr="00FD0336">
        <w:rPr>
          <w:lang w:val="en-GB"/>
        </w:rPr>
        <w:t xml:space="preserve"> of </w:t>
      </w:r>
      <w:proofErr w:type="gramStart"/>
      <w:r w:rsidRPr="00FD0336">
        <w:rPr>
          <w:lang w:val="en-GB"/>
        </w:rPr>
        <w:t>very large</w:t>
      </w:r>
      <w:proofErr w:type="gramEnd"/>
      <w:r w:rsidRPr="00FD0336">
        <w:rPr>
          <w:lang w:val="en-GB"/>
        </w:rPr>
        <w:t xml:space="preserve"> obstacles by respondents, with all other barriers being ranked as medium obstacle</w:t>
      </w:r>
      <w:r w:rsidR="00807626">
        <w:rPr>
          <w:lang w:val="en-GB"/>
        </w:rPr>
        <w:t>s</w:t>
      </w:r>
      <w:r w:rsidRPr="00FD0336">
        <w:rPr>
          <w:lang w:val="en-GB"/>
        </w:rPr>
        <w:t xml:space="preserve"> by the largest number of respondents.</w:t>
      </w:r>
    </w:p>
    <w:p w14:paraId="2CB6F620" w14:textId="6813D160" w:rsidR="00E93F94" w:rsidRPr="00FD0336" w:rsidRDefault="00E93F94" w:rsidP="008067BC">
      <w:pPr>
        <w:pStyle w:val="MDPI51figurecaption"/>
        <w:rPr>
          <w:lang w:val="en-GB"/>
        </w:rPr>
      </w:pPr>
      <w:r w:rsidRPr="00FD0336">
        <w:rPr>
          <w:b/>
          <w:noProof/>
          <w:lang w:val="en-GB" w:eastAsia="en-US" w:bidi="ar-SA"/>
        </w:rPr>
        <w:drawing>
          <wp:inline distT="0" distB="0" distL="0" distR="0" wp14:anchorId="0246B0FB" wp14:editId="365B9857">
            <wp:extent cx="4449170" cy="2641408"/>
            <wp:effectExtent l="0" t="0" r="889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9720" cy="2653608"/>
                    </a:xfrm>
                    <a:prstGeom prst="rect">
                      <a:avLst/>
                    </a:prstGeom>
                    <a:noFill/>
                  </pic:spPr>
                </pic:pic>
              </a:graphicData>
            </a:graphic>
          </wp:inline>
        </w:drawing>
      </w:r>
      <w:r w:rsidRPr="00FD0336">
        <w:rPr>
          <w:b/>
          <w:lang w:val="en-GB"/>
        </w:rPr>
        <w:br/>
      </w:r>
      <w:r w:rsidR="008067BC" w:rsidRPr="00FD0336">
        <w:rPr>
          <w:b/>
          <w:lang w:val="en-GB"/>
        </w:rPr>
        <w:t xml:space="preserve">Figure 3. </w:t>
      </w:r>
      <w:r w:rsidRPr="00FD0336">
        <w:rPr>
          <w:lang w:val="en-GB"/>
        </w:rPr>
        <w:t>Size of obstacles to the circular economy according to respondents.</w:t>
      </w:r>
    </w:p>
    <w:p w14:paraId="020CE1AD" w14:textId="16D413C4" w:rsidR="00E93F94" w:rsidRPr="00FD0336" w:rsidRDefault="00E93F94" w:rsidP="008067BC">
      <w:pPr>
        <w:pStyle w:val="MDPI31text"/>
        <w:rPr>
          <w:lang w:val="en-GB"/>
        </w:rPr>
      </w:pPr>
      <w:r w:rsidRPr="00FD0336">
        <w:rPr>
          <w:lang w:val="en-GB"/>
        </w:rPr>
        <w:t xml:space="preserve">The number of respondents listing each size of barrier for industrial development is shown in Figure 4. Land use and high costs have the highest </w:t>
      </w:r>
      <w:proofErr w:type="gramStart"/>
      <w:r w:rsidRPr="00FD0336">
        <w:rPr>
          <w:lang w:val="en-GB"/>
        </w:rPr>
        <w:t>amount</w:t>
      </w:r>
      <w:proofErr w:type="gramEnd"/>
      <w:r w:rsidRPr="00FD0336">
        <w:rPr>
          <w:lang w:val="en-GB"/>
        </w:rPr>
        <w:t xml:space="preserve"> of respondents identifying them as very large obstacles. Technology receive</w:t>
      </w:r>
      <w:r w:rsidR="006735A6">
        <w:rPr>
          <w:lang w:val="en-GB"/>
        </w:rPr>
        <w:t>d</w:t>
      </w:r>
      <w:r w:rsidRPr="00FD0336">
        <w:rPr>
          <w:lang w:val="en-GB"/>
        </w:rPr>
        <w:t xml:space="preserve"> the highest number of respondents</w:t>
      </w:r>
      <w:r w:rsidR="006735A6">
        <w:rPr>
          <w:lang w:val="en-GB"/>
        </w:rPr>
        <w:t>,</w:t>
      </w:r>
      <w:r w:rsidRPr="00FD0336">
        <w:rPr>
          <w:lang w:val="en-GB"/>
        </w:rPr>
        <w:t xml:space="preserve"> listing it as </w:t>
      </w:r>
      <w:proofErr w:type="gramStart"/>
      <w:r w:rsidRPr="00FD0336">
        <w:rPr>
          <w:lang w:val="en-GB"/>
        </w:rPr>
        <w:t>a very small</w:t>
      </w:r>
      <w:proofErr w:type="gramEnd"/>
      <w:r w:rsidRPr="00FD0336">
        <w:rPr>
          <w:lang w:val="en-GB"/>
        </w:rPr>
        <w:t xml:space="preserve"> or small obstacle.</w:t>
      </w:r>
    </w:p>
    <w:p w14:paraId="433A583A" w14:textId="77777777" w:rsidR="00E93F94" w:rsidRPr="00FD0336" w:rsidRDefault="00E93F94" w:rsidP="00BA1918">
      <w:pPr>
        <w:pStyle w:val="MDPI52figure"/>
        <w:ind w:left="2608"/>
        <w:jc w:val="left"/>
        <w:rPr>
          <w:lang w:val="en-GB"/>
        </w:rPr>
      </w:pPr>
      <w:r w:rsidRPr="00FD0336">
        <w:rPr>
          <w:noProof/>
          <w:lang w:val="en-GB" w:eastAsia="en-US" w:bidi="ar-SA"/>
        </w:rPr>
        <w:lastRenderedPageBreak/>
        <w:drawing>
          <wp:inline distT="0" distB="0" distL="0" distR="0" wp14:anchorId="3E9D9AFB" wp14:editId="3B4F58F9">
            <wp:extent cx="4579315" cy="2777717"/>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3514" cy="2786330"/>
                    </a:xfrm>
                    <a:prstGeom prst="rect">
                      <a:avLst/>
                    </a:prstGeom>
                    <a:noFill/>
                  </pic:spPr>
                </pic:pic>
              </a:graphicData>
            </a:graphic>
          </wp:inline>
        </w:drawing>
      </w:r>
    </w:p>
    <w:p w14:paraId="3057939F" w14:textId="0F5D9231" w:rsidR="00E93F94" w:rsidRPr="00FD0336" w:rsidRDefault="00BA1918" w:rsidP="00BA1918">
      <w:pPr>
        <w:pStyle w:val="MDPI51figurecaption"/>
        <w:rPr>
          <w:lang w:val="en-GB"/>
        </w:rPr>
      </w:pPr>
      <w:r w:rsidRPr="00FD0336">
        <w:rPr>
          <w:b/>
          <w:lang w:val="en-GB"/>
        </w:rPr>
        <w:t xml:space="preserve">Figure 4. </w:t>
      </w:r>
      <w:r w:rsidR="00E93F94" w:rsidRPr="00FD0336">
        <w:rPr>
          <w:lang w:val="en-GB"/>
        </w:rPr>
        <w:t>Size of obstacles to port industrial development according to respondents.</w:t>
      </w:r>
    </w:p>
    <w:p w14:paraId="2AC7107B" w14:textId="343B1951" w:rsidR="00E93F94" w:rsidRPr="00FD0336" w:rsidRDefault="00E93F94" w:rsidP="00BA1918">
      <w:pPr>
        <w:pStyle w:val="MDPI31text"/>
        <w:rPr>
          <w:lang w:val="en-GB"/>
        </w:rPr>
      </w:pPr>
      <w:r w:rsidRPr="00FD0336">
        <w:rPr>
          <w:lang w:val="en-GB"/>
        </w:rPr>
        <w:t xml:space="preserve">The number of respondents listing each size of barrier to waterfront development is shown in Figure 5. The barriers most likely to be rated as </w:t>
      </w:r>
      <w:proofErr w:type="gramStart"/>
      <w:r w:rsidRPr="00FD0336">
        <w:rPr>
          <w:lang w:val="en-GB"/>
        </w:rPr>
        <w:t>very large</w:t>
      </w:r>
      <w:proofErr w:type="gramEnd"/>
      <w:r w:rsidRPr="00FD0336">
        <w:rPr>
          <w:lang w:val="en-GB"/>
        </w:rPr>
        <w:t xml:space="preserve"> for waterfront development are high costs and land use. Technology </w:t>
      </w:r>
      <w:r w:rsidR="006735A6">
        <w:rPr>
          <w:lang w:val="en-GB"/>
        </w:rPr>
        <w:t>wa</w:t>
      </w:r>
      <w:r w:rsidRPr="00FD0336">
        <w:rPr>
          <w:lang w:val="en-GB"/>
        </w:rPr>
        <w:t xml:space="preserve">s considered </w:t>
      </w:r>
      <w:proofErr w:type="gramStart"/>
      <w:r w:rsidRPr="00FD0336">
        <w:rPr>
          <w:lang w:val="en-GB"/>
        </w:rPr>
        <w:t>very small</w:t>
      </w:r>
      <w:proofErr w:type="gramEnd"/>
      <w:r w:rsidRPr="00FD0336">
        <w:rPr>
          <w:lang w:val="en-GB"/>
        </w:rPr>
        <w:t xml:space="preserve"> by a large number of respondents (15). </w:t>
      </w:r>
      <w:proofErr w:type="gramStart"/>
      <w:r w:rsidRPr="00FD0336">
        <w:rPr>
          <w:lang w:val="en-GB"/>
        </w:rPr>
        <w:t>All of</w:t>
      </w:r>
      <w:proofErr w:type="gramEnd"/>
      <w:r w:rsidRPr="00FD0336">
        <w:rPr>
          <w:lang w:val="en-GB"/>
        </w:rPr>
        <w:t xml:space="preserve"> the barriers</w:t>
      </w:r>
      <w:r w:rsidR="006735A6">
        <w:rPr>
          <w:lang w:val="en-GB"/>
        </w:rPr>
        <w:t>,</w:t>
      </w:r>
      <w:r w:rsidRPr="00FD0336">
        <w:rPr>
          <w:lang w:val="en-GB"/>
        </w:rPr>
        <w:t xml:space="preserve"> except for high costs</w:t>
      </w:r>
      <w:r w:rsidR="006735A6">
        <w:rPr>
          <w:lang w:val="en-GB"/>
        </w:rPr>
        <w:t>,</w:t>
      </w:r>
      <w:r w:rsidRPr="00FD0336">
        <w:rPr>
          <w:lang w:val="en-GB"/>
        </w:rPr>
        <w:t xml:space="preserve"> have medium as the most common response.</w:t>
      </w:r>
    </w:p>
    <w:p w14:paraId="31D010BB" w14:textId="77777777" w:rsidR="00E93F94" w:rsidRPr="00FD0336" w:rsidRDefault="00E93F94" w:rsidP="00BA1918">
      <w:pPr>
        <w:pStyle w:val="MDPI52figure"/>
        <w:ind w:left="2608"/>
        <w:jc w:val="left"/>
        <w:rPr>
          <w:lang w:val="en-GB"/>
        </w:rPr>
      </w:pPr>
      <w:r w:rsidRPr="00FD0336">
        <w:rPr>
          <w:noProof/>
          <w:lang w:val="en-GB" w:eastAsia="en-US" w:bidi="ar-SA"/>
        </w:rPr>
        <w:drawing>
          <wp:inline distT="0" distB="0" distL="0" distR="0" wp14:anchorId="65B34EE2" wp14:editId="2A1CD95D">
            <wp:extent cx="4645152" cy="2799602"/>
            <wp:effectExtent l="0" t="0" r="3175"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8681" cy="2813783"/>
                    </a:xfrm>
                    <a:prstGeom prst="rect">
                      <a:avLst/>
                    </a:prstGeom>
                    <a:noFill/>
                  </pic:spPr>
                </pic:pic>
              </a:graphicData>
            </a:graphic>
          </wp:inline>
        </w:drawing>
      </w:r>
    </w:p>
    <w:p w14:paraId="161EABCE" w14:textId="4E31E3CA" w:rsidR="00E93F94" w:rsidRPr="00FD0336" w:rsidRDefault="00BA1918" w:rsidP="00BA1918">
      <w:pPr>
        <w:pStyle w:val="MDPI51figurecaption"/>
        <w:rPr>
          <w:lang w:val="en-GB"/>
        </w:rPr>
      </w:pPr>
      <w:r w:rsidRPr="00FD0336">
        <w:rPr>
          <w:b/>
          <w:lang w:val="en-GB"/>
        </w:rPr>
        <w:t xml:space="preserve">Figure 5. </w:t>
      </w:r>
      <w:r w:rsidR="00E93F94" w:rsidRPr="00FD0336">
        <w:rPr>
          <w:lang w:val="en-GB"/>
        </w:rPr>
        <w:t>Size of obstacles to waterfront development according to respondents.</w:t>
      </w:r>
    </w:p>
    <w:p w14:paraId="31B1B775" w14:textId="7207DE38" w:rsidR="00E93F94" w:rsidRPr="00FD0336" w:rsidRDefault="00E93F94" w:rsidP="00BA1918">
      <w:pPr>
        <w:pStyle w:val="MDPI31text"/>
        <w:rPr>
          <w:lang w:val="en-GB"/>
        </w:rPr>
      </w:pPr>
      <w:r w:rsidRPr="00FD0336">
        <w:rPr>
          <w:lang w:val="en-GB"/>
        </w:rPr>
        <w:t xml:space="preserve">The number of respondents listing each size of </w:t>
      </w:r>
      <w:r w:rsidR="006735A6">
        <w:rPr>
          <w:lang w:val="en-GB"/>
        </w:rPr>
        <w:t xml:space="preserve">the </w:t>
      </w:r>
      <w:r w:rsidRPr="00FD0336">
        <w:rPr>
          <w:lang w:val="en-GB"/>
        </w:rPr>
        <w:t xml:space="preserve">barrier to maritime clusters is shown in Figure 6. High costs and land use were rated as </w:t>
      </w:r>
      <w:proofErr w:type="gramStart"/>
      <w:r w:rsidRPr="00FD0336">
        <w:rPr>
          <w:lang w:val="en-GB"/>
        </w:rPr>
        <w:t>very large</w:t>
      </w:r>
      <w:proofErr w:type="gramEnd"/>
      <w:r w:rsidRPr="00FD0336">
        <w:rPr>
          <w:lang w:val="en-GB"/>
        </w:rPr>
        <w:t xml:space="preserve"> obstacles by most respondents, whilst technology was considered a very small obstacle by a large number of respondents. </w:t>
      </w:r>
    </w:p>
    <w:p w14:paraId="09D7D122" w14:textId="77777777" w:rsidR="00E93F94" w:rsidRPr="00FD0336" w:rsidRDefault="00E93F94" w:rsidP="00BA1918">
      <w:pPr>
        <w:pStyle w:val="MDPI52figure"/>
        <w:ind w:left="2608"/>
        <w:jc w:val="left"/>
        <w:rPr>
          <w:lang w:val="en-GB"/>
        </w:rPr>
      </w:pPr>
      <w:r w:rsidRPr="00FD0336">
        <w:rPr>
          <w:noProof/>
          <w:lang w:val="en-GB" w:eastAsia="en-US" w:bidi="ar-SA"/>
        </w:rPr>
        <w:lastRenderedPageBreak/>
        <w:drawing>
          <wp:inline distT="0" distB="0" distL="0" distR="0" wp14:anchorId="58EACE9D" wp14:editId="0A1B3B54">
            <wp:extent cx="4586630" cy="2857904"/>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1734" cy="2867315"/>
                    </a:xfrm>
                    <a:prstGeom prst="rect">
                      <a:avLst/>
                    </a:prstGeom>
                    <a:noFill/>
                  </pic:spPr>
                </pic:pic>
              </a:graphicData>
            </a:graphic>
          </wp:inline>
        </w:drawing>
      </w:r>
    </w:p>
    <w:p w14:paraId="377EBFB9" w14:textId="4E90A74A" w:rsidR="00E93F94" w:rsidRPr="00FD0336" w:rsidRDefault="00BA1918" w:rsidP="00BA1918">
      <w:pPr>
        <w:pStyle w:val="MDPI51figurecaption"/>
        <w:rPr>
          <w:lang w:val="en-GB"/>
        </w:rPr>
      </w:pPr>
      <w:r w:rsidRPr="00FD0336">
        <w:rPr>
          <w:b/>
          <w:lang w:val="en-GB"/>
        </w:rPr>
        <w:t xml:space="preserve">Figure 6. </w:t>
      </w:r>
      <w:r w:rsidR="00E93F94" w:rsidRPr="00FD0336">
        <w:rPr>
          <w:lang w:val="en-GB"/>
        </w:rPr>
        <w:t>Size of obstacles to maritime clusters according to respondents.</w:t>
      </w:r>
    </w:p>
    <w:p w14:paraId="148DE2CB" w14:textId="16BE7B06" w:rsidR="00E93F94" w:rsidRPr="00FD0336" w:rsidRDefault="00E93F94" w:rsidP="00BA1918">
      <w:pPr>
        <w:pStyle w:val="MDPI31text"/>
        <w:rPr>
          <w:lang w:val="en-GB"/>
        </w:rPr>
      </w:pPr>
      <w:r w:rsidRPr="00FD0336">
        <w:rPr>
          <w:lang w:val="en-GB"/>
        </w:rPr>
        <w:t>Table 6 shows a weak positive correlation between the presence of circular economy activities in the port and port size</w:t>
      </w:r>
      <w:r w:rsidR="00740E02">
        <w:rPr>
          <w:lang w:val="en-GB"/>
        </w:rPr>
        <w:t xml:space="preserve">, </w:t>
      </w:r>
      <w:r w:rsidRPr="00FD0336">
        <w:rPr>
          <w:lang w:val="en-GB"/>
        </w:rPr>
        <w:t>statistically significant at the 95% confidence level.</w:t>
      </w:r>
    </w:p>
    <w:p w14:paraId="22423D45" w14:textId="24825B2A" w:rsidR="00E93F94" w:rsidRPr="00FD0336" w:rsidRDefault="00BA1918" w:rsidP="00BA1918">
      <w:pPr>
        <w:pStyle w:val="MDPI41tablecaption"/>
        <w:rPr>
          <w:lang w:val="en-GB"/>
        </w:rPr>
      </w:pPr>
      <w:r w:rsidRPr="00FD0336">
        <w:rPr>
          <w:b/>
          <w:lang w:val="en-GB"/>
        </w:rPr>
        <w:t xml:space="preserve">Table 6. </w:t>
      </w:r>
      <w:r w:rsidR="00E93F94" w:rsidRPr="00FD0336">
        <w:rPr>
          <w:lang w:val="en-GB"/>
        </w:rPr>
        <w:t xml:space="preserve">Correlation between </w:t>
      </w:r>
      <w:r w:rsidR="00740E02">
        <w:rPr>
          <w:lang w:val="en-GB"/>
        </w:rPr>
        <w:t>p</w:t>
      </w:r>
      <w:r w:rsidR="00E93F94" w:rsidRPr="00FD0336">
        <w:rPr>
          <w:lang w:val="en-GB"/>
        </w:rPr>
        <w:t xml:space="preserve">ort size and presence of </w:t>
      </w:r>
      <w:r w:rsidR="00740E02">
        <w:rPr>
          <w:lang w:val="en-GB"/>
        </w:rPr>
        <w:t xml:space="preserve">a </w:t>
      </w:r>
      <w:r w:rsidR="00E93F94" w:rsidRPr="00FD0336">
        <w:rPr>
          <w:lang w:val="en-GB"/>
        </w:rPr>
        <w:t>circular economy.</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63"/>
        <w:gridCol w:w="4794"/>
      </w:tblGrid>
      <w:tr w:rsidR="00C54694" w:rsidRPr="00FD0336" w14:paraId="4640CCAA" w14:textId="77777777" w:rsidTr="00BA1918">
        <w:tc>
          <w:tcPr>
            <w:tcW w:w="1949" w:type="pct"/>
            <w:tcBorders>
              <w:top w:val="single" w:sz="8" w:space="0" w:color="auto"/>
              <w:bottom w:val="single" w:sz="4" w:space="0" w:color="auto"/>
            </w:tcBorders>
            <w:shd w:val="clear" w:color="auto" w:fill="auto"/>
            <w:vAlign w:val="center"/>
          </w:tcPr>
          <w:p w14:paraId="62354A65" w14:textId="77777777" w:rsidR="00E93F94" w:rsidRPr="00001C64" w:rsidRDefault="00E93F94" w:rsidP="00BA1918">
            <w:pPr>
              <w:pStyle w:val="MDPI43tablefooter"/>
              <w:autoSpaceDE w:val="0"/>
              <w:autoSpaceDN w:val="0"/>
              <w:spacing w:line="240" w:lineRule="auto"/>
              <w:ind w:left="0"/>
              <w:jc w:val="center"/>
              <w:rPr>
                <w:bCs/>
                <w:sz w:val="20"/>
                <w:lang w:val="en-GB"/>
              </w:rPr>
            </w:pPr>
            <w:r w:rsidRPr="00001C64">
              <w:rPr>
                <w:bCs/>
                <w:sz w:val="20"/>
                <w:lang w:val="en-GB"/>
              </w:rPr>
              <w:t>Statistics</w:t>
            </w:r>
          </w:p>
        </w:tc>
        <w:tc>
          <w:tcPr>
            <w:tcW w:w="3051" w:type="pct"/>
            <w:tcBorders>
              <w:top w:val="single" w:sz="8" w:space="0" w:color="auto"/>
              <w:bottom w:val="single" w:sz="4" w:space="0" w:color="auto"/>
            </w:tcBorders>
            <w:shd w:val="clear" w:color="auto" w:fill="auto"/>
            <w:vAlign w:val="center"/>
          </w:tcPr>
          <w:p w14:paraId="3173E5BA" w14:textId="77777777" w:rsidR="00E93F94" w:rsidRPr="00001C64" w:rsidRDefault="00E93F94" w:rsidP="00BA1918">
            <w:pPr>
              <w:autoSpaceDE w:val="0"/>
              <w:autoSpaceDN w:val="0"/>
              <w:adjustRightInd w:val="0"/>
              <w:snapToGrid w:val="0"/>
              <w:spacing w:line="240" w:lineRule="auto"/>
              <w:jc w:val="center"/>
              <w:rPr>
                <w:bCs/>
                <w:noProof w:val="0"/>
                <w:color w:val="010205"/>
                <w:lang w:val="en-GB"/>
              </w:rPr>
            </w:pPr>
            <w:r w:rsidRPr="00001C64">
              <w:rPr>
                <w:bCs/>
                <w:noProof w:val="0"/>
                <w:color w:val="010205"/>
                <w:lang w:val="en-GB"/>
              </w:rPr>
              <w:t>Presence of Circular Economy (Yes/No) and Port Size (Southampton System port grouping)</w:t>
            </w:r>
          </w:p>
        </w:tc>
      </w:tr>
      <w:tr w:rsidR="00C54694" w:rsidRPr="00FD0336" w14:paraId="6FC67726" w14:textId="77777777" w:rsidTr="00BA1918">
        <w:tc>
          <w:tcPr>
            <w:tcW w:w="1949" w:type="pct"/>
            <w:tcBorders>
              <w:top w:val="single" w:sz="4" w:space="0" w:color="auto"/>
            </w:tcBorders>
            <w:shd w:val="clear" w:color="auto" w:fill="auto"/>
            <w:vAlign w:val="center"/>
          </w:tcPr>
          <w:p w14:paraId="3EF86329"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Correlation Coefficient (Spearman’s Rank)</w:t>
            </w:r>
          </w:p>
        </w:tc>
        <w:tc>
          <w:tcPr>
            <w:tcW w:w="3051" w:type="pct"/>
            <w:tcBorders>
              <w:top w:val="single" w:sz="4" w:space="0" w:color="auto"/>
            </w:tcBorders>
            <w:shd w:val="clear" w:color="auto" w:fill="auto"/>
            <w:vAlign w:val="center"/>
          </w:tcPr>
          <w:p w14:paraId="5A00E7B8"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0.321</w:t>
            </w:r>
          </w:p>
        </w:tc>
      </w:tr>
      <w:tr w:rsidR="00C54694" w:rsidRPr="00FD0336" w14:paraId="5C03FEEC" w14:textId="77777777" w:rsidTr="00BA1918">
        <w:tc>
          <w:tcPr>
            <w:tcW w:w="1949" w:type="pct"/>
            <w:shd w:val="clear" w:color="auto" w:fill="auto"/>
            <w:vAlign w:val="center"/>
          </w:tcPr>
          <w:p w14:paraId="2BD5EFEE"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Sig (2 tailed)</w:t>
            </w:r>
          </w:p>
        </w:tc>
        <w:tc>
          <w:tcPr>
            <w:tcW w:w="3051" w:type="pct"/>
            <w:shd w:val="clear" w:color="auto" w:fill="auto"/>
            <w:vAlign w:val="center"/>
          </w:tcPr>
          <w:p w14:paraId="49625281"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0.046</w:t>
            </w:r>
          </w:p>
        </w:tc>
      </w:tr>
      <w:tr w:rsidR="00C54694" w:rsidRPr="00FD0336" w14:paraId="3AA7B7F2" w14:textId="77777777" w:rsidTr="00BA1918">
        <w:tc>
          <w:tcPr>
            <w:tcW w:w="1949" w:type="pct"/>
            <w:shd w:val="clear" w:color="auto" w:fill="auto"/>
            <w:vAlign w:val="center"/>
          </w:tcPr>
          <w:p w14:paraId="20577855"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N</w:t>
            </w:r>
          </w:p>
        </w:tc>
        <w:tc>
          <w:tcPr>
            <w:tcW w:w="3051" w:type="pct"/>
            <w:shd w:val="clear" w:color="auto" w:fill="auto"/>
            <w:vAlign w:val="center"/>
          </w:tcPr>
          <w:p w14:paraId="56B00B20" w14:textId="77777777" w:rsidR="00E93F94" w:rsidRPr="00FD0336" w:rsidRDefault="00E93F94" w:rsidP="00BA1918">
            <w:pPr>
              <w:autoSpaceDE w:val="0"/>
              <w:autoSpaceDN w:val="0"/>
              <w:adjustRightInd w:val="0"/>
              <w:snapToGrid w:val="0"/>
              <w:spacing w:line="240" w:lineRule="auto"/>
              <w:jc w:val="center"/>
              <w:rPr>
                <w:noProof w:val="0"/>
                <w:color w:val="010205"/>
                <w:lang w:val="en-GB"/>
              </w:rPr>
            </w:pPr>
            <w:r w:rsidRPr="00FD0336">
              <w:rPr>
                <w:noProof w:val="0"/>
                <w:color w:val="010205"/>
                <w:lang w:val="en-GB"/>
              </w:rPr>
              <w:t>39</w:t>
            </w:r>
          </w:p>
        </w:tc>
      </w:tr>
    </w:tbl>
    <w:p w14:paraId="4F489947" w14:textId="37F026C3" w:rsidR="00E93F94" w:rsidRPr="00FD0336" w:rsidRDefault="00E93F94" w:rsidP="00BA1918">
      <w:pPr>
        <w:pStyle w:val="MDPI31text"/>
        <w:rPr>
          <w:lang w:val="en-GB"/>
        </w:rPr>
      </w:pPr>
      <w:r w:rsidRPr="00FD0336">
        <w:rPr>
          <w:lang w:val="en-GB"/>
        </w:rPr>
        <w:t xml:space="preserve">Table 7 shows a moderate association between the presence of </w:t>
      </w:r>
      <w:r w:rsidR="00740E02">
        <w:rPr>
          <w:lang w:val="en-GB"/>
        </w:rPr>
        <w:t xml:space="preserve">a </w:t>
      </w:r>
      <w:r w:rsidRPr="00FD0336">
        <w:rPr>
          <w:lang w:val="en-GB"/>
        </w:rPr>
        <w:t>port</w:t>
      </w:r>
      <w:r w:rsidR="00740E02">
        <w:rPr>
          <w:lang w:val="en-GB"/>
        </w:rPr>
        <w:t>’s</w:t>
      </w:r>
      <w:r w:rsidRPr="00FD0336">
        <w:rPr>
          <w:lang w:val="en-GB"/>
        </w:rPr>
        <w:t xml:space="preserve"> industrial development and respondents believing that the local population </w:t>
      </w:r>
      <w:r w:rsidR="00740E02">
        <w:rPr>
          <w:lang w:val="en-GB"/>
        </w:rPr>
        <w:t>is</w:t>
      </w:r>
      <w:r w:rsidR="00740E02" w:rsidRPr="00FD0336">
        <w:rPr>
          <w:lang w:val="en-GB"/>
        </w:rPr>
        <w:t xml:space="preserve"> </w:t>
      </w:r>
      <w:r w:rsidRPr="00FD0336">
        <w:rPr>
          <w:lang w:val="en-GB"/>
        </w:rPr>
        <w:t xml:space="preserve">aware of the benefits the port provides. </w:t>
      </w:r>
    </w:p>
    <w:p w14:paraId="2F2D14E2" w14:textId="130BCBC7" w:rsidR="00E93F94" w:rsidRPr="00FD0336" w:rsidRDefault="00BA1918" w:rsidP="00BA1918">
      <w:pPr>
        <w:pStyle w:val="MDPI41tablecaption"/>
        <w:rPr>
          <w:lang w:val="en-GB"/>
        </w:rPr>
      </w:pPr>
      <w:r w:rsidRPr="00FD0336">
        <w:rPr>
          <w:b/>
          <w:lang w:val="en-GB"/>
        </w:rPr>
        <w:t xml:space="preserve">Table 7. </w:t>
      </w:r>
      <w:r w:rsidR="00740E02">
        <w:rPr>
          <w:lang w:val="en-GB"/>
        </w:rPr>
        <w:t>The a</w:t>
      </w:r>
      <w:r w:rsidR="00E93F94" w:rsidRPr="00FD0336">
        <w:rPr>
          <w:lang w:val="en-GB"/>
        </w:rPr>
        <w:t xml:space="preserve">ssociation between port industrial development and perceived awareness of the local population </w:t>
      </w:r>
      <w:r w:rsidR="00740E02">
        <w:rPr>
          <w:lang w:val="en-GB"/>
        </w:rPr>
        <w:t>(</w:t>
      </w:r>
      <w:r w:rsidR="00E93F94" w:rsidRPr="00FD0336">
        <w:rPr>
          <w:lang w:val="en-GB"/>
        </w:rPr>
        <w:t>about the benefits of the port</w:t>
      </w:r>
      <w:r w:rsidR="00740E02">
        <w:rPr>
          <w:lang w:val="en-GB"/>
        </w:rPr>
        <w:t>)</w:t>
      </w:r>
      <w:r w:rsidR="00E93F94" w:rsidRPr="00FD0336">
        <w:rPr>
          <w:lang w:val="en-GB"/>
        </w:rPr>
        <w:t>.</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2"/>
        <w:gridCol w:w="709"/>
        <w:gridCol w:w="1794"/>
        <w:gridCol w:w="2175"/>
        <w:gridCol w:w="967"/>
      </w:tblGrid>
      <w:tr w:rsidR="00C54694" w:rsidRPr="00FD0336" w14:paraId="5A236E10" w14:textId="77777777" w:rsidTr="0029190A">
        <w:tc>
          <w:tcPr>
            <w:tcW w:w="2212" w:type="dxa"/>
            <w:tcBorders>
              <w:top w:val="single" w:sz="8" w:space="0" w:color="auto"/>
              <w:bottom w:val="single" w:sz="4" w:space="0" w:color="auto"/>
            </w:tcBorders>
            <w:shd w:val="clear" w:color="auto" w:fill="auto"/>
            <w:vAlign w:val="center"/>
          </w:tcPr>
          <w:p w14:paraId="6F86DEA4" w14:textId="77777777" w:rsidR="00E93F94" w:rsidRPr="00FD0336" w:rsidRDefault="00E93F94" w:rsidP="00BA1918">
            <w:pPr>
              <w:autoSpaceDE w:val="0"/>
              <w:autoSpaceDN w:val="0"/>
              <w:adjustRightInd w:val="0"/>
              <w:snapToGrid w:val="0"/>
              <w:spacing w:line="240" w:lineRule="auto"/>
              <w:jc w:val="center"/>
              <w:rPr>
                <w:b/>
                <w:noProof w:val="0"/>
                <w:color w:val="000000" w:themeColor="text1"/>
                <w:lang w:val="en-GB"/>
              </w:rPr>
            </w:pPr>
          </w:p>
        </w:tc>
        <w:tc>
          <w:tcPr>
            <w:tcW w:w="709" w:type="dxa"/>
            <w:shd w:val="clear" w:color="auto" w:fill="auto"/>
            <w:vAlign w:val="center"/>
          </w:tcPr>
          <w:p w14:paraId="241830CB"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p>
        </w:tc>
        <w:tc>
          <w:tcPr>
            <w:tcW w:w="3969" w:type="dxa"/>
            <w:gridSpan w:val="2"/>
            <w:shd w:val="clear" w:color="auto" w:fill="auto"/>
            <w:vAlign w:val="center"/>
          </w:tcPr>
          <w:p w14:paraId="4F148EEC" w14:textId="469548F7" w:rsidR="00E93F94" w:rsidRPr="00FD0336" w:rsidRDefault="00E93F94" w:rsidP="00232DB2">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Response to the question "Do you feel the local population </w:t>
            </w:r>
            <w:r w:rsidR="00740E02">
              <w:rPr>
                <w:noProof w:val="0"/>
                <w:color w:val="000000" w:themeColor="text1"/>
                <w:lang w:val="en-GB"/>
              </w:rPr>
              <w:t>is</w:t>
            </w:r>
            <w:r w:rsidR="00740E02" w:rsidRPr="00FD0336">
              <w:rPr>
                <w:noProof w:val="0"/>
                <w:color w:val="000000" w:themeColor="text1"/>
                <w:lang w:val="en-GB"/>
              </w:rPr>
              <w:t xml:space="preserve"> </w:t>
            </w:r>
            <w:r w:rsidRPr="00FD0336">
              <w:rPr>
                <w:noProof w:val="0"/>
                <w:color w:val="000000" w:themeColor="text1"/>
                <w:lang w:val="en-GB"/>
              </w:rPr>
              <w:t>aware of the benefits the port provides?</w:t>
            </w:r>
            <w:r w:rsidR="00740E02">
              <w:rPr>
                <w:noProof w:val="0"/>
                <w:color w:val="000000" w:themeColor="text1"/>
                <w:lang w:val="en-GB"/>
              </w:rPr>
              <w:t>”</w:t>
            </w:r>
          </w:p>
        </w:tc>
        <w:tc>
          <w:tcPr>
            <w:tcW w:w="967" w:type="dxa"/>
            <w:shd w:val="clear" w:color="auto" w:fill="auto"/>
            <w:vAlign w:val="center"/>
          </w:tcPr>
          <w:p w14:paraId="62BBCFE5"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p>
        </w:tc>
      </w:tr>
      <w:tr w:rsidR="00C54694" w:rsidRPr="00FD0336" w14:paraId="532E5815" w14:textId="77777777" w:rsidTr="0029190A">
        <w:tc>
          <w:tcPr>
            <w:tcW w:w="2212" w:type="dxa"/>
            <w:tcBorders>
              <w:top w:val="single" w:sz="4" w:space="0" w:color="auto"/>
              <w:bottom w:val="single" w:sz="4" w:space="0" w:color="auto"/>
            </w:tcBorders>
            <w:shd w:val="clear" w:color="auto" w:fill="auto"/>
            <w:vAlign w:val="center"/>
          </w:tcPr>
          <w:p w14:paraId="1C424EE8" w14:textId="77777777" w:rsidR="00E93F94" w:rsidRPr="00FD0336" w:rsidRDefault="00E93F94" w:rsidP="00BA1918">
            <w:pPr>
              <w:autoSpaceDE w:val="0"/>
              <w:autoSpaceDN w:val="0"/>
              <w:adjustRightInd w:val="0"/>
              <w:snapToGrid w:val="0"/>
              <w:spacing w:line="240" w:lineRule="auto"/>
              <w:jc w:val="center"/>
              <w:rPr>
                <w:b/>
                <w:noProof w:val="0"/>
                <w:color w:val="000000" w:themeColor="text1"/>
                <w:lang w:val="en-GB"/>
              </w:rPr>
            </w:pPr>
          </w:p>
        </w:tc>
        <w:tc>
          <w:tcPr>
            <w:tcW w:w="709" w:type="dxa"/>
            <w:shd w:val="clear" w:color="auto" w:fill="auto"/>
            <w:vAlign w:val="center"/>
          </w:tcPr>
          <w:p w14:paraId="36D9CDC2"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p>
        </w:tc>
        <w:tc>
          <w:tcPr>
            <w:tcW w:w="1794" w:type="dxa"/>
            <w:shd w:val="clear" w:color="auto" w:fill="auto"/>
            <w:vAlign w:val="center"/>
          </w:tcPr>
          <w:p w14:paraId="5CB75D26"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2175" w:type="dxa"/>
            <w:shd w:val="clear" w:color="auto" w:fill="auto"/>
            <w:vAlign w:val="center"/>
          </w:tcPr>
          <w:p w14:paraId="017D5433"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967" w:type="dxa"/>
            <w:shd w:val="clear" w:color="auto" w:fill="auto"/>
            <w:vAlign w:val="center"/>
          </w:tcPr>
          <w:p w14:paraId="4013D064"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r>
      <w:tr w:rsidR="00C54694" w:rsidRPr="00FD0336" w14:paraId="26DF1BDB" w14:textId="77777777" w:rsidTr="0029190A">
        <w:tc>
          <w:tcPr>
            <w:tcW w:w="2212" w:type="dxa"/>
            <w:vMerge w:val="restart"/>
            <w:tcBorders>
              <w:top w:val="single" w:sz="4" w:space="0" w:color="auto"/>
            </w:tcBorders>
            <w:shd w:val="clear" w:color="auto" w:fill="auto"/>
            <w:vAlign w:val="center"/>
          </w:tcPr>
          <w:p w14:paraId="33F5F512"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Does the port contain industrial development?</w:t>
            </w:r>
          </w:p>
        </w:tc>
        <w:tc>
          <w:tcPr>
            <w:tcW w:w="709" w:type="dxa"/>
            <w:shd w:val="clear" w:color="auto" w:fill="auto"/>
            <w:vAlign w:val="center"/>
          </w:tcPr>
          <w:p w14:paraId="7DC78C67"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1794" w:type="dxa"/>
            <w:shd w:val="clear" w:color="auto" w:fill="auto"/>
            <w:vAlign w:val="center"/>
          </w:tcPr>
          <w:p w14:paraId="6B623597"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w:t>
            </w:r>
          </w:p>
        </w:tc>
        <w:tc>
          <w:tcPr>
            <w:tcW w:w="2175" w:type="dxa"/>
            <w:shd w:val="clear" w:color="auto" w:fill="auto"/>
            <w:vAlign w:val="center"/>
          </w:tcPr>
          <w:p w14:paraId="31AECA88"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w:t>
            </w:r>
          </w:p>
        </w:tc>
        <w:tc>
          <w:tcPr>
            <w:tcW w:w="967" w:type="dxa"/>
            <w:shd w:val="clear" w:color="auto" w:fill="auto"/>
            <w:vAlign w:val="center"/>
          </w:tcPr>
          <w:p w14:paraId="199C93CF"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10</w:t>
            </w:r>
          </w:p>
        </w:tc>
      </w:tr>
      <w:tr w:rsidR="00C54694" w:rsidRPr="00FD0336" w14:paraId="0D186844" w14:textId="77777777" w:rsidTr="0029190A">
        <w:tc>
          <w:tcPr>
            <w:tcW w:w="2212" w:type="dxa"/>
            <w:vMerge/>
            <w:shd w:val="clear" w:color="auto" w:fill="auto"/>
            <w:vAlign w:val="center"/>
          </w:tcPr>
          <w:p w14:paraId="583C681D"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p>
        </w:tc>
        <w:tc>
          <w:tcPr>
            <w:tcW w:w="709" w:type="dxa"/>
            <w:shd w:val="clear" w:color="auto" w:fill="auto"/>
            <w:vAlign w:val="center"/>
          </w:tcPr>
          <w:p w14:paraId="20730C49"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1794" w:type="dxa"/>
            <w:shd w:val="clear" w:color="auto" w:fill="auto"/>
            <w:vAlign w:val="center"/>
          </w:tcPr>
          <w:p w14:paraId="78AB07A3"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w:t>
            </w:r>
          </w:p>
        </w:tc>
        <w:tc>
          <w:tcPr>
            <w:tcW w:w="2175" w:type="dxa"/>
            <w:shd w:val="clear" w:color="auto" w:fill="auto"/>
            <w:vAlign w:val="center"/>
          </w:tcPr>
          <w:p w14:paraId="5450DE1E"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13</w:t>
            </w:r>
          </w:p>
        </w:tc>
        <w:tc>
          <w:tcPr>
            <w:tcW w:w="967" w:type="dxa"/>
            <w:shd w:val="clear" w:color="auto" w:fill="auto"/>
            <w:vAlign w:val="center"/>
          </w:tcPr>
          <w:p w14:paraId="3D65FFF0"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22</w:t>
            </w:r>
          </w:p>
        </w:tc>
      </w:tr>
      <w:tr w:rsidR="00C54694" w:rsidRPr="00FD0336" w14:paraId="2F3F7B2D" w14:textId="77777777" w:rsidTr="0029190A">
        <w:tc>
          <w:tcPr>
            <w:tcW w:w="2921" w:type="dxa"/>
            <w:gridSpan w:val="2"/>
            <w:shd w:val="clear" w:color="auto" w:fill="auto"/>
            <w:vAlign w:val="center"/>
          </w:tcPr>
          <w:p w14:paraId="7C64B684"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c>
          <w:tcPr>
            <w:tcW w:w="1794" w:type="dxa"/>
            <w:shd w:val="clear" w:color="auto" w:fill="auto"/>
            <w:vAlign w:val="center"/>
          </w:tcPr>
          <w:p w14:paraId="3EBAE089"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18</w:t>
            </w:r>
          </w:p>
        </w:tc>
        <w:tc>
          <w:tcPr>
            <w:tcW w:w="2175" w:type="dxa"/>
            <w:shd w:val="clear" w:color="auto" w:fill="auto"/>
            <w:vAlign w:val="center"/>
          </w:tcPr>
          <w:p w14:paraId="2244C7E8"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w:t>
            </w:r>
          </w:p>
        </w:tc>
        <w:tc>
          <w:tcPr>
            <w:tcW w:w="967" w:type="dxa"/>
            <w:shd w:val="clear" w:color="auto" w:fill="auto"/>
            <w:vAlign w:val="center"/>
          </w:tcPr>
          <w:p w14:paraId="43B5C47B"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32</w:t>
            </w:r>
          </w:p>
        </w:tc>
      </w:tr>
      <w:tr w:rsidR="00C54694" w:rsidRPr="00FD0336" w14:paraId="0AC7B692" w14:textId="77777777" w:rsidTr="0029190A">
        <w:tc>
          <w:tcPr>
            <w:tcW w:w="6890" w:type="dxa"/>
            <w:gridSpan w:val="4"/>
            <w:shd w:val="clear" w:color="auto" w:fill="auto"/>
            <w:vAlign w:val="center"/>
          </w:tcPr>
          <w:p w14:paraId="316534AE" w14:textId="681D03FE"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740E02">
              <w:rPr>
                <w:noProof w:val="0"/>
                <w:color w:val="000000" w:themeColor="text1"/>
                <w:lang w:val="en-GB"/>
              </w:rPr>
              <w:t>s</w:t>
            </w:r>
            <w:r w:rsidRPr="00FD0336">
              <w:rPr>
                <w:noProof w:val="0"/>
                <w:color w:val="000000" w:themeColor="text1"/>
                <w:lang w:val="en-GB"/>
              </w:rPr>
              <w:t>quared</w:t>
            </w:r>
          </w:p>
        </w:tc>
        <w:tc>
          <w:tcPr>
            <w:tcW w:w="967" w:type="dxa"/>
            <w:shd w:val="clear" w:color="auto" w:fill="auto"/>
            <w:vAlign w:val="center"/>
          </w:tcPr>
          <w:p w14:paraId="12A2CE0E"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6.73</w:t>
            </w:r>
          </w:p>
        </w:tc>
      </w:tr>
      <w:tr w:rsidR="00C54694" w:rsidRPr="00FD0336" w14:paraId="305B8E8D" w14:textId="77777777" w:rsidTr="0029190A">
        <w:tc>
          <w:tcPr>
            <w:tcW w:w="6890" w:type="dxa"/>
            <w:gridSpan w:val="4"/>
            <w:shd w:val="clear" w:color="auto" w:fill="auto"/>
            <w:vAlign w:val="center"/>
          </w:tcPr>
          <w:p w14:paraId="2AB3BD75"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967" w:type="dxa"/>
            <w:shd w:val="clear" w:color="auto" w:fill="auto"/>
            <w:vAlign w:val="center"/>
          </w:tcPr>
          <w:p w14:paraId="4C77F0BE"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4.88</w:t>
            </w:r>
          </w:p>
        </w:tc>
      </w:tr>
      <w:tr w:rsidR="00C54694" w:rsidRPr="00FD0336" w14:paraId="00DB518D" w14:textId="77777777" w:rsidTr="0029190A">
        <w:tc>
          <w:tcPr>
            <w:tcW w:w="6890" w:type="dxa"/>
            <w:gridSpan w:val="4"/>
            <w:shd w:val="clear" w:color="auto" w:fill="auto"/>
            <w:vAlign w:val="center"/>
          </w:tcPr>
          <w:p w14:paraId="437895C8"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(continuity correction)</w:t>
            </w:r>
          </w:p>
        </w:tc>
        <w:tc>
          <w:tcPr>
            <w:tcW w:w="967" w:type="dxa"/>
            <w:shd w:val="clear" w:color="auto" w:fill="auto"/>
            <w:vAlign w:val="center"/>
          </w:tcPr>
          <w:p w14:paraId="0416FC57"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0.02</w:t>
            </w:r>
          </w:p>
        </w:tc>
      </w:tr>
      <w:tr w:rsidR="00C54694" w:rsidRPr="00FD0336" w14:paraId="588C8376" w14:textId="77777777" w:rsidTr="0029190A">
        <w:tc>
          <w:tcPr>
            <w:tcW w:w="6890" w:type="dxa"/>
            <w:gridSpan w:val="4"/>
            <w:shd w:val="clear" w:color="auto" w:fill="auto"/>
            <w:vAlign w:val="center"/>
          </w:tcPr>
          <w:p w14:paraId="78D44DAF" w14:textId="3C2F266D"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w:t>
            </w:r>
            <w:r w:rsidR="00740E02">
              <w:rPr>
                <w:noProof w:val="0"/>
                <w:color w:val="000000" w:themeColor="text1"/>
                <w:lang w:val="en-GB"/>
              </w:rPr>
              <w:t>two</w:t>
            </w:r>
            <w:r w:rsidRPr="00FD0336">
              <w:rPr>
                <w:noProof w:val="0"/>
                <w:color w:val="000000" w:themeColor="text1"/>
                <w:lang w:val="en-GB"/>
              </w:rPr>
              <w:t>-tailed) using Fisher's exact test</w:t>
            </w:r>
          </w:p>
        </w:tc>
        <w:tc>
          <w:tcPr>
            <w:tcW w:w="967" w:type="dxa"/>
            <w:shd w:val="clear" w:color="auto" w:fill="auto"/>
            <w:vAlign w:val="center"/>
          </w:tcPr>
          <w:p w14:paraId="03B52D03"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0.019</w:t>
            </w:r>
          </w:p>
        </w:tc>
      </w:tr>
      <w:tr w:rsidR="00C54694" w:rsidRPr="00FD0336" w14:paraId="70984BF9" w14:textId="77777777" w:rsidTr="0029190A">
        <w:tc>
          <w:tcPr>
            <w:tcW w:w="6890" w:type="dxa"/>
            <w:gridSpan w:val="4"/>
            <w:shd w:val="clear" w:color="auto" w:fill="auto"/>
            <w:vAlign w:val="center"/>
          </w:tcPr>
          <w:p w14:paraId="219C28A0" w14:textId="77E206CD"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 (</w:t>
            </w:r>
            <w:r w:rsidR="00130E6C">
              <w:rPr>
                <w:noProof w:val="0"/>
                <w:color w:val="000000" w:themeColor="text1"/>
                <w:lang w:val="en-GB"/>
              </w:rPr>
              <w:t>s</w:t>
            </w:r>
            <w:r w:rsidRPr="00FD0336">
              <w:rPr>
                <w:noProof w:val="0"/>
                <w:color w:val="000000" w:themeColor="text1"/>
                <w:lang w:val="en-GB"/>
              </w:rPr>
              <w:t>trength of association)</w:t>
            </w:r>
          </w:p>
        </w:tc>
        <w:tc>
          <w:tcPr>
            <w:tcW w:w="967" w:type="dxa"/>
            <w:shd w:val="clear" w:color="auto" w:fill="auto"/>
            <w:vAlign w:val="center"/>
          </w:tcPr>
          <w:p w14:paraId="7ECF4508" w14:textId="77777777" w:rsidR="00E93F94" w:rsidRPr="00FD0336" w:rsidRDefault="00E93F94" w:rsidP="00BA1918">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0.46</w:t>
            </w:r>
          </w:p>
        </w:tc>
      </w:tr>
    </w:tbl>
    <w:p w14:paraId="1DA78A44" w14:textId="352BD332" w:rsidR="00E93F94" w:rsidRPr="00FD0336" w:rsidRDefault="00E93F94" w:rsidP="0029190A">
      <w:pPr>
        <w:pStyle w:val="MDPI31text"/>
        <w:rPr>
          <w:lang w:val="en-GB"/>
        </w:rPr>
      </w:pPr>
      <w:r w:rsidRPr="00FD0336">
        <w:rPr>
          <w:lang w:val="en-GB"/>
        </w:rPr>
        <w:t xml:space="preserve">The association between attitudes towards encouraging waterfront development and perceived awareness of the local population of the benefits of the port </w:t>
      </w:r>
      <w:r w:rsidR="000310D3">
        <w:rPr>
          <w:lang w:val="en-GB"/>
        </w:rPr>
        <w:t>are</w:t>
      </w:r>
      <w:r w:rsidR="000310D3" w:rsidRPr="00FD0336">
        <w:rPr>
          <w:lang w:val="en-GB"/>
        </w:rPr>
        <w:t xml:space="preserve"> </w:t>
      </w:r>
      <w:r w:rsidRPr="00FD0336">
        <w:rPr>
          <w:lang w:val="en-GB"/>
        </w:rPr>
        <w:t xml:space="preserve">presented in Table 8. It shows a moderate association between the desire to encourage waterfront development and the respondent feeling the local population are aware of the benefits the </w:t>
      </w:r>
      <w:r w:rsidRPr="00FD0336">
        <w:rPr>
          <w:lang w:val="en-GB"/>
        </w:rPr>
        <w:lastRenderedPageBreak/>
        <w:t>port provides. This result is statistically significant using chi-squared; however, when continuity correction is used</w:t>
      </w:r>
      <w:r w:rsidR="000310D3">
        <w:rPr>
          <w:lang w:val="en-GB"/>
        </w:rPr>
        <w:t>,</w:t>
      </w:r>
      <w:r w:rsidRPr="00FD0336">
        <w:rPr>
          <w:lang w:val="en-GB"/>
        </w:rPr>
        <w:t xml:space="preserve"> it ceases to be so.</w:t>
      </w:r>
    </w:p>
    <w:p w14:paraId="3F702174" w14:textId="66522696" w:rsidR="00E93F94" w:rsidRPr="00FD0336" w:rsidRDefault="0029190A" w:rsidP="0029190A">
      <w:pPr>
        <w:pStyle w:val="MDPI41tablecaption"/>
        <w:rPr>
          <w:lang w:val="en-GB"/>
        </w:rPr>
      </w:pPr>
      <w:r w:rsidRPr="00FD0336">
        <w:rPr>
          <w:b/>
          <w:lang w:val="en-GB"/>
        </w:rPr>
        <w:t xml:space="preserve">Table 8. </w:t>
      </w:r>
      <w:r w:rsidR="00E93F94" w:rsidRPr="00FD0336">
        <w:rPr>
          <w:lang w:val="en-GB"/>
        </w:rPr>
        <w:t xml:space="preserve">Attitudes towards encouraging waterfront development and perceived awareness of the local population </w:t>
      </w:r>
      <w:r w:rsidR="000310D3">
        <w:rPr>
          <w:lang w:val="en-GB"/>
        </w:rPr>
        <w:t>(</w:t>
      </w:r>
      <w:r w:rsidR="00E93F94" w:rsidRPr="00FD0336">
        <w:rPr>
          <w:lang w:val="en-GB"/>
        </w:rPr>
        <w:t>about the benefits of the port</w:t>
      </w:r>
      <w:r w:rsidR="000310D3">
        <w:rPr>
          <w:lang w:val="en-GB"/>
        </w:rPr>
        <w:t>)</w:t>
      </w:r>
      <w:r w:rsidR="00E93F94" w:rsidRPr="00FD0336">
        <w:rPr>
          <w:lang w:val="en-GB"/>
        </w:rPr>
        <w:t>.</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2"/>
        <w:gridCol w:w="850"/>
        <w:gridCol w:w="1653"/>
        <w:gridCol w:w="2033"/>
        <w:gridCol w:w="1109"/>
      </w:tblGrid>
      <w:tr w:rsidR="00C54694" w:rsidRPr="00FD0336" w14:paraId="2F469789" w14:textId="77777777" w:rsidTr="0029190A">
        <w:tc>
          <w:tcPr>
            <w:tcW w:w="2212" w:type="dxa"/>
            <w:tcBorders>
              <w:top w:val="single" w:sz="8" w:space="0" w:color="auto"/>
              <w:bottom w:val="single" w:sz="4" w:space="0" w:color="auto"/>
            </w:tcBorders>
            <w:shd w:val="clear" w:color="auto" w:fill="auto"/>
            <w:vAlign w:val="center"/>
          </w:tcPr>
          <w:p w14:paraId="4BC0354F"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0" w:type="dxa"/>
            <w:shd w:val="clear" w:color="auto" w:fill="auto"/>
            <w:vAlign w:val="center"/>
          </w:tcPr>
          <w:p w14:paraId="27C9ED3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3686" w:type="dxa"/>
            <w:gridSpan w:val="2"/>
            <w:shd w:val="clear" w:color="auto" w:fill="auto"/>
            <w:vAlign w:val="center"/>
          </w:tcPr>
          <w:p w14:paraId="089D544F" w14:textId="789F240D" w:rsidR="00E93F94" w:rsidRPr="00FD0336" w:rsidRDefault="00E93F94" w:rsidP="00232DB2">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Response to "Do you feel the local population </w:t>
            </w:r>
            <w:r w:rsidR="000310D3">
              <w:rPr>
                <w:noProof w:val="0"/>
                <w:color w:val="000000" w:themeColor="text1"/>
                <w:lang w:val="en-GB"/>
              </w:rPr>
              <w:t>is</w:t>
            </w:r>
            <w:r w:rsidR="000310D3" w:rsidRPr="00FD0336">
              <w:rPr>
                <w:noProof w:val="0"/>
                <w:color w:val="000000" w:themeColor="text1"/>
                <w:lang w:val="en-GB"/>
              </w:rPr>
              <w:t xml:space="preserve"> </w:t>
            </w:r>
            <w:r w:rsidRPr="00FD0336">
              <w:rPr>
                <w:noProof w:val="0"/>
                <w:color w:val="000000" w:themeColor="text1"/>
                <w:lang w:val="en-GB"/>
              </w:rPr>
              <w:t>aware of the benefits the port provides?"</w:t>
            </w:r>
          </w:p>
        </w:tc>
        <w:tc>
          <w:tcPr>
            <w:tcW w:w="1109" w:type="dxa"/>
            <w:shd w:val="clear" w:color="auto" w:fill="auto"/>
            <w:vAlign w:val="center"/>
          </w:tcPr>
          <w:p w14:paraId="16B8169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r>
      <w:tr w:rsidR="00C54694" w:rsidRPr="00FD0336" w14:paraId="25C4E17D" w14:textId="77777777" w:rsidTr="0029190A">
        <w:tc>
          <w:tcPr>
            <w:tcW w:w="2212" w:type="dxa"/>
            <w:tcBorders>
              <w:top w:val="single" w:sz="4" w:space="0" w:color="auto"/>
              <w:bottom w:val="single" w:sz="4" w:space="0" w:color="auto"/>
            </w:tcBorders>
            <w:shd w:val="clear" w:color="auto" w:fill="auto"/>
            <w:vAlign w:val="center"/>
          </w:tcPr>
          <w:p w14:paraId="42303AF6"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0" w:type="dxa"/>
            <w:shd w:val="clear" w:color="auto" w:fill="auto"/>
            <w:vAlign w:val="center"/>
          </w:tcPr>
          <w:p w14:paraId="4F52C13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1653" w:type="dxa"/>
            <w:shd w:val="clear" w:color="auto" w:fill="auto"/>
            <w:vAlign w:val="center"/>
          </w:tcPr>
          <w:p w14:paraId="34CA35C4"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2033" w:type="dxa"/>
            <w:shd w:val="clear" w:color="auto" w:fill="auto"/>
            <w:vAlign w:val="center"/>
          </w:tcPr>
          <w:p w14:paraId="4C7D663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1109" w:type="dxa"/>
            <w:shd w:val="clear" w:color="auto" w:fill="auto"/>
            <w:vAlign w:val="center"/>
          </w:tcPr>
          <w:p w14:paraId="01C60BF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r>
      <w:tr w:rsidR="00C54694" w:rsidRPr="00FD0336" w14:paraId="67326F59" w14:textId="77777777" w:rsidTr="0029190A">
        <w:tc>
          <w:tcPr>
            <w:tcW w:w="2212" w:type="dxa"/>
            <w:vMerge w:val="restart"/>
            <w:tcBorders>
              <w:top w:val="single" w:sz="4" w:space="0" w:color="auto"/>
            </w:tcBorders>
            <w:shd w:val="clear" w:color="auto" w:fill="auto"/>
            <w:vAlign w:val="center"/>
          </w:tcPr>
          <w:p w14:paraId="0D0B3016"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Is the port interested in encouraging waterfront development?</w:t>
            </w:r>
          </w:p>
        </w:tc>
        <w:tc>
          <w:tcPr>
            <w:tcW w:w="850" w:type="dxa"/>
            <w:shd w:val="clear" w:color="auto" w:fill="auto"/>
            <w:vAlign w:val="center"/>
          </w:tcPr>
          <w:p w14:paraId="014084E7"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1653" w:type="dxa"/>
            <w:shd w:val="clear" w:color="auto" w:fill="auto"/>
            <w:vAlign w:val="center"/>
          </w:tcPr>
          <w:p w14:paraId="23373B4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12</w:t>
            </w:r>
          </w:p>
        </w:tc>
        <w:tc>
          <w:tcPr>
            <w:tcW w:w="2033" w:type="dxa"/>
            <w:shd w:val="clear" w:color="auto" w:fill="auto"/>
            <w:vAlign w:val="center"/>
          </w:tcPr>
          <w:p w14:paraId="18E9F6D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w:t>
            </w:r>
          </w:p>
        </w:tc>
        <w:tc>
          <w:tcPr>
            <w:tcW w:w="1109" w:type="dxa"/>
            <w:shd w:val="clear" w:color="auto" w:fill="auto"/>
            <w:vAlign w:val="center"/>
          </w:tcPr>
          <w:p w14:paraId="62AECE6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16</w:t>
            </w:r>
          </w:p>
        </w:tc>
      </w:tr>
      <w:tr w:rsidR="00C54694" w:rsidRPr="00FD0336" w14:paraId="3296ABF6" w14:textId="77777777" w:rsidTr="0029190A">
        <w:tc>
          <w:tcPr>
            <w:tcW w:w="2212" w:type="dxa"/>
            <w:vMerge/>
            <w:shd w:val="clear" w:color="auto" w:fill="auto"/>
            <w:vAlign w:val="center"/>
          </w:tcPr>
          <w:p w14:paraId="14E6849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850" w:type="dxa"/>
            <w:shd w:val="clear" w:color="auto" w:fill="auto"/>
            <w:vAlign w:val="center"/>
          </w:tcPr>
          <w:p w14:paraId="6A799E3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1653" w:type="dxa"/>
            <w:shd w:val="clear" w:color="auto" w:fill="auto"/>
            <w:vAlign w:val="center"/>
          </w:tcPr>
          <w:p w14:paraId="56B6E25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6</w:t>
            </w:r>
          </w:p>
        </w:tc>
        <w:tc>
          <w:tcPr>
            <w:tcW w:w="2033" w:type="dxa"/>
            <w:shd w:val="clear" w:color="auto" w:fill="auto"/>
            <w:vAlign w:val="center"/>
          </w:tcPr>
          <w:p w14:paraId="41161F5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10</w:t>
            </w:r>
          </w:p>
        </w:tc>
        <w:tc>
          <w:tcPr>
            <w:tcW w:w="1109" w:type="dxa"/>
            <w:shd w:val="clear" w:color="auto" w:fill="auto"/>
            <w:vAlign w:val="center"/>
          </w:tcPr>
          <w:p w14:paraId="08BC15A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16</w:t>
            </w:r>
          </w:p>
        </w:tc>
      </w:tr>
      <w:tr w:rsidR="00C54694" w:rsidRPr="00FD0336" w14:paraId="7CA176FF" w14:textId="77777777" w:rsidTr="0029190A">
        <w:tc>
          <w:tcPr>
            <w:tcW w:w="3062" w:type="dxa"/>
            <w:gridSpan w:val="2"/>
            <w:shd w:val="clear" w:color="auto" w:fill="auto"/>
            <w:vAlign w:val="center"/>
          </w:tcPr>
          <w:p w14:paraId="594FDA7A"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c>
          <w:tcPr>
            <w:tcW w:w="1653" w:type="dxa"/>
            <w:shd w:val="clear" w:color="auto" w:fill="auto"/>
            <w:vAlign w:val="center"/>
          </w:tcPr>
          <w:p w14:paraId="677D598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18</w:t>
            </w:r>
          </w:p>
        </w:tc>
        <w:tc>
          <w:tcPr>
            <w:tcW w:w="2033" w:type="dxa"/>
            <w:shd w:val="clear" w:color="auto" w:fill="auto"/>
            <w:vAlign w:val="center"/>
          </w:tcPr>
          <w:p w14:paraId="4EE17141"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w:t>
            </w:r>
          </w:p>
        </w:tc>
        <w:tc>
          <w:tcPr>
            <w:tcW w:w="1109" w:type="dxa"/>
            <w:shd w:val="clear" w:color="auto" w:fill="auto"/>
            <w:vAlign w:val="center"/>
          </w:tcPr>
          <w:p w14:paraId="39C2AE3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32</w:t>
            </w:r>
          </w:p>
        </w:tc>
      </w:tr>
      <w:tr w:rsidR="00C54694" w:rsidRPr="00FD0336" w14:paraId="1E977B3E" w14:textId="77777777" w:rsidTr="0029190A">
        <w:tc>
          <w:tcPr>
            <w:tcW w:w="6748" w:type="dxa"/>
            <w:gridSpan w:val="4"/>
            <w:shd w:val="clear" w:color="auto" w:fill="auto"/>
            <w:vAlign w:val="center"/>
          </w:tcPr>
          <w:p w14:paraId="595F15BD" w14:textId="35DDC62C"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0310D3">
              <w:rPr>
                <w:noProof w:val="0"/>
                <w:color w:val="000000" w:themeColor="text1"/>
                <w:lang w:val="en-GB"/>
              </w:rPr>
              <w:t>s</w:t>
            </w:r>
            <w:r w:rsidRPr="00FD0336">
              <w:rPr>
                <w:noProof w:val="0"/>
                <w:color w:val="000000" w:themeColor="text1"/>
                <w:lang w:val="en-GB"/>
              </w:rPr>
              <w:t>quare</w:t>
            </w:r>
            <w:r w:rsidR="000310D3">
              <w:rPr>
                <w:noProof w:val="0"/>
                <w:color w:val="000000" w:themeColor="text1"/>
                <w:lang w:val="en-GB"/>
              </w:rPr>
              <w:t>d</w:t>
            </w:r>
          </w:p>
        </w:tc>
        <w:tc>
          <w:tcPr>
            <w:tcW w:w="1109" w:type="dxa"/>
            <w:shd w:val="clear" w:color="auto" w:fill="auto"/>
            <w:vAlign w:val="center"/>
          </w:tcPr>
          <w:p w14:paraId="2FD1CC4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4.57</w:t>
            </w:r>
          </w:p>
        </w:tc>
      </w:tr>
      <w:tr w:rsidR="00C54694" w:rsidRPr="00FD0336" w14:paraId="1A3E1E4C" w14:textId="77777777" w:rsidTr="0029190A">
        <w:tc>
          <w:tcPr>
            <w:tcW w:w="6748" w:type="dxa"/>
            <w:gridSpan w:val="4"/>
            <w:shd w:val="clear" w:color="auto" w:fill="auto"/>
            <w:vAlign w:val="center"/>
          </w:tcPr>
          <w:p w14:paraId="345FC82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1109" w:type="dxa"/>
            <w:shd w:val="clear" w:color="auto" w:fill="auto"/>
            <w:vAlign w:val="center"/>
          </w:tcPr>
          <w:p w14:paraId="598D3BD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3.17</w:t>
            </w:r>
          </w:p>
        </w:tc>
      </w:tr>
      <w:tr w:rsidR="00C54694" w:rsidRPr="00FD0336" w14:paraId="1395BA24" w14:textId="77777777" w:rsidTr="0029190A">
        <w:tc>
          <w:tcPr>
            <w:tcW w:w="6748" w:type="dxa"/>
            <w:gridSpan w:val="4"/>
            <w:shd w:val="clear" w:color="auto" w:fill="auto"/>
            <w:vAlign w:val="center"/>
          </w:tcPr>
          <w:p w14:paraId="5C1D0600" w14:textId="180863CC"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w:t>
            </w:r>
            <w:r w:rsidR="000310D3">
              <w:rPr>
                <w:noProof w:val="0"/>
                <w:color w:val="000000" w:themeColor="text1"/>
                <w:lang w:val="en-GB"/>
              </w:rPr>
              <w:t>two</w:t>
            </w:r>
            <w:r w:rsidRPr="00FD0336">
              <w:rPr>
                <w:noProof w:val="0"/>
                <w:color w:val="000000" w:themeColor="text1"/>
                <w:lang w:val="en-GB"/>
              </w:rPr>
              <w:t>-tailed)</w:t>
            </w:r>
          </w:p>
        </w:tc>
        <w:tc>
          <w:tcPr>
            <w:tcW w:w="1109" w:type="dxa"/>
            <w:shd w:val="clear" w:color="auto" w:fill="auto"/>
            <w:vAlign w:val="center"/>
          </w:tcPr>
          <w:p w14:paraId="607C1746"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0.033</w:t>
            </w:r>
          </w:p>
        </w:tc>
      </w:tr>
      <w:tr w:rsidR="00C54694" w:rsidRPr="00FD0336" w14:paraId="308B8464" w14:textId="77777777" w:rsidTr="0029190A">
        <w:tc>
          <w:tcPr>
            <w:tcW w:w="6748" w:type="dxa"/>
            <w:gridSpan w:val="4"/>
            <w:shd w:val="clear" w:color="auto" w:fill="auto"/>
            <w:vAlign w:val="center"/>
          </w:tcPr>
          <w:p w14:paraId="7212A52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(continuity correction)</w:t>
            </w:r>
          </w:p>
        </w:tc>
        <w:tc>
          <w:tcPr>
            <w:tcW w:w="1109" w:type="dxa"/>
            <w:shd w:val="clear" w:color="auto" w:fill="auto"/>
            <w:vAlign w:val="center"/>
          </w:tcPr>
          <w:p w14:paraId="5056E49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0.07</w:t>
            </w:r>
          </w:p>
        </w:tc>
      </w:tr>
      <w:tr w:rsidR="00C54694" w:rsidRPr="00FD0336" w14:paraId="523DF1AE" w14:textId="77777777" w:rsidTr="0029190A">
        <w:tc>
          <w:tcPr>
            <w:tcW w:w="6748" w:type="dxa"/>
            <w:gridSpan w:val="4"/>
            <w:shd w:val="clear" w:color="auto" w:fill="auto"/>
            <w:vAlign w:val="center"/>
          </w:tcPr>
          <w:p w14:paraId="7362B183" w14:textId="14E94C79"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 (</w:t>
            </w:r>
            <w:r w:rsidR="000D66DA">
              <w:rPr>
                <w:noProof w:val="0"/>
                <w:color w:val="000000" w:themeColor="text1"/>
                <w:lang w:val="en-GB"/>
              </w:rPr>
              <w:t>s</w:t>
            </w:r>
            <w:r w:rsidRPr="00FD0336">
              <w:rPr>
                <w:noProof w:val="0"/>
                <w:color w:val="000000" w:themeColor="text1"/>
                <w:lang w:val="en-GB"/>
              </w:rPr>
              <w:t>trength of association)</w:t>
            </w:r>
          </w:p>
        </w:tc>
        <w:tc>
          <w:tcPr>
            <w:tcW w:w="1109" w:type="dxa"/>
            <w:shd w:val="clear" w:color="auto" w:fill="auto"/>
            <w:vAlign w:val="center"/>
          </w:tcPr>
          <w:p w14:paraId="2C40EFD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0.38</w:t>
            </w:r>
          </w:p>
        </w:tc>
      </w:tr>
    </w:tbl>
    <w:p w14:paraId="2D6D939A" w14:textId="55277CBF" w:rsidR="00E93F94" w:rsidRPr="00FD0336" w:rsidRDefault="00E93F94" w:rsidP="0029190A">
      <w:pPr>
        <w:pStyle w:val="MDPI31text"/>
        <w:rPr>
          <w:lang w:val="en-GB"/>
        </w:rPr>
      </w:pPr>
      <w:r w:rsidRPr="00FD0336">
        <w:rPr>
          <w:lang w:val="en-GB"/>
        </w:rPr>
        <w:t xml:space="preserve">Table 9 shows a moderate strength of association between the presence of the circular economy and the respondent feeling that the local population </w:t>
      </w:r>
      <w:r w:rsidR="00EF5EA6">
        <w:rPr>
          <w:lang w:val="en-GB"/>
        </w:rPr>
        <w:t>is</w:t>
      </w:r>
      <w:r w:rsidR="00EF5EA6" w:rsidRPr="00FD0336">
        <w:rPr>
          <w:lang w:val="en-GB"/>
        </w:rPr>
        <w:t xml:space="preserve"> </w:t>
      </w:r>
      <w:r w:rsidRPr="00FD0336">
        <w:rPr>
          <w:lang w:val="en-GB"/>
        </w:rPr>
        <w:t>aware of the benefits the port provides.</w:t>
      </w:r>
    </w:p>
    <w:p w14:paraId="5FC44A4B" w14:textId="2974A2E2" w:rsidR="00E93F94" w:rsidRPr="00FD0336" w:rsidRDefault="0029190A" w:rsidP="0029190A">
      <w:pPr>
        <w:pStyle w:val="MDPI41tablecaption"/>
        <w:rPr>
          <w:lang w:val="en-GB"/>
        </w:rPr>
      </w:pPr>
      <w:r w:rsidRPr="00FD0336">
        <w:rPr>
          <w:b/>
          <w:lang w:val="en-GB"/>
        </w:rPr>
        <w:t xml:space="preserve">Table 9. </w:t>
      </w:r>
      <w:r w:rsidR="00E93F94" w:rsidRPr="00FD0336">
        <w:rPr>
          <w:lang w:val="en-GB"/>
        </w:rPr>
        <w:t xml:space="preserve">Association between circular economy and perceived awareness of the local population </w:t>
      </w:r>
      <w:r w:rsidR="00EF5EA6">
        <w:rPr>
          <w:lang w:val="en-GB"/>
        </w:rPr>
        <w:t>(</w:t>
      </w:r>
      <w:r w:rsidR="00E93F94" w:rsidRPr="00FD0336">
        <w:rPr>
          <w:lang w:val="en-GB"/>
        </w:rPr>
        <w:t>about the benefits of the port</w:t>
      </w:r>
      <w:r w:rsidR="00EF5EA6">
        <w:rPr>
          <w:lang w:val="en-GB"/>
        </w:rPr>
        <w:t>)</w:t>
      </w:r>
      <w:r w:rsidR="00E93F94" w:rsidRPr="00FD0336">
        <w:rPr>
          <w:lang w:val="en-GB"/>
        </w:rPr>
        <w:t>.</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851"/>
        <w:gridCol w:w="1936"/>
        <w:gridCol w:w="2175"/>
        <w:gridCol w:w="967"/>
      </w:tblGrid>
      <w:tr w:rsidR="00C54694" w:rsidRPr="00FD0336" w14:paraId="4613782F" w14:textId="77777777" w:rsidTr="0029190A">
        <w:tc>
          <w:tcPr>
            <w:tcW w:w="1928" w:type="dxa"/>
            <w:tcBorders>
              <w:top w:val="single" w:sz="8" w:space="0" w:color="auto"/>
              <w:bottom w:val="single" w:sz="4" w:space="0" w:color="auto"/>
            </w:tcBorders>
            <w:shd w:val="clear" w:color="auto" w:fill="auto"/>
            <w:vAlign w:val="center"/>
          </w:tcPr>
          <w:p w14:paraId="086306CD"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1" w:type="dxa"/>
            <w:shd w:val="clear" w:color="auto" w:fill="auto"/>
            <w:vAlign w:val="center"/>
          </w:tcPr>
          <w:p w14:paraId="5A089AF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4111" w:type="dxa"/>
            <w:gridSpan w:val="2"/>
            <w:shd w:val="clear" w:color="auto" w:fill="auto"/>
            <w:vAlign w:val="center"/>
          </w:tcPr>
          <w:p w14:paraId="172F0F24" w14:textId="66E98D77" w:rsidR="00E93F94" w:rsidRPr="00FD0336" w:rsidRDefault="00E93F94" w:rsidP="00232DB2">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 xml:space="preserve">Response to "Do you feel the local population </w:t>
            </w:r>
            <w:r w:rsidR="00EF5EA6">
              <w:rPr>
                <w:noProof w:val="0"/>
                <w:color w:val="000000" w:themeColor="text1"/>
                <w:lang w:val="en-GB"/>
              </w:rPr>
              <w:t>is</w:t>
            </w:r>
            <w:r w:rsidR="00EF5EA6" w:rsidRPr="00FD0336">
              <w:rPr>
                <w:noProof w:val="0"/>
                <w:color w:val="000000" w:themeColor="text1"/>
                <w:lang w:val="en-GB"/>
              </w:rPr>
              <w:t xml:space="preserve"> </w:t>
            </w:r>
            <w:r w:rsidRPr="00FD0336">
              <w:rPr>
                <w:noProof w:val="0"/>
                <w:color w:val="000000" w:themeColor="text1"/>
                <w:lang w:val="en-GB"/>
              </w:rPr>
              <w:t>aware of the benefits the port provides?</w:t>
            </w:r>
          </w:p>
        </w:tc>
        <w:tc>
          <w:tcPr>
            <w:tcW w:w="967" w:type="dxa"/>
            <w:shd w:val="clear" w:color="auto" w:fill="auto"/>
            <w:vAlign w:val="center"/>
          </w:tcPr>
          <w:p w14:paraId="03649E24"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r>
      <w:tr w:rsidR="00C54694" w:rsidRPr="00FD0336" w14:paraId="646FF6FB" w14:textId="77777777" w:rsidTr="0029190A">
        <w:tc>
          <w:tcPr>
            <w:tcW w:w="1928" w:type="dxa"/>
            <w:tcBorders>
              <w:top w:val="single" w:sz="4" w:space="0" w:color="auto"/>
              <w:bottom w:val="single" w:sz="4" w:space="0" w:color="auto"/>
            </w:tcBorders>
            <w:shd w:val="clear" w:color="auto" w:fill="auto"/>
            <w:vAlign w:val="center"/>
          </w:tcPr>
          <w:p w14:paraId="73F68A3F"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1" w:type="dxa"/>
            <w:shd w:val="clear" w:color="auto" w:fill="auto"/>
            <w:vAlign w:val="center"/>
          </w:tcPr>
          <w:p w14:paraId="542297A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1936" w:type="dxa"/>
            <w:shd w:val="clear" w:color="auto" w:fill="auto"/>
            <w:vAlign w:val="center"/>
          </w:tcPr>
          <w:p w14:paraId="4E21032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2175" w:type="dxa"/>
            <w:shd w:val="clear" w:color="auto" w:fill="auto"/>
            <w:vAlign w:val="center"/>
          </w:tcPr>
          <w:p w14:paraId="6382404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967" w:type="dxa"/>
            <w:shd w:val="clear" w:color="auto" w:fill="auto"/>
            <w:vAlign w:val="center"/>
          </w:tcPr>
          <w:p w14:paraId="16E82F6C"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r>
      <w:tr w:rsidR="00C54694" w:rsidRPr="00FD0336" w14:paraId="4E54A9A5" w14:textId="77777777" w:rsidTr="0029190A">
        <w:tc>
          <w:tcPr>
            <w:tcW w:w="1928" w:type="dxa"/>
            <w:vMerge w:val="restart"/>
            <w:tcBorders>
              <w:top w:val="single" w:sz="4" w:space="0" w:color="auto"/>
            </w:tcBorders>
            <w:shd w:val="clear" w:color="auto" w:fill="auto"/>
            <w:vAlign w:val="center"/>
          </w:tcPr>
          <w:p w14:paraId="3662F697"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Does the port contain circular economy?</w:t>
            </w:r>
          </w:p>
        </w:tc>
        <w:tc>
          <w:tcPr>
            <w:tcW w:w="851" w:type="dxa"/>
            <w:shd w:val="clear" w:color="auto" w:fill="auto"/>
            <w:vAlign w:val="center"/>
          </w:tcPr>
          <w:p w14:paraId="0D9ADEE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1936" w:type="dxa"/>
            <w:shd w:val="clear" w:color="auto" w:fill="auto"/>
            <w:vAlign w:val="center"/>
          </w:tcPr>
          <w:p w14:paraId="09668B9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w:t>
            </w:r>
          </w:p>
        </w:tc>
        <w:tc>
          <w:tcPr>
            <w:tcW w:w="2175" w:type="dxa"/>
            <w:shd w:val="clear" w:color="auto" w:fill="auto"/>
            <w:vAlign w:val="center"/>
          </w:tcPr>
          <w:p w14:paraId="3E066F8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w:t>
            </w:r>
          </w:p>
        </w:tc>
        <w:tc>
          <w:tcPr>
            <w:tcW w:w="967" w:type="dxa"/>
            <w:shd w:val="clear" w:color="auto" w:fill="auto"/>
            <w:vAlign w:val="center"/>
          </w:tcPr>
          <w:p w14:paraId="17F287E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19</w:t>
            </w:r>
          </w:p>
        </w:tc>
      </w:tr>
      <w:tr w:rsidR="00C54694" w:rsidRPr="00FD0336" w14:paraId="0A32BD2D" w14:textId="77777777" w:rsidTr="0029190A">
        <w:tc>
          <w:tcPr>
            <w:tcW w:w="1928" w:type="dxa"/>
            <w:vMerge/>
            <w:shd w:val="clear" w:color="auto" w:fill="auto"/>
            <w:vAlign w:val="center"/>
          </w:tcPr>
          <w:p w14:paraId="20FCFB0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851" w:type="dxa"/>
            <w:shd w:val="clear" w:color="auto" w:fill="auto"/>
            <w:vAlign w:val="center"/>
          </w:tcPr>
          <w:p w14:paraId="24371E7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1936" w:type="dxa"/>
            <w:shd w:val="clear" w:color="auto" w:fill="auto"/>
            <w:vAlign w:val="center"/>
          </w:tcPr>
          <w:p w14:paraId="7197F29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w:t>
            </w:r>
          </w:p>
        </w:tc>
        <w:tc>
          <w:tcPr>
            <w:tcW w:w="2175" w:type="dxa"/>
            <w:shd w:val="clear" w:color="auto" w:fill="auto"/>
            <w:vAlign w:val="center"/>
          </w:tcPr>
          <w:p w14:paraId="6D43BD96"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w:t>
            </w:r>
          </w:p>
        </w:tc>
        <w:tc>
          <w:tcPr>
            <w:tcW w:w="967" w:type="dxa"/>
            <w:shd w:val="clear" w:color="auto" w:fill="auto"/>
            <w:vAlign w:val="center"/>
          </w:tcPr>
          <w:p w14:paraId="5ACD1F3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13</w:t>
            </w:r>
          </w:p>
        </w:tc>
      </w:tr>
      <w:tr w:rsidR="00C54694" w:rsidRPr="00FD0336" w14:paraId="09DF5E45" w14:textId="77777777" w:rsidTr="0029190A">
        <w:tc>
          <w:tcPr>
            <w:tcW w:w="2779" w:type="dxa"/>
            <w:gridSpan w:val="2"/>
            <w:shd w:val="clear" w:color="auto" w:fill="auto"/>
            <w:vAlign w:val="center"/>
          </w:tcPr>
          <w:p w14:paraId="57900C1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c>
          <w:tcPr>
            <w:tcW w:w="1936" w:type="dxa"/>
            <w:shd w:val="clear" w:color="auto" w:fill="auto"/>
            <w:vAlign w:val="center"/>
          </w:tcPr>
          <w:p w14:paraId="4C2B9BC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18</w:t>
            </w:r>
          </w:p>
        </w:tc>
        <w:tc>
          <w:tcPr>
            <w:tcW w:w="2175" w:type="dxa"/>
            <w:shd w:val="clear" w:color="auto" w:fill="auto"/>
            <w:vAlign w:val="center"/>
          </w:tcPr>
          <w:p w14:paraId="4004E715"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14</w:t>
            </w:r>
          </w:p>
        </w:tc>
        <w:tc>
          <w:tcPr>
            <w:tcW w:w="967" w:type="dxa"/>
            <w:shd w:val="clear" w:color="auto" w:fill="auto"/>
            <w:vAlign w:val="center"/>
          </w:tcPr>
          <w:p w14:paraId="1721E1C7"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32</w:t>
            </w:r>
          </w:p>
        </w:tc>
      </w:tr>
      <w:tr w:rsidR="00C54694" w:rsidRPr="00FD0336" w14:paraId="72796BDC" w14:textId="77777777" w:rsidTr="0029190A">
        <w:tc>
          <w:tcPr>
            <w:tcW w:w="6890" w:type="dxa"/>
            <w:gridSpan w:val="4"/>
            <w:shd w:val="clear" w:color="auto" w:fill="auto"/>
            <w:vAlign w:val="center"/>
          </w:tcPr>
          <w:p w14:paraId="593041C6" w14:textId="28E50585"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Chi-</w:t>
            </w:r>
            <w:r w:rsidR="00EF5EA6">
              <w:rPr>
                <w:noProof w:val="0"/>
                <w:color w:val="000000" w:themeColor="text1"/>
                <w:lang w:val="en-GB"/>
              </w:rPr>
              <w:t>s</w:t>
            </w:r>
            <w:r w:rsidRPr="00FD0336">
              <w:rPr>
                <w:noProof w:val="0"/>
                <w:color w:val="000000" w:themeColor="text1"/>
                <w:lang w:val="en-GB"/>
              </w:rPr>
              <w:t>quare</w:t>
            </w:r>
            <w:r w:rsidR="00EF5EA6">
              <w:rPr>
                <w:noProof w:val="0"/>
                <w:color w:val="000000" w:themeColor="text1"/>
                <w:lang w:val="en-GB"/>
              </w:rPr>
              <w:t>d</w:t>
            </w:r>
          </w:p>
        </w:tc>
        <w:tc>
          <w:tcPr>
            <w:tcW w:w="967" w:type="dxa"/>
            <w:shd w:val="clear" w:color="auto" w:fill="auto"/>
            <w:vAlign w:val="center"/>
          </w:tcPr>
          <w:p w14:paraId="2B58386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5.78</w:t>
            </w:r>
          </w:p>
        </w:tc>
      </w:tr>
      <w:tr w:rsidR="00C54694" w:rsidRPr="00FD0336" w14:paraId="27FED5EA" w14:textId="77777777" w:rsidTr="0029190A">
        <w:tc>
          <w:tcPr>
            <w:tcW w:w="6890" w:type="dxa"/>
            <w:gridSpan w:val="4"/>
            <w:shd w:val="clear" w:color="auto" w:fill="auto"/>
            <w:vAlign w:val="center"/>
          </w:tcPr>
          <w:p w14:paraId="372BD4F4"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Continuity correction</w:t>
            </w:r>
          </w:p>
        </w:tc>
        <w:tc>
          <w:tcPr>
            <w:tcW w:w="967" w:type="dxa"/>
            <w:shd w:val="clear" w:color="auto" w:fill="auto"/>
            <w:vAlign w:val="center"/>
          </w:tcPr>
          <w:p w14:paraId="27955C3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4.16</w:t>
            </w:r>
          </w:p>
        </w:tc>
      </w:tr>
      <w:tr w:rsidR="00C54694" w:rsidRPr="00FD0336" w14:paraId="5459B814" w14:textId="77777777" w:rsidTr="0029190A">
        <w:tc>
          <w:tcPr>
            <w:tcW w:w="6890" w:type="dxa"/>
            <w:gridSpan w:val="4"/>
            <w:shd w:val="clear" w:color="auto" w:fill="auto"/>
            <w:vAlign w:val="center"/>
          </w:tcPr>
          <w:p w14:paraId="76612D20" w14:textId="75117962"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w:t>
            </w:r>
            <w:r w:rsidR="00EF5EA6">
              <w:rPr>
                <w:noProof w:val="0"/>
                <w:color w:val="000000" w:themeColor="text1"/>
                <w:lang w:val="en-GB"/>
              </w:rPr>
              <w:t>two</w:t>
            </w:r>
            <w:r w:rsidRPr="00FD0336">
              <w:rPr>
                <w:noProof w:val="0"/>
                <w:color w:val="000000" w:themeColor="text1"/>
                <w:lang w:val="en-GB"/>
              </w:rPr>
              <w:t>-tailed)</w:t>
            </w:r>
          </w:p>
        </w:tc>
        <w:tc>
          <w:tcPr>
            <w:tcW w:w="967" w:type="dxa"/>
            <w:shd w:val="clear" w:color="auto" w:fill="auto"/>
            <w:vAlign w:val="center"/>
          </w:tcPr>
          <w:p w14:paraId="090D0A8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0.016</w:t>
            </w:r>
          </w:p>
        </w:tc>
      </w:tr>
      <w:tr w:rsidR="00C54694" w:rsidRPr="00FD0336" w14:paraId="1BD96143" w14:textId="77777777" w:rsidTr="0029190A">
        <w:tc>
          <w:tcPr>
            <w:tcW w:w="6890" w:type="dxa"/>
            <w:gridSpan w:val="4"/>
            <w:shd w:val="clear" w:color="auto" w:fill="auto"/>
            <w:vAlign w:val="center"/>
          </w:tcPr>
          <w:p w14:paraId="10F7CBB5" w14:textId="3A6A9C0A"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w:t>
            </w:r>
            <w:r w:rsidR="00EF5EA6">
              <w:rPr>
                <w:noProof w:val="0"/>
                <w:color w:val="000000" w:themeColor="text1"/>
                <w:lang w:val="en-GB"/>
              </w:rPr>
              <w:t>c</w:t>
            </w:r>
            <w:r w:rsidRPr="00FD0336">
              <w:rPr>
                <w:noProof w:val="0"/>
                <w:color w:val="000000" w:themeColor="text1"/>
                <w:lang w:val="en-GB"/>
              </w:rPr>
              <w:t>ontinuity correction)</w:t>
            </w:r>
          </w:p>
        </w:tc>
        <w:tc>
          <w:tcPr>
            <w:tcW w:w="967" w:type="dxa"/>
            <w:shd w:val="clear" w:color="auto" w:fill="auto"/>
            <w:vAlign w:val="center"/>
          </w:tcPr>
          <w:p w14:paraId="0D4E9C9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0.04</w:t>
            </w:r>
          </w:p>
        </w:tc>
      </w:tr>
      <w:tr w:rsidR="00C54694" w:rsidRPr="00FD0336" w14:paraId="19E386F1" w14:textId="77777777" w:rsidTr="0029190A">
        <w:tc>
          <w:tcPr>
            <w:tcW w:w="6890" w:type="dxa"/>
            <w:gridSpan w:val="4"/>
            <w:shd w:val="clear" w:color="auto" w:fill="auto"/>
            <w:vAlign w:val="center"/>
          </w:tcPr>
          <w:p w14:paraId="7D75011B" w14:textId="26F0F3CA"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 (</w:t>
            </w:r>
            <w:r w:rsidR="00EF5EA6">
              <w:rPr>
                <w:noProof w:val="0"/>
                <w:color w:val="000000" w:themeColor="text1"/>
                <w:lang w:val="en-GB"/>
              </w:rPr>
              <w:t>s</w:t>
            </w:r>
            <w:r w:rsidRPr="00FD0336">
              <w:rPr>
                <w:noProof w:val="0"/>
                <w:color w:val="000000" w:themeColor="text1"/>
                <w:lang w:val="en-GB"/>
              </w:rPr>
              <w:t>trength of association)</w:t>
            </w:r>
          </w:p>
        </w:tc>
        <w:tc>
          <w:tcPr>
            <w:tcW w:w="967" w:type="dxa"/>
            <w:shd w:val="clear" w:color="auto" w:fill="auto"/>
            <w:vAlign w:val="center"/>
          </w:tcPr>
          <w:p w14:paraId="0CB86AB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0.43</w:t>
            </w:r>
          </w:p>
        </w:tc>
      </w:tr>
    </w:tbl>
    <w:p w14:paraId="48BC7A75" w14:textId="23798FAF" w:rsidR="00E93F94" w:rsidRPr="00FD0336" w:rsidRDefault="00E93F94" w:rsidP="0029190A">
      <w:pPr>
        <w:pStyle w:val="MDPI31text"/>
        <w:rPr>
          <w:lang w:val="en-GB"/>
        </w:rPr>
      </w:pPr>
      <w:r w:rsidRPr="00FD0336">
        <w:rPr>
          <w:lang w:val="en-GB"/>
        </w:rPr>
        <w:t xml:space="preserve">Table 10 shows a large strength of association between waterfront development and the respondent feeling the local population </w:t>
      </w:r>
      <w:r w:rsidR="00EF5EA6">
        <w:rPr>
          <w:lang w:val="en-GB"/>
        </w:rPr>
        <w:t>had</w:t>
      </w:r>
      <w:r w:rsidR="00EF5EA6" w:rsidRPr="00FD0336">
        <w:rPr>
          <w:lang w:val="en-GB"/>
        </w:rPr>
        <w:t xml:space="preserve"> </w:t>
      </w:r>
      <w:r w:rsidRPr="00FD0336">
        <w:rPr>
          <w:lang w:val="en-GB"/>
        </w:rPr>
        <w:t>a positive attitude towards the p</w:t>
      </w:r>
      <w:r w:rsidR="00EF5EA6">
        <w:rPr>
          <w:lang w:val="en-GB"/>
        </w:rPr>
        <w:t>o</w:t>
      </w:r>
      <w:r w:rsidRPr="00FD0336">
        <w:rPr>
          <w:lang w:val="en-GB"/>
        </w:rPr>
        <w:t>rt. Continuity correction was not possible for this table due to having zero in one of the cells.</w:t>
      </w:r>
    </w:p>
    <w:p w14:paraId="01B2A91C" w14:textId="1E1404F4" w:rsidR="00E93F94" w:rsidRPr="00FD0336" w:rsidRDefault="0029190A" w:rsidP="0029190A">
      <w:pPr>
        <w:pStyle w:val="MDPI41tablecaption"/>
        <w:rPr>
          <w:lang w:val="en-GB"/>
        </w:rPr>
      </w:pPr>
      <w:r w:rsidRPr="00FD0336">
        <w:rPr>
          <w:b/>
          <w:lang w:val="en-GB"/>
        </w:rPr>
        <w:t xml:space="preserve">Table 10. </w:t>
      </w:r>
      <w:r w:rsidR="00E93F94" w:rsidRPr="00FD0336">
        <w:rPr>
          <w:lang w:val="en-GB"/>
        </w:rPr>
        <w:t>Association between waterfront development and perceived attitudes of the local population towards the port.</w:t>
      </w:r>
    </w:p>
    <w:tbl>
      <w:tblPr>
        <w:tblStyle w:val="TableGrid"/>
        <w:tblW w:w="7857"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7"/>
        <w:gridCol w:w="850"/>
        <w:gridCol w:w="2078"/>
        <w:gridCol w:w="2175"/>
        <w:gridCol w:w="967"/>
      </w:tblGrid>
      <w:tr w:rsidR="00C54694" w:rsidRPr="00FD0336" w14:paraId="6A9352F0" w14:textId="77777777" w:rsidTr="0029190A">
        <w:tc>
          <w:tcPr>
            <w:tcW w:w="1787" w:type="dxa"/>
            <w:tcBorders>
              <w:top w:val="single" w:sz="8" w:space="0" w:color="auto"/>
              <w:bottom w:val="single" w:sz="4" w:space="0" w:color="auto"/>
            </w:tcBorders>
            <w:shd w:val="clear" w:color="auto" w:fill="auto"/>
            <w:vAlign w:val="center"/>
          </w:tcPr>
          <w:p w14:paraId="3E0E390A"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0" w:type="dxa"/>
            <w:shd w:val="clear" w:color="auto" w:fill="auto"/>
            <w:vAlign w:val="center"/>
          </w:tcPr>
          <w:p w14:paraId="42AF125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4253" w:type="dxa"/>
            <w:gridSpan w:val="2"/>
            <w:shd w:val="clear" w:color="auto" w:fill="auto"/>
            <w:vAlign w:val="center"/>
          </w:tcPr>
          <w:p w14:paraId="516099E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Response to "Do you feel the attitude of the local population towards the port is positive?</w:t>
            </w:r>
          </w:p>
        </w:tc>
        <w:tc>
          <w:tcPr>
            <w:tcW w:w="967" w:type="dxa"/>
            <w:shd w:val="clear" w:color="auto" w:fill="auto"/>
            <w:vAlign w:val="center"/>
          </w:tcPr>
          <w:p w14:paraId="01FD397E"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r>
      <w:tr w:rsidR="00C54694" w:rsidRPr="00FD0336" w14:paraId="0C12A0B3" w14:textId="77777777" w:rsidTr="0029190A">
        <w:tc>
          <w:tcPr>
            <w:tcW w:w="1787" w:type="dxa"/>
            <w:tcBorders>
              <w:top w:val="single" w:sz="4" w:space="0" w:color="auto"/>
              <w:bottom w:val="single" w:sz="4" w:space="0" w:color="auto"/>
            </w:tcBorders>
            <w:shd w:val="clear" w:color="auto" w:fill="auto"/>
            <w:vAlign w:val="center"/>
          </w:tcPr>
          <w:p w14:paraId="30E1BBEC" w14:textId="77777777" w:rsidR="00E93F94" w:rsidRPr="00FD0336" w:rsidRDefault="00E93F94" w:rsidP="0029190A">
            <w:pPr>
              <w:autoSpaceDE w:val="0"/>
              <w:autoSpaceDN w:val="0"/>
              <w:adjustRightInd w:val="0"/>
              <w:snapToGrid w:val="0"/>
              <w:spacing w:line="240" w:lineRule="auto"/>
              <w:jc w:val="center"/>
              <w:rPr>
                <w:b/>
                <w:noProof w:val="0"/>
                <w:color w:val="000000" w:themeColor="text1"/>
                <w:lang w:val="en-GB"/>
              </w:rPr>
            </w:pPr>
          </w:p>
        </w:tc>
        <w:tc>
          <w:tcPr>
            <w:tcW w:w="850" w:type="dxa"/>
            <w:shd w:val="clear" w:color="auto" w:fill="auto"/>
            <w:vAlign w:val="center"/>
          </w:tcPr>
          <w:p w14:paraId="5EF32B71"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2078" w:type="dxa"/>
            <w:shd w:val="clear" w:color="auto" w:fill="auto"/>
            <w:vAlign w:val="center"/>
          </w:tcPr>
          <w:p w14:paraId="31D67EA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2175" w:type="dxa"/>
            <w:shd w:val="clear" w:color="auto" w:fill="auto"/>
            <w:vAlign w:val="center"/>
          </w:tcPr>
          <w:p w14:paraId="0CC64030"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967" w:type="dxa"/>
            <w:shd w:val="clear" w:color="auto" w:fill="auto"/>
            <w:vAlign w:val="center"/>
          </w:tcPr>
          <w:p w14:paraId="2C9931A7"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r>
      <w:tr w:rsidR="00C54694" w:rsidRPr="00FD0336" w14:paraId="7A93A96B" w14:textId="77777777" w:rsidTr="0029190A">
        <w:tc>
          <w:tcPr>
            <w:tcW w:w="1787" w:type="dxa"/>
            <w:vMerge w:val="restart"/>
            <w:tcBorders>
              <w:top w:val="single" w:sz="4" w:space="0" w:color="auto"/>
            </w:tcBorders>
            <w:shd w:val="clear" w:color="auto" w:fill="auto"/>
            <w:vAlign w:val="center"/>
          </w:tcPr>
          <w:p w14:paraId="41AB9C0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Does the port contain waterfront development?</w:t>
            </w:r>
          </w:p>
        </w:tc>
        <w:tc>
          <w:tcPr>
            <w:tcW w:w="850" w:type="dxa"/>
            <w:shd w:val="clear" w:color="auto" w:fill="auto"/>
            <w:vAlign w:val="center"/>
          </w:tcPr>
          <w:p w14:paraId="6F8D06A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No</w:t>
            </w:r>
          </w:p>
        </w:tc>
        <w:tc>
          <w:tcPr>
            <w:tcW w:w="2078" w:type="dxa"/>
            <w:shd w:val="clear" w:color="auto" w:fill="auto"/>
            <w:vAlign w:val="center"/>
          </w:tcPr>
          <w:p w14:paraId="10449C78"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w:t>
            </w:r>
          </w:p>
        </w:tc>
        <w:tc>
          <w:tcPr>
            <w:tcW w:w="2175" w:type="dxa"/>
            <w:shd w:val="clear" w:color="auto" w:fill="auto"/>
            <w:vAlign w:val="center"/>
          </w:tcPr>
          <w:p w14:paraId="333367CF"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w:t>
            </w:r>
          </w:p>
        </w:tc>
        <w:tc>
          <w:tcPr>
            <w:tcW w:w="967" w:type="dxa"/>
            <w:shd w:val="clear" w:color="auto" w:fill="auto"/>
            <w:vAlign w:val="center"/>
          </w:tcPr>
          <w:p w14:paraId="56223D3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9</w:t>
            </w:r>
          </w:p>
        </w:tc>
      </w:tr>
      <w:tr w:rsidR="00C54694" w:rsidRPr="00FD0336" w14:paraId="0862831E" w14:textId="77777777" w:rsidTr="0029190A">
        <w:tc>
          <w:tcPr>
            <w:tcW w:w="1787" w:type="dxa"/>
            <w:vMerge/>
            <w:shd w:val="clear" w:color="auto" w:fill="auto"/>
            <w:vAlign w:val="center"/>
          </w:tcPr>
          <w:p w14:paraId="0DD7556D"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p>
        </w:tc>
        <w:tc>
          <w:tcPr>
            <w:tcW w:w="850" w:type="dxa"/>
            <w:shd w:val="clear" w:color="auto" w:fill="auto"/>
            <w:vAlign w:val="center"/>
          </w:tcPr>
          <w:p w14:paraId="18F4EB46"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Yes</w:t>
            </w:r>
          </w:p>
        </w:tc>
        <w:tc>
          <w:tcPr>
            <w:tcW w:w="2078" w:type="dxa"/>
            <w:shd w:val="clear" w:color="auto" w:fill="auto"/>
            <w:vAlign w:val="center"/>
          </w:tcPr>
          <w:p w14:paraId="06F2AA82"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11</w:t>
            </w:r>
          </w:p>
        </w:tc>
        <w:tc>
          <w:tcPr>
            <w:tcW w:w="2175" w:type="dxa"/>
            <w:shd w:val="clear" w:color="auto" w:fill="auto"/>
            <w:vAlign w:val="center"/>
          </w:tcPr>
          <w:p w14:paraId="2683FB0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12</w:t>
            </w:r>
          </w:p>
        </w:tc>
        <w:tc>
          <w:tcPr>
            <w:tcW w:w="967" w:type="dxa"/>
            <w:shd w:val="clear" w:color="auto" w:fill="auto"/>
            <w:vAlign w:val="center"/>
          </w:tcPr>
          <w:p w14:paraId="3042A937"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23</w:t>
            </w:r>
          </w:p>
        </w:tc>
      </w:tr>
      <w:tr w:rsidR="00C54694" w:rsidRPr="00FD0336" w14:paraId="5E7DAF8F" w14:textId="77777777" w:rsidTr="0029190A">
        <w:tc>
          <w:tcPr>
            <w:tcW w:w="2637" w:type="dxa"/>
            <w:gridSpan w:val="2"/>
            <w:shd w:val="clear" w:color="auto" w:fill="auto"/>
            <w:vAlign w:val="center"/>
          </w:tcPr>
          <w:p w14:paraId="464CCB1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Total</w:t>
            </w:r>
          </w:p>
        </w:tc>
        <w:tc>
          <w:tcPr>
            <w:tcW w:w="2078" w:type="dxa"/>
            <w:shd w:val="clear" w:color="auto" w:fill="auto"/>
            <w:vAlign w:val="center"/>
          </w:tcPr>
          <w:p w14:paraId="0B18569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20</w:t>
            </w:r>
          </w:p>
        </w:tc>
        <w:tc>
          <w:tcPr>
            <w:tcW w:w="2175" w:type="dxa"/>
            <w:shd w:val="clear" w:color="auto" w:fill="auto"/>
            <w:vAlign w:val="center"/>
          </w:tcPr>
          <w:p w14:paraId="3FBE0CBC"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12</w:t>
            </w:r>
          </w:p>
        </w:tc>
        <w:tc>
          <w:tcPr>
            <w:tcW w:w="967" w:type="dxa"/>
            <w:shd w:val="clear" w:color="auto" w:fill="auto"/>
            <w:vAlign w:val="center"/>
          </w:tcPr>
          <w:p w14:paraId="78FB5F23"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32</w:t>
            </w:r>
          </w:p>
        </w:tc>
      </w:tr>
      <w:tr w:rsidR="00C54694" w:rsidRPr="00FD0336" w14:paraId="7B56AF4A" w14:textId="77777777" w:rsidTr="0029190A">
        <w:tc>
          <w:tcPr>
            <w:tcW w:w="6890" w:type="dxa"/>
            <w:gridSpan w:val="4"/>
            <w:shd w:val="clear" w:color="auto" w:fill="auto"/>
            <w:vAlign w:val="center"/>
          </w:tcPr>
          <w:p w14:paraId="16C4E5E1" w14:textId="0989EF1D"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Significance (</w:t>
            </w:r>
            <w:r w:rsidR="00EF5EA6">
              <w:rPr>
                <w:noProof w:val="0"/>
                <w:color w:val="000000" w:themeColor="text1"/>
                <w:lang w:val="en-GB"/>
              </w:rPr>
              <w:t>two</w:t>
            </w:r>
            <w:r w:rsidRPr="00FD0336">
              <w:rPr>
                <w:noProof w:val="0"/>
                <w:color w:val="000000" w:themeColor="text1"/>
                <w:lang w:val="en-GB"/>
              </w:rPr>
              <w:t>-tailed) using Fisher's exact test.</w:t>
            </w:r>
          </w:p>
        </w:tc>
        <w:tc>
          <w:tcPr>
            <w:tcW w:w="967" w:type="dxa"/>
            <w:shd w:val="clear" w:color="auto" w:fill="auto"/>
            <w:vAlign w:val="center"/>
          </w:tcPr>
          <w:p w14:paraId="1AB3B5EB"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0.01</w:t>
            </w:r>
          </w:p>
        </w:tc>
      </w:tr>
      <w:tr w:rsidR="00C54694" w:rsidRPr="00FD0336" w14:paraId="5CB1882A" w14:textId="77777777" w:rsidTr="0029190A">
        <w:tc>
          <w:tcPr>
            <w:tcW w:w="6890" w:type="dxa"/>
            <w:gridSpan w:val="4"/>
            <w:shd w:val="clear" w:color="auto" w:fill="auto"/>
            <w:vAlign w:val="center"/>
          </w:tcPr>
          <w:p w14:paraId="478FAF8E" w14:textId="0BA6EA6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Phi (</w:t>
            </w:r>
            <w:r w:rsidR="00EF5EA6">
              <w:rPr>
                <w:noProof w:val="0"/>
                <w:color w:val="000000" w:themeColor="text1"/>
                <w:lang w:val="en-GB"/>
              </w:rPr>
              <w:t>s</w:t>
            </w:r>
            <w:r w:rsidRPr="00FD0336">
              <w:rPr>
                <w:noProof w:val="0"/>
                <w:color w:val="000000" w:themeColor="text1"/>
                <w:lang w:val="en-GB"/>
              </w:rPr>
              <w:t>trength of association)</w:t>
            </w:r>
          </w:p>
        </w:tc>
        <w:tc>
          <w:tcPr>
            <w:tcW w:w="967" w:type="dxa"/>
            <w:shd w:val="clear" w:color="auto" w:fill="auto"/>
            <w:vAlign w:val="center"/>
          </w:tcPr>
          <w:p w14:paraId="6E4EB639" w14:textId="77777777" w:rsidR="00E93F94" w:rsidRPr="00FD0336" w:rsidRDefault="00E93F94" w:rsidP="0029190A">
            <w:pPr>
              <w:autoSpaceDE w:val="0"/>
              <w:autoSpaceDN w:val="0"/>
              <w:adjustRightInd w:val="0"/>
              <w:snapToGrid w:val="0"/>
              <w:spacing w:line="240" w:lineRule="auto"/>
              <w:jc w:val="center"/>
              <w:rPr>
                <w:noProof w:val="0"/>
                <w:color w:val="000000" w:themeColor="text1"/>
                <w:lang w:val="en-GB"/>
              </w:rPr>
            </w:pPr>
            <w:r w:rsidRPr="00FD0336">
              <w:rPr>
                <w:noProof w:val="0"/>
                <w:color w:val="000000" w:themeColor="text1"/>
                <w:lang w:val="en-GB"/>
              </w:rPr>
              <w:t>0.53</w:t>
            </w:r>
          </w:p>
        </w:tc>
      </w:tr>
    </w:tbl>
    <w:p w14:paraId="21C19CFC" w14:textId="7135328A" w:rsidR="00E93F94" w:rsidRPr="00FD0336" w:rsidRDefault="00E93F94" w:rsidP="0029190A">
      <w:pPr>
        <w:pStyle w:val="MDPI31text"/>
        <w:rPr>
          <w:lang w:val="en-GB"/>
        </w:rPr>
      </w:pPr>
      <w:r w:rsidRPr="00FD0336">
        <w:rPr>
          <w:lang w:val="en-GB"/>
        </w:rPr>
        <w:lastRenderedPageBreak/>
        <w:t>No statistically significant association between any of the other statements listed in the methods and the measures for improving local economic benefits were found.</w:t>
      </w:r>
    </w:p>
    <w:p w14:paraId="0600F68B" w14:textId="1182BD62" w:rsidR="00F55EBE" w:rsidRDefault="00F55EBE" w:rsidP="0029190A">
      <w:pPr>
        <w:pStyle w:val="MDPI31text"/>
        <w:rPr>
          <w:lang w:val="en-GB"/>
        </w:rPr>
      </w:pPr>
      <w:r w:rsidRPr="00FD0336">
        <w:rPr>
          <w:lang w:val="en-GB"/>
        </w:rPr>
        <w:t>A new three</w:t>
      </w:r>
      <w:r w:rsidR="00822D82">
        <w:rPr>
          <w:lang w:val="en-GB"/>
        </w:rPr>
        <w:t>-</w:t>
      </w:r>
      <w:r w:rsidRPr="00FD0336">
        <w:rPr>
          <w:lang w:val="en-GB"/>
        </w:rPr>
        <w:t>step framework for encouraging circular economy activities in port</w:t>
      </w:r>
      <w:r w:rsidR="00851E06">
        <w:rPr>
          <w:lang w:val="en-GB"/>
        </w:rPr>
        <w:t xml:space="preserve"> </w:t>
      </w:r>
      <w:r w:rsidRPr="00FD0336">
        <w:rPr>
          <w:lang w:val="en-GB"/>
        </w:rPr>
        <w:t xml:space="preserve">cities is presented </w:t>
      </w:r>
      <w:r w:rsidR="00451C31">
        <w:rPr>
          <w:lang w:val="en-GB"/>
        </w:rPr>
        <w:t xml:space="preserve">below </w:t>
      </w:r>
      <w:r w:rsidRPr="00FD0336">
        <w:rPr>
          <w:lang w:val="en-GB"/>
        </w:rPr>
        <w:t xml:space="preserve">in </w:t>
      </w:r>
      <w:r w:rsidR="009418C9">
        <w:rPr>
          <w:lang w:val="en-GB"/>
        </w:rPr>
        <w:t>F</w:t>
      </w:r>
      <w:r w:rsidRPr="00FD0336">
        <w:rPr>
          <w:lang w:val="en-GB"/>
        </w:rPr>
        <w:t>igure 7.</w:t>
      </w:r>
    </w:p>
    <w:p w14:paraId="3D650A69" w14:textId="016E501C" w:rsidR="00B61B6C" w:rsidRPr="00FD0336" w:rsidRDefault="00B61B6C" w:rsidP="0029190A">
      <w:pPr>
        <w:pStyle w:val="MDPI31text"/>
        <w:rPr>
          <w:lang w:val="en-GB"/>
        </w:rPr>
      </w:pPr>
      <w:r>
        <w:rPr>
          <w:noProof/>
          <w:lang w:val="en-GB"/>
        </w:rPr>
        <w:drawing>
          <wp:inline distT="0" distB="0" distL="0" distR="0" wp14:anchorId="22BF6964" wp14:editId="67983390">
            <wp:extent cx="4596765" cy="312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6765" cy="3127375"/>
                    </a:xfrm>
                    <a:prstGeom prst="rect">
                      <a:avLst/>
                    </a:prstGeom>
                    <a:noFill/>
                  </pic:spPr>
                </pic:pic>
              </a:graphicData>
            </a:graphic>
          </wp:inline>
        </w:drawing>
      </w:r>
    </w:p>
    <w:p w14:paraId="1161A801" w14:textId="6BD02F28" w:rsidR="00F55EBE" w:rsidRPr="00FD0336" w:rsidRDefault="00F17B5D" w:rsidP="0029190A">
      <w:pPr>
        <w:pStyle w:val="MDPI51figurecaption"/>
        <w:rPr>
          <w:lang w:val="en-GB"/>
        </w:rPr>
      </w:pPr>
      <w:r w:rsidRPr="00001C64">
        <w:rPr>
          <w:b/>
          <w:lang w:val="en-GB"/>
        </w:rPr>
        <w:t xml:space="preserve">Figure 7. </w:t>
      </w:r>
      <w:r w:rsidRPr="00001C64">
        <w:rPr>
          <w:lang w:val="en-GB"/>
        </w:rPr>
        <w:t>Framework for increasing circular economy activities in port cities.</w:t>
      </w:r>
      <w:r w:rsidR="00F55EBE" w:rsidRPr="00FD0336">
        <w:rPr>
          <w:b/>
          <w:lang w:val="en-GB"/>
        </w:rPr>
        <w:br/>
      </w:r>
    </w:p>
    <w:p w14:paraId="597B6ADC" w14:textId="6CB947AF" w:rsidR="00F55EBE" w:rsidRPr="00FD0336" w:rsidRDefault="00F55EBE" w:rsidP="0029190A">
      <w:pPr>
        <w:pStyle w:val="MDPI31text"/>
        <w:rPr>
          <w:lang w:val="en-GB"/>
        </w:rPr>
      </w:pPr>
      <w:r w:rsidRPr="00FD0336">
        <w:rPr>
          <w:lang w:val="en-GB"/>
        </w:rPr>
        <w:t>Step 1: Port and city cooperation</w:t>
      </w:r>
      <w:r w:rsidR="009418C9">
        <w:rPr>
          <w:lang w:val="en-GB"/>
        </w:rPr>
        <w:t>:</w:t>
      </w:r>
    </w:p>
    <w:p w14:paraId="6EBF52DC" w14:textId="3FE56967" w:rsidR="00F55EBE" w:rsidRPr="00FD0336" w:rsidRDefault="00F55EBE" w:rsidP="0029190A">
      <w:pPr>
        <w:pStyle w:val="MDPI31text"/>
        <w:numPr>
          <w:ilvl w:val="0"/>
          <w:numId w:val="18"/>
        </w:numPr>
        <w:rPr>
          <w:lang w:val="en-GB"/>
        </w:rPr>
      </w:pPr>
      <w:r w:rsidRPr="00FD0336">
        <w:rPr>
          <w:lang w:val="en-GB"/>
        </w:rPr>
        <w:t>Annual summit between port and city stakeholders to approximate the current levels of</w:t>
      </w:r>
      <w:r w:rsidR="009418C9">
        <w:rPr>
          <w:lang w:val="en-GB"/>
        </w:rPr>
        <w:t xml:space="preserve"> a</w:t>
      </w:r>
      <w:r w:rsidRPr="00FD0336">
        <w:rPr>
          <w:lang w:val="en-GB"/>
        </w:rPr>
        <w:t xml:space="preserve"> circular economy within the port</w:t>
      </w:r>
      <w:r w:rsidR="00851E06">
        <w:rPr>
          <w:lang w:val="en-GB"/>
        </w:rPr>
        <w:t xml:space="preserve"> </w:t>
      </w:r>
      <w:r w:rsidRPr="00FD0336">
        <w:rPr>
          <w:lang w:val="en-GB"/>
        </w:rPr>
        <w:t>city, progress so far, key opportunities</w:t>
      </w:r>
      <w:r w:rsidR="009418C9">
        <w:rPr>
          <w:lang w:val="en-GB"/>
        </w:rPr>
        <w:t>,</w:t>
      </w:r>
      <w:r w:rsidRPr="00FD0336">
        <w:rPr>
          <w:lang w:val="en-GB"/>
        </w:rPr>
        <w:t xml:space="preserve"> and the potential for the future, key businesses/industries</w:t>
      </w:r>
      <w:r w:rsidR="009418C9">
        <w:rPr>
          <w:lang w:val="en-GB"/>
        </w:rPr>
        <w:t>,</w:t>
      </w:r>
      <w:r w:rsidRPr="00FD0336">
        <w:rPr>
          <w:lang w:val="en-GB"/>
        </w:rPr>
        <w:t xml:space="preserve"> and a plan of action for the following year. This summit could be brokered by a </w:t>
      </w:r>
      <w:r w:rsidR="009418C9">
        <w:rPr>
          <w:lang w:val="en-GB"/>
        </w:rPr>
        <w:t>thi</w:t>
      </w:r>
      <w:r w:rsidRPr="00FD0336">
        <w:rPr>
          <w:lang w:val="en-GB"/>
        </w:rPr>
        <w:t>rd party</w:t>
      </w:r>
      <w:r w:rsidR="009418C9">
        <w:rPr>
          <w:lang w:val="en-GB"/>
        </w:rPr>
        <w:t>,</w:t>
      </w:r>
      <w:r w:rsidRPr="00FD0336">
        <w:rPr>
          <w:lang w:val="en-GB"/>
        </w:rPr>
        <w:t xml:space="preserve"> such as relevant consultancies or </w:t>
      </w:r>
      <w:r w:rsidR="009418C9">
        <w:rPr>
          <w:lang w:val="en-GB"/>
        </w:rPr>
        <w:t>u</w:t>
      </w:r>
      <w:r w:rsidRPr="00FD0336">
        <w:rPr>
          <w:lang w:val="en-GB"/>
        </w:rPr>
        <w:t>niversities</w:t>
      </w:r>
      <w:r w:rsidR="009418C9">
        <w:rPr>
          <w:lang w:val="en-GB"/>
        </w:rPr>
        <w:t>,</w:t>
      </w:r>
      <w:r w:rsidRPr="00FD0336">
        <w:rPr>
          <w:lang w:val="en-GB"/>
        </w:rPr>
        <w:t xml:space="preserve"> and bring together port and city authorities, as well as key port-related stakeholders.</w:t>
      </w:r>
    </w:p>
    <w:p w14:paraId="3CDAB310" w14:textId="09087D7D" w:rsidR="00F55EBE" w:rsidRPr="00FD0336" w:rsidRDefault="00F55EBE" w:rsidP="0029190A">
      <w:pPr>
        <w:pStyle w:val="MDPI31text"/>
        <w:numPr>
          <w:ilvl w:val="0"/>
          <w:numId w:val="18"/>
        </w:numPr>
        <w:rPr>
          <w:lang w:val="en-GB"/>
        </w:rPr>
      </w:pPr>
      <w:r w:rsidRPr="00FD0336">
        <w:rPr>
          <w:lang w:val="en-GB"/>
        </w:rPr>
        <w:t xml:space="preserve">A steering committee containing representatives of key stakeholders should be established to oversee the subsequent steps. </w:t>
      </w:r>
    </w:p>
    <w:p w14:paraId="2D145171" w14:textId="5F097500" w:rsidR="00F55EBE" w:rsidRPr="00FD0336" w:rsidRDefault="00F55EBE" w:rsidP="0029190A">
      <w:pPr>
        <w:pStyle w:val="MDPI31text"/>
        <w:numPr>
          <w:ilvl w:val="0"/>
          <w:numId w:val="18"/>
        </w:numPr>
        <w:rPr>
          <w:lang w:val="en-GB"/>
        </w:rPr>
      </w:pPr>
      <w:r w:rsidRPr="00FD0336">
        <w:rPr>
          <w:lang w:val="en-GB"/>
        </w:rPr>
        <w:t>Key indicators for each port</w:t>
      </w:r>
      <w:r w:rsidR="00851E06">
        <w:rPr>
          <w:lang w:val="en-GB"/>
        </w:rPr>
        <w:t xml:space="preserve"> </w:t>
      </w:r>
      <w:r w:rsidRPr="00FD0336">
        <w:rPr>
          <w:lang w:val="en-GB"/>
        </w:rPr>
        <w:t xml:space="preserve">city can then be </w:t>
      </w:r>
      <w:r w:rsidR="00492944" w:rsidRPr="00FD0336">
        <w:rPr>
          <w:lang w:val="en-GB"/>
        </w:rPr>
        <w:t>targeted</w:t>
      </w:r>
      <w:r w:rsidRPr="00FD0336">
        <w:rPr>
          <w:lang w:val="en-GB"/>
        </w:rPr>
        <w:t xml:space="preserve"> by the stakeholders to provide</w:t>
      </w:r>
      <w:r w:rsidR="009418C9">
        <w:rPr>
          <w:lang w:val="en-GB"/>
        </w:rPr>
        <w:t xml:space="preserve"> a</w:t>
      </w:r>
      <w:r w:rsidRPr="00FD0336">
        <w:rPr>
          <w:lang w:val="en-GB"/>
        </w:rPr>
        <w:t xml:space="preserve"> form o</w:t>
      </w:r>
      <w:r w:rsidR="00492944" w:rsidRPr="00FD0336">
        <w:rPr>
          <w:lang w:val="en-GB"/>
        </w:rPr>
        <w:t xml:space="preserve">f assessment, such as those suggested by Girard and </w:t>
      </w:r>
      <w:proofErr w:type="spellStart"/>
      <w:r w:rsidR="00492944" w:rsidRPr="00FD0336">
        <w:rPr>
          <w:lang w:val="en-GB"/>
        </w:rPr>
        <w:t>Nocca</w:t>
      </w:r>
      <w:proofErr w:type="spellEnd"/>
      <w:r w:rsidR="00492944" w:rsidRPr="00FD0336">
        <w:rPr>
          <w:lang w:val="en-GB"/>
        </w:rPr>
        <w:t xml:space="preserve"> </w:t>
      </w:r>
      <w:r w:rsidR="00492944" w:rsidRPr="00001C64">
        <w:rPr>
          <w:lang w:val="en-GB"/>
        </w:rPr>
        <w:t>[</w:t>
      </w:r>
      <w:r w:rsidR="007E0113" w:rsidRPr="00001C64">
        <w:rPr>
          <w:lang w:val="en-GB"/>
        </w:rPr>
        <w:t>85</w:t>
      </w:r>
      <w:r w:rsidR="00492944" w:rsidRPr="00001C64">
        <w:rPr>
          <w:lang w:val="en-GB"/>
        </w:rPr>
        <w:t>]</w:t>
      </w:r>
      <w:r w:rsidR="008020DE" w:rsidRPr="00001C64">
        <w:rPr>
          <w:lang w:val="en-GB"/>
        </w:rPr>
        <w:t>.</w:t>
      </w:r>
    </w:p>
    <w:p w14:paraId="7F8533B7" w14:textId="08DA6003" w:rsidR="00F55EBE" w:rsidRPr="00FD0336" w:rsidRDefault="00F55EBE" w:rsidP="0029190A">
      <w:pPr>
        <w:pStyle w:val="MDPI31text"/>
        <w:rPr>
          <w:lang w:val="en-GB"/>
        </w:rPr>
      </w:pPr>
      <w:r w:rsidRPr="00FD0336">
        <w:rPr>
          <w:lang w:val="en-GB"/>
        </w:rPr>
        <w:t>Step 2: Business engagement</w:t>
      </w:r>
      <w:r w:rsidR="009418C9">
        <w:rPr>
          <w:lang w:val="en-GB"/>
        </w:rPr>
        <w:t>:</w:t>
      </w:r>
    </w:p>
    <w:p w14:paraId="341DE140" w14:textId="30BA2524" w:rsidR="00F55EBE" w:rsidRPr="00FD0336" w:rsidRDefault="00F55EBE" w:rsidP="0029190A">
      <w:pPr>
        <w:pStyle w:val="MDPI31text"/>
        <w:numPr>
          <w:ilvl w:val="0"/>
          <w:numId w:val="19"/>
        </w:numPr>
        <w:rPr>
          <w:lang w:val="en-GB"/>
        </w:rPr>
      </w:pPr>
      <w:r w:rsidRPr="00FD0336">
        <w:rPr>
          <w:lang w:val="en-GB"/>
        </w:rPr>
        <w:t>Hold an open day intended to raise awareness of the opportunities and attract potentially interested businesses within the port</w:t>
      </w:r>
      <w:r w:rsidR="00851E06">
        <w:rPr>
          <w:lang w:val="en-GB"/>
        </w:rPr>
        <w:t xml:space="preserve"> </w:t>
      </w:r>
      <w:r w:rsidRPr="00FD0336">
        <w:rPr>
          <w:lang w:val="en-GB"/>
        </w:rPr>
        <w:t>city. Cooperative businesses in the port</w:t>
      </w:r>
      <w:r w:rsidR="00851E06">
        <w:rPr>
          <w:lang w:val="en-GB"/>
        </w:rPr>
        <w:t xml:space="preserve"> </w:t>
      </w:r>
      <w:r w:rsidRPr="00FD0336">
        <w:rPr>
          <w:lang w:val="en-GB"/>
        </w:rPr>
        <w:t>city can be awarded “circular economy champions” status.</w:t>
      </w:r>
    </w:p>
    <w:p w14:paraId="79573222" w14:textId="4880AA52" w:rsidR="00F55EBE" w:rsidRPr="00FD0336" w:rsidRDefault="00F55EBE" w:rsidP="0029190A">
      <w:pPr>
        <w:pStyle w:val="MDPI31text"/>
        <w:numPr>
          <w:ilvl w:val="0"/>
          <w:numId w:val="19"/>
        </w:numPr>
        <w:rPr>
          <w:lang w:val="en-GB"/>
        </w:rPr>
      </w:pPr>
      <w:r w:rsidRPr="00FD0336">
        <w:rPr>
          <w:lang w:val="en-GB"/>
        </w:rPr>
        <w:t>To be awarded circular economy champion status</w:t>
      </w:r>
      <w:r w:rsidR="009418C9">
        <w:rPr>
          <w:lang w:val="en-GB"/>
        </w:rPr>
        <w:t>,</w:t>
      </w:r>
      <w:r w:rsidRPr="00FD0336">
        <w:rPr>
          <w:lang w:val="en-GB"/>
        </w:rPr>
        <w:t xml:space="preserve"> businesses must commit to a plan of action to increase circular economy activity within their business with actionable targets.</w:t>
      </w:r>
    </w:p>
    <w:p w14:paraId="212B330C" w14:textId="562760AD" w:rsidR="00F55EBE" w:rsidRPr="00FD0336" w:rsidRDefault="00F55EBE" w:rsidP="0029190A">
      <w:pPr>
        <w:pStyle w:val="MDPI31text"/>
        <w:numPr>
          <w:ilvl w:val="0"/>
          <w:numId w:val="19"/>
        </w:numPr>
        <w:rPr>
          <w:lang w:val="en-GB"/>
        </w:rPr>
      </w:pPr>
      <w:r w:rsidRPr="00FD0336">
        <w:rPr>
          <w:lang w:val="en-GB"/>
        </w:rPr>
        <w:t>Efforts should be made to establish if there are any ways for local businesses to make use of the waste created by other businesses in the port</w:t>
      </w:r>
      <w:r w:rsidR="00851E06">
        <w:rPr>
          <w:lang w:val="en-GB"/>
        </w:rPr>
        <w:t xml:space="preserve"> </w:t>
      </w:r>
      <w:r w:rsidRPr="00FD0336">
        <w:rPr>
          <w:lang w:val="en-GB"/>
        </w:rPr>
        <w:t>city. This can be done by participating businesses creating an inventory of the waste</w:t>
      </w:r>
      <w:r w:rsidR="004F6C5F">
        <w:rPr>
          <w:lang w:val="en-GB"/>
        </w:rPr>
        <w:t>,</w:t>
      </w:r>
      <w:r w:rsidR="00451C31">
        <w:rPr>
          <w:lang w:val="en-GB"/>
        </w:rPr>
        <w:t xml:space="preserve"> assets</w:t>
      </w:r>
      <w:r w:rsidRPr="00FD0336">
        <w:rPr>
          <w:lang w:val="en-GB"/>
        </w:rPr>
        <w:t xml:space="preserve"> or end of life equipment they are expected to produce </w:t>
      </w:r>
      <w:proofErr w:type="gramStart"/>
      <w:r w:rsidRPr="00FD0336">
        <w:rPr>
          <w:lang w:val="en-GB"/>
        </w:rPr>
        <w:t>that other businesses</w:t>
      </w:r>
      <w:proofErr w:type="gramEnd"/>
      <w:r w:rsidRPr="00FD0336">
        <w:rPr>
          <w:lang w:val="en-GB"/>
        </w:rPr>
        <w:t xml:space="preserve"> and interested parties can access. This will then create a port</w:t>
      </w:r>
      <w:r w:rsidR="00851E06">
        <w:rPr>
          <w:lang w:val="en-GB"/>
        </w:rPr>
        <w:t xml:space="preserve"> </w:t>
      </w:r>
      <w:r w:rsidRPr="00FD0336">
        <w:rPr>
          <w:lang w:val="en-GB"/>
        </w:rPr>
        <w:t>city circular marketplace, as well as potentially inspiring further business opportunities for interested parties, for example</w:t>
      </w:r>
      <w:r w:rsidR="00822D82">
        <w:rPr>
          <w:lang w:val="en-GB"/>
        </w:rPr>
        <w:t>,</w:t>
      </w:r>
      <w:r w:rsidRPr="00FD0336">
        <w:rPr>
          <w:lang w:val="en-GB"/>
        </w:rPr>
        <w:t xml:space="preserve"> the repair and reuse of </w:t>
      </w:r>
      <w:proofErr w:type="gramStart"/>
      <w:r w:rsidRPr="00FD0336">
        <w:rPr>
          <w:lang w:val="en-GB"/>
        </w:rPr>
        <w:t>end of life</w:t>
      </w:r>
      <w:proofErr w:type="gramEnd"/>
      <w:r w:rsidRPr="00FD0336">
        <w:rPr>
          <w:lang w:val="en-GB"/>
        </w:rPr>
        <w:t xml:space="preserve"> fishing gear.</w:t>
      </w:r>
    </w:p>
    <w:p w14:paraId="11520E08" w14:textId="10A4B486" w:rsidR="00F55EBE" w:rsidRPr="00FD0336" w:rsidRDefault="00F55EBE" w:rsidP="0029190A">
      <w:pPr>
        <w:pStyle w:val="MDPI31text"/>
        <w:rPr>
          <w:lang w:val="en-GB"/>
        </w:rPr>
      </w:pPr>
      <w:r w:rsidRPr="00FD0336">
        <w:rPr>
          <w:lang w:val="en-GB"/>
        </w:rPr>
        <w:lastRenderedPageBreak/>
        <w:t>Step 3: Community engagement</w:t>
      </w:r>
      <w:r w:rsidR="002F789E">
        <w:rPr>
          <w:lang w:val="en-GB"/>
        </w:rPr>
        <w:t>:</w:t>
      </w:r>
    </w:p>
    <w:p w14:paraId="7E67D716" w14:textId="5912A794" w:rsidR="00F55EBE" w:rsidRPr="00FD0336" w:rsidRDefault="00F55EBE" w:rsidP="0029190A">
      <w:pPr>
        <w:pStyle w:val="MDPI31text"/>
        <w:numPr>
          <w:ilvl w:val="0"/>
          <w:numId w:val="20"/>
        </w:numPr>
        <w:rPr>
          <w:lang w:val="en-GB"/>
        </w:rPr>
      </w:pPr>
      <w:r w:rsidRPr="00FD0336">
        <w:rPr>
          <w:lang w:val="en-GB"/>
        </w:rPr>
        <w:t>Inspire the wider community within the port</w:t>
      </w:r>
      <w:r w:rsidR="00851E06">
        <w:rPr>
          <w:lang w:val="en-GB"/>
        </w:rPr>
        <w:t xml:space="preserve"> </w:t>
      </w:r>
      <w:r w:rsidRPr="00FD0336">
        <w:rPr>
          <w:lang w:val="en-GB"/>
        </w:rPr>
        <w:t>city by engaging with schools, community centres, higher education, the media</w:t>
      </w:r>
      <w:r w:rsidR="002F789E">
        <w:rPr>
          <w:lang w:val="en-GB"/>
        </w:rPr>
        <w:t>,</w:t>
      </w:r>
      <w:r w:rsidRPr="00FD0336">
        <w:rPr>
          <w:lang w:val="en-GB"/>
        </w:rPr>
        <w:t xml:space="preserve"> etc. Raising awareness of the benefits of circular economy thinking and any success stories within the port</w:t>
      </w:r>
      <w:r w:rsidR="00851E06">
        <w:rPr>
          <w:lang w:val="en-GB"/>
        </w:rPr>
        <w:t xml:space="preserve"> </w:t>
      </w:r>
      <w:r w:rsidRPr="00FD0336">
        <w:rPr>
          <w:lang w:val="en-GB"/>
        </w:rPr>
        <w:t>city. This can make use of existing port events, port centres, educational activities</w:t>
      </w:r>
      <w:r w:rsidR="002F789E">
        <w:rPr>
          <w:lang w:val="en-GB"/>
        </w:rPr>
        <w:t>,</w:t>
      </w:r>
      <w:r w:rsidRPr="00FD0336">
        <w:rPr>
          <w:lang w:val="en-GB"/>
        </w:rPr>
        <w:t xml:space="preserve"> </w:t>
      </w:r>
      <w:r w:rsidR="006904AB" w:rsidRPr="00FD0336">
        <w:rPr>
          <w:lang w:val="en-GB"/>
        </w:rPr>
        <w:t>etc.</w:t>
      </w:r>
    </w:p>
    <w:p w14:paraId="2182A903" w14:textId="5F90592C" w:rsidR="00F55EBE" w:rsidRPr="00FD0336" w:rsidRDefault="0029190A" w:rsidP="0029190A">
      <w:pPr>
        <w:pStyle w:val="MDPI21heading1"/>
        <w:rPr>
          <w:lang w:val="en-GB"/>
        </w:rPr>
      </w:pPr>
      <w:r w:rsidRPr="00FD0336">
        <w:rPr>
          <w:lang w:val="en-GB"/>
        </w:rPr>
        <w:t xml:space="preserve">4. </w:t>
      </w:r>
      <w:r w:rsidR="00E93F94" w:rsidRPr="00FD0336">
        <w:rPr>
          <w:lang w:val="en-GB"/>
        </w:rPr>
        <w:t>Discussion</w:t>
      </w:r>
    </w:p>
    <w:p w14:paraId="0B88A0C1" w14:textId="3BB3C4AA" w:rsidR="005120AA" w:rsidRPr="00FD0336" w:rsidRDefault="005120AA" w:rsidP="0029190A">
      <w:pPr>
        <w:pStyle w:val="MDPI31text"/>
        <w:rPr>
          <w:lang w:val="en-GB"/>
        </w:rPr>
      </w:pPr>
      <w:r w:rsidRPr="00FD0336">
        <w:rPr>
          <w:lang w:val="en-GB"/>
        </w:rPr>
        <w:t xml:space="preserve">Many of the ports in the study have already adopted one or more methods for increasing local economic benefits. Among these, </w:t>
      </w:r>
      <w:r w:rsidR="002F789E">
        <w:rPr>
          <w:lang w:val="en-GB"/>
        </w:rPr>
        <w:t xml:space="preserve">a </w:t>
      </w:r>
      <w:r w:rsidRPr="00FD0336">
        <w:rPr>
          <w:lang w:val="en-GB"/>
        </w:rPr>
        <w:t xml:space="preserve">waterfront economy is the most widely adopted, followed by industrial development. There is an association between adopting one method and adopting </w:t>
      </w:r>
      <w:proofErr w:type="gramStart"/>
      <w:r w:rsidRPr="00FD0336">
        <w:rPr>
          <w:lang w:val="en-GB"/>
        </w:rPr>
        <w:t>all of</w:t>
      </w:r>
      <w:proofErr w:type="gramEnd"/>
      <w:r w:rsidRPr="00FD0336">
        <w:rPr>
          <w:lang w:val="en-GB"/>
        </w:rPr>
        <w:t xml:space="preserve"> the other methods, suggesting that ports contain a mix of these rather than being specialised. The presence of maritime clusters is most strongly associated with the presence of circular economy with a Phi of 0.45. However, there is a moderate strength of association with industrial development (0.37) and waterfront development (0.34). Port industrial development shows the strongest association with waterfront development (0.49), which may be influenced by the fact</w:t>
      </w:r>
      <w:r w:rsidR="002F789E">
        <w:rPr>
          <w:lang w:val="en-GB"/>
        </w:rPr>
        <w:t xml:space="preserve"> that</w:t>
      </w:r>
      <w:r w:rsidRPr="00FD0336">
        <w:rPr>
          <w:lang w:val="en-GB"/>
        </w:rPr>
        <w:t xml:space="preserve"> a high level of industry may suggest the port has grown beyond the traditional port area close to the city centre, leaving older areas of the port free for redevelopment. </w:t>
      </w:r>
      <w:r w:rsidR="002F789E">
        <w:rPr>
          <w:lang w:val="en-GB"/>
        </w:rPr>
        <w:t>A c</w:t>
      </w:r>
      <w:r w:rsidRPr="00FD0336">
        <w:rPr>
          <w:lang w:val="en-GB"/>
        </w:rPr>
        <w:t>ircular economy shows higher levels of association, with moderate associations with maritime cluster presence (0.45) and industrial development (0.43), and a high association with waterfront development (0.5). The associations between these methods shows that ports regularly have a mix of maritime clusters, industrial development, circular economy</w:t>
      </w:r>
      <w:r w:rsidR="002F789E">
        <w:rPr>
          <w:lang w:val="en-GB"/>
        </w:rPr>
        <w:t>,</w:t>
      </w:r>
      <w:r w:rsidRPr="00FD0336">
        <w:rPr>
          <w:lang w:val="en-GB"/>
        </w:rPr>
        <w:t xml:space="preserve"> and waterfront development. It may also suggest that some of the methods are complimentary, with industrial development providing components of a maritime cluster, and circular economy making use of waste products created by industrial development, for example. It also suggests that there are active ports that are likely to engage with multiple</w:t>
      </w:r>
      <w:r w:rsidR="002F789E">
        <w:rPr>
          <w:lang w:val="en-GB"/>
        </w:rPr>
        <w:t>s</w:t>
      </w:r>
      <w:r w:rsidRPr="00FD0336">
        <w:rPr>
          <w:lang w:val="en-GB"/>
        </w:rPr>
        <w:t xml:space="preserve"> of these measures, and inactive ports that are not engaging with any of them. It is therefore important for further work to identify the reasons why ports become </w:t>
      </w:r>
      <w:proofErr w:type="gramStart"/>
      <w:r w:rsidRPr="00FD0336">
        <w:rPr>
          <w:lang w:val="en-GB"/>
        </w:rPr>
        <w:t>active, and</w:t>
      </w:r>
      <w:proofErr w:type="gramEnd"/>
      <w:r w:rsidRPr="00FD0336">
        <w:rPr>
          <w:lang w:val="en-GB"/>
        </w:rPr>
        <w:t xml:space="preserve"> find ways to help ports begin the process of implementing ways to increase their local economic benefits, which may help encourage greater levels of circular economy. </w:t>
      </w:r>
      <w:proofErr w:type="gramStart"/>
      <w:r w:rsidRPr="00FD0336">
        <w:rPr>
          <w:lang w:val="en-GB"/>
        </w:rPr>
        <w:t>All of</w:t>
      </w:r>
      <w:proofErr w:type="gramEnd"/>
      <w:r w:rsidRPr="00FD0336">
        <w:rPr>
          <w:lang w:val="en-GB"/>
        </w:rPr>
        <w:t xml:space="preserve"> these measures appear to have the potential to compliment the circular economy.</w:t>
      </w:r>
    </w:p>
    <w:p w14:paraId="3D5A680D" w14:textId="65458B5F" w:rsidR="00692E76" w:rsidRPr="00FD0336" w:rsidRDefault="002F789E" w:rsidP="0029190A">
      <w:pPr>
        <w:pStyle w:val="MDPI31text"/>
        <w:rPr>
          <w:lang w:val="en-GB"/>
        </w:rPr>
      </w:pPr>
      <w:r>
        <w:rPr>
          <w:lang w:val="en-GB"/>
        </w:rPr>
        <w:t>A c</w:t>
      </w:r>
      <w:r w:rsidR="00692E76" w:rsidRPr="00FD0336">
        <w:rPr>
          <w:lang w:val="en-GB"/>
        </w:rPr>
        <w:t xml:space="preserve">ircular economy sees a large increase </w:t>
      </w:r>
      <w:r>
        <w:rPr>
          <w:lang w:val="en-GB"/>
        </w:rPr>
        <w:t>of</w:t>
      </w:r>
      <w:r w:rsidRPr="00FD0336">
        <w:rPr>
          <w:lang w:val="en-GB"/>
        </w:rPr>
        <w:t xml:space="preserve"> </w:t>
      </w:r>
      <w:r w:rsidR="00692E76" w:rsidRPr="00FD0336">
        <w:rPr>
          <w:lang w:val="en-GB"/>
        </w:rPr>
        <w:t>interest compared with current levels (59%) in Table 1. This suggests that</w:t>
      </w:r>
      <w:r>
        <w:rPr>
          <w:lang w:val="en-GB"/>
        </w:rPr>
        <w:t>,</w:t>
      </w:r>
      <w:r w:rsidR="00692E76" w:rsidRPr="00FD0336">
        <w:rPr>
          <w:lang w:val="en-GB"/>
        </w:rPr>
        <w:t xml:space="preserve"> as well as being ideally placed to be at the centre of the cultural paradigm shift to a circular economy</w:t>
      </w:r>
      <w:r>
        <w:rPr>
          <w:lang w:val="en-GB"/>
        </w:rPr>
        <w:t>,</w:t>
      </w:r>
      <w:r w:rsidR="00692E76" w:rsidRPr="00FD0336">
        <w:rPr>
          <w:lang w:val="en-GB"/>
        </w:rPr>
        <w:t xml:space="preserve"> called for by </w:t>
      </w:r>
      <w:proofErr w:type="spellStart"/>
      <w:r w:rsidR="00692E76" w:rsidRPr="00FD0336">
        <w:rPr>
          <w:lang w:val="en-GB"/>
        </w:rPr>
        <w:t>Gravagnuolo</w:t>
      </w:r>
      <w:proofErr w:type="spellEnd"/>
      <w:r w:rsidR="00692E76" w:rsidRPr="00FD0336">
        <w:rPr>
          <w:lang w:val="en-GB"/>
        </w:rPr>
        <w:t xml:space="preserve"> et al [31], ports have a clear interest in embracing this transition globally and across all sizes in this study. Table 5 shows that circular economy in ports faces similar barriers to industrial development and waterfront development, with the largest obstacles being high costs and land use. Figure 3 shows that high costs and land use have the highest frequencies of being identified by respondents as </w:t>
      </w:r>
      <w:proofErr w:type="gramStart"/>
      <w:r w:rsidR="00692E76" w:rsidRPr="00FD0336">
        <w:rPr>
          <w:lang w:val="en-GB"/>
        </w:rPr>
        <w:t>very large</w:t>
      </w:r>
      <w:proofErr w:type="gramEnd"/>
      <w:r w:rsidR="00692E76" w:rsidRPr="00FD0336">
        <w:rPr>
          <w:lang w:val="en-GB"/>
        </w:rPr>
        <w:t xml:space="preserve"> obstacles to circular economy. This supports the findings of Mont et al. [29] and Van den </w:t>
      </w:r>
      <w:proofErr w:type="spellStart"/>
      <w:r w:rsidR="00692E76" w:rsidRPr="00FD0336">
        <w:rPr>
          <w:lang w:val="en-GB"/>
        </w:rPr>
        <w:t>Berghe</w:t>
      </w:r>
      <w:proofErr w:type="spellEnd"/>
      <w:r w:rsidR="00692E76" w:rsidRPr="00FD0336">
        <w:rPr>
          <w:lang w:val="en-GB"/>
        </w:rPr>
        <w:t xml:space="preserve"> et al [28]</w:t>
      </w:r>
      <w:r w:rsidR="00BE14BD" w:rsidRPr="00FD0336">
        <w:rPr>
          <w:lang w:val="en-GB"/>
        </w:rPr>
        <w:t xml:space="preserve"> on general CE barriers, as well as the findings of Carpenter and Lozano </w:t>
      </w:r>
      <w:r w:rsidR="00BE14BD" w:rsidRPr="00001C64">
        <w:rPr>
          <w:lang w:val="en-GB"/>
        </w:rPr>
        <w:t>[8</w:t>
      </w:r>
      <w:r w:rsidR="00177D99" w:rsidRPr="00001C64">
        <w:rPr>
          <w:lang w:val="en-GB"/>
        </w:rPr>
        <w:t>4</w:t>
      </w:r>
      <w:r w:rsidR="00BE14BD" w:rsidRPr="00001C64">
        <w:rPr>
          <w:lang w:val="en-GB"/>
        </w:rPr>
        <w:t>]</w:t>
      </w:r>
      <w:r w:rsidRPr="00D23348">
        <w:rPr>
          <w:lang w:val="en-GB"/>
        </w:rPr>
        <w:t>,</w:t>
      </w:r>
      <w:r w:rsidR="00BE14BD" w:rsidRPr="00FD0336">
        <w:rPr>
          <w:lang w:val="en-GB"/>
        </w:rPr>
        <w:t xml:space="preserve"> who stated that economic viability is the first requirement for CE in ports</w:t>
      </w:r>
      <w:r w:rsidR="00692E76" w:rsidRPr="00FD0336">
        <w:rPr>
          <w:lang w:val="en-GB"/>
        </w:rPr>
        <w:t>. Technolog</w:t>
      </w:r>
      <w:r w:rsidR="00F17B5D">
        <w:rPr>
          <w:lang w:val="en-GB"/>
        </w:rPr>
        <w:t>ical limitations</w:t>
      </w:r>
      <w:r w:rsidR="00692E76" w:rsidRPr="00FD0336">
        <w:rPr>
          <w:lang w:val="en-GB"/>
        </w:rPr>
        <w:t xml:space="preserve"> </w:t>
      </w:r>
      <w:r w:rsidR="00F17B5D">
        <w:rPr>
          <w:lang w:val="en-GB"/>
        </w:rPr>
        <w:t>are</w:t>
      </w:r>
      <w:r w:rsidR="00692E76" w:rsidRPr="00FD0336">
        <w:rPr>
          <w:lang w:val="en-GB"/>
        </w:rPr>
        <w:t xml:space="preserve"> </w:t>
      </w:r>
      <w:r w:rsidR="00822D82">
        <w:rPr>
          <w:lang w:val="en-GB"/>
        </w:rPr>
        <w:t xml:space="preserve">not </w:t>
      </w:r>
      <w:r w:rsidR="00692E76" w:rsidRPr="00FD0336">
        <w:rPr>
          <w:lang w:val="en-GB"/>
        </w:rPr>
        <w:t xml:space="preserve">shown </w:t>
      </w:r>
      <w:r w:rsidR="00822D82">
        <w:rPr>
          <w:lang w:val="en-GB"/>
        </w:rPr>
        <w:t xml:space="preserve">to </w:t>
      </w:r>
      <w:r w:rsidR="00692E76" w:rsidRPr="00FD0336">
        <w:rPr>
          <w:lang w:val="en-GB"/>
        </w:rPr>
        <w:t xml:space="preserve">be a significant source of large or </w:t>
      </w:r>
      <w:proofErr w:type="gramStart"/>
      <w:r w:rsidR="00692E76" w:rsidRPr="00FD0336">
        <w:rPr>
          <w:lang w:val="en-GB"/>
        </w:rPr>
        <w:t>very large</w:t>
      </w:r>
      <w:proofErr w:type="gramEnd"/>
      <w:r w:rsidR="00692E76" w:rsidRPr="00FD0336">
        <w:rPr>
          <w:lang w:val="en-GB"/>
        </w:rPr>
        <w:t xml:space="preserve"> obstacle</w:t>
      </w:r>
      <w:r>
        <w:rPr>
          <w:lang w:val="en-GB"/>
        </w:rPr>
        <w:t>s</w:t>
      </w:r>
      <w:r w:rsidR="00692E76" w:rsidRPr="00FD0336">
        <w:rPr>
          <w:lang w:val="en-GB"/>
        </w:rPr>
        <w:t xml:space="preserve"> to </w:t>
      </w:r>
      <w:r>
        <w:rPr>
          <w:lang w:val="en-GB"/>
        </w:rPr>
        <w:t xml:space="preserve">a </w:t>
      </w:r>
      <w:r w:rsidR="00692E76" w:rsidRPr="00FD0336">
        <w:rPr>
          <w:lang w:val="en-GB"/>
        </w:rPr>
        <w:t>circular economy. Addressing the key obstacles of high costs and land use will be essential if ports are to achieve their full potential within the circular economy, and these are both obstacles that the port may be able to work with city authorities and private stakeholders to address</w:t>
      </w:r>
      <w:r>
        <w:rPr>
          <w:lang w:val="en-GB"/>
        </w:rPr>
        <w:t>,</w:t>
      </w:r>
      <w:r w:rsidR="00692E76" w:rsidRPr="00FD0336">
        <w:rPr>
          <w:lang w:val="en-GB"/>
        </w:rPr>
        <w:t xml:space="preserve"> as Figure 3 shows</w:t>
      </w:r>
      <w:r>
        <w:rPr>
          <w:lang w:val="en-GB"/>
        </w:rPr>
        <w:t>,</w:t>
      </w:r>
      <w:r w:rsidR="00692E76" w:rsidRPr="00FD0336">
        <w:rPr>
          <w:lang w:val="en-GB"/>
        </w:rPr>
        <w:t xml:space="preserve"> they are not a major source of obstacles. Given the considerable benefits</w:t>
      </w:r>
      <w:r>
        <w:rPr>
          <w:lang w:val="en-GB"/>
        </w:rPr>
        <w:t xml:space="preserve"> a </w:t>
      </w:r>
      <w:r w:rsidR="00692E76" w:rsidRPr="00FD0336">
        <w:rPr>
          <w:lang w:val="en-GB"/>
        </w:rPr>
        <w:t xml:space="preserve">circular economy can provide for cities, </w:t>
      </w:r>
      <w:r w:rsidR="006E7032">
        <w:rPr>
          <w:lang w:val="en-GB"/>
        </w:rPr>
        <w:t>encouraging a</w:t>
      </w:r>
      <w:r w:rsidR="00692E76" w:rsidRPr="00FD0336">
        <w:rPr>
          <w:lang w:val="en-GB"/>
        </w:rPr>
        <w:t xml:space="preserve"> circular economy in ports may provide a triple win scenario by benefitting both ports and cities, as well as </w:t>
      </w:r>
      <w:r w:rsidR="006E7032">
        <w:rPr>
          <w:lang w:val="en-GB"/>
        </w:rPr>
        <w:t xml:space="preserve">the </w:t>
      </w:r>
      <w:r w:rsidR="00692E76" w:rsidRPr="00FD0336">
        <w:rPr>
          <w:lang w:val="en-GB"/>
        </w:rPr>
        <w:t>wider society. This may be encouraged by existing programs</w:t>
      </w:r>
      <w:r w:rsidR="006E7032">
        <w:rPr>
          <w:lang w:val="en-GB"/>
        </w:rPr>
        <w:t xml:space="preserve">, </w:t>
      </w:r>
      <w:r w:rsidR="00692E76" w:rsidRPr="00FD0336">
        <w:rPr>
          <w:lang w:val="en-GB"/>
        </w:rPr>
        <w:t xml:space="preserve">such as the Scottish government’s proposed green ports </w:t>
      </w:r>
      <w:r w:rsidR="00692E76" w:rsidRPr="00001C64">
        <w:rPr>
          <w:lang w:val="en-GB"/>
        </w:rPr>
        <w:t>[8</w:t>
      </w:r>
      <w:r w:rsidR="00177D99" w:rsidRPr="00001C64">
        <w:rPr>
          <w:lang w:val="en-GB"/>
        </w:rPr>
        <w:t>6</w:t>
      </w:r>
      <w:r w:rsidR="00692E76" w:rsidRPr="00001C64">
        <w:rPr>
          <w:lang w:val="en-GB"/>
        </w:rPr>
        <w:t>],</w:t>
      </w:r>
      <w:r w:rsidR="00692E76" w:rsidRPr="00FD0336">
        <w:rPr>
          <w:lang w:val="en-GB"/>
        </w:rPr>
        <w:t xml:space="preserve"> which commits ports to supporting sustainable and inclusive growth in local areas, whilst transitioning to net zero emissions, or the European environmental initiative </w:t>
      </w:r>
      <w:proofErr w:type="spellStart"/>
      <w:r w:rsidR="00692E76" w:rsidRPr="00FD0336">
        <w:rPr>
          <w:lang w:val="en-GB"/>
        </w:rPr>
        <w:t>EcoPorts</w:t>
      </w:r>
      <w:proofErr w:type="spellEnd"/>
      <w:r w:rsidR="007E0113" w:rsidRPr="00FD0336">
        <w:rPr>
          <w:lang w:val="en-GB"/>
        </w:rPr>
        <w:t xml:space="preserve"> </w:t>
      </w:r>
      <w:r w:rsidR="007E0113" w:rsidRPr="00001C64">
        <w:rPr>
          <w:lang w:val="en-GB"/>
        </w:rPr>
        <w:t>[8</w:t>
      </w:r>
      <w:r w:rsidR="00177D99" w:rsidRPr="00001C64">
        <w:rPr>
          <w:lang w:val="en-GB"/>
        </w:rPr>
        <w:t>7</w:t>
      </w:r>
      <w:r w:rsidR="007E0113" w:rsidRPr="00001C64">
        <w:rPr>
          <w:lang w:val="en-GB"/>
        </w:rPr>
        <w:t>]</w:t>
      </w:r>
      <w:r w:rsidR="00692E76" w:rsidRPr="00D23348">
        <w:rPr>
          <w:lang w:val="en-GB"/>
        </w:rPr>
        <w:t>.</w:t>
      </w:r>
      <w:r w:rsidR="00692E76" w:rsidRPr="00FD0336">
        <w:rPr>
          <w:lang w:val="en-GB"/>
        </w:rPr>
        <w:t xml:space="preserve"> It is clear from the data that there is a desire among ports to increase circular </w:t>
      </w:r>
      <w:r w:rsidR="00692E76" w:rsidRPr="00FD0336">
        <w:rPr>
          <w:lang w:val="en-GB"/>
        </w:rPr>
        <w:lastRenderedPageBreak/>
        <w:t xml:space="preserve">economy activities, and that the barriers </w:t>
      </w:r>
      <w:r w:rsidR="007E0113" w:rsidRPr="00FD0336">
        <w:rPr>
          <w:lang w:val="en-GB"/>
        </w:rPr>
        <w:t xml:space="preserve">investigated in this study </w:t>
      </w:r>
      <w:r w:rsidR="00692E76" w:rsidRPr="00FD0336">
        <w:rPr>
          <w:lang w:val="en-GB"/>
        </w:rPr>
        <w:t xml:space="preserve">are comparable </w:t>
      </w:r>
      <w:r w:rsidR="003266BF" w:rsidRPr="00FD0336">
        <w:rPr>
          <w:lang w:val="en-GB"/>
        </w:rPr>
        <w:t xml:space="preserve">in size </w:t>
      </w:r>
      <w:r w:rsidR="00692E76" w:rsidRPr="00FD0336">
        <w:rPr>
          <w:lang w:val="en-GB"/>
        </w:rPr>
        <w:t xml:space="preserve">with </w:t>
      </w:r>
      <w:r w:rsidR="007E0113" w:rsidRPr="00FD0336">
        <w:rPr>
          <w:lang w:val="en-GB"/>
        </w:rPr>
        <w:t xml:space="preserve">those for </w:t>
      </w:r>
      <w:r w:rsidR="00692E76" w:rsidRPr="00FD0336">
        <w:rPr>
          <w:lang w:val="en-GB"/>
        </w:rPr>
        <w:t>other measures for increasing economic benefits.</w:t>
      </w:r>
      <w:r w:rsidR="007E0113" w:rsidRPr="00FD0336">
        <w:rPr>
          <w:lang w:val="en-GB"/>
        </w:rPr>
        <w:t xml:space="preserve"> This suggests that a lack of circular economy adoption may therefore be due to cultural </w:t>
      </w:r>
      <w:r w:rsidR="003C38A3" w:rsidRPr="00FD0336">
        <w:rPr>
          <w:lang w:val="en-GB"/>
        </w:rPr>
        <w:t xml:space="preserve">and organizational </w:t>
      </w:r>
      <w:r w:rsidR="007E0113" w:rsidRPr="00FD0336">
        <w:rPr>
          <w:lang w:val="en-GB"/>
        </w:rPr>
        <w:t xml:space="preserve">barriers </w:t>
      </w:r>
      <w:r w:rsidR="005120AA" w:rsidRPr="00FD0336">
        <w:rPr>
          <w:lang w:val="en-GB"/>
        </w:rPr>
        <w:t xml:space="preserve">as stated by </w:t>
      </w:r>
      <w:proofErr w:type="spellStart"/>
      <w:r w:rsidR="005120AA" w:rsidRPr="00FD0336">
        <w:rPr>
          <w:lang w:val="en-GB"/>
        </w:rPr>
        <w:t>Kirchherr</w:t>
      </w:r>
      <w:proofErr w:type="spellEnd"/>
      <w:r w:rsidR="005120AA" w:rsidRPr="00FD0336">
        <w:rPr>
          <w:lang w:val="en-GB"/>
        </w:rPr>
        <w:t xml:space="preserve"> et al. [24], such as a lack of cooperation, </w:t>
      </w:r>
      <w:r w:rsidR="007E0113" w:rsidRPr="00FD0336">
        <w:rPr>
          <w:lang w:val="en-GB"/>
        </w:rPr>
        <w:t>rather than financial or technological barriers. Therefore, measures to overcome these cultural barriers are needed.</w:t>
      </w:r>
    </w:p>
    <w:p w14:paraId="67FDF013" w14:textId="3B121EF4" w:rsidR="00E93F94" w:rsidRPr="00FD0336" w:rsidRDefault="00E93F94" w:rsidP="0029190A">
      <w:pPr>
        <w:pStyle w:val="MDPI31text"/>
        <w:rPr>
          <w:b/>
          <w:lang w:val="en-GB"/>
        </w:rPr>
      </w:pPr>
      <w:r w:rsidRPr="00FD0336">
        <w:rPr>
          <w:lang w:val="en-GB"/>
        </w:rPr>
        <w:t>Support for maritime clusters remains consistent with current levels (Table 1). High costs are reported to be the biggest obstacle, with private stakeholders and city and municipal authorities also providing a source of large obstacles (Figure 6). This may be because a maritime cluster is a network of inter-related industries, cooperation with city authorities</w:t>
      </w:r>
      <w:r w:rsidR="00A034A1">
        <w:rPr>
          <w:lang w:val="en-GB"/>
        </w:rPr>
        <w:t>,</w:t>
      </w:r>
      <w:r w:rsidRPr="00FD0336">
        <w:rPr>
          <w:lang w:val="en-GB"/>
        </w:rPr>
        <w:t xml:space="preserve"> and private stakeholders is essential for their development. The key sources of barriers are different for maritime clusters when compared with the other measures, with</w:t>
      </w:r>
      <w:r w:rsidR="00A034A1">
        <w:rPr>
          <w:lang w:val="en-GB"/>
        </w:rPr>
        <w:t>,</w:t>
      </w:r>
      <w:r w:rsidRPr="00FD0336">
        <w:rPr>
          <w:lang w:val="en-GB"/>
        </w:rPr>
        <w:t xml:space="preserve"> for example</w:t>
      </w:r>
      <w:r w:rsidR="00A034A1">
        <w:rPr>
          <w:lang w:val="en-GB"/>
        </w:rPr>
        <w:t>,</w:t>
      </w:r>
      <w:r w:rsidRPr="00FD0336">
        <w:rPr>
          <w:lang w:val="en-GB"/>
        </w:rPr>
        <w:t xml:space="preserve"> land use being a smaller obstacle. This may be because</w:t>
      </w:r>
      <w:r w:rsidR="004A00EE" w:rsidRPr="00FD0336">
        <w:rPr>
          <w:lang w:val="en-GB"/>
        </w:rPr>
        <w:t xml:space="preserve"> some of</w:t>
      </w:r>
      <w:r w:rsidRPr="00FD0336">
        <w:rPr>
          <w:lang w:val="en-GB"/>
        </w:rPr>
        <w:t xml:space="preserve"> the industries required to form a maritime cluster may require land within the city itself rather than on port land, making it an issue the port has less influence over. </w:t>
      </w:r>
      <w:r w:rsidR="004A00EE" w:rsidRPr="00FD0336">
        <w:rPr>
          <w:lang w:val="en-GB"/>
        </w:rPr>
        <w:t xml:space="preserve">It may be possible to create maritime clusters focused </w:t>
      </w:r>
      <w:proofErr w:type="gramStart"/>
      <w:r w:rsidR="004A00EE" w:rsidRPr="00FD0336">
        <w:rPr>
          <w:lang w:val="en-GB"/>
        </w:rPr>
        <w:t>around</w:t>
      </w:r>
      <w:proofErr w:type="gramEnd"/>
      <w:r w:rsidR="004A00EE" w:rsidRPr="00FD0336">
        <w:rPr>
          <w:lang w:val="en-GB"/>
        </w:rPr>
        <w:t xml:space="preserve"> the circular economy</w:t>
      </w:r>
      <w:r w:rsidR="00A034A1">
        <w:rPr>
          <w:lang w:val="en-GB"/>
        </w:rPr>
        <w:t>,</w:t>
      </w:r>
      <w:r w:rsidR="004A00EE" w:rsidRPr="00FD0336">
        <w:rPr>
          <w:lang w:val="en-GB"/>
        </w:rPr>
        <w:t xml:space="preserve"> and this may be a more suitable way for ports to increase circular economy activities if land use is an issue, or in cities that lack large amounts of industrial development.</w:t>
      </w:r>
    </w:p>
    <w:p w14:paraId="13EFE957" w14:textId="0DB923BE" w:rsidR="00E93F94" w:rsidRPr="00FD0336" w:rsidRDefault="00E93F94" w:rsidP="0029190A">
      <w:pPr>
        <w:pStyle w:val="MDPI31text"/>
        <w:rPr>
          <w:b/>
          <w:lang w:val="en-GB"/>
        </w:rPr>
      </w:pPr>
      <w:r w:rsidRPr="00FD0336">
        <w:rPr>
          <w:lang w:val="en-GB"/>
        </w:rPr>
        <w:t>There is a considerable fall in interest in waterfront economy when compared with current levels. This may simply be because waterfront development has often taken place in disused or abandoned port land. It often takes place when a port</w:t>
      </w:r>
      <w:r w:rsidR="00822D82">
        <w:rPr>
          <w:lang w:val="en-GB"/>
        </w:rPr>
        <w:t>—</w:t>
      </w:r>
      <w:r w:rsidRPr="00FD0336">
        <w:rPr>
          <w:lang w:val="en-GB"/>
        </w:rPr>
        <w:t>or a specific area of land used by the port</w:t>
      </w:r>
      <w:r w:rsidR="00822D82">
        <w:rPr>
          <w:lang w:val="en-GB"/>
        </w:rPr>
        <w:t>—</w:t>
      </w:r>
      <w:r w:rsidRPr="00FD0336">
        <w:rPr>
          <w:lang w:val="en-GB"/>
        </w:rPr>
        <w:t>has entered a decline and is available for new uses, which is often an externality of port operations as discussed by Hoyle [</w:t>
      </w:r>
      <w:r w:rsidR="00177D99">
        <w:rPr>
          <w:lang w:val="en-GB"/>
        </w:rPr>
        <w:t>60</w:t>
      </w:r>
      <w:r w:rsidRPr="00FD0336">
        <w:rPr>
          <w:lang w:val="en-GB"/>
        </w:rPr>
        <w:t xml:space="preserve">] and </w:t>
      </w:r>
      <w:proofErr w:type="spellStart"/>
      <w:r w:rsidRPr="00FD0336">
        <w:rPr>
          <w:lang w:val="en-GB"/>
        </w:rPr>
        <w:t>Saz</w:t>
      </w:r>
      <w:proofErr w:type="spellEnd"/>
      <w:r w:rsidRPr="00FD0336">
        <w:rPr>
          <w:lang w:val="en-GB"/>
        </w:rPr>
        <w:t xml:space="preserve">-Salazar et al [1]. It may be the case that potential development opportunities in this area have already been exhausted, as present levels of adoption are shown to be high. </w:t>
      </w:r>
      <w:r w:rsidRPr="00001C64">
        <w:rPr>
          <w:lang w:val="en-GB"/>
        </w:rPr>
        <w:t>This may explain why port</w:t>
      </w:r>
      <w:r w:rsidR="00F17B5D" w:rsidRPr="00001C64">
        <w:rPr>
          <w:lang w:val="en-GB"/>
        </w:rPr>
        <w:t xml:space="preserve"> authorities</w:t>
      </w:r>
      <w:r w:rsidRPr="00001C64">
        <w:rPr>
          <w:lang w:val="en-GB"/>
        </w:rPr>
        <w:t xml:space="preserve"> are not necessarily highly interested in encouraging it in the future.</w:t>
      </w:r>
      <w:r w:rsidRPr="009E3ED6">
        <w:rPr>
          <w:lang w:val="en-GB"/>
        </w:rPr>
        <w:t xml:space="preserve"> Figure 5 and Table 5 show that barriers to waterfront development are not higher than the other methods. This suggests that </w:t>
      </w:r>
      <w:r w:rsidRPr="00001C64">
        <w:rPr>
          <w:lang w:val="en-GB"/>
        </w:rPr>
        <w:t>port</w:t>
      </w:r>
      <w:r w:rsidR="00F17B5D" w:rsidRPr="00001C64">
        <w:rPr>
          <w:lang w:val="en-GB"/>
        </w:rPr>
        <w:t xml:space="preserve"> authorities</w:t>
      </w:r>
      <w:r w:rsidRPr="00001C64">
        <w:rPr>
          <w:lang w:val="en-GB"/>
        </w:rPr>
        <w:t xml:space="preserve"> are simply less interested</w:t>
      </w:r>
      <w:r w:rsidRPr="009E3ED6">
        <w:rPr>
          <w:lang w:val="en-GB"/>
        </w:rPr>
        <w:t xml:space="preserve"> in this option, rather than facing too many obstacles to pursue it. It may be something that </w:t>
      </w:r>
      <w:r w:rsidRPr="00001C64">
        <w:rPr>
          <w:lang w:val="en-GB"/>
        </w:rPr>
        <w:t>port</w:t>
      </w:r>
      <w:r w:rsidR="00F17B5D" w:rsidRPr="00001C64">
        <w:rPr>
          <w:lang w:val="en-GB"/>
        </w:rPr>
        <w:t xml:space="preserve"> authorities</w:t>
      </w:r>
      <w:r w:rsidRPr="00001C64">
        <w:rPr>
          <w:lang w:val="en-GB"/>
        </w:rPr>
        <w:t xml:space="preserve"> feel is more under the control of the cities themselves.</w:t>
      </w:r>
    </w:p>
    <w:p w14:paraId="75D75950" w14:textId="129CF988" w:rsidR="00E93F94" w:rsidRPr="00FD0336" w:rsidRDefault="00E93F94" w:rsidP="0029190A">
      <w:pPr>
        <w:pStyle w:val="MDPI31text"/>
        <w:rPr>
          <w:b/>
          <w:lang w:val="en-GB"/>
        </w:rPr>
      </w:pPr>
      <w:r w:rsidRPr="00FD0336">
        <w:rPr>
          <w:lang w:val="en-GB"/>
        </w:rPr>
        <w:t xml:space="preserve">Industrial development is the most widely adopted option and is the most desired option for the future (Table 1). </w:t>
      </w:r>
      <w:r w:rsidR="004A00EE" w:rsidRPr="00FD0336">
        <w:rPr>
          <w:lang w:val="en-GB"/>
        </w:rPr>
        <w:t xml:space="preserve">It is therefore essential </w:t>
      </w:r>
      <w:r w:rsidR="00586F92">
        <w:rPr>
          <w:lang w:val="en-GB"/>
        </w:rPr>
        <w:t xml:space="preserve">that </w:t>
      </w:r>
      <w:r w:rsidR="004A00EE" w:rsidRPr="00FD0336">
        <w:rPr>
          <w:lang w:val="en-GB"/>
        </w:rPr>
        <w:t xml:space="preserve">this development </w:t>
      </w:r>
      <w:r w:rsidR="00822D82" w:rsidRPr="00FD0336">
        <w:rPr>
          <w:lang w:val="en-GB"/>
        </w:rPr>
        <w:t>be</w:t>
      </w:r>
      <w:r w:rsidR="004A00EE" w:rsidRPr="00FD0336">
        <w:rPr>
          <w:lang w:val="en-GB"/>
        </w:rPr>
        <w:t xml:space="preserve"> linked to the circular economy </w:t>
      </w:r>
      <w:proofErr w:type="gramStart"/>
      <w:r w:rsidR="004A00EE" w:rsidRPr="00FD0336">
        <w:rPr>
          <w:lang w:val="en-GB"/>
        </w:rPr>
        <w:t>in order to</w:t>
      </w:r>
      <w:proofErr w:type="gramEnd"/>
      <w:r w:rsidR="004A00EE" w:rsidRPr="00FD0336">
        <w:rPr>
          <w:lang w:val="en-GB"/>
        </w:rPr>
        <w:t xml:space="preserve"> mitigate the negative impacts.</w:t>
      </w:r>
      <w:r w:rsidR="00586F92">
        <w:rPr>
          <w:lang w:val="en-GB"/>
        </w:rPr>
        <w:t xml:space="preserve"> It is l</w:t>
      </w:r>
      <w:r w:rsidR="004A00EE" w:rsidRPr="00FD0336">
        <w:rPr>
          <w:lang w:val="en-GB"/>
        </w:rPr>
        <w:t>ikely due to these impacts</w:t>
      </w:r>
      <w:r w:rsidR="00586F92">
        <w:rPr>
          <w:lang w:val="en-GB"/>
        </w:rPr>
        <w:t xml:space="preserve"> that </w:t>
      </w:r>
      <w:r w:rsidRPr="00FD0336">
        <w:rPr>
          <w:lang w:val="en-GB"/>
        </w:rPr>
        <w:t>th</w:t>
      </w:r>
      <w:r w:rsidR="00586F92">
        <w:rPr>
          <w:lang w:val="en-GB"/>
        </w:rPr>
        <w:t>is</w:t>
      </w:r>
      <w:r w:rsidRPr="00FD0336">
        <w:rPr>
          <w:lang w:val="en-GB"/>
        </w:rPr>
        <w:t xml:space="preserve"> option faces </w:t>
      </w:r>
      <w:proofErr w:type="gramStart"/>
      <w:r w:rsidRPr="00FD0336">
        <w:rPr>
          <w:lang w:val="en-GB"/>
        </w:rPr>
        <w:t>very large</w:t>
      </w:r>
      <w:proofErr w:type="gramEnd"/>
      <w:r w:rsidRPr="00FD0336">
        <w:rPr>
          <w:lang w:val="en-GB"/>
        </w:rPr>
        <w:t xml:space="preserve"> obstacles (Figure 4). High costs and land use are reported to be the largest obstacles; and pressure groups, city and municipal authorities</w:t>
      </w:r>
      <w:r w:rsidR="00586F92">
        <w:rPr>
          <w:lang w:val="en-GB"/>
        </w:rPr>
        <w:t>,</w:t>
      </w:r>
      <w:r w:rsidRPr="00FD0336">
        <w:rPr>
          <w:lang w:val="en-GB"/>
        </w:rPr>
        <w:t xml:space="preserve"> and legislation </w:t>
      </w:r>
      <w:r w:rsidR="003D0980">
        <w:rPr>
          <w:lang w:val="en-GB"/>
        </w:rPr>
        <w:t>we</w:t>
      </w:r>
      <w:r w:rsidRPr="00FD0336">
        <w:rPr>
          <w:lang w:val="en-GB"/>
        </w:rPr>
        <w:t xml:space="preserve">re shown to </w:t>
      </w:r>
      <w:r w:rsidR="003D0980">
        <w:rPr>
          <w:lang w:val="en-GB"/>
        </w:rPr>
        <w:t xml:space="preserve">be </w:t>
      </w:r>
      <w:r w:rsidRPr="00FD0336">
        <w:rPr>
          <w:lang w:val="en-GB"/>
        </w:rPr>
        <w:t>sources of considerable obstacles. This shows that industrial development faces greater opposition and scrutiny from wider society, highlighting the growing awareness of the negative impacts industrial development can create</w:t>
      </w:r>
      <w:r w:rsidR="00C34820">
        <w:rPr>
          <w:lang w:val="en-GB"/>
        </w:rPr>
        <w:t>,</w:t>
      </w:r>
      <w:r w:rsidRPr="00FD0336">
        <w:rPr>
          <w:lang w:val="en-GB"/>
        </w:rPr>
        <w:t xml:space="preserve"> and the scrutiny placed upon it</w:t>
      </w:r>
      <w:r w:rsidR="00C34820">
        <w:rPr>
          <w:lang w:val="en-GB"/>
        </w:rPr>
        <w:t>,</w:t>
      </w:r>
      <w:r w:rsidRPr="00FD0336">
        <w:rPr>
          <w:lang w:val="en-GB"/>
        </w:rPr>
        <w:t xml:space="preserve"> </w:t>
      </w:r>
      <w:proofErr w:type="gramStart"/>
      <w:r w:rsidRPr="00FD0336">
        <w:rPr>
          <w:lang w:val="en-GB"/>
        </w:rPr>
        <w:t>as a consequence</w:t>
      </w:r>
      <w:proofErr w:type="gramEnd"/>
      <w:r w:rsidRPr="00FD0336">
        <w:rPr>
          <w:lang w:val="en-GB"/>
        </w:rPr>
        <w:t>.</w:t>
      </w:r>
      <w:r w:rsidR="004A00EE" w:rsidRPr="00FD0336">
        <w:rPr>
          <w:lang w:val="en-GB"/>
        </w:rPr>
        <w:t xml:space="preserve"> Utilising the circular economy may be an effective way to allow industrial development </w:t>
      </w:r>
      <w:r w:rsidR="00F17B5D">
        <w:rPr>
          <w:lang w:val="en-GB"/>
        </w:rPr>
        <w:t xml:space="preserve">within </w:t>
      </w:r>
      <w:r w:rsidR="00C34820" w:rsidRPr="00FD0336">
        <w:rPr>
          <w:lang w:val="en-GB"/>
        </w:rPr>
        <w:t>port</w:t>
      </w:r>
      <w:r w:rsidR="00F17B5D">
        <w:rPr>
          <w:lang w:val="en-GB"/>
        </w:rPr>
        <w:t xml:space="preserve"> area</w:t>
      </w:r>
      <w:r w:rsidR="00C34820" w:rsidRPr="00FD0336">
        <w:rPr>
          <w:lang w:val="en-GB"/>
        </w:rPr>
        <w:t>s</w:t>
      </w:r>
      <w:r w:rsidR="004A00EE" w:rsidRPr="00FD0336">
        <w:rPr>
          <w:lang w:val="en-GB"/>
        </w:rPr>
        <w:t>, whilst reducing the negative impacts, creating additional benefits</w:t>
      </w:r>
      <w:r w:rsidR="00C34820">
        <w:rPr>
          <w:lang w:val="en-GB"/>
        </w:rPr>
        <w:t>,</w:t>
      </w:r>
      <w:r w:rsidR="004A00EE" w:rsidRPr="00FD0336">
        <w:rPr>
          <w:lang w:val="en-GB"/>
        </w:rPr>
        <w:t xml:space="preserve"> and decreasing the barriers posed by pressure groups and city and municipal authorities.</w:t>
      </w:r>
    </w:p>
    <w:p w14:paraId="0FD6AB3C" w14:textId="4528515E" w:rsidR="00E93F94" w:rsidRPr="00FD0336" w:rsidRDefault="00E93F94" w:rsidP="0029190A">
      <w:pPr>
        <w:pStyle w:val="MDPI31text"/>
        <w:rPr>
          <w:b/>
          <w:lang w:val="en-GB"/>
        </w:rPr>
      </w:pPr>
      <w:r w:rsidRPr="00FD0336">
        <w:rPr>
          <w:lang w:val="en-GB"/>
        </w:rPr>
        <w:t xml:space="preserve">Table 4 shows that interest in encouraging the various methods </w:t>
      </w:r>
      <w:proofErr w:type="gramStart"/>
      <w:r w:rsidRPr="00FD0336">
        <w:rPr>
          <w:lang w:val="en-GB"/>
        </w:rPr>
        <w:t>are</w:t>
      </w:r>
      <w:proofErr w:type="gramEnd"/>
      <w:r w:rsidRPr="00FD0336">
        <w:rPr>
          <w:lang w:val="en-GB"/>
        </w:rPr>
        <w:t xml:space="preserve"> also associated with positive attitudes towards other methods. The moderate strength of association between encouraging industrial development and encouraging circular economy may be due to the potential symbiotic nature of these industries. Maritime clusters may be interlinked with industrial development and </w:t>
      </w:r>
      <w:r w:rsidR="008A1CF5">
        <w:rPr>
          <w:lang w:val="en-GB"/>
        </w:rPr>
        <w:t xml:space="preserve">the </w:t>
      </w:r>
      <w:r w:rsidRPr="00FD0336">
        <w:rPr>
          <w:lang w:val="en-GB"/>
        </w:rPr>
        <w:t xml:space="preserve">circular economy, as these may add extra components to the maritime cluster. In the future, industrial development should be undertaken alongside </w:t>
      </w:r>
      <w:r w:rsidR="008A1CF5">
        <w:rPr>
          <w:lang w:val="en-GB"/>
        </w:rPr>
        <w:t xml:space="preserve">a </w:t>
      </w:r>
      <w:r w:rsidRPr="00FD0336">
        <w:rPr>
          <w:lang w:val="en-GB"/>
        </w:rPr>
        <w:t xml:space="preserve">circular economy </w:t>
      </w:r>
      <w:proofErr w:type="gramStart"/>
      <w:r w:rsidRPr="00FD0336">
        <w:rPr>
          <w:lang w:val="en-GB"/>
        </w:rPr>
        <w:t>in order to</w:t>
      </w:r>
      <w:proofErr w:type="gramEnd"/>
      <w:r w:rsidRPr="00FD0336">
        <w:rPr>
          <w:lang w:val="en-GB"/>
        </w:rPr>
        <w:t xml:space="preserve"> reduce the negative impacts of this development. The association </w:t>
      </w:r>
      <w:r w:rsidR="00822D82">
        <w:rPr>
          <w:lang w:val="en-GB"/>
        </w:rPr>
        <w:t>concerning</w:t>
      </w:r>
      <w:r w:rsidR="00822D82" w:rsidRPr="00FD0336">
        <w:rPr>
          <w:lang w:val="en-GB"/>
        </w:rPr>
        <w:t xml:space="preserve"> </w:t>
      </w:r>
      <w:r w:rsidRPr="00FD0336">
        <w:rPr>
          <w:lang w:val="en-GB"/>
        </w:rPr>
        <w:t xml:space="preserve">the desire to encourage </w:t>
      </w:r>
      <w:proofErr w:type="gramStart"/>
      <w:r w:rsidRPr="00FD0336">
        <w:rPr>
          <w:lang w:val="en-GB"/>
        </w:rPr>
        <w:t>both of these</w:t>
      </w:r>
      <w:proofErr w:type="gramEnd"/>
      <w:r w:rsidRPr="00FD0336">
        <w:rPr>
          <w:lang w:val="en-GB"/>
        </w:rPr>
        <w:t xml:space="preserve"> is</w:t>
      </w:r>
      <w:r w:rsidR="008A1CF5">
        <w:rPr>
          <w:lang w:val="en-GB"/>
        </w:rPr>
        <w:t>,</w:t>
      </w:r>
      <w:r w:rsidRPr="00FD0336">
        <w:rPr>
          <w:lang w:val="en-GB"/>
        </w:rPr>
        <w:t xml:space="preserve"> therefore</w:t>
      </w:r>
      <w:r w:rsidR="008A1CF5">
        <w:rPr>
          <w:lang w:val="en-GB"/>
        </w:rPr>
        <w:t>,</w:t>
      </w:r>
      <w:r w:rsidRPr="00FD0336">
        <w:rPr>
          <w:lang w:val="en-GB"/>
        </w:rPr>
        <w:t xml:space="preserve"> potentially an encouraging sign that this may be the case.</w:t>
      </w:r>
    </w:p>
    <w:p w14:paraId="3973C628" w14:textId="36C66049" w:rsidR="00E93F94" w:rsidRPr="00FD0336" w:rsidRDefault="00E93F94" w:rsidP="0029190A">
      <w:pPr>
        <w:pStyle w:val="MDPI31text"/>
        <w:rPr>
          <w:b/>
          <w:lang w:val="en-GB"/>
        </w:rPr>
      </w:pPr>
      <w:r w:rsidRPr="00FD0336">
        <w:rPr>
          <w:lang w:val="en-GB"/>
        </w:rPr>
        <w:t xml:space="preserve">Table 6 shows there is a </w:t>
      </w:r>
      <w:proofErr w:type="gramStart"/>
      <w:r w:rsidRPr="00FD0336">
        <w:rPr>
          <w:lang w:val="en-GB"/>
        </w:rPr>
        <w:t>weak</w:t>
      </w:r>
      <w:proofErr w:type="gramEnd"/>
      <w:r w:rsidR="008A1CF5">
        <w:rPr>
          <w:lang w:val="en-GB"/>
        </w:rPr>
        <w:t>,</w:t>
      </w:r>
      <w:r w:rsidRPr="00FD0336">
        <w:rPr>
          <w:lang w:val="en-GB"/>
        </w:rPr>
        <w:t xml:space="preserve"> but statistically significant</w:t>
      </w:r>
      <w:r w:rsidR="008A1CF5">
        <w:rPr>
          <w:lang w:val="en-GB"/>
        </w:rPr>
        <w:t>,</w:t>
      </w:r>
      <w:r w:rsidRPr="00FD0336">
        <w:rPr>
          <w:lang w:val="en-GB"/>
        </w:rPr>
        <w:t xml:space="preserve"> correlation between the presence of </w:t>
      </w:r>
      <w:r w:rsidR="008A1CF5">
        <w:rPr>
          <w:lang w:val="en-GB"/>
        </w:rPr>
        <w:t xml:space="preserve">a </w:t>
      </w:r>
      <w:r w:rsidRPr="00FD0336">
        <w:rPr>
          <w:lang w:val="en-GB"/>
        </w:rPr>
        <w:t xml:space="preserve">circular economy and port size. This indicates that ports are more likely to implement a circular economy when they have greater volumes of traffic and passengers </w:t>
      </w:r>
      <w:r w:rsidRPr="00FD0336">
        <w:rPr>
          <w:lang w:val="en-GB"/>
        </w:rPr>
        <w:lastRenderedPageBreak/>
        <w:t>and</w:t>
      </w:r>
      <w:r w:rsidR="008A1CF5">
        <w:rPr>
          <w:lang w:val="en-GB"/>
        </w:rPr>
        <w:t>,</w:t>
      </w:r>
      <w:r w:rsidRPr="00FD0336">
        <w:rPr>
          <w:lang w:val="en-GB"/>
        </w:rPr>
        <w:t xml:space="preserve"> therefore</w:t>
      </w:r>
      <w:r w:rsidR="008A1CF5">
        <w:rPr>
          <w:lang w:val="en-GB"/>
        </w:rPr>
        <w:t>,</w:t>
      </w:r>
      <w:r w:rsidRPr="00FD0336">
        <w:rPr>
          <w:lang w:val="en-GB"/>
        </w:rPr>
        <w:t xml:space="preserve"> have a greater pool of resources, waste products, facilities</w:t>
      </w:r>
      <w:r w:rsidR="008A1CF5">
        <w:rPr>
          <w:lang w:val="en-GB"/>
        </w:rPr>
        <w:t>,</w:t>
      </w:r>
      <w:r w:rsidRPr="00FD0336">
        <w:rPr>
          <w:lang w:val="en-GB"/>
        </w:rPr>
        <w:t xml:space="preserve"> and potential consumers. This suggest</w:t>
      </w:r>
      <w:r w:rsidR="008A1CF5">
        <w:rPr>
          <w:lang w:val="en-GB"/>
        </w:rPr>
        <w:t>s</w:t>
      </w:r>
      <w:r w:rsidRPr="00FD0336">
        <w:rPr>
          <w:lang w:val="en-GB"/>
        </w:rPr>
        <w:t xml:space="preserve"> that smaller ports may be less likely to implement</w:t>
      </w:r>
      <w:r w:rsidR="005E6C18">
        <w:rPr>
          <w:lang w:val="en-GB"/>
        </w:rPr>
        <w:t xml:space="preserve"> a</w:t>
      </w:r>
      <w:r w:rsidRPr="00FD0336">
        <w:rPr>
          <w:lang w:val="en-GB"/>
        </w:rPr>
        <w:t xml:space="preserve"> circular economy due to this</w:t>
      </w:r>
      <w:r w:rsidR="004A00EE" w:rsidRPr="00FD0336">
        <w:rPr>
          <w:lang w:val="en-GB"/>
        </w:rPr>
        <w:t>, highlighting the challenges smaller ports face</w:t>
      </w:r>
      <w:r w:rsidR="005E6C18">
        <w:rPr>
          <w:lang w:val="en-GB"/>
        </w:rPr>
        <w:t>,</w:t>
      </w:r>
      <w:r w:rsidR="004A00EE" w:rsidRPr="00FD0336">
        <w:rPr>
          <w:lang w:val="en-GB"/>
        </w:rPr>
        <w:t xml:space="preserve"> discussed in the literature [10]. Further research should therefore be undertaken to encourage greater adoption of </w:t>
      </w:r>
      <w:r w:rsidR="005E6C18">
        <w:rPr>
          <w:lang w:val="en-GB"/>
        </w:rPr>
        <w:t xml:space="preserve">a </w:t>
      </w:r>
      <w:r w:rsidR="004A00EE" w:rsidRPr="00FD0336">
        <w:rPr>
          <w:lang w:val="en-GB"/>
        </w:rPr>
        <w:t>circular economy in smaller ports.</w:t>
      </w:r>
    </w:p>
    <w:p w14:paraId="2985D090" w14:textId="2856483B" w:rsidR="00E93F94" w:rsidRPr="00FD0336" w:rsidRDefault="00E93F94" w:rsidP="0029190A">
      <w:pPr>
        <w:pStyle w:val="MDPI31text"/>
        <w:rPr>
          <w:b/>
          <w:lang w:val="en-GB"/>
        </w:rPr>
      </w:pPr>
      <w:r w:rsidRPr="00FD0336">
        <w:rPr>
          <w:lang w:val="en-GB"/>
        </w:rPr>
        <w:t>There is a high level of association between encouraging waterfront development and encouraging industrial development, with a Phi of 0.57. This is the strongest level of association in Table 4. This may be the case</w:t>
      </w:r>
      <w:r w:rsidR="00AD430E">
        <w:rPr>
          <w:lang w:val="en-GB"/>
        </w:rPr>
        <w:t>,</w:t>
      </w:r>
      <w:r w:rsidRPr="00FD0336">
        <w:rPr>
          <w:lang w:val="en-GB"/>
        </w:rPr>
        <w:t xml:space="preserve"> </w:t>
      </w:r>
      <w:proofErr w:type="gramStart"/>
      <w:r w:rsidRPr="00FD0336">
        <w:rPr>
          <w:lang w:val="en-GB"/>
        </w:rPr>
        <w:t>due to the fact</w:t>
      </w:r>
      <w:r w:rsidR="00AD430E">
        <w:rPr>
          <w:lang w:val="en-GB"/>
        </w:rPr>
        <w:t xml:space="preserve"> that</w:t>
      </w:r>
      <w:proofErr w:type="gramEnd"/>
      <w:r w:rsidRPr="00FD0336">
        <w:rPr>
          <w:lang w:val="en-GB"/>
        </w:rPr>
        <w:t xml:space="preserve"> old port areas can be redeveloped into waterfront areas</w:t>
      </w:r>
      <w:r w:rsidR="00AD430E">
        <w:rPr>
          <w:lang w:val="en-GB"/>
        </w:rPr>
        <w:t>,</w:t>
      </w:r>
      <w:r w:rsidRPr="00FD0336">
        <w:rPr>
          <w:lang w:val="en-GB"/>
        </w:rPr>
        <w:t xml:space="preserve"> as outlined by Hoyle [</w:t>
      </w:r>
      <w:r w:rsidR="00177D99">
        <w:rPr>
          <w:lang w:val="en-GB"/>
        </w:rPr>
        <w:t>60</w:t>
      </w:r>
      <w:r w:rsidRPr="00FD0336">
        <w:rPr>
          <w:lang w:val="en-GB"/>
        </w:rPr>
        <w:t xml:space="preserve">], as new port areas are made available. This may allow ports to pursue the industrial development they desire whilst providing something that benefits the city and </w:t>
      </w:r>
      <w:proofErr w:type="gramStart"/>
      <w:r w:rsidRPr="00FD0336">
        <w:rPr>
          <w:lang w:val="en-GB"/>
        </w:rPr>
        <w:t>local residents</w:t>
      </w:r>
      <w:proofErr w:type="gramEnd"/>
      <w:r w:rsidRPr="00FD0336">
        <w:rPr>
          <w:lang w:val="en-GB"/>
        </w:rPr>
        <w:t>. This high level of association suggests that ports may be willing to move some of their detrimental activities away from the waterfront to free this up for waterfront development. This is a continuation of the process of obsolete port areas being renewed via waterfront development</w:t>
      </w:r>
      <w:r w:rsidR="00AD430E">
        <w:rPr>
          <w:lang w:val="en-GB"/>
        </w:rPr>
        <w:t>,</w:t>
      </w:r>
      <w:r w:rsidRPr="00FD0336">
        <w:rPr>
          <w:lang w:val="en-GB"/>
        </w:rPr>
        <w:t xml:space="preserve"> as described </w:t>
      </w:r>
      <w:r w:rsidR="00AD430E">
        <w:rPr>
          <w:lang w:val="en-GB"/>
        </w:rPr>
        <w:t>by</w:t>
      </w:r>
      <w:r w:rsidR="00AD430E" w:rsidRPr="00FD0336">
        <w:rPr>
          <w:lang w:val="en-GB"/>
        </w:rPr>
        <w:t xml:space="preserve"> </w:t>
      </w:r>
      <w:r w:rsidRPr="00FD0336">
        <w:rPr>
          <w:lang w:val="en-GB"/>
        </w:rPr>
        <w:t>Hoyle [</w:t>
      </w:r>
      <w:r w:rsidR="00177D99">
        <w:rPr>
          <w:lang w:val="en-GB"/>
        </w:rPr>
        <w:t>60</w:t>
      </w:r>
      <w:r w:rsidRPr="00FD0336">
        <w:rPr>
          <w:lang w:val="en-GB"/>
        </w:rPr>
        <w:t>]. Access to the waterfront can provide numerous benefits to cities and for this reason</w:t>
      </w:r>
      <w:r w:rsidR="00AD430E">
        <w:rPr>
          <w:lang w:val="en-GB"/>
        </w:rPr>
        <w:t>,</w:t>
      </w:r>
      <w:r w:rsidRPr="00FD0336">
        <w:rPr>
          <w:lang w:val="en-GB"/>
        </w:rPr>
        <w:t xml:space="preserve"> is very desirable, whereas industrial development may face more resistance. This is illustrated in Figure 4, which shows that city and municipal authorities are more likely to provide a large obstacle to industrial development than they are for waterfront development and </w:t>
      </w:r>
      <w:r w:rsidR="00AD430E">
        <w:rPr>
          <w:lang w:val="en-GB"/>
        </w:rPr>
        <w:t xml:space="preserve">a </w:t>
      </w:r>
      <w:r w:rsidRPr="00FD0336">
        <w:rPr>
          <w:lang w:val="en-GB"/>
        </w:rPr>
        <w:t xml:space="preserve">circular economy. </w:t>
      </w:r>
    </w:p>
    <w:p w14:paraId="22CCF2CF" w14:textId="2177E85B" w:rsidR="008B6D1C" w:rsidRPr="00FD0336" w:rsidRDefault="00E93F94" w:rsidP="0029190A">
      <w:pPr>
        <w:pStyle w:val="MDPI31text"/>
        <w:rPr>
          <w:lang w:val="en-GB"/>
        </w:rPr>
      </w:pPr>
      <w:r w:rsidRPr="00FD0336">
        <w:rPr>
          <w:lang w:val="en-GB"/>
        </w:rPr>
        <w:t>There is a moderate association between the perceived awareness of the local population towards the benefits the ports provide and the presence of industrial development and</w:t>
      </w:r>
      <w:r w:rsidR="00AD430E">
        <w:rPr>
          <w:lang w:val="en-GB"/>
        </w:rPr>
        <w:t xml:space="preserve"> a</w:t>
      </w:r>
      <w:r w:rsidRPr="00FD0336">
        <w:rPr>
          <w:lang w:val="en-GB"/>
        </w:rPr>
        <w:t xml:space="preserve"> circular economy, and an interest in encouraging waterfront development (Tables 7, 8</w:t>
      </w:r>
      <w:r w:rsidR="00AD430E">
        <w:rPr>
          <w:lang w:val="en-GB"/>
        </w:rPr>
        <w:t>,</w:t>
      </w:r>
      <w:r w:rsidRPr="00FD0336">
        <w:rPr>
          <w:lang w:val="en-GB"/>
        </w:rPr>
        <w:t xml:space="preserve"> and 9). This suggests that </w:t>
      </w:r>
      <w:proofErr w:type="gramStart"/>
      <w:r w:rsidRPr="00FD0336">
        <w:rPr>
          <w:lang w:val="en-GB"/>
        </w:rPr>
        <w:t>local residents</w:t>
      </w:r>
      <w:proofErr w:type="gramEnd"/>
      <w:r w:rsidRPr="00FD0336">
        <w:rPr>
          <w:lang w:val="en-GB"/>
        </w:rPr>
        <w:t xml:space="preserve"> are more likely to feel the benefits provided by industrial development and</w:t>
      </w:r>
      <w:r w:rsidR="00AD430E">
        <w:rPr>
          <w:lang w:val="en-GB"/>
        </w:rPr>
        <w:t xml:space="preserve"> a</w:t>
      </w:r>
      <w:r w:rsidRPr="00FD0336">
        <w:rPr>
          <w:lang w:val="en-GB"/>
        </w:rPr>
        <w:t xml:space="preserve"> circular economy than those provided by maritime clusters and waterfront development. Waterfront development may not be perceived as a benefit provided by the port directly, and the public may not be aware of the existence of maritime clusters if they are not directly involved in industries relating to the port. Waterfront development has a high level of association with perceived positive attitudes towards the port (Table 10). This suggests that waterfront development, rather than being perceived as a benefit provided by the port, improves attitudes towards the port in a more general sense. Overall, this shows that maritime clusters are</w:t>
      </w:r>
      <w:r w:rsidR="00AD430E">
        <w:rPr>
          <w:lang w:val="en-GB"/>
        </w:rPr>
        <w:t>,</w:t>
      </w:r>
      <w:r w:rsidR="00AD430E" w:rsidRPr="00AD430E">
        <w:rPr>
          <w:lang w:val="en-GB"/>
        </w:rPr>
        <w:t xml:space="preserve"> </w:t>
      </w:r>
      <w:r w:rsidR="00AD430E" w:rsidRPr="00FD0336">
        <w:rPr>
          <w:lang w:val="en-GB"/>
        </w:rPr>
        <w:t>potentially</w:t>
      </w:r>
      <w:r w:rsidR="00AD430E">
        <w:rPr>
          <w:lang w:val="en-GB"/>
        </w:rPr>
        <w:t>,</w:t>
      </w:r>
      <w:r w:rsidRPr="00FD0336">
        <w:rPr>
          <w:lang w:val="en-GB"/>
        </w:rPr>
        <w:t xml:space="preserve"> a method that produces the least palpable benefits for </w:t>
      </w:r>
      <w:proofErr w:type="gramStart"/>
      <w:r w:rsidRPr="00FD0336">
        <w:rPr>
          <w:lang w:val="en-GB"/>
        </w:rPr>
        <w:t>local residents</w:t>
      </w:r>
      <w:proofErr w:type="gramEnd"/>
      <w:r w:rsidRPr="00FD0336">
        <w:rPr>
          <w:lang w:val="en-GB"/>
        </w:rPr>
        <w:t xml:space="preserve"> in terms of how it impacts their attitudes towards the port and its benefits. </w:t>
      </w:r>
    </w:p>
    <w:p w14:paraId="64C63570" w14:textId="111DC8B7" w:rsidR="005120AA" w:rsidRPr="00FD0336" w:rsidRDefault="008B6D1C" w:rsidP="0029190A">
      <w:pPr>
        <w:pStyle w:val="MDPI31text"/>
        <w:rPr>
          <w:lang w:val="en-GB"/>
        </w:rPr>
      </w:pPr>
      <w:r w:rsidRPr="00FD0336">
        <w:rPr>
          <w:lang w:val="en-GB"/>
        </w:rPr>
        <w:t xml:space="preserve">The data shows high levels of support for circular economy and highlights </w:t>
      </w:r>
      <w:proofErr w:type="gramStart"/>
      <w:r w:rsidRPr="00FD0336">
        <w:rPr>
          <w:lang w:val="en-GB"/>
        </w:rPr>
        <w:t>that high costs and technological limitations</w:t>
      </w:r>
      <w:proofErr w:type="gramEnd"/>
      <w:r w:rsidRPr="00FD0336">
        <w:rPr>
          <w:lang w:val="en-GB"/>
        </w:rPr>
        <w:t xml:space="preserve"> are not greater barriers than they are for other already widely adopted measures. This suggests that low levels of CE adoption may be due to cultural and </w:t>
      </w:r>
      <w:r w:rsidR="003C38A3" w:rsidRPr="00FD0336">
        <w:rPr>
          <w:lang w:val="en-GB"/>
        </w:rPr>
        <w:t>organis</w:t>
      </w:r>
      <w:r w:rsidRPr="00FD0336">
        <w:rPr>
          <w:lang w:val="en-GB"/>
        </w:rPr>
        <w:t xml:space="preserve">ational factors. </w:t>
      </w:r>
      <w:r w:rsidR="005120AA" w:rsidRPr="00FD0336">
        <w:rPr>
          <w:lang w:val="en-GB"/>
        </w:rPr>
        <w:t xml:space="preserve">The framework provided in </w:t>
      </w:r>
      <w:r w:rsidR="006C3195">
        <w:rPr>
          <w:lang w:val="en-GB"/>
        </w:rPr>
        <w:t>F</w:t>
      </w:r>
      <w:r w:rsidR="005120AA" w:rsidRPr="00FD0336">
        <w:rPr>
          <w:lang w:val="en-GB"/>
        </w:rPr>
        <w:t xml:space="preserve">igure 7 may help address some of the cultural </w:t>
      </w:r>
      <w:r w:rsidRPr="00FD0336">
        <w:rPr>
          <w:lang w:val="en-GB"/>
        </w:rPr>
        <w:t xml:space="preserve">and organizational </w:t>
      </w:r>
      <w:r w:rsidR="005120AA" w:rsidRPr="00FD0336">
        <w:rPr>
          <w:lang w:val="en-GB"/>
        </w:rPr>
        <w:t>challenges in port</w:t>
      </w:r>
      <w:r w:rsidR="00851E06">
        <w:rPr>
          <w:lang w:val="en-GB"/>
        </w:rPr>
        <w:t xml:space="preserve"> </w:t>
      </w:r>
      <w:r w:rsidR="005120AA" w:rsidRPr="00FD0336">
        <w:rPr>
          <w:lang w:val="en-GB"/>
        </w:rPr>
        <w:t>cities. Step 1 seeks to create the enabling factors of networking, cooperation</w:t>
      </w:r>
      <w:r w:rsidR="006C3195">
        <w:rPr>
          <w:lang w:val="en-GB"/>
        </w:rPr>
        <w:t>,</w:t>
      </w:r>
      <w:r w:rsidR="005120AA" w:rsidRPr="00FD0336">
        <w:rPr>
          <w:lang w:val="en-GB"/>
        </w:rPr>
        <w:t xml:space="preserve"> and involvement of stakeholders </w:t>
      </w:r>
      <w:r w:rsidR="005120AA" w:rsidRPr="00904C87">
        <w:rPr>
          <w:lang w:val="en-GB"/>
        </w:rPr>
        <w:t>[10,20</w:t>
      </w:r>
      <w:r w:rsidR="00904C87" w:rsidRPr="00904C87">
        <w:rPr>
          <w:lang w:val="en-GB"/>
        </w:rPr>
        <w:t>,</w:t>
      </w:r>
      <w:r w:rsidR="005120AA" w:rsidRPr="00904C87">
        <w:rPr>
          <w:lang w:val="en-GB"/>
        </w:rPr>
        <w:t>31,4</w:t>
      </w:r>
      <w:r w:rsidR="00177D99">
        <w:rPr>
          <w:lang w:val="en-GB"/>
        </w:rPr>
        <w:t>7</w:t>
      </w:r>
      <w:r w:rsidR="005120AA" w:rsidRPr="00904C87">
        <w:rPr>
          <w:lang w:val="en-GB"/>
        </w:rPr>
        <w:t>],</w:t>
      </w:r>
      <w:r w:rsidR="005120AA" w:rsidRPr="00FD0336">
        <w:rPr>
          <w:lang w:val="en-GB"/>
        </w:rPr>
        <w:t xml:space="preserve"> as well as establishing leadership from the top. Step 2 encourages knowledge transfer, cooperation</w:t>
      </w:r>
      <w:r w:rsidR="007F30E1">
        <w:rPr>
          <w:lang w:val="en-GB"/>
        </w:rPr>
        <w:t>,</w:t>
      </w:r>
      <w:r w:rsidR="005120AA" w:rsidRPr="00FD0336">
        <w:rPr>
          <w:lang w:val="en-GB"/>
        </w:rPr>
        <w:t xml:space="preserve"> and incentivisation by awarding circular economy champion status, all of which have been identified as important in the literature. Step 3 addresses the often </w:t>
      </w:r>
      <w:r w:rsidR="00822D82">
        <w:rPr>
          <w:lang w:val="en-GB"/>
        </w:rPr>
        <w:t>-</w:t>
      </w:r>
      <w:r w:rsidR="005120AA" w:rsidRPr="00FD0336">
        <w:rPr>
          <w:lang w:val="en-GB"/>
        </w:rPr>
        <w:t>neglected social dimension of CE, whilst providing added recognition for participants, increasing incentivisation and helping move CE away from being a niche discussion</w:t>
      </w:r>
      <w:r w:rsidR="007F30E1">
        <w:rPr>
          <w:lang w:val="en-GB"/>
        </w:rPr>
        <w:t>,</w:t>
      </w:r>
      <w:r w:rsidR="005120AA" w:rsidRPr="00FD0336">
        <w:rPr>
          <w:lang w:val="en-GB"/>
        </w:rPr>
        <w:t xml:space="preserve"> and of interest to wider society. This framework can provide an annual cycle of improving circular economy performance in port</w:t>
      </w:r>
      <w:r w:rsidR="00851E06">
        <w:rPr>
          <w:lang w:val="en-GB"/>
        </w:rPr>
        <w:t xml:space="preserve"> </w:t>
      </w:r>
      <w:r w:rsidR="005120AA" w:rsidRPr="00FD0336">
        <w:rPr>
          <w:lang w:val="en-GB"/>
        </w:rPr>
        <w:t>cities and allows local stakeholders to control and influence the process, enabling it to be tailored to the specific needs of the port</w:t>
      </w:r>
      <w:r w:rsidR="00851E06">
        <w:rPr>
          <w:lang w:val="en-GB"/>
        </w:rPr>
        <w:t xml:space="preserve"> </w:t>
      </w:r>
      <w:r w:rsidR="005120AA" w:rsidRPr="00FD0336">
        <w:rPr>
          <w:lang w:val="en-GB"/>
        </w:rPr>
        <w:t>city.</w:t>
      </w:r>
      <w:r w:rsidRPr="00FD0336">
        <w:rPr>
          <w:lang w:val="en-GB"/>
        </w:rPr>
        <w:t xml:space="preserve"> </w:t>
      </w:r>
    </w:p>
    <w:p w14:paraId="16FCCC8D" w14:textId="161D6900" w:rsidR="003944DB" w:rsidRPr="00FD0336" w:rsidRDefault="003944DB" w:rsidP="0029190A">
      <w:pPr>
        <w:pStyle w:val="MDPI31text"/>
        <w:rPr>
          <w:lang w:val="en-GB"/>
        </w:rPr>
      </w:pPr>
      <w:r w:rsidRPr="00FD0336">
        <w:rPr>
          <w:lang w:val="en-GB"/>
        </w:rPr>
        <w:t>Further work is needed to elaborate on the barriers faced by ports in relation to the CE, as this questionnaire had closed answers</w:t>
      </w:r>
      <w:r w:rsidR="00822D82">
        <w:rPr>
          <w:lang w:val="en-GB"/>
        </w:rPr>
        <w:t>,</w:t>
      </w:r>
      <w:r w:rsidRPr="00FD0336">
        <w:rPr>
          <w:lang w:val="en-GB"/>
        </w:rPr>
        <w:t xml:space="preserve"> which may limit the findings</w:t>
      </w:r>
      <w:r w:rsidR="007F30E1">
        <w:rPr>
          <w:lang w:val="en-GB"/>
        </w:rPr>
        <w:t>,</w:t>
      </w:r>
      <w:r w:rsidRPr="00FD0336">
        <w:rPr>
          <w:lang w:val="en-GB"/>
        </w:rPr>
        <w:t xml:space="preserve"> and not capture the full range of responses. Future work should also attempt to assess the effectiveness of frameworks</w:t>
      </w:r>
      <w:r w:rsidR="007F30E1">
        <w:rPr>
          <w:lang w:val="en-GB"/>
        </w:rPr>
        <w:t>,</w:t>
      </w:r>
      <w:r w:rsidRPr="00FD0336">
        <w:rPr>
          <w:lang w:val="en-GB"/>
        </w:rPr>
        <w:t xml:space="preserve"> such as the one proposed in this paper.</w:t>
      </w:r>
      <w:r w:rsidR="00662A0C" w:rsidRPr="00FD0336">
        <w:rPr>
          <w:lang w:val="en-GB"/>
        </w:rPr>
        <w:t xml:space="preserve"> Adopting circular economy principles may pose significant challenges to ports due to their existing business models [3</w:t>
      </w:r>
      <w:r w:rsidR="00451C31">
        <w:rPr>
          <w:lang w:val="en-GB"/>
        </w:rPr>
        <w:t>7</w:t>
      </w:r>
      <w:r w:rsidR="00662A0C" w:rsidRPr="00FD0336">
        <w:rPr>
          <w:lang w:val="en-GB"/>
        </w:rPr>
        <w:t xml:space="preserve">]. </w:t>
      </w:r>
      <w:r w:rsidR="00187023" w:rsidRPr="00FD0336">
        <w:rPr>
          <w:lang w:val="en-GB"/>
        </w:rPr>
        <w:t xml:space="preserve">Creating a circular economy may </w:t>
      </w:r>
      <w:r w:rsidR="00FA5CFC" w:rsidRPr="00FD0336">
        <w:rPr>
          <w:lang w:val="en-GB"/>
        </w:rPr>
        <w:t xml:space="preserve">therefore </w:t>
      </w:r>
      <w:r w:rsidR="00187023" w:rsidRPr="00FD0336">
        <w:rPr>
          <w:lang w:val="en-GB"/>
        </w:rPr>
        <w:t>require a paradigm shift in port business models</w:t>
      </w:r>
      <w:r w:rsidR="00CB014A" w:rsidRPr="00FD0336">
        <w:rPr>
          <w:lang w:val="en-GB"/>
        </w:rPr>
        <w:t xml:space="preserve"> to accommodate this change</w:t>
      </w:r>
      <w:r w:rsidR="00187023" w:rsidRPr="00FD0336">
        <w:rPr>
          <w:lang w:val="en-GB"/>
        </w:rPr>
        <w:t>. This may be achieved through various means</w:t>
      </w:r>
      <w:r w:rsidR="00CB014A" w:rsidRPr="00FD0336">
        <w:rPr>
          <w:lang w:val="en-GB"/>
        </w:rPr>
        <w:t>,</w:t>
      </w:r>
      <w:r w:rsidR="00187023" w:rsidRPr="00FD0336">
        <w:rPr>
          <w:lang w:val="en-GB"/>
        </w:rPr>
        <w:t xml:space="preserve"> such </w:t>
      </w:r>
      <w:r w:rsidR="00187023" w:rsidRPr="00FD0336">
        <w:rPr>
          <w:lang w:val="en-GB"/>
        </w:rPr>
        <w:lastRenderedPageBreak/>
        <w:t xml:space="preserve">as </w:t>
      </w:r>
      <w:r w:rsidR="00CB014A" w:rsidRPr="00FD0336">
        <w:rPr>
          <w:lang w:val="en-GB"/>
        </w:rPr>
        <w:t xml:space="preserve">the </w:t>
      </w:r>
      <w:r w:rsidR="00187023" w:rsidRPr="00FD0336">
        <w:rPr>
          <w:lang w:val="en-GB"/>
        </w:rPr>
        <w:t xml:space="preserve">incentivised return of used goods for reuse and repair, </w:t>
      </w:r>
      <w:r w:rsidR="00CB014A" w:rsidRPr="00FD0336">
        <w:rPr>
          <w:lang w:val="en-GB"/>
        </w:rPr>
        <w:t xml:space="preserve">the </w:t>
      </w:r>
      <w:r w:rsidR="00187023" w:rsidRPr="00FD0336">
        <w:rPr>
          <w:lang w:val="en-GB"/>
        </w:rPr>
        <w:t xml:space="preserve">sharing of </w:t>
      </w:r>
      <w:r w:rsidR="00CB014A" w:rsidRPr="00FD0336">
        <w:rPr>
          <w:lang w:val="en-GB"/>
        </w:rPr>
        <w:t>assets</w:t>
      </w:r>
      <w:r w:rsidR="00187023" w:rsidRPr="00FD0336">
        <w:rPr>
          <w:lang w:val="en-GB"/>
        </w:rPr>
        <w:t xml:space="preserve"> and resources between businesses and key stakeholders via the sharing economy</w:t>
      </w:r>
      <w:r w:rsidR="00CB014A" w:rsidRPr="00FD0336">
        <w:rPr>
          <w:lang w:val="en-GB"/>
        </w:rPr>
        <w:t>, or asset management to plan the reuse, repair</w:t>
      </w:r>
      <w:r w:rsidR="007F30E1">
        <w:rPr>
          <w:lang w:val="en-GB"/>
        </w:rPr>
        <w:t>,</w:t>
      </w:r>
      <w:r w:rsidR="00CB014A" w:rsidRPr="00FD0336">
        <w:rPr>
          <w:lang w:val="en-GB"/>
        </w:rPr>
        <w:t xml:space="preserve"> or redeployment of assets </w:t>
      </w:r>
      <w:r w:rsidR="00CB014A" w:rsidRPr="00001C64">
        <w:rPr>
          <w:lang w:val="en-GB"/>
        </w:rPr>
        <w:t>[8</w:t>
      </w:r>
      <w:r w:rsidR="00177D99" w:rsidRPr="00001C64">
        <w:rPr>
          <w:lang w:val="en-GB"/>
        </w:rPr>
        <w:t>8</w:t>
      </w:r>
      <w:r w:rsidR="00CB014A" w:rsidRPr="00001C64">
        <w:rPr>
          <w:lang w:val="en-GB"/>
        </w:rPr>
        <w:t>],</w:t>
      </w:r>
      <w:r w:rsidR="00CB014A" w:rsidRPr="00FD0336">
        <w:rPr>
          <w:lang w:val="en-GB"/>
        </w:rPr>
        <w:t xml:space="preserve"> amongst others. Future work is needed to create suitable business models to allow ports to fully embrace the circular economy.</w:t>
      </w:r>
    </w:p>
    <w:p w14:paraId="249AB199" w14:textId="743A5E17" w:rsidR="00E93F94" w:rsidRPr="00FD0336" w:rsidRDefault="0029190A" w:rsidP="0029190A">
      <w:pPr>
        <w:pStyle w:val="MDPI21heading1"/>
        <w:rPr>
          <w:lang w:val="en-GB"/>
        </w:rPr>
      </w:pPr>
      <w:r w:rsidRPr="00FD0336">
        <w:rPr>
          <w:lang w:val="en-GB"/>
        </w:rPr>
        <w:t xml:space="preserve">5. </w:t>
      </w:r>
      <w:r w:rsidR="00E93F94" w:rsidRPr="00FD0336">
        <w:rPr>
          <w:lang w:val="en-GB"/>
        </w:rPr>
        <w:t>Conclusions</w:t>
      </w:r>
    </w:p>
    <w:p w14:paraId="5D9BEF08" w14:textId="2831473F" w:rsidR="00E93F94" w:rsidRPr="00FD0336" w:rsidRDefault="00E93F94" w:rsidP="0029190A">
      <w:pPr>
        <w:pStyle w:val="MDPI31text"/>
        <w:rPr>
          <w:b/>
          <w:lang w:val="en-GB"/>
        </w:rPr>
      </w:pPr>
      <w:r w:rsidRPr="00FD0336">
        <w:rPr>
          <w:lang w:val="en-GB"/>
        </w:rPr>
        <w:t xml:space="preserve">This study highlights the clear potential for greater adoption of </w:t>
      </w:r>
      <w:r w:rsidR="007F30E1">
        <w:rPr>
          <w:lang w:val="en-GB"/>
        </w:rPr>
        <w:t xml:space="preserve">a </w:t>
      </w:r>
      <w:r w:rsidRPr="00FD0336">
        <w:rPr>
          <w:lang w:val="en-GB"/>
        </w:rPr>
        <w:t xml:space="preserve">circular economy within ports. It is the </w:t>
      </w:r>
      <w:proofErr w:type="gramStart"/>
      <w:r w:rsidRPr="00FD0336">
        <w:rPr>
          <w:lang w:val="en-GB"/>
        </w:rPr>
        <w:t>first time</w:t>
      </w:r>
      <w:proofErr w:type="gramEnd"/>
      <w:r w:rsidRPr="00FD0336">
        <w:rPr>
          <w:lang w:val="en-GB"/>
        </w:rPr>
        <w:t xml:space="preserve"> port industrial development, maritime clusters, waterfront development</w:t>
      </w:r>
      <w:r w:rsidR="007F30E1">
        <w:rPr>
          <w:lang w:val="en-GB"/>
        </w:rPr>
        <w:t>,</w:t>
      </w:r>
      <w:r w:rsidRPr="00FD0336">
        <w:rPr>
          <w:lang w:val="en-GB"/>
        </w:rPr>
        <w:t xml:space="preserve"> and circular economy have been investigated together across such a large sample of countries (26)</w:t>
      </w:r>
      <w:r w:rsidR="007F30E1">
        <w:rPr>
          <w:lang w:val="en-GB"/>
        </w:rPr>
        <w:t>,</w:t>
      </w:r>
      <w:r w:rsidRPr="00FD0336">
        <w:rPr>
          <w:lang w:val="en-GB"/>
        </w:rPr>
        <w:t xml:space="preserve"> across multiple continents, giving the findings a global view that has been absent in previous work, which mostly focused on case studies from individual countries or regions. The potential and willingness of ports to be on the frontline of the transition to a circular economy</w:t>
      </w:r>
      <w:r w:rsidR="007F30E1">
        <w:rPr>
          <w:lang w:val="en-GB"/>
        </w:rPr>
        <w:t>,</w:t>
      </w:r>
      <w:r w:rsidRPr="00FD0336">
        <w:rPr>
          <w:lang w:val="en-GB"/>
        </w:rPr>
        <w:t xml:space="preserve"> globally</w:t>
      </w:r>
      <w:r w:rsidR="007F30E1">
        <w:rPr>
          <w:lang w:val="en-GB"/>
        </w:rPr>
        <w:t>,</w:t>
      </w:r>
      <w:r w:rsidRPr="00FD0336">
        <w:rPr>
          <w:lang w:val="en-GB"/>
        </w:rPr>
        <w:t xml:space="preserve"> </w:t>
      </w:r>
      <w:r w:rsidR="007F30E1">
        <w:rPr>
          <w:lang w:val="en-GB"/>
        </w:rPr>
        <w:t>was</w:t>
      </w:r>
      <w:r w:rsidRPr="00FD0336">
        <w:rPr>
          <w:lang w:val="en-GB"/>
        </w:rPr>
        <w:t xml:space="preserve"> clearly identified for the first time. There are numerous circular economy opportunities in ports, such as end-of-life fishing gear, residual heat capture from vessels, end-of-life vessels, scrubber sludge and wastewater, industrial waste</w:t>
      </w:r>
      <w:r w:rsidR="007F30E1">
        <w:rPr>
          <w:lang w:val="en-GB"/>
        </w:rPr>
        <w:t>,</w:t>
      </w:r>
      <w:r w:rsidRPr="00FD0336">
        <w:rPr>
          <w:lang w:val="en-GB"/>
        </w:rPr>
        <w:t xml:space="preserve"> and scrap metals. Current levels of </w:t>
      </w:r>
      <w:r w:rsidR="007F30E1">
        <w:rPr>
          <w:lang w:val="en-GB"/>
        </w:rPr>
        <w:t xml:space="preserve">a </w:t>
      </w:r>
      <w:r w:rsidRPr="00FD0336">
        <w:rPr>
          <w:lang w:val="en-GB"/>
        </w:rPr>
        <w:t xml:space="preserve">circular economy are </w:t>
      </w:r>
      <w:proofErr w:type="gramStart"/>
      <w:r w:rsidRPr="00FD0336">
        <w:rPr>
          <w:lang w:val="en-GB"/>
        </w:rPr>
        <w:t>low, and</w:t>
      </w:r>
      <w:proofErr w:type="gramEnd"/>
      <w:r w:rsidRPr="00FD0336">
        <w:rPr>
          <w:lang w:val="en-GB"/>
        </w:rPr>
        <w:t xml:space="preserve"> can be expected to see considerable growth in the future if ports are able to overcome the barriers to</w:t>
      </w:r>
      <w:r w:rsidR="007F30E1">
        <w:rPr>
          <w:lang w:val="en-GB"/>
        </w:rPr>
        <w:t xml:space="preserve"> the</w:t>
      </w:r>
      <w:r w:rsidRPr="00FD0336">
        <w:rPr>
          <w:lang w:val="en-GB"/>
        </w:rPr>
        <w:t xml:space="preserve"> implementation</w:t>
      </w:r>
      <w:r w:rsidR="007F30E1">
        <w:rPr>
          <w:lang w:val="en-GB"/>
        </w:rPr>
        <w:t>s</w:t>
      </w:r>
      <w:r w:rsidRPr="00FD0336">
        <w:rPr>
          <w:lang w:val="en-GB"/>
        </w:rPr>
        <w:t xml:space="preserve"> they face. The barriers to</w:t>
      </w:r>
      <w:r w:rsidR="007F30E1">
        <w:rPr>
          <w:lang w:val="en-GB"/>
        </w:rPr>
        <w:t xml:space="preserve"> a</w:t>
      </w:r>
      <w:r w:rsidRPr="00FD0336">
        <w:rPr>
          <w:lang w:val="en-GB"/>
        </w:rPr>
        <w:t xml:space="preserve"> circular economy are </w:t>
      </w:r>
      <w:proofErr w:type="gramStart"/>
      <w:r w:rsidRPr="00FD0336">
        <w:rPr>
          <w:lang w:val="en-GB"/>
        </w:rPr>
        <w:t>similar to</w:t>
      </w:r>
      <w:proofErr w:type="gramEnd"/>
      <w:r w:rsidRPr="00FD0336">
        <w:rPr>
          <w:lang w:val="en-GB"/>
        </w:rPr>
        <w:t xml:space="preserve"> those faced when ports pursue industrial development and </w:t>
      </w:r>
      <w:r w:rsidR="007F30E1">
        <w:rPr>
          <w:lang w:val="en-GB"/>
        </w:rPr>
        <w:t xml:space="preserve">a </w:t>
      </w:r>
      <w:r w:rsidRPr="00FD0336">
        <w:rPr>
          <w:lang w:val="en-GB"/>
        </w:rPr>
        <w:t>waterfront economy, mainly relating to land use and high costs, which are obstacles that have been overcome before</w:t>
      </w:r>
      <w:r w:rsidR="007F30E1">
        <w:rPr>
          <w:lang w:val="en-GB"/>
        </w:rPr>
        <w:t>,</w:t>
      </w:r>
      <w:r w:rsidRPr="00FD0336">
        <w:rPr>
          <w:lang w:val="en-GB"/>
        </w:rPr>
        <w:t xml:space="preserve"> and obstacles that cities could work together with ports to overcome. Considering the significant economic, </w:t>
      </w:r>
      <w:r w:rsidR="007F30E1">
        <w:rPr>
          <w:lang w:val="en-GB"/>
        </w:rPr>
        <w:t>social,</w:t>
      </w:r>
      <w:r w:rsidRPr="00FD0336">
        <w:rPr>
          <w:lang w:val="en-GB"/>
        </w:rPr>
        <w:t xml:space="preserve"> and environmental benefits </w:t>
      </w:r>
      <w:r w:rsidR="007F30E1">
        <w:rPr>
          <w:lang w:val="en-GB"/>
        </w:rPr>
        <w:t xml:space="preserve">a </w:t>
      </w:r>
      <w:r w:rsidRPr="00FD0336">
        <w:rPr>
          <w:lang w:val="en-GB"/>
        </w:rPr>
        <w:t>circular economy can provide, the circular economy should be encouraged in port</w:t>
      </w:r>
      <w:r w:rsidR="00851E06">
        <w:rPr>
          <w:lang w:val="en-GB"/>
        </w:rPr>
        <w:t xml:space="preserve"> </w:t>
      </w:r>
      <w:r w:rsidRPr="00FD0336">
        <w:rPr>
          <w:lang w:val="en-GB"/>
        </w:rPr>
        <w:t>cities as a win-win scenario for both parties. Port authorities are interested in encouraging greater levels of</w:t>
      </w:r>
      <w:r w:rsidR="007F30E1">
        <w:rPr>
          <w:lang w:val="en-GB"/>
        </w:rPr>
        <w:t xml:space="preserve"> a</w:t>
      </w:r>
      <w:r w:rsidRPr="00FD0336">
        <w:rPr>
          <w:lang w:val="en-GB"/>
        </w:rPr>
        <w:t xml:space="preserve"> circular economy in the future</w:t>
      </w:r>
      <w:r w:rsidR="007F30E1">
        <w:rPr>
          <w:lang w:val="en-GB"/>
        </w:rPr>
        <w:t>,</w:t>
      </w:r>
      <w:r w:rsidRPr="00FD0336">
        <w:rPr>
          <w:lang w:val="en-GB"/>
        </w:rPr>
        <w:t xml:space="preserve"> and city authorities can benefit significantly from this. Port</w:t>
      </w:r>
      <w:r w:rsidR="00851E06">
        <w:rPr>
          <w:lang w:val="en-GB"/>
        </w:rPr>
        <w:t xml:space="preserve"> </w:t>
      </w:r>
      <w:r w:rsidRPr="00FD0336">
        <w:rPr>
          <w:lang w:val="en-GB"/>
        </w:rPr>
        <w:t>cities should therefore be well</w:t>
      </w:r>
      <w:r w:rsidR="00822D82">
        <w:rPr>
          <w:lang w:val="en-GB"/>
        </w:rPr>
        <w:t xml:space="preserve"> </w:t>
      </w:r>
      <w:r w:rsidRPr="00FD0336">
        <w:rPr>
          <w:lang w:val="en-GB"/>
        </w:rPr>
        <w:t>placed to embrace the transition to a circular economy. If port</w:t>
      </w:r>
      <w:r w:rsidR="00851E06">
        <w:rPr>
          <w:lang w:val="en-GB"/>
        </w:rPr>
        <w:t xml:space="preserve"> </w:t>
      </w:r>
      <w:r w:rsidRPr="00FD0336">
        <w:rPr>
          <w:lang w:val="en-GB"/>
        </w:rPr>
        <w:t>cities aim to be more sustainable in the future, circular economy activities may provide a good balance of the three pillars of sustainable development (environment, economy</w:t>
      </w:r>
      <w:r w:rsidR="007F30E1">
        <w:rPr>
          <w:lang w:val="en-GB"/>
        </w:rPr>
        <w:t>,</w:t>
      </w:r>
      <w:r w:rsidRPr="00FD0336">
        <w:rPr>
          <w:lang w:val="en-GB"/>
        </w:rPr>
        <w:t xml:space="preserve"> and society). City authorities, regional and national governments, and supranational bodies</w:t>
      </w:r>
      <w:r w:rsidR="007F30E1">
        <w:rPr>
          <w:lang w:val="en-GB"/>
        </w:rPr>
        <w:t>,</w:t>
      </w:r>
      <w:r w:rsidRPr="00FD0336">
        <w:rPr>
          <w:lang w:val="en-GB"/>
        </w:rPr>
        <w:t xml:space="preserve"> such as the European Union, should therefore be encouraged to assist ports in implementing the circular economy, especially if they seek to alleviate the negative impacts of any potential industrial development the ports may wish to encourage. Greater appreciation of the benefits of ports is perceived among the local population if they have adopted </w:t>
      </w:r>
      <w:r w:rsidR="007F30E1">
        <w:rPr>
          <w:lang w:val="en-GB"/>
        </w:rPr>
        <w:t xml:space="preserve">a </w:t>
      </w:r>
      <w:r w:rsidRPr="00FD0336">
        <w:rPr>
          <w:lang w:val="en-GB"/>
        </w:rPr>
        <w:t xml:space="preserve">circular economy and industrial development activities. Ports seeking to create goodwill amongst the local population towards the port should consider circular economy activities as a more sustainable way to improve local attitudes. Further work is needed to identify the views of city authorities towards </w:t>
      </w:r>
      <w:r w:rsidR="007F30E1">
        <w:rPr>
          <w:lang w:val="en-GB"/>
        </w:rPr>
        <w:t xml:space="preserve">a </w:t>
      </w:r>
      <w:r w:rsidRPr="00FD0336">
        <w:rPr>
          <w:lang w:val="en-GB"/>
        </w:rPr>
        <w:t>circular economy</w:t>
      </w:r>
      <w:r w:rsidR="007F30E1">
        <w:rPr>
          <w:lang w:val="en-GB"/>
        </w:rPr>
        <w:t>,</w:t>
      </w:r>
      <w:r w:rsidRPr="00FD0336">
        <w:rPr>
          <w:lang w:val="en-GB"/>
        </w:rPr>
        <w:t xml:space="preserve"> to </w:t>
      </w:r>
      <w:proofErr w:type="gramStart"/>
      <w:r w:rsidRPr="00FD0336">
        <w:rPr>
          <w:lang w:val="en-GB"/>
        </w:rPr>
        <w:t>more clearly identify ways</w:t>
      </w:r>
      <w:proofErr w:type="gramEnd"/>
      <w:r w:rsidRPr="00FD0336">
        <w:rPr>
          <w:lang w:val="en-GB"/>
        </w:rPr>
        <w:t xml:space="preserve"> for cooperation between ports and cities.</w:t>
      </w:r>
    </w:p>
    <w:p w14:paraId="422DE571" w14:textId="0151ED29" w:rsidR="00E93F94" w:rsidRPr="00FD0336" w:rsidRDefault="00E93F94" w:rsidP="0029190A">
      <w:pPr>
        <w:pStyle w:val="MDPI31text"/>
        <w:rPr>
          <w:b/>
          <w:lang w:val="en-GB"/>
        </w:rPr>
      </w:pPr>
      <w:r w:rsidRPr="00FD0336">
        <w:rPr>
          <w:lang w:val="en-GB"/>
        </w:rPr>
        <w:t>Cities may be able to cooperate with ports in moving industrial development away from the city centre, reducing the negative impacts</w:t>
      </w:r>
      <w:r w:rsidR="00232DB2">
        <w:rPr>
          <w:lang w:val="en-GB"/>
        </w:rPr>
        <w:t>,</w:t>
      </w:r>
      <w:r w:rsidRPr="00FD0336">
        <w:rPr>
          <w:lang w:val="en-GB"/>
        </w:rPr>
        <w:t xml:space="preserve"> and freeing up land for waterfront development, continuing the process identified by Hoyle [</w:t>
      </w:r>
      <w:r w:rsidR="00177D99">
        <w:rPr>
          <w:lang w:val="en-GB"/>
        </w:rPr>
        <w:t>60</w:t>
      </w:r>
      <w:r w:rsidRPr="00FD0336">
        <w:rPr>
          <w:lang w:val="en-GB"/>
        </w:rPr>
        <w:t xml:space="preserve">]. The high level of association between interest in waterfront development and industrial development from ports could be used </w:t>
      </w:r>
      <w:proofErr w:type="gramStart"/>
      <w:r w:rsidRPr="00FD0336">
        <w:rPr>
          <w:lang w:val="en-GB"/>
        </w:rPr>
        <w:t>as a way to</w:t>
      </w:r>
      <w:proofErr w:type="gramEnd"/>
      <w:r w:rsidRPr="00FD0336">
        <w:rPr>
          <w:lang w:val="en-GB"/>
        </w:rPr>
        <w:t xml:space="preserve"> balance the competing interests of ports and cities, freeing up access to the waterfront whilst allowing industrial development to take place elsewhere.</w:t>
      </w:r>
      <w:r w:rsidR="00F87055" w:rsidRPr="00FD0336">
        <w:rPr>
          <w:lang w:val="en-GB"/>
        </w:rPr>
        <w:t xml:space="preserve"> </w:t>
      </w:r>
      <w:r w:rsidR="00232DB2">
        <w:rPr>
          <w:lang w:val="en-GB"/>
        </w:rPr>
        <w:t>A c</w:t>
      </w:r>
      <w:r w:rsidR="00F87055" w:rsidRPr="00FD0336">
        <w:rPr>
          <w:lang w:val="en-GB"/>
        </w:rPr>
        <w:t xml:space="preserve">ircular economy may be the best way </w:t>
      </w:r>
      <w:r w:rsidR="00232DB2">
        <w:rPr>
          <w:lang w:val="en-GB"/>
        </w:rPr>
        <w:t>to</w:t>
      </w:r>
      <w:r w:rsidR="00232DB2" w:rsidRPr="00FD0336">
        <w:rPr>
          <w:lang w:val="en-GB"/>
        </w:rPr>
        <w:t xml:space="preserve"> </w:t>
      </w:r>
      <w:r w:rsidR="00F87055" w:rsidRPr="00FD0336">
        <w:rPr>
          <w:lang w:val="en-GB"/>
        </w:rPr>
        <w:t>enabl</w:t>
      </w:r>
      <w:r w:rsidR="00232DB2">
        <w:rPr>
          <w:lang w:val="en-GB"/>
        </w:rPr>
        <w:t>e</w:t>
      </w:r>
      <w:r w:rsidR="00F87055" w:rsidRPr="00FD0336">
        <w:rPr>
          <w:lang w:val="en-GB"/>
        </w:rPr>
        <w:t xml:space="preserve"> industrial development whilst reducing the negative impacts it creates</w:t>
      </w:r>
      <w:r w:rsidR="00232DB2">
        <w:rPr>
          <w:lang w:val="en-GB"/>
        </w:rPr>
        <w:t>,</w:t>
      </w:r>
      <w:r w:rsidR="00F87055" w:rsidRPr="00FD0336">
        <w:rPr>
          <w:lang w:val="en-GB"/>
        </w:rPr>
        <w:t xml:space="preserve"> overcoming some of the barriers this type of development faces, allowing port</w:t>
      </w:r>
      <w:r w:rsidR="00851E06">
        <w:rPr>
          <w:lang w:val="en-GB"/>
        </w:rPr>
        <w:t xml:space="preserve"> </w:t>
      </w:r>
      <w:r w:rsidR="00F87055" w:rsidRPr="00FD0336">
        <w:rPr>
          <w:lang w:val="en-GB"/>
        </w:rPr>
        <w:t>cities to obtain the benefits.</w:t>
      </w:r>
    </w:p>
    <w:p w14:paraId="75C7EA3A" w14:textId="063DDC76" w:rsidR="00823A84" w:rsidRPr="00FD0336" w:rsidRDefault="00E93F94" w:rsidP="0029190A">
      <w:pPr>
        <w:pStyle w:val="MDPI31text"/>
        <w:rPr>
          <w:lang w:val="en-GB"/>
        </w:rPr>
      </w:pPr>
      <w:r w:rsidRPr="00FD0336">
        <w:rPr>
          <w:lang w:val="en-GB"/>
        </w:rPr>
        <w:t xml:space="preserve">If ports are to add greater economic benefits, then the key obstacles of high costs and land use need to be addressed. This may be achieved through greater cooperation </w:t>
      </w:r>
      <w:r w:rsidR="00232DB2">
        <w:rPr>
          <w:lang w:val="en-GB"/>
        </w:rPr>
        <w:t>among</w:t>
      </w:r>
      <w:r w:rsidR="00232DB2" w:rsidRPr="00FD0336">
        <w:rPr>
          <w:lang w:val="en-GB"/>
        </w:rPr>
        <w:t xml:space="preserve"> </w:t>
      </w:r>
      <w:r w:rsidRPr="00FD0336">
        <w:rPr>
          <w:lang w:val="en-GB"/>
        </w:rPr>
        <w:t>ports, cities</w:t>
      </w:r>
      <w:r w:rsidR="00232DB2">
        <w:rPr>
          <w:lang w:val="en-GB"/>
        </w:rPr>
        <w:t>,</w:t>
      </w:r>
      <w:r w:rsidRPr="00FD0336">
        <w:rPr>
          <w:lang w:val="en-GB"/>
        </w:rPr>
        <w:t xml:space="preserve"> and relevant stakeholders, such as joint planning. Maritime clusters and industrial development remain desirable options for ports</w:t>
      </w:r>
      <w:r w:rsidR="00232DB2">
        <w:rPr>
          <w:lang w:val="en-GB"/>
        </w:rPr>
        <w:t>;</w:t>
      </w:r>
      <w:r w:rsidRPr="00FD0336">
        <w:rPr>
          <w:lang w:val="en-GB"/>
        </w:rPr>
        <w:t xml:space="preserve"> however</w:t>
      </w:r>
      <w:r w:rsidR="00232DB2">
        <w:rPr>
          <w:lang w:val="en-GB"/>
        </w:rPr>
        <w:t>,</w:t>
      </w:r>
      <w:r w:rsidRPr="00FD0336">
        <w:rPr>
          <w:lang w:val="en-GB"/>
        </w:rPr>
        <w:t xml:space="preserve"> of the four options considered in this paper, </w:t>
      </w:r>
      <w:r w:rsidR="00232DB2">
        <w:rPr>
          <w:lang w:val="en-GB"/>
        </w:rPr>
        <w:t xml:space="preserve">a </w:t>
      </w:r>
      <w:r w:rsidRPr="00FD0336">
        <w:rPr>
          <w:lang w:val="en-GB"/>
        </w:rPr>
        <w:t xml:space="preserve">circular economy appears </w:t>
      </w:r>
      <w:r w:rsidR="00232DB2">
        <w:rPr>
          <w:lang w:val="en-GB"/>
        </w:rPr>
        <w:t xml:space="preserve">to be </w:t>
      </w:r>
      <w:r w:rsidRPr="00FD0336">
        <w:rPr>
          <w:lang w:val="en-GB"/>
        </w:rPr>
        <w:t>the most well placed as a strategy</w:t>
      </w:r>
      <w:r w:rsidR="00232DB2">
        <w:rPr>
          <w:lang w:val="en-GB"/>
        </w:rPr>
        <w:t>,</w:t>
      </w:r>
      <w:r w:rsidRPr="00FD0336">
        <w:rPr>
          <w:lang w:val="en-GB"/>
        </w:rPr>
        <w:t xml:space="preserve"> with potential for growth that can provide these benefits, attract support from </w:t>
      </w:r>
      <w:proofErr w:type="gramStart"/>
      <w:r w:rsidRPr="00FD0336">
        <w:rPr>
          <w:lang w:val="en-GB"/>
        </w:rPr>
        <w:t xml:space="preserve">local </w:t>
      </w:r>
      <w:r w:rsidRPr="00FD0336">
        <w:rPr>
          <w:lang w:val="en-GB"/>
        </w:rPr>
        <w:lastRenderedPageBreak/>
        <w:t>residents</w:t>
      </w:r>
      <w:proofErr w:type="gramEnd"/>
      <w:r w:rsidR="00232DB2">
        <w:rPr>
          <w:lang w:val="en-GB"/>
        </w:rPr>
        <w:t>,</w:t>
      </w:r>
      <w:r w:rsidRPr="00FD0336">
        <w:rPr>
          <w:lang w:val="en-GB"/>
        </w:rPr>
        <w:t xml:space="preserve"> and allow ports to flourish</w:t>
      </w:r>
      <w:r w:rsidR="00232DB2">
        <w:rPr>
          <w:lang w:val="en-GB"/>
        </w:rPr>
        <w:t>,</w:t>
      </w:r>
      <w:r w:rsidRPr="00FD0336">
        <w:rPr>
          <w:lang w:val="en-GB"/>
        </w:rPr>
        <w:t xml:space="preserve"> whilst embracing</w:t>
      </w:r>
      <w:r w:rsidR="00232DB2">
        <w:rPr>
          <w:lang w:val="en-GB"/>
        </w:rPr>
        <w:t xml:space="preserve"> a </w:t>
      </w:r>
      <w:r w:rsidRPr="00FD0336">
        <w:rPr>
          <w:lang w:val="en-GB"/>
        </w:rPr>
        <w:t xml:space="preserve">greater level of sustainability. </w:t>
      </w:r>
      <w:r w:rsidR="008B6D1C" w:rsidRPr="00FD0336">
        <w:rPr>
          <w:lang w:val="en-GB"/>
        </w:rPr>
        <w:t xml:space="preserve">The framework provided by this paper creates a foundation </w:t>
      </w:r>
      <w:r w:rsidR="00232DB2">
        <w:rPr>
          <w:lang w:val="en-GB"/>
        </w:rPr>
        <w:t>i</w:t>
      </w:r>
      <w:r w:rsidR="008B6D1C" w:rsidRPr="00FD0336">
        <w:rPr>
          <w:lang w:val="en-GB"/>
        </w:rPr>
        <w:t>n which this process can begin.</w:t>
      </w:r>
    </w:p>
    <w:p w14:paraId="28DD7688" w14:textId="5E907F7B" w:rsidR="00067ECE" w:rsidRPr="00FD0336" w:rsidRDefault="0002400C" w:rsidP="0002400C">
      <w:pPr>
        <w:pStyle w:val="MDPI62BackMatter"/>
        <w:spacing w:before="240"/>
        <w:jc w:val="left"/>
        <w:rPr>
          <w:lang w:val="en-GB"/>
        </w:rPr>
      </w:pPr>
      <w:r w:rsidRPr="00FD0336">
        <w:rPr>
          <w:b/>
          <w:lang w:val="en-GB"/>
        </w:rPr>
        <w:t>Author Contribution</w:t>
      </w:r>
      <w:r w:rsidR="00067ECE" w:rsidRPr="00FD0336">
        <w:rPr>
          <w:b/>
          <w:lang w:val="en-GB"/>
        </w:rPr>
        <w:t xml:space="preserve">s: </w:t>
      </w:r>
      <w:r w:rsidR="00067ECE" w:rsidRPr="00FD0336">
        <w:rPr>
          <w:lang w:val="en-GB"/>
        </w:rPr>
        <w:t xml:space="preserve">Conceptualization, TR, IW, </w:t>
      </w:r>
      <w:proofErr w:type="gramStart"/>
      <w:r w:rsidR="00067ECE" w:rsidRPr="00FD0336">
        <w:rPr>
          <w:lang w:val="en-GB"/>
        </w:rPr>
        <w:t>JP</w:t>
      </w:r>
      <w:proofErr w:type="gramEnd"/>
      <w:r w:rsidR="00067ECE" w:rsidRPr="00FD0336">
        <w:rPr>
          <w:lang w:val="en-GB"/>
        </w:rPr>
        <w:t xml:space="preserve"> and NC; </w:t>
      </w:r>
      <w:r w:rsidR="00822D82">
        <w:rPr>
          <w:lang w:val="en-GB"/>
        </w:rPr>
        <w:t>d</w:t>
      </w:r>
      <w:r w:rsidR="00067ECE" w:rsidRPr="00FD0336">
        <w:rPr>
          <w:lang w:val="en-GB"/>
        </w:rPr>
        <w:t xml:space="preserve">ata curation, TR; </w:t>
      </w:r>
      <w:r w:rsidR="00822D82">
        <w:rPr>
          <w:lang w:val="en-GB"/>
        </w:rPr>
        <w:t>f</w:t>
      </w:r>
      <w:r w:rsidR="00067ECE" w:rsidRPr="00FD0336">
        <w:rPr>
          <w:lang w:val="en-GB"/>
        </w:rPr>
        <w:t xml:space="preserve">ormal analysis, TR; </w:t>
      </w:r>
      <w:r w:rsidR="00822D82">
        <w:rPr>
          <w:lang w:val="en-GB"/>
        </w:rPr>
        <w:t>f</w:t>
      </w:r>
      <w:r w:rsidR="00067ECE" w:rsidRPr="00FD0336">
        <w:rPr>
          <w:lang w:val="en-GB"/>
        </w:rPr>
        <w:t>unding acquisition, IW, JP</w:t>
      </w:r>
      <w:r w:rsidR="00822D82">
        <w:rPr>
          <w:lang w:val="en-GB"/>
        </w:rPr>
        <w:t>,</w:t>
      </w:r>
      <w:r w:rsidR="00067ECE" w:rsidRPr="00FD0336">
        <w:rPr>
          <w:lang w:val="en-GB"/>
        </w:rPr>
        <w:t xml:space="preserve"> and NC; </w:t>
      </w:r>
      <w:r w:rsidR="00822D82">
        <w:rPr>
          <w:lang w:val="en-GB"/>
        </w:rPr>
        <w:t>i</w:t>
      </w:r>
      <w:r w:rsidR="00067ECE" w:rsidRPr="00FD0336">
        <w:rPr>
          <w:lang w:val="en-GB"/>
        </w:rPr>
        <w:t xml:space="preserve">nvestigation, TR; </w:t>
      </w:r>
      <w:r w:rsidR="00822D82">
        <w:rPr>
          <w:lang w:val="en-GB"/>
        </w:rPr>
        <w:t>m</w:t>
      </w:r>
      <w:r w:rsidR="00067ECE" w:rsidRPr="00FD0336">
        <w:rPr>
          <w:lang w:val="en-GB"/>
        </w:rPr>
        <w:t>ethodology, TR, IW, JP</w:t>
      </w:r>
      <w:r w:rsidR="00822D82">
        <w:rPr>
          <w:lang w:val="en-GB"/>
        </w:rPr>
        <w:t>,</w:t>
      </w:r>
      <w:r w:rsidR="00067ECE" w:rsidRPr="00FD0336">
        <w:rPr>
          <w:lang w:val="en-GB"/>
        </w:rPr>
        <w:t xml:space="preserve"> and NC; </w:t>
      </w:r>
      <w:r w:rsidR="00822D82">
        <w:rPr>
          <w:lang w:val="en-GB"/>
        </w:rPr>
        <w:t>p</w:t>
      </w:r>
      <w:r w:rsidR="00067ECE" w:rsidRPr="00FD0336">
        <w:rPr>
          <w:lang w:val="en-GB"/>
        </w:rPr>
        <w:t>roject administration, IW and JP; Supervision, IW, JP, NC</w:t>
      </w:r>
      <w:r w:rsidR="00822D82">
        <w:rPr>
          <w:lang w:val="en-GB"/>
        </w:rPr>
        <w:t>,</w:t>
      </w:r>
      <w:r w:rsidR="00067ECE" w:rsidRPr="00FD0336">
        <w:rPr>
          <w:lang w:val="en-GB"/>
        </w:rPr>
        <w:t xml:space="preserve"> and MO; </w:t>
      </w:r>
      <w:r w:rsidR="00822D82">
        <w:rPr>
          <w:lang w:val="en-GB"/>
        </w:rPr>
        <w:t>v</w:t>
      </w:r>
      <w:r w:rsidR="00067ECE" w:rsidRPr="00FD0336">
        <w:rPr>
          <w:lang w:val="en-GB"/>
        </w:rPr>
        <w:t xml:space="preserve">isualization, TR; </w:t>
      </w:r>
      <w:r w:rsidR="00822D82">
        <w:rPr>
          <w:lang w:val="en-GB"/>
        </w:rPr>
        <w:t>w</w:t>
      </w:r>
      <w:r w:rsidR="00067ECE" w:rsidRPr="00FD0336">
        <w:rPr>
          <w:lang w:val="en-GB"/>
        </w:rPr>
        <w:t>riting</w:t>
      </w:r>
      <w:r w:rsidR="00822D82">
        <w:rPr>
          <w:lang w:val="en-GB"/>
        </w:rPr>
        <w:t>—</w:t>
      </w:r>
      <w:r w:rsidR="00067ECE" w:rsidRPr="00FD0336">
        <w:rPr>
          <w:lang w:val="en-GB"/>
        </w:rPr>
        <w:t xml:space="preserve">original draft, TR; </w:t>
      </w:r>
      <w:r w:rsidR="00822D82">
        <w:rPr>
          <w:lang w:val="en-GB"/>
        </w:rPr>
        <w:t>w</w:t>
      </w:r>
      <w:r w:rsidR="00067ECE" w:rsidRPr="00FD0336">
        <w:rPr>
          <w:lang w:val="en-GB"/>
        </w:rPr>
        <w:t>riting</w:t>
      </w:r>
      <w:r w:rsidR="00822D82">
        <w:rPr>
          <w:lang w:val="en-GB"/>
        </w:rPr>
        <w:t>—</w:t>
      </w:r>
      <w:r w:rsidR="00067ECE" w:rsidRPr="00FD0336">
        <w:rPr>
          <w:lang w:val="en-GB"/>
        </w:rPr>
        <w:t xml:space="preserve">review </w:t>
      </w:r>
      <w:r w:rsidR="00822D82">
        <w:rPr>
          <w:lang w:val="en-GB"/>
        </w:rPr>
        <w:t>and</w:t>
      </w:r>
      <w:r w:rsidR="00067ECE" w:rsidRPr="00FD0336">
        <w:rPr>
          <w:lang w:val="en-GB"/>
        </w:rPr>
        <w:t xml:space="preserve"> editing, TR, IW, JP, NC, MO</w:t>
      </w:r>
      <w:r w:rsidR="00822D82">
        <w:rPr>
          <w:lang w:val="en-GB"/>
        </w:rPr>
        <w:t>,</w:t>
      </w:r>
      <w:r w:rsidR="00067ECE" w:rsidRPr="00FD0336">
        <w:rPr>
          <w:lang w:val="en-GB"/>
        </w:rPr>
        <w:t xml:space="preserve"> and SO</w:t>
      </w:r>
    </w:p>
    <w:p w14:paraId="0457BE28" w14:textId="69A26AA2" w:rsidR="00067ECE" w:rsidRPr="00FD0336" w:rsidRDefault="00067ECE" w:rsidP="0086350A">
      <w:pPr>
        <w:pStyle w:val="MDPI62BackMatter"/>
        <w:jc w:val="left"/>
        <w:rPr>
          <w:lang w:val="en-GB"/>
        </w:rPr>
      </w:pPr>
      <w:r w:rsidRPr="00FD0336">
        <w:rPr>
          <w:b/>
          <w:lang w:val="en-GB"/>
        </w:rPr>
        <w:t xml:space="preserve">Funding: </w:t>
      </w:r>
      <w:r w:rsidRPr="00FD0336">
        <w:rPr>
          <w:lang w:val="en-GB"/>
        </w:rPr>
        <w:t>The authors are pleased to acknowledge that this research study was part</w:t>
      </w:r>
      <w:r w:rsidR="00822D82">
        <w:rPr>
          <w:lang w:val="en-GB"/>
        </w:rPr>
        <w:t xml:space="preserve">ially </w:t>
      </w:r>
      <w:r w:rsidRPr="00FD0336">
        <w:rPr>
          <w:lang w:val="en-GB"/>
        </w:rPr>
        <w:t>funded by the EPSRC Centre for Doctoral Training in Sustainable Infrastructure Systems (EP/L01582X/1) and part</w:t>
      </w:r>
      <w:r w:rsidR="00822D82">
        <w:rPr>
          <w:lang w:val="en-GB"/>
        </w:rPr>
        <w:t xml:space="preserve">ially </w:t>
      </w:r>
      <w:r w:rsidRPr="00FD0336">
        <w:rPr>
          <w:lang w:val="en-GB"/>
        </w:rPr>
        <w:t>funded by Ramboll.</w:t>
      </w:r>
    </w:p>
    <w:p w14:paraId="238C0595" w14:textId="2E659F26" w:rsidR="0086350A" w:rsidRPr="00604689" w:rsidRDefault="0086350A" w:rsidP="0086350A">
      <w:pPr>
        <w:pStyle w:val="MDPI62BackMatter"/>
        <w:rPr>
          <w:lang w:val="en-GB"/>
        </w:rPr>
      </w:pPr>
      <w:r w:rsidRPr="00001C64">
        <w:rPr>
          <w:b/>
          <w:lang w:val="en-GB"/>
        </w:rPr>
        <w:t>Institutional Review Board Statement:</w:t>
      </w:r>
      <w:r w:rsidRPr="00001C64">
        <w:rPr>
          <w:lang w:val="en-GB"/>
        </w:rPr>
        <w:t xml:space="preserve"> The study was conducted according to the guidelines of the Declaration of </w:t>
      </w:r>
      <w:proofErr w:type="gramStart"/>
      <w:r w:rsidRPr="00001C64">
        <w:rPr>
          <w:lang w:val="en-GB"/>
        </w:rPr>
        <w:t>Helsinki, and</w:t>
      </w:r>
      <w:proofErr w:type="gramEnd"/>
      <w:r w:rsidRPr="00001C64">
        <w:rPr>
          <w:lang w:val="en-GB"/>
        </w:rPr>
        <w:t xml:space="preserve"> approved by the Institutional Review Board (or Ethics Committee) of </w:t>
      </w:r>
      <w:r w:rsidR="00604689" w:rsidRPr="00001C64">
        <w:rPr>
          <w:lang w:val="en-GB"/>
        </w:rPr>
        <w:t>The University of Southampton</w:t>
      </w:r>
      <w:r w:rsidRPr="00001C64">
        <w:rPr>
          <w:lang w:val="en-GB"/>
        </w:rPr>
        <w:t xml:space="preserve"> (</w:t>
      </w:r>
      <w:r w:rsidR="00604689" w:rsidRPr="00001C64">
        <w:rPr>
          <w:lang w:val="en-GB"/>
        </w:rPr>
        <w:t>ID 55821</w:t>
      </w:r>
      <w:r w:rsidRPr="00001C64">
        <w:rPr>
          <w:lang w:val="en-GB"/>
        </w:rPr>
        <w:t xml:space="preserve"> and </w:t>
      </w:r>
      <w:r w:rsidR="00604689" w:rsidRPr="00001C64">
        <w:rPr>
          <w:lang w:val="en-GB"/>
        </w:rPr>
        <w:t>16.02.2020</w:t>
      </w:r>
      <w:r w:rsidRPr="00001C64">
        <w:rPr>
          <w:lang w:val="en-GB"/>
        </w:rPr>
        <w:t>).</w:t>
      </w:r>
      <w:r w:rsidR="00604689" w:rsidRPr="00001C64" w:rsidDel="00604689">
        <w:rPr>
          <w:lang w:val="en-GB"/>
        </w:rPr>
        <w:t xml:space="preserve"> </w:t>
      </w:r>
    </w:p>
    <w:p w14:paraId="371FE316" w14:textId="5D019E2F" w:rsidR="00BC0BDC" w:rsidRPr="00FD0336" w:rsidRDefault="00BC0BDC" w:rsidP="00BC0BDC">
      <w:pPr>
        <w:pStyle w:val="MDPI62BackMatter"/>
        <w:rPr>
          <w:lang w:val="en-GB"/>
        </w:rPr>
      </w:pPr>
      <w:r w:rsidRPr="00001C64">
        <w:rPr>
          <w:b/>
          <w:lang w:val="en-GB"/>
        </w:rPr>
        <w:t>Informed Consent Statement:</w:t>
      </w:r>
      <w:r w:rsidRPr="00001C64">
        <w:rPr>
          <w:lang w:val="en-GB"/>
        </w:rPr>
        <w:t xml:space="preserve"> Informed consent was obtained from all subjects involved in the study.</w:t>
      </w:r>
    </w:p>
    <w:p w14:paraId="3BD974B3" w14:textId="3A54B334" w:rsidR="0002400C" w:rsidRPr="00FD0336" w:rsidRDefault="00067ECE" w:rsidP="0002400C">
      <w:pPr>
        <w:pStyle w:val="MDPI62BackMatter"/>
        <w:rPr>
          <w:lang w:val="en-GB"/>
        </w:rPr>
      </w:pPr>
      <w:r w:rsidRPr="00FD0336">
        <w:rPr>
          <w:b/>
          <w:lang w:val="en-GB"/>
        </w:rPr>
        <w:t>Data Availability Statement:</w:t>
      </w:r>
      <w:r w:rsidR="00822D82">
        <w:rPr>
          <w:b/>
          <w:lang w:val="en-GB"/>
        </w:rPr>
        <w:t xml:space="preserve"> </w:t>
      </w:r>
      <w:r w:rsidRPr="001B0B91">
        <w:rPr>
          <w:lang w:val="en-GB"/>
        </w:rPr>
        <w:t>T</w:t>
      </w:r>
      <w:r w:rsidRPr="00FD0336">
        <w:rPr>
          <w:lang w:val="en-GB"/>
        </w:rPr>
        <w:t>he database used in this research will be available at the following DOI</w:t>
      </w:r>
      <w:r w:rsidR="0002400C" w:rsidRPr="00FD0336">
        <w:rPr>
          <w:b/>
          <w:lang w:val="en-GB"/>
        </w:rPr>
        <w:t xml:space="preserve"> </w:t>
      </w:r>
      <w:r w:rsidRPr="00FD0336">
        <w:rPr>
          <w:lang w:val="en-GB"/>
        </w:rPr>
        <w:t>https://doi.org/10.5258/SOTON/D1809</w:t>
      </w:r>
      <w:r w:rsidR="00BC0BDC" w:rsidRPr="00FD0336">
        <w:rPr>
          <w:lang w:val="en-GB"/>
        </w:rPr>
        <w:t>.</w:t>
      </w:r>
    </w:p>
    <w:p w14:paraId="6E4F5C4F" w14:textId="5DA03E3B" w:rsidR="00067ECE" w:rsidRPr="00FD0336" w:rsidRDefault="00067ECE" w:rsidP="0002400C">
      <w:pPr>
        <w:pStyle w:val="MDPI62BackMatter"/>
        <w:rPr>
          <w:lang w:val="en-GB"/>
        </w:rPr>
      </w:pPr>
      <w:r w:rsidRPr="00FD0336">
        <w:rPr>
          <w:lang w:val="en-GB"/>
        </w:rPr>
        <w:t>All subjects gave their informed consent for inclusion before they participated in the study. The study was conducted in accordance with the Declaration of Helsinki, and the protocol was approved by the Ethics Committee of the University of Southampton’s Ethical approval process, with Ethical approval ID number 55821</w:t>
      </w:r>
      <w:r w:rsidR="0002400C" w:rsidRPr="00FD0336">
        <w:rPr>
          <w:lang w:val="en-GB"/>
        </w:rPr>
        <w:t>.</w:t>
      </w:r>
    </w:p>
    <w:p w14:paraId="67805085" w14:textId="5D20F69D" w:rsidR="00BC0BDC" w:rsidRPr="00FD0336" w:rsidRDefault="00BC0BDC" w:rsidP="00BC0BDC">
      <w:pPr>
        <w:pStyle w:val="MDPI62BackMatter"/>
        <w:jc w:val="left"/>
        <w:rPr>
          <w:lang w:val="en-GB"/>
        </w:rPr>
      </w:pPr>
      <w:r w:rsidRPr="00001C64">
        <w:rPr>
          <w:b/>
          <w:lang w:val="en-GB"/>
        </w:rPr>
        <w:t xml:space="preserve">Acknowledgments: </w:t>
      </w:r>
      <w:r w:rsidR="00177D99">
        <w:rPr>
          <w:lang w:val="en-GB"/>
        </w:rPr>
        <w:t>We would like to acknowledge the contribution of the peer reviewers in helping to improve this paper</w:t>
      </w:r>
    </w:p>
    <w:p w14:paraId="75954419" w14:textId="55CF70E9" w:rsidR="00067ECE" w:rsidRPr="00FD0336" w:rsidRDefault="00067ECE" w:rsidP="00BC0BDC">
      <w:pPr>
        <w:pStyle w:val="MDPI62BackMatter"/>
        <w:jc w:val="left"/>
        <w:rPr>
          <w:lang w:val="en-GB"/>
        </w:rPr>
      </w:pPr>
      <w:r w:rsidRPr="00FD0336">
        <w:rPr>
          <w:b/>
          <w:lang w:val="en-GB"/>
        </w:rPr>
        <w:t xml:space="preserve">Conflicts of Interest: </w:t>
      </w:r>
      <w:r w:rsidRPr="00FD0336">
        <w:rPr>
          <w:lang w:val="en-GB"/>
        </w:rPr>
        <w:t xml:space="preserve">This work </w:t>
      </w:r>
      <w:r w:rsidR="007D0930">
        <w:rPr>
          <w:lang w:val="en-GB"/>
        </w:rPr>
        <w:t>wa</w:t>
      </w:r>
      <w:r w:rsidRPr="00FD0336">
        <w:rPr>
          <w:lang w:val="en-GB"/>
        </w:rPr>
        <w:t>s in collaboration with engineering consultancy Ramboll, who are the industrial sponsors of this research</w:t>
      </w:r>
      <w:r w:rsidR="007D0930">
        <w:rPr>
          <w:lang w:val="en-GB"/>
        </w:rPr>
        <w:t>,</w:t>
      </w:r>
      <w:r w:rsidRPr="00FD0336">
        <w:rPr>
          <w:lang w:val="en-GB"/>
        </w:rPr>
        <w:t xml:space="preserve"> in collaboration with the UK’s Engineering and Physical Sciences Research Council (EPSRC). This research may help Ramboll refine their service offerings in the future</w:t>
      </w:r>
      <w:r w:rsidR="007D0930">
        <w:rPr>
          <w:lang w:val="en-GB"/>
        </w:rPr>
        <w:t>;</w:t>
      </w:r>
      <w:r w:rsidRPr="00FD0336">
        <w:rPr>
          <w:lang w:val="en-GB"/>
        </w:rPr>
        <w:t xml:space="preserve"> however</w:t>
      </w:r>
      <w:r w:rsidR="007D0930">
        <w:rPr>
          <w:lang w:val="en-GB"/>
        </w:rPr>
        <w:t>,</w:t>
      </w:r>
      <w:r w:rsidRPr="00FD0336">
        <w:rPr>
          <w:lang w:val="en-GB"/>
        </w:rPr>
        <w:t xml:space="preserve"> this had no impact on the academic integrity of the work</w:t>
      </w:r>
      <w:r w:rsidR="007D0930">
        <w:rPr>
          <w:lang w:val="en-GB"/>
        </w:rPr>
        <w:t>,</w:t>
      </w:r>
      <w:r w:rsidRPr="00FD0336">
        <w:rPr>
          <w:lang w:val="en-GB"/>
        </w:rPr>
        <w:t xml:space="preserve"> which has been approved by the University of Southampton’s ethical approval process.</w:t>
      </w:r>
    </w:p>
    <w:p w14:paraId="6CB884DC" w14:textId="77777777" w:rsidR="00B76AC7" w:rsidRPr="00FD0336" w:rsidRDefault="00B76AC7" w:rsidP="00B76AC7">
      <w:pPr>
        <w:pStyle w:val="MDPI21heading1"/>
        <w:ind w:left="0"/>
        <w:rPr>
          <w:lang w:val="en-GB"/>
        </w:rPr>
      </w:pPr>
      <w:r w:rsidRPr="00FD0336">
        <w:rPr>
          <w:lang w:val="en-GB"/>
        </w:rPr>
        <w:t>References</w:t>
      </w:r>
    </w:p>
    <w:p w14:paraId="31F4B919"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Saz</w:t>
      </w:r>
      <w:proofErr w:type="spellEnd"/>
      <w:r w:rsidRPr="00683E53">
        <w:rPr>
          <w:rFonts w:eastAsia="Times New Roman"/>
          <w:noProof w:val="0"/>
          <w:sz w:val="18"/>
          <w:lang w:eastAsia="de-DE" w:bidi="en-US"/>
        </w:rPr>
        <w:t xml:space="preserve">-Salazar, S.; Garcia-Menendez, L.; Merk, O. Port–City Relationship and the Environment: Literature Survey and Methodological Approach for Project Appraisal in Presence of Environmental Externalities. </w:t>
      </w:r>
      <w:r w:rsidRPr="00683E53">
        <w:rPr>
          <w:rFonts w:eastAsia="Times New Roman"/>
          <w:i/>
          <w:noProof w:val="0"/>
          <w:sz w:val="18"/>
          <w:lang w:eastAsia="de-DE" w:bidi="en-US"/>
        </w:rPr>
        <w:t xml:space="preserve">J. Urban Plan. Dev. </w:t>
      </w:r>
      <w:r w:rsidRPr="00683E53">
        <w:rPr>
          <w:rFonts w:eastAsia="Times New Roman"/>
          <w:b/>
          <w:bCs/>
          <w:noProof w:val="0"/>
          <w:sz w:val="18"/>
          <w:lang w:eastAsia="de-DE" w:bidi="en-US"/>
        </w:rPr>
        <w:t>2015</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141</w:t>
      </w:r>
      <w:r w:rsidRPr="00683E53">
        <w:rPr>
          <w:rFonts w:eastAsia="Times New Roman"/>
          <w:noProof w:val="0"/>
          <w:sz w:val="18"/>
          <w:lang w:eastAsia="de-DE" w:bidi="en-US"/>
        </w:rPr>
        <w:t>, 1–11.</w:t>
      </w:r>
    </w:p>
    <w:p w14:paraId="146DBB5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Musso</w:t>
      </w:r>
      <w:proofErr w:type="spellEnd"/>
      <w:r w:rsidRPr="00683E53">
        <w:rPr>
          <w:rFonts w:eastAsia="Times New Roman"/>
          <w:noProof w:val="0"/>
          <w:sz w:val="18"/>
          <w:lang w:eastAsia="de-DE" w:bidi="en-US"/>
        </w:rPr>
        <w:t xml:space="preserve">, E.; </w:t>
      </w:r>
      <w:proofErr w:type="spellStart"/>
      <w:r w:rsidRPr="00683E53">
        <w:rPr>
          <w:rFonts w:eastAsia="Times New Roman"/>
          <w:noProof w:val="0"/>
          <w:sz w:val="18"/>
          <w:lang w:eastAsia="de-DE" w:bidi="en-US"/>
        </w:rPr>
        <w:t>Benacchio</w:t>
      </w:r>
      <w:proofErr w:type="spellEnd"/>
      <w:r w:rsidRPr="00683E53">
        <w:rPr>
          <w:rFonts w:eastAsia="Times New Roman"/>
          <w:noProof w:val="0"/>
          <w:sz w:val="18"/>
          <w:lang w:eastAsia="de-DE" w:bidi="en-US"/>
        </w:rPr>
        <w:t xml:space="preserve">, M.; Ferrari, C. Ports and Employment in Port Cities. </w:t>
      </w:r>
      <w:r w:rsidRPr="00683E53">
        <w:rPr>
          <w:rFonts w:eastAsia="Times New Roman"/>
          <w:i/>
          <w:noProof w:val="0"/>
          <w:sz w:val="18"/>
          <w:lang w:eastAsia="de-DE" w:bidi="en-US"/>
        </w:rPr>
        <w:t xml:space="preserve">Int. J. </w:t>
      </w:r>
      <w:proofErr w:type="spellStart"/>
      <w:r w:rsidRPr="00683E53">
        <w:rPr>
          <w:rFonts w:eastAsia="Times New Roman"/>
          <w:i/>
          <w:noProof w:val="0"/>
          <w:sz w:val="18"/>
          <w:lang w:eastAsia="de-DE" w:bidi="en-US"/>
        </w:rPr>
        <w:t>Marit</w:t>
      </w:r>
      <w:proofErr w:type="spellEnd"/>
      <w:r w:rsidRPr="00683E53">
        <w:rPr>
          <w:rFonts w:eastAsia="Times New Roman"/>
          <w:i/>
          <w:noProof w:val="0"/>
          <w:sz w:val="18"/>
          <w:lang w:eastAsia="de-DE" w:bidi="en-US"/>
        </w:rPr>
        <w:t xml:space="preserve">. Econ. </w:t>
      </w:r>
      <w:r w:rsidRPr="00683E53">
        <w:rPr>
          <w:rFonts w:eastAsia="Times New Roman"/>
          <w:b/>
          <w:bCs/>
          <w:noProof w:val="0"/>
          <w:sz w:val="18"/>
          <w:lang w:eastAsia="de-DE" w:bidi="en-US"/>
        </w:rPr>
        <w:t>2000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w:t>
      </w:r>
      <w:r w:rsidRPr="00683E53">
        <w:rPr>
          <w:rFonts w:eastAsia="Times New Roman"/>
          <w:noProof w:val="0"/>
          <w:sz w:val="18"/>
          <w:lang w:eastAsia="de-DE" w:bidi="en-US"/>
        </w:rPr>
        <w:t>, 283–311.</w:t>
      </w:r>
    </w:p>
    <w:p w14:paraId="50B8C87A"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Baird, A.J. </w:t>
      </w:r>
      <w:proofErr w:type="gramStart"/>
      <w:r w:rsidRPr="00683E53">
        <w:rPr>
          <w:rFonts w:eastAsia="Times New Roman"/>
          <w:noProof w:val="0"/>
          <w:sz w:val="18"/>
          <w:lang w:eastAsia="de-DE" w:bidi="en-US"/>
        </w:rPr>
        <w:t>Containerization</w:t>
      </w:r>
      <w:proofErr w:type="gramEnd"/>
      <w:r w:rsidRPr="00683E53">
        <w:rPr>
          <w:rFonts w:eastAsia="Times New Roman"/>
          <w:noProof w:val="0"/>
          <w:sz w:val="18"/>
          <w:lang w:eastAsia="de-DE" w:bidi="en-US"/>
        </w:rPr>
        <w:t xml:space="preserve"> and the decline of the upstream urban port in Europe. </w:t>
      </w:r>
      <w:proofErr w:type="spellStart"/>
      <w:r w:rsidRPr="00683E53">
        <w:rPr>
          <w:rFonts w:eastAsia="Times New Roman"/>
          <w:i/>
          <w:noProof w:val="0"/>
          <w:sz w:val="18"/>
          <w:lang w:eastAsia="de-DE" w:bidi="en-US"/>
        </w:rPr>
        <w:t>Marit</w:t>
      </w:r>
      <w:proofErr w:type="spellEnd"/>
      <w:r w:rsidRPr="00683E53">
        <w:rPr>
          <w:rFonts w:eastAsia="Times New Roman"/>
          <w:i/>
          <w:noProof w:val="0"/>
          <w:sz w:val="18"/>
          <w:lang w:eastAsia="de-DE" w:bidi="en-US"/>
        </w:rPr>
        <w:t xml:space="preserve">. Policy </w:t>
      </w:r>
      <w:proofErr w:type="spellStart"/>
      <w:r w:rsidRPr="00683E53">
        <w:rPr>
          <w:rFonts w:eastAsia="Times New Roman"/>
          <w:i/>
          <w:noProof w:val="0"/>
          <w:sz w:val="18"/>
          <w:lang w:eastAsia="de-DE" w:bidi="en-US"/>
        </w:rPr>
        <w:t>Manag</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2006</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23</w:t>
      </w:r>
      <w:r w:rsidRPr="00683E53">
        <w:rPr>
          <w:rFonts w:eastAsia="Times New Roman"/>
          <w:noProof w:val="0"/>
          <w:sz w:val="18"/>
          <w:lang w:eastAsia="de-DE" w:bidi="en-US"/>
        </w:rPr>
        <w:t>, 145–156.</w:t>
      </w:r>
    </w:p>
    <w:p w14:paraId="5BEFE249"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Hall, P.V. Container ports, local </w:t>
      </w:r>
      <w:proofErr w:type="gramStart"/>
      <w:r w:rsidRPr="00683E53">
        <w:rPr>
          <w:rFonts w:eastAsia="Times New Roman"/>
          <w:noProof w:val="0"/>
          <w:sz w:val="18"/>
          <w:lang w:eastAsia="de-DE" w:bidi="en-US"/>
        </w:rPr>
        <w:t>benefits</w:t>
      </w:r>
      <w:proofErr w:type="gramEnd"/>
      <w:r w:rsidRPr="00683E53">
        <w:rPr>
          <w:rFonts w:eastAsia="Times New Roman"/>
          <w:noProof w:val="0"/>
          <w:sz w:val="18"/>
          <w:lang w:eastAsia="de-DE" w:bidi="en-US"/>
        </w:rPr>
        <w:t xml:space="preserve"> and transportation worker earnings. </w:t>
      </w:r>
      <w:r w:rsidRPr="00683E53">
        <w:rPr>
          <w:rFonts w:eastAsia="Times New Roman"/>
          <w:i/>
          <w:noProof w:val="0"/>
          <w:sz w:val="18"/>
          <w:lang w:eastAsia="de-DE" w:bidi="en-US"/>
        </w:rPr>
        <w:t xml:space="preserve">Geo J. </w:t>
      </w:r>
      <w:r w:rsidRPr="00683E53">
        <w:rPr>
          <w:rFonts w:eastAsia="Times New Roman"/>
          <w:b/>
          <w:bCs/>
          <w:noProof w:val="0"/>
          <w:sz w:val="18"/>
          <w:lang w:eastAsia="de-DE" w:bidi="en-US"/>
        </w:rPr>
        <w:t>2009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74</w:t>
      </w:r>
      <w:r w:rsidRPr="00683E53">
        <w:rPr>
          <w:rFonts w:eastAsia="Times New Roman"/>
          <w:noProof w:val="0"/>
          <w:sz w:val="18"/>
          <w:lang w:eastAsia="de-DE" w:bidi="en-US"/>
        </w:rPr>
        <w:t>, 67–83.</w:t>
      </w:r>
    </w:p>
    <w:p w14:paraId="1CC8EEE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OECD. 2013. The Competitiveness of Global Port Cities: Synthesis Report. Available online: https://www.oecd.org/cfe/regional-policy/Competitiveness-of-Global-Port-Cities-Synthesis-Report.pdf (accessed on 13 February 2021).</w:t>
      </w:r>
    </w:p>
    <w:p w14:paraId="6382BCD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Jung, B. Economic Contribution of Ports to the Local Economies in Korea. </w:t>
      </w:r>
      <w:r w:rsidRPr="00683E53">
        <w:rPr>
          <w:rFonts w:eastAsia="Times New Roman"/>
          <w:i/>
          <w:iCs/>
          <w:noProof w:val="0"/>
          <w:sz w:val="18"/>
          <w:lang w:eastAsia="de-DE" w:bidi="en-US"/>
        </w:rPr>
        <w:t>Logistics</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2011</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27</w:t>
      </w:r>
      <w:r w:rsidRPr="00683E53">
        <w:rPr>
          <w:rFonts w:eastAsia="Times New Roman"/>
          <w:noProof w:val="0"/>
          <w:sz w:val="18"/>
          <w:lang w:eastAsia="de-DE" w:bidi="en-US"/>
        </w:rPr>
        <w:t>, 1–30.</w:t>
      </w:r>
    </w:p>
    <w:p w14:paraId="299417B2"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pacing w:val="-2"/>
          <w:sz w:val="18"/>
          <w:lang w:eastAsia="de-DE" w:bidi="en-US"/>
        </w:rPr>
      </w:pPr>
      <w:r w:rsidRPr="00683E53">
        <w:rPr>
          <w:rFonts w:eastAsia="Times New Roman"/>
          <w:noProof w:val="0"/>
          <w:spacing w:val="-2"/>
          <w:sz w:val="18"/>
          <w:lang w:eastAsia="de-DE" w:bidi="en-US"/>
        </w:rPr>
        <w:t>ESPO. 2020. Top 10 Environmental Priorities. Available online: https://www.espo.be/media/Top%2010%20environmental%20priorities%202020%20FINAL.pdf (accessed on 18 February 2021).</w:t>
      </w:r>
    </w:p>
    <w:p w14:paraId="315DBDF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Kirchherr</w:t>
      </w:r>
      <w:proofErr w:type="spellEnd"/>
      <w:r w:rsidRPr="00683E53">
        <w:rPr>
          <w:rFonts w:eastAsia="Times New Roman"/>
          <w:noProof w:val="0"/>
          <w:sz w:val="18"/>
          <w:lang w:eastAsia="de-DE" w:bidi="en-US"/>
        </w:rPr>
        <w:t xml:space="preserve">, J.; </w:t>
      </w:r>
      <w:proofErr w:type="spellStart"/>
      <w:r w:rsidRPr="00683E53">
        <w:rPr>
          <w:rFonts w:eastAsia="Times New Roman"/>
          <w:noProof w:val="0"/>
          <w:sz w:val="18"/>
          <w:lang w:eastAsia="de-DE" w:bidi="en-US"/>
        </w:rPr>
        <w:t>Reike</w:t>
      </w:r>
      <w:proofErr w:type="spellEnd"/>
      <w:r w:rsidRPr="00683E53">
        <w:rPr>
          <w:rFonts w:eastAsia="Times New Roman"/>
          <w:noProof w:val="0"/>
          <w:sz w:val="18"/>
          <w:lang w:eastAsia="de-DE" w:bidi="en-US"/>
        </w:rPr>
        <w:t xml:space="preserve">, D.; </w:t>
      </w:r>
      <w:proofErr w:type="spellStart"/>
      <w:r w:rsidRPr="00683E53">
        <w:rPr>
          <w:rFonts w:eastAsia="Times New Roman"/>
          <w:noProof w:val="0"/>
          <w:sz w:val="18"/>
          <w:lang w:eastAsia="de-DE" w:bidi="en-US"/>
        </w:rPr>
        <w:t>Hekkert</w:t>
      </w:r>
      <w:proofErr w:type="spellEnd"/>
      <w:r w:rsidRPr="00683E53">
        <w:rPr>
          <w:rFonts w:eastAsia="Times New Roman"/>
          <w:noProof w:val="0"/>
          <w:sz w:val="18"/>
          <w:lang w:eastAsia="de-DE" w:bidi="en-US"/>
        </w:rPr>
        <w:t xml:space="preserve">, M. </w:t>
      </w:r>
      <w:proofErr w:type="spellStart"/>
      <w:r w:rsidRPr="00683E53">
        <w:rPr>
          <w:rFonts w:eastAsia="Times New Roman"/>
          <w:noProof w:val="0"/>
          <w:sz w:val="18"/>
          <w:lang w:eastAsia="de-DE" w:bidi="en-US"/>
        </w:rPr>
        <w:t>Conceptualising</w:t>
      </w:r>
      <w:proofErr w:type="spellEnd"/>
      <w:r w:rsidRPr="00683E53">
        <w:rPr>
          <w:rFonts w:eastAsia="Times New Roman"/>
          <w:noProof w:val="0"/>
          <w:sz w:val="18"/>
          <w:lang w:eastAsia="de-DE" w:bidi="en-US"/>
        </w:rPr>
        <w:t xml:space="preserve"> the circular economy: An analysis of 114 definitions. </w:t>
      </w:r>
      <w:proofErr w:type="spellStart"/>
      <w:r w:rsidRPr="00683E53">
        <w:rPr>
          <w:rFonts w:eastAsia="Times New Roman"/>
          <w:i/>
          <w:noProof w:val="0"/>
          <w:sz w:val="18"/>
          <w:lang w:eastAsia="de-DE" w:bidi="en-US"/>
        </w:rPr>
        <w:t>Resour</w:t>
      </w:r>
      <w:proofErr w:type="spellEnd"/>
      <w:r w:rsidRPr="00683E53">
        <w:rPr>
          <w:rFonts w:eastAsia="Times New Roman"/>
          <w:i/>
          <w:noProof w:val="0"/>
          <w:sz w:val="18"/>
          <w:lang w:eastAsia="de-DE" w:bidi="en-US"/>
        </w:rPr>
        <w:t xml:space="preserve">. </w:t>
      </w:r>
      <w:proofErr w:type="spellStart"/>
      <w:r w:rsidRPr="00683E53">
        <w:rPr>
          <w:rFonts w:eastAsia="Times New Roman"/>
          <w:i/>
          <w:noProof w:val="0"/>
          <w:sz w:val="18"/>
          <w:lang w:eastAsia="de-DE" w:bidi="en-US"/>
        </w:rPr>
        <w:t>Conserv</w:t>
      </w:r>
      <w:proofErr w:type="spellEnd"/>
      <w:r w:rsidRPr="00683E53">
        <w:rPr>
          <w:rFonts w:eastAsia="Times New Roman"/>
          <w:i/>
          <w:noProof w:val="0"/>
          <w:sz w:val="18"/>
          <w:lang w:eastAsia="de-DE" w:bidi="en-US"/>
        </w:rPr>
        <w:t xml:space="preserve">. </w:t>
      </w:r>
      <w:proofErr w:type="spellStart"/>
      <w:r w:rsidRPr="00683E53">
        <w:rPr>
          <w:rFonts w:eastAsia="Times New Roman"/>
          <w:i/>
          <w:noProof w:val="0"/>
          <w:sz w:val="18"/>
          <w:lang w:eastAsia="de-DE" w:bidi="en-US"/>
        </w:rPr>
        <w:t>Recycl</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2017</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127</w:t>
      </w:r>
      <w:r w:rsidRPr="00683E53">
        <w:rPr>
          <w:rFonts w:eastAsia="Times New Roman"/>
          <w:noProof w:val="0"/>
          <w:sz w:val="18"/>
          <w:lang w:eastAsia="de-DE" w:bidi="en-US"/>
        </w:rPr>
        <w:t>, 221–232.</w:t>
      </w:r>
    </w:p>
    <w:p w14:paraId="744E60D5"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Sehnem</w:t>
      </w:r>
      <w:proofErr w:type="spellEnd"/>
      <w:r w:rsidRPr="00683E53">
        <w:rPr>
          <w:rFonts w:eastAsia="Times New Roman"/>
          <w:noProof w:val="0"/>
          <w:sz w:val="18"/>
          <w:lang w:eastAsia="de-DE" w:bidi="en-US"/>
        </w:rPr>
        <w:t xml:space="preserve">, S.; Vazquez-Brust, D.A.; Pereira, S.C.F.; Campos, L.M.S. Circular economy: Benefits, impacts and overlapping. </w:t>
      </w:r>
      <w:r w:rsidRPr="00683E53">
        <w:rPr>
          <w:rFonts w:eastAsia="Times New Roman"/>
          <w:i/>
          <w:iCs/>
          <w:noProof w:val="0"/>
          <w:sz w:val="18"/>
          <w:lang w:eastAsia="de-DE" w:bidi="en-US"/>
        </w:rPr>
        <w:t xml:space="preserve">Supply Chain. </w:t>
      </w:r>
      <w:proofErr w:type="spellStart"/>
      <w:r w:rsidRPr="00683E53">
        <w:rPr>
          <w:rFonts w:eastAsia="Times New Roman"/>
          <w:i/>
          <w:iCs/>
          <w:noProof w:val="0"/>
          <w:sz w:val="18"/>
          <w:lang w:eastAsia="de-DE" w:bidi="en-US"/>
        </w:rPr>
        <w:t>Manag</w:t>
      </w:r>
      <w:proofErr w:type="spellEnd"/>
      <w:r w:rsidRPr="00683E53">
        <w:rPr>
          <w:rFonts w:eastAsia="Times New Roman"/>
          <w:i/>
          <w:iCs/>
          <w:noProof w:val="0"/>
          <w:sz w:val="18"/>
          <w:lang w:eastAsia="de-DE" w:bidi="en-US"/>
        </w:rPr>
        <w:t xml:space="preserve">. Int. J.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24</w:t>
      </w:r>
      <w:r w:rsidRPr="00683E53">
        <w:rPr>
          <w:rFonts w:eastAsia="Times New Roman"/>
          <w:noProof w:val="0"/>
          <w:sz w:val="18"/>
          <w:lang w:eastAsia="de-DE" w:bidi="en-US"/>
        </w:rPr>
        <w:t>, 784–804.</w:t>
      </w:r>
    </w:p>
    <w:p w14:paraId="7DE5C7F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Mankowska</w:t>
      </w:r>
      <w:proofErr w:type="spellEnd"/>
      <w:r w:rsidRPr="00683E53">
        <w:rPr>
          <w:rFonts w:eastAsia="Times New Roman"/>
          <w:noProof w:val="0"/>
          <w:sz w:val="18"/>
          <w:lang w:eastAsia="de-DE" w:bidi="en-US"/>
        </w:rPr>
        <w:t xml:space="preserve">, M.; </w:t>
      </w:r>
      <w:proofErr w:type="spellStart"/>
      <w:r w:rsidRPr="00683E53">
        <w:rPr>
          <w:rFonts w:eastAsia="Times New Roman"/>
          <w:noProof w:val="0"/>
          <w:sz w:val="18"/>
          <w:lang w:eastAsia="de-DE" w:bidi="en-US"/>
        </w:rPr>
        <w:t>Kotowska</w:t>
      </w:r>
      <w:proofErr w:type="spellEnd"/>
      <w:r w:rsidRPr="00683E53">
        <w:rPr>
          <w:rFonts w:eastAsia="Times New Roman"/>
          <w:noProof w:val="0"/>
          <w:sz w:val="18"/>
          <w:lang w:eastAsia="de-DE" w:bidi="en-US"/>
        </w:rPr>
        <w:t xml:space="preserve">, I.; </w:t>
      </w:r>
      <w:proofErr w:type="spellStart"/>
      <w:r w:rsidRPr="00683E53">
        <w:rPr>
          <w:rFonts w:eastAsia="Times New Roman"/>
          <w:noProof w:val="0"/>
          <w:sz w:val="18"/>
          <w:lang w:eastAsia="de-DE" w:bidi="en-US"/>
        </w:rPr>
        <w:t>Plucinski</w:t>
      </w:r>
      <w:proofErr w:type="spellEnd"/>
      <w:r w:rsidRPr="00683E53">
        <w:rPr>
          <w:rFonts w:eastAsia="Times New Roman"/>
          <w:noProof w:val="0"/>
          <w:sz w:val="18"/>
          <w:lang w:eastAsia="de-DE" w:bidi="en-US"/>
        </w:rPr>
        <w:t xml:space="preserve">, M. Seaports as Nodal Points of Circular Supply Chains: Opportunities and Challenges for Secondary Ports.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2020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12</w:t>
      </w:r>
      <w:r w:rsidRPr="00683E53">
        <w:rPr>
          <w:rFonts w:eastAsia="Times New Roman"/>
          <w:noProof w:val="0"/>
          <w:sz w:val="18"/>
          <w:lang w:eastAsia="de-DE" w:bidi="en-US"/>
        </w:rPr>
        <w:t>, 1–22, doi:10.3390/su12093926.</w:t>
      </w:r>
    </w:p>
    <w:p w14:paraId="7335EB15"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lastRenderedPageBreak/>
        <w:t>Munim</w:t>
      </w:r>
      <w:proofErr w:type="spellEnd"/>
      <w:r w:rsidRPr="00683E53">
        <w:rPr>
          <w:rFonts w:eastAsia="Times New Roman"/>
          <w:noProof w:val="0"/>
          <w:sz w:val="18"/>
          <w:lang w:eastAsia="de-DE" w:bidi="en-US"/>
        </w:rPr>
        <w:t xml:space="preserve">, Z.; Schramm, H. The impacts of port infrastructure and logistics performance on economic growth: The mediating role of seaborne trade. </w:t>
      </w:r>
      <w:r w:rsidRPr="00683E53">
        <w:rPr>
          <w:rFonts w:eastAsia="Times New Roman"/>
          <w:i/>
          <w:noProof w:val="0"/>
          <w:sz w:val="18"/>
          <w:lang w:eastAsia="de-DE" w:bidi="en-US"/>
        </w:rPr>
        <w:t>J. Shipp. Trade</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2018</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3</w:t>
      </w:r>
      <w:r w:rsidRPr="00683E53">
        <w:rPr>
          <w:rFonts w:eastAsia="Times New Roman"/>
          <w:noProof w:val="0"/>
          <w:sz w:val="18"/>
          <w:lang w:eastAsia="de-DE" w:bidi="en-US"/>
        </w:rPr>
        <w:t>, 1–19.</w:t>
      </w:r>
    </w:p>
    <w:p w14:paraId="76886B0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Department for Transport. 2019. UK Port Freight Statistics: 2019. Available online: https://assets.publishing.service.gov.uk/government/uploads/system/uploads/attachment_data/file/908558/port-freight-statistics-2019.pdf (accessed on 27 April 2021).</w:t>
      </w:r>
    </w:p>
    <w:p w14:paraId="6A7FDD9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Department for Transport. 2018. Sea Passenger Statistics: All Routes 2018 (Final). Available online: https://assets.publishing.service.gov.uk/government/uploads/system/uploads/attachment_data/file/844835/sea-passenger-statistics-all-routes-2018-final.pdf (accessed on 27 April 2021).</w:t>
      </w:r>
    </w:p>
    <w:p w14:paraId="4665AEA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Cebr</w:t>
      </w:r>
      <w:proofErr w:type="spellEnd"/>
      <w:r w:rsidRPr="00683E53">
        <w:rPr>
          <w:rFonts w:eastAsia="Times New Roman"/>
          <w:noProof w:val="0"/>
          <w:sz w:val="18"/>
          <w:lang w:eastAsia="de-DE" w:bidi="en-US"/>
        </w:rPr>
        <w:t>. 2019. The Economic Contribution of the UK Ports Industry. Available online: https://globalmaritimehub.com/wp-content/uploads/2019/09/Cebr_Maritime_UK_Ports.pdf (accessed on 27 April 2021).</w:t>
      </w:r>
    </w:p>
    <w:p w14:paraId="45EABFC5"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ABP. 2021. Southampton. Available online: https://www.abports.co.uk/locations/southampton/ (accessed on 18 March 2021).</w:t>
      </w:r>
    </w:p>
    <w:p w14:paraId="59CBC6C0"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ABP. 2021 Serving the Nation: Economic Impact. Available online: https://www.abports.co.uk/media/s5cfqmyy/abp-economic-impact-study.pdf (accessed on 17 March 2021).</w:t>
      </w:r>
    </w:p>
    <w:p w14:paraId="799499F3"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Port of Rotterdam, 2019. Shipping from USA to UK. Available online https://www.portofrotterdam.com/en/doing-business/logistics/europe/shipping-from-usa-to-uk (accessed on 23 June 2019).</w:t>
      </w:r>
    </w:p>
    <w:p w14:paraId="54E2F630"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Geerlings</w:t>
      </w:r>
      <w:proofErr w:type="spellEnd"/>
      <w:r w:rsidRPr="00683E53">
        <w:rPr>
          <w:rFonts w:eastAsia="Times New Roman"/>
          <w:noProof w:val="0"/>
          <w:sz w:val="18"/>
          <w:lang w:eastAsia="de-DE" w:bidi="en-US"/>
        </w:rPr>
        <w:t xml:space="preserve">, H.; </w:t>
      </w:r>
      <w:proofErr w:type="spellStart"/>
      <w:r w:rsidRPr="00683E53">
        <w:rPr>
          <w:rFonts w:eastAsia="Times New Roman"/>
          <w:noProof w:val="0"/>
          <w:sz w:val="18"/>
          <w:lang w:eastAsia="de-DE" w:bidi="en-US"/>
        </w:rPr>
        <w:t>Kuipers</w:t>
      </w:r>
      <w:proofErr w:type="spellEnd"/>
      <w:r w:rsidRPr="00683E53">
        <w:rPr>
          <w:rFonts w:eastAsia="Times New Roman"/>
          <w:noProof w:val="0"/>
          <w:sz w:val="18"/>
          <w:lang w:eastAsia="de-DE" w:bidi="en-US"/>
        </w:rPr>
        <w:t xml:space="preserve">, B.; </w:t>
      </w:r>
      <w:proofErr w:type="spellStart"/>
      <w:r w:rsidRPr="00683E53">
        <w:rPr>
          <w:rFonts w:eastAsia="Times New Roman"/>
          <w:noProof w:val="0"/>
          <w:sz w:val="18"/>
          <w:lang w:eastAsia="de-DE" w:bidi="en-US"/>
        </w:rPr>
        <w:t>Zuidwijk</w:t>
      </w:r>
      <w:proofErr w:type="spellEnd"/>
      <w:r w:rsidRPr="00683E53">
        <w:rPr>
          <w:rFonts w:eastAsia="Times New Roman"/>
          <w:noProof w:val="0"/>
          <w:sz w:val="18"/>
          <w:lang w:eastAsia="de-DE" w:bidi="en-US"/>
        </w:rPr>
        <w:t xml:space="preserve">, R. </w:t>
      </w:r>
      <w:r w:rsidRPr="00683E53">
        <w:rPr>
          <w:rFonts w:eastAsia="Times New Roman"/>
          <w:i/>
          <w:iCs/>
          <w:noProof w:val="0"/>
          <w:sz w:val="18"/>
          <w:lang w:eastAsia="de-DE" w:bidi="en-US"/>
        </w:rPr>
        <w:t>Ports and Networks: Strategies, Operations and Perspectives</w:t>
      </w:r>
      <w:r w:rsidRPr="00683E53">
        <w:rPr>
          <w:rFonts w:eastAsia="Times New Roman"/>
          <w:noProof w:val="0"/>
          <w:sz w:val="18"/>
          <w:lang w:eastAsia="de-DE" w:bidi="en-US"/>
        </w:rPr>
        <w:t>; Routledge: New York, NY, USA, 2017.</w:t>
      </w:r>
    </w:p>
    <w:p w14:paraId="220B7378" w14:textId="44D42FF4" w:rsidR="00683E53" w:rsidRPr="00683E53" w:rsidRDefault="004F5267"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Pr>
          <w:rFonts w:eastAsia="Times New Roman"/>
          <w:noProof w:val="0"/>
          <w:sz w:val="18"/>
          <w:lang w:eastAsia="de-DE" w:bidi="en-US"/>
        </w:rPr>
        <w:t>Bianchini</w:t>
      </w:r>
      <w:proofErr w:type="spellEnd"/>
      <w:r>
        <w:rPr>
          <w:rFonts w:eastAsia="Times New Roman"/>
          <w:noProof w:val="0"/>
          <w:sz w:val="18"/>
          <w:lang w:eastAsia="de-DE" w:bidi="en-US"/>
        </w:rPr>
        <w:t xml:space="preserve">, A. Rossi, J, Pellegrino, M. </w:t>
      </w:r>
      <w:r w:rsidR="00203F2C" w:rsidRPr="00203F2C">
        <w:rPr>
          <w:rFonts w:eastAsia="Times New Roman"/>
          <w:noProof w:val="0"/>
          <w:sz w:val="18"/>
          <w:lang w:eastAsia="de-DE" w:bidi="en-US"/>
        </w:rPr>
        <w:t>Overcoming the Main Barriers of Circular Economy Implementation through a New Visualization Tool for Circular Business Models</w:t>
      </w:r>
      <w:r w:rsidR="00203F2C">
        <w:rPr>
          <w:rFonts w:eastAsia="Times New Roman"/>
          <w:noProof w:val="0"/>
          <w:sz w:val="18"/>
          <w:lang w:eastAsia="de-DE" w:bidi="en-US"/>
        </w:rPr>
        <w:t xml:space="preserve">. </w:t>
      </w:r>
      <w:r w:rsidR="00203F2C" w:rsidRPr="00001C64">
        <w:rPr>
          <w:rFonts w:eastAsia="Times New Roman"/>
          <w:i/>
          <w:iCs/>
          <w:noProof w:val="0"/>
          <w:sz w:val="18"/>
          <w:lang w:eastAsia="de-DE" w:bidi="en-US"/>
        </w:rPr>
        <w:t>Sustainability</w:t>
      </w:r>
      <w:r w:rsidR="00203F2C">
        <w:rPr>
          <w:rFonts w:eastAsia="Times New Roman"/>
          <w:noProof w:val="0"/>
          <w:sz w:val="18"/>
          <w:lang w:eastAsia="de-DE" w:bidi="en-US"/>
        </w:rPr>
        <w:t xml:space="preserve">. 2019. 11, 23, </w:t>
      </w:r>
      <w:r w:rsidR="00F04DDD">
        <w:rPr>
          <w:rFonts w:eastAsia="Times New Roman"/>
          <w:noProof w:val="0"/>
          <w:sz w:val="18"/>
          <w:lang w:eastAsia="de-DE" w:bidi="en-US"/>
        </w:rPr>
        <w:t>1-33</w:t>
      </w:r>
      <w:r w:rsidR="00203F2C">
        <w:rPr>
          <w:rFonts w:eastAsia="Times New Roman"/>
          <w:noProof w:val="0"/>
          <w:sz w:val="18"/>
          <w:lang w:eastAsia="de-DE" w:bidi="en-US"/>
        </w:rPr>
        <w:t>.</w:t>
      </w:r>
    </w:p>
    <w:p w14:paraId="2C5988E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Haezendonck</w:t>
      </w:r>
      <w:proofErr w:type="spellEnd"/>
      <w:r w:rsidRPr="00683E53">
        <w:rPr>
          <w:rFonts w:eastAsia="Times New Roman"/>
          <w:noProof w:val="0"/>
          <w:sz w:val="18"/>
          <w:lang w:eastAsia="de-DE" w:bidi="en-US"/>
        </w:rPr>
        <w:t xml:space="preserve">, E.; van den </w:t>
      </w:r>
      <w:proofErr w:type="spellStart"/>
      <w:r w:rsidRPr="00683E53">
        <w:rPr>
          <w:rFonts w:eastAsia="Times New Roman"/>
          <w:noProof w:val="0"/>
          <w:sz w:val="18"/>
          <w:lang w:eastAsia="de-DE" w:bidi="en-US"/>
        </w:rPr>
        <w:t>Berghe</w:t>
      </w:r>
      <w:proofErr w:type="spellEnd"/>
      <w:r w:rsidRPr="00683E53">
        <w:rPr>
          <w:rFonts w:eastAsia="Times New Roman"/>
          <w:noProof w:val="0"/>
          <w:sz w:val="18"/>
          <w:lang w:eastAsia="de-DE" w:bidi="en-US"/>
        </w:rPr>
        <w:t xml:space="preserve">, K. Patterns of Circular Transition: What Is the Circular Economy Maturity of Belgian Ports?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2020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12</w:t>
      </w:r>
      <w:r w:rsidRPr="00683E53">
        <w:rPr>
          <w:rFonts w:eastAsia="Times New Roman"/>
          <w:noProof w:val="0"/>
          <w:sz w:val="18"/>
          <w:lang w:eastAsia="de-DE" w:bidi="en-US"/>
        </w:rPr>
        <w:t>, 1–15.</w:t>
      </w:r>
    </w:p>
    <w:p w14:paraId="01E4E1C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Pavel, S. Circular Economy: The Beauty of Circularity in Value Chain. </w:t>
      </w:r>
      <w:r w:rsidRPr="00683E53">
        <w:rPr>
          <w:rFonts w:eastAsia="Times New Roman"/>
          <w:i/>
          <w:noProof w:val="0"/>
          <w:sz w:val="18"/>
          <w:lang w:eastAsia="de-DE" w:bidi="en-US"/>
        </w:rPr>
        <w:t xml:space="preserve">J. Econ. Bus.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w:t>
      </w:r>
      <w:r w:rsidRPr="00683E53">
        <w:rPr>
          <w:rFonts w:eastAsia="Times New Roman"/>
          <w:noProof w:val="0"/>
          <w:sz w:val="18"/>
          <w:lang w:eastAsia="de-DE" w:bidi="en-US"/>
        </w:rPr>
        <w:t>, 584–598.</w:t>
      </w:r>
    </w:p>
    <w:p w14:paraId="44B55D90"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European Parliament, 2021. Circular Economy: Definition, Importance and Benefits. Available online: https://www.europarl.europa.eu/news/en/headlines/economy/20151201STO05603/circular-economy-definition-importance-and-benefits#:~:text=Moving%20towards%20a%20more%20circular,creating%20jobs%20(700%2C000%20jobs%20in (accessed on 8 May 2021).</w:t>
      </w:r>
    </w:p>
    <w:p w14:paraId="7CD33CD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Gaia. 2021. Zero Waste and Economic Recovery. Available online: https://zerowasteworld.org/wp-content/uploads/Jobs-Report-ENGLISH-2.pdf (accessed on 24 April 2021).</w:t>
      </w:r>
    </w:p>
    <w:p w14:paraId="4ED23203"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Kirchherr</w:t>
      </w:r>
      <w:proofErr w:type="spellEnd"/>
      <w:r w:rsidRPr="00683E53">
        <w:rPr>
          <w:rFonts w:eastAsia="Times New Roman"/>
          <w:noProof w:val="0"/>
          <w:sz w:val="18"/>
          <w:lang w:eastAsia="de-DE" w:bidi="en-US"/>
        </w:rPr>
        <w:t xml:space="preserve">, J.; </w:t>
      </w:r>
      <w:proofErr w:type="spellStart"/>
      <w:r w:rsidRPr="00683E53">
        <w:rPr>
          <w:rFonts w:eastAsia="Times New Roman"/>
          <w:noProof w:val="0"/>
          <w:sz w:val="18"/>
          <w:lang w:eastAsia="de-DE" w:bidi="en-US"/>
        </w:rPr>
        <w:t>Piscicelli</w:t>
      </w:r>
      <w:proofErr w:type="spellEnd"/>
      <w:r w:rsidRPr="00683E53">
        <w:rPr>
          <w:rFonts w:eastAsia="Times New Roman"/>
          <w:noProof w:val="0"/>
          <w:sz w:val="18"/>
          <w:lang w:eastAsia="de-DE" w:bidi="en-US"/>
        </w:rPr>
        <w:t xml:space="preserve">, L.; Bour, R.; </w:t>
      </w:r>
      <w:proofErr w:type="spellStart"/>
      <w:r w:rsidRPr="00683E53">
        <w:rPr>
          <w:rFonts w:eastAsia="Times New Roman"/>
          <w:noProof w:val="0"/>
          <w:sz w:val="18"/>
          <w:lang w:eastAsia="de-DE" w:bidi="en-US"/>
        </w:rPr>
        <w:t>Kostense</w:t>
      </w:r>
      <w:proofErr w:type="spellEnd"/>
      <w:r w:rsidRPr="00683E53">
        <w:rPr>
          <w:rFonts w:eastAsia="Times New Roman"/>
          <w:noProof w:val="0"/>
          <w:sz w:val="18"/>
          <w:lang w:eastAsia="de-DE" w:bidi="en-US"/>
        </w:rPr>
        <w:t xml:space="preserve">-Smit, E.; Muller, J.; </w:t>
      </w:r>
      <w:proofErr w:type="spellStart"/>
      <w:r w:rsidRPr="00683E53">
        <w:rPr>
          <w:rFonts w:eastAsia="Times New Roman"/>
          <w:noProof w:val="0"/>
          <w:sz w:val="18"/>
          <w:lang w:eastAsia="de-DE" w:bidi="en-US"/>
        </w:rPr>
        <w:t>Huibrechtse-Truijens</w:t>
      </w:r>
      <w:proofErr w:type="spellEnd"/>
      <w:r w:rsidRPr="00683E53">
        <w:rPr>
          <w:rFonts w:eastAsia="Times New Roman"/>
          <w:noProof w:val="0"/>
          <w:sz w:val="18"/>
          <w:lang w:eastAsia="de-DE" w:bidi="en-US"/>
        </w:rPr>
        <w:t xml:space="preserve">, A.; </w:t>
      </w:r>
      <w:proofErr w:type="spellStart"/>
      <w:r w:rsidRPr="00683E53">
        <w:rPr>
          <w:rFonts w:eastAsia="Times New Roman"/>
          <w:noProof w:val="0"/>
          <w:sz w:val="18"/>
          <w:lang w:eastAsia="de-DE" w:bidi="en-US"/>
        </w:rPr>
        <w:t>Hekert</w:t>
      </w:r>
      <w:proofErr w:type="spellEnd"/>
      <w:r w:rsidRPr="00683E53">
        <w:rPr>
          <w:rFonts w:eastAsia="Times New Roman"/>
          <w:noProof w:val="0"/>
          <w:sz w:val="18"/>
          <w:lang w:eastAsia="de-DE" w:bidi="en-US"/>
        </w:rPr>
        <w:t xml:space="preserve">, M. Barriers to the Circular Economy: Evidence from the European Union (EU). </w:t>
      </w:r>
      <w:r w:rsidRPr="00683E53">
        <w:rPr>
          <w:rFonts w:eastAsia="Times New Roman"/>
          <w:i/>
          <w:noProof w:val="0"/>
          <w:sz w:val="18"/>
          <w:lang w:eastAsia="de-DE" w:bidi="en-US"/>
        </w:rPr>
        <w:t xml:space="preserve">Ecol. Econ. </w:t>
      </w:r>
      <w:r w:rsidRPr="00683E53">
        <w:rPr>
          <w:rFonts w:eastAsia="Times New Roman"/>
          <w:b/>
          <w:bCs/>
          <w:noProof w:val="0"/>
          <w:sz w:val="18"/>
          <w:lang w:eastAsia="de-DE" w:bidi="en-US"/>
        </w:rPr>
        <w:t>2018</w:t>
      </w:r>
      <w:r w:rsidRPr="00683E53">
        <w:rPr>
          <w:rFonts w:eastAsia="Times New Roman"/>
          <w:noProof w:val="0"/>
          <w:sz w:val="18"/>
          <w:lang w:eastAsia="de-DE" w:bidi="en-US"/>
        </w:rPr>
        <w:t>, 150, 264–272.</w:t>
      </w:r>
    </w:p>
    <w:p w14:paraId="70D58D8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Hart, J.; Adams, K.; </w:t>
      </w:r>
      <w:proofErr w:type="spellStart"/>
      <w:r w:rsidRPr="00683E53">
        <w:rPr>
          <w:rFonts w:eastAsia="Times New Roman"/>
          <w:noProof w:val="0"/>
          <w:sz w:val="18"/>
          <w:lang w:eastAsia="de-DE" w:bidi="en-US"/>
        </w:rPr>
        <w:t>Giesekam</w:t>
      </w:r>
      <w:proofErr w:type="spellEnd"/>
      <w:r w:rsidRPr="00683E53">
        <w:rPr>
          <w:rFonts w:eastAsia="Times New Roman"/>
          <w:noProof w:val="0"/>
          <w:sz w:val="18"/>
          <w:lang w:eastAsia="de-DE" w:bidi="en-US"/>
        </w:rPr>
        <w:t xml:space="preserve">, J.; </w:t>
      </w:r>
      <w:proofErr w:type="spellStart"/>
      <w:r w:rsidRPr="00683E53">
        <w:rPr>
          <w:rFonts w:eastAsia="Times New Roman"/>
          <w:noProof w:val="0"/>
          <w:sz w:val="18"/>
          <w:lang w:eastAsia="de-DE" w:bidi="en-US"/>
        </w:rPr>
        <w:t>Densley</w:t>
      </w:r>
      <w:proofErr w:type="spellEnd"/>
      <w:r w:rsidRPr="00683E53">
        <w:rPr>
          <w:rFonts w:eastAsia="Times New Roman"/>
          <w:noProof w:val="0"/>
          <w:sz w:val="18"/>
          <w:lang w:eastAsia="de-DE" w:bidi="en-US"/>
        </w:rPr>
        <w:t xml:space="preserve"> Tingley, D.; </w:t>
      </w:r>
      <w:proofErr w:type="spellStart"/>
      <w:r w:rsidRPr="00683E53">
        <w:rPr>
          <w:rFonts w:eastAsia="Times New Roman"/>
          <w:noProof w:val="0"/>
          <w:sz w:val="18"/>
          <w:lang w:eastAsia="de-DE" w:bidi="en-US"/>
        </w:rPr>
        <w:t>Pomponi</w:t>
      </w:r>
      <w:proofErr w:type="spellEnd"/>
      <w:r w:rsidRPr="00683E53">
        <w:rPr>
          <w:rFonts w:eastAsia="Times New Roman"/>
          <w:noProof w:val="0"/>
          <w:sz w:val="18"/>
          <w:lang w:eastAsia="de-DE" w:bidi="en-US"/>
        </w:rPr>
        <w:t xml:space="preserve">, F. Barriers and drivers in a circular economy: The case of the built environment. </w:t>
      </w:r>
      <w:r w:rsidRPr="00683E53">
        <w:rPr>
          <w:rFonts w:eastAsia="Times New Roman"/>
          <w:i/>
          <w:noProof w:val="0"/>
          <w:sz w:val="18"/>
          <w:lang w:eastAsia="de-DE" w:bidi="en-US"/>
        </w:rPr>
        <w:t>Proc. CIRP</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80</w:t>
      </w:r>
      <w:r w:rsidRPr="00683E53">
        <w:rPr>
          <w:rFonts w:eastAsia="Times New Roman"/>
          <w:noProof w:val="0"/>
          <w:sz w:val="18"/>
          <w:lang w:eastAsia="de-DE" w:bidi="en-US"/>
        </w:rPr>
        <w:t>, 619–624.</w:t>
      </w:r>
    </w:p>
    <w:p w14:paraId="4BA47313"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Pheifer</w:t>
      </w:r>
      <w:proofErr w:type="spellEnd"/>
      <w:r w:rsidRPr="00683E53">
        <w:rPr>
          <w:rFonts w:eastAsia="Times New Roman"/>
          <w:noProof w:val="0"/>
          <w:sz w:val="18"/>
          <w:lang w:eastAsia="de-DE" w:bidi="en-US"/>
        </w:rPr>
        <w:t>, A.G. 2017, Barriers and Enablers to Circular Business Models. Available online: https://www.circulairondernemen.nl/uploads/4f4995c266e00bee8fdb8fb34fbc5c15.pdf (accessed on 18 February 2021).</w:t>
      </w:r>
    </w:p>
    <w:p w14:paraId="7EDF8EB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IMSA. 2013. Unleashing the Power of the Circular Economy. Available online: http://mvonederland.nl/system/files/media/unleashing_the_power_of_the_circular_economy-circle_economy.pdf (accessed on 17 February 2021).</w:t>
      </w:r>
    </w:p>
    <w:p w14:paraId="61731B7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Van den </w:t>
      </w:r>
      <w:proofErr w:type="spellStart"/>
      <w:r w:rsidRPr="00683E53">
        <w:rPr>
          <w:rFonts w:eastAsia="Times New Roman"/>
          <w:noProof w:val="0"/>
          <w:sz w:val="18"/>
          <w:lang w:eastAsia="de-DE" w:bidi="en-US"/>
        </w:rPr>
        <w:t>Berghe</w:t>
      </w:r>
      <w:proofErr w:type="spellEnd"/>
      <w:r w:rsidRPr="00683E53">
        <w:rPr>
          <w:rFonts w:eastAsia="Times New Roman"/>
          <w:noProof w:val="0"/>
          <w:sz w:val="18"/>
          <w:lang w:eastAsia="de-DE" w:bidi="en-US"/>
        </w:rPr>
        <w:t xml:space="preserve">, K.; </w:t>
      </w:r>
      <w:proofErr w:type="spellStart"/>
      <w:r w:rsidRPr="00683E53">
        <w:rPr>
          <w:rFonts w:eastAsia="Times New Roman"/>
          <w:noProof w:val="0"/>
          <w:sz w:val="18"/>
          <w:lang w:eastAsia="de-DE" w:bidi="en-US"/>
        </w:rPr>
        <w:t>Dabrowski</w:t>
      </w:r>
      <w:proofErr w:type="spellEnd"/>
      <w:r w:rsidRPr="00683E53">
        <w:rPr>
          <w:rFonts w:eastAsia="Times New Roman"/>
          <w:noProof w:val="0"/>
          <w:sz w:val="18"/>
          <w:lang w:eastAsia="de-DE" w:bidi="en-US"/>
        </w:rPr>
        <w:t xml:space="preserve">, M.; </w:t>
      </w:r>
      <w:proofErr w:type="spellStart"/>
      <w:r w:rsidRPr="00683E53">
        <w:rPr>
          <w:rFonts w:eastAsia="Times New Roman"/>
          <w:noProof w:val="0"/>
          <w:sz w:val="18"/>
          <w:lang w:eastAsia="de-DE" w:bidi="en-US"/>
        </w:rPr>
        <w:t>Ersoy</w:t>
      </w:r>
      <w:proofErr w:type="spellEnd"/>
      <w:r w:rsidRPr="00683E53">
        <w:rPr>
          <w:rFonts w:eastAsia="Times New Roman"/>
          <w:noProof w:val="0"/>
          <w:sz w:val="18"/>
          <w:lang w:eastAsia="de-DE" w:bidi="en-US"/>
        </w:rPr>
        <w:t xml:space="preserve">, A.; </w:t>
      </w:r>
      <w:proofErr w:type="spellStart"/>
      <w:r w:rsidRPr="00683E53">
        <w:rPr>
          <w:rFonts w:eastAsia="Times New Roman"/>
          <w:noProof w:val="0"/>
          <w:sz w:val="18"/>
          <w:lang w:eastAsia="de-DE" w:bidi="en-US"/>
        </w:rPr>
        <w:t>Wandl</w:t>
      </w:r>
      <w:proofErr w:type="spellEnd"/>
      <w:r w:rsidRPr="00683E53">
        <w:rPr>
          <w:rFonts w:eastAsia="Times New Roman"/>
          <w:noProof w:val="0"/>
          <w:sz w:val="18"/>
          <w:lang w:eastAsia="de-DE" w:bidi="en-US"/>
        </w:rPr>
        <w:t xml:space="preserve">, A.; van </w:t>
      </w:r>
      <w:proofErr w:type="spellStart"/>
      <w:r w:rsidRPr="00683E53">
        <w:rPr>
          <w:rFonts w:eastAsia="Times New Roman"/>
          <w:noProof w:val="0"/>
          <w:sz w:val="18"/>
          <w:lang w:eastAsia="de-DE" w:bidi="en-US"/>
        </w:rPr>
        <w:t>Bueren</w:t>
      </w:r>
      <w:proofErr w:type="spellEnd"/>
      <w:r w:rsidRPr="00683E53">
        <w:rPr>
          <w:rFonts w:eastAsia="Times New Roman"/>
          <w:noProof w:val="0"/>
          <w:sz w:val="18"/>
          <w:lang w:eastAsia="de-DE" w:bidi="en-US"/>
        </w:rPr>
        <w:t>, E. 2019. The Circular Economy: A Re-Emerging Industry? Available online: https://osf.io/preprints/socarxiv/tgvzj/ (accessed on 22 February 2021).</w:t>
      </w:r>
    </w:p>
    <w:p w14:paraId="17F23A9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Mont, O. </w:t>
      </w:r>
      <w:proofErr w:type="spellStart"/>
      <w:r w:rsidRPr="00683E53">
        <w:rPr>
          <w:rFonts w:eastAsia="Times New Roman"/>
          <w:noProof w:val="0"/>
          <w:sz w:val="18"/>
          <w:lang w:eastAsia="de-DE" w:bidi="en-US"/>
        </w:rPr>
        <w:t>Plepys</w:t>
      </w:r>
      <w:proofErr w:type="spellEnd"/>
      <w:r w:rsidRPr="00683E53">
        <w:rPr>
          <w:rFonts w:eastAsia="Times New Roman"/>
          <w:noProof w:val="0"/>
          <w:sz w:val="18"/>
          <w:lang w:eastAsia="de-DE" w:bidi="en-US"/>
        </w:rPr>
        <w:t xml:space="preserve">, A. Whalen, K. </w:t>
      </w:r>
      <w:proofErr w:type="spellStart"/>
      <w:r w:rsidRPr="00683E53">
        <w:rPr>
          <w:rFonts w:eastAsia="Times New Roman"/>
          <w:noProof w:val="0"/>
          <w:sz w:val="18"/>
          <w:lang w:eastAsia="de-DE" w:bidi="en-US"/>
        </w:rPr>
        <w:t>Nußholz</w:t>
      </w:r>
      <w:proofErr w:type="spellEnd"/>
      <w:r w:rsidRPr="00683E53">
        <w:rPr>
          <w:rFonts w:eastAsia="Times New Roman"/>
          <w:noProof w:val="0"/>
          <w:sz w:val="18"/>
          <w:lang w:eastAsia="de-DE" w:bidi="en-US"/>
        </w:rPr>
        <w:t xml:space="preserve">, J, L, K. 2017. Business model innovation for a circular economy drivers and barriers for the Swedish industry–the voice of REES companies. Available at http://lup. </w:t>
      </w:r>
      <w:proofErr w:type="spellStart"/>
      <w:r w:rsidRPr="00683E53">
        <w:rPr>
          <w:rFonts w:eastAsia="Times New Roman"/>
          <w:noProof w:val="0"/>
          <w:sz w:val="18"/>
          <w:lang w:eastAsia="de-DE" w:bidi="en-US"/>
        </w:rPr>
        <w:t>Nußholz</w:t>
      </w:r>
      <w:proofErr w:type="spellEnd"/>
      <w:r w:rsidRPr="00683E53">
        <w:rPr>
          <w:rFonts w:eastAsia="Times New Roman"/>
          <w:noProof w:val="0"/>
          <w:sz w:val="18"/>
          <w:lang w:eastAsia="de-DE" w:bidi="en-US"/>
        </w:rPr>
        <w:t xml:space="preserve"> lub.lu.se/search/ws/files/33914256/MISTRA_REES_Drivers_and_Barriers_Lund.pdf accessed </w:t>
      </w:r>
      <w:proofErr w:type="gramStart"/>
      <w:r w:rsidRPr="00683E53">
        <w:rPr>
          <w:rFonts w:eastAsia="Times New Roman"/>
          <w:noProof w:val="0"/>
          <w:sz w:val="18"/>
          <w:lang w:eastAsia="de-DE" w:bidi="en-US"/>
        </w:rPr>
        <w:t>18/02/2021</w:t>
      </w:r>
      <w:proofErr w:type="gramEnd"/>
    </w:p>
    <w:p w14:paraId="42BE84D4"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Moktadir</w:t>
      </w:r>
      <w:proofErr w:type="spellEnd"/>
      <w:r w:rsidRPr="00683E53">
        <w:rPr>
          <w:rFonts w:eastAsia="Times New Roman"/>
          <w:noProof w:val="0"/>
          <w:sz w:val="18"/>
          <w:lang w:eastAsia="de-DE" w:bidi="en-US"/>
        </w:rPr>
        <w:t xml:space="preserve">, M.A.; Kumar, A.; Ali, S.M.; Paul, S.K.; Sultana, R.; Rezaei, J. Critical success factors for a circular economy: Implications for business strategy and the environment. </w:t>
      </w:r>
      <w:r w:rsidRPr="00683E53">
        <w:rPr>
          <w:rFonts w:eastAsia="Times New Roman"/>
          <w:i/>
          <w:noProof w:val="0"/>
          <w:sz w:val="18"/>
          <w:lang w:eastAsia="de-DE" w:bidi="en-US"/>
        </w:rPr>
        <w:t xml:space="preserve">Bus. Strategy Environ. </w:t>
      </w:r>
      <w:r w:rsidRPr="00683E53">
        <w:rPr>
          <w:rFonts w:eastAsia="Times New Roman"/>
          <w:b/>
          <w:bCs/>
          <w:noProof w:val="0"/>
          <w:sz w:val="18"/>
          <w:lang w:eastAsia="de-DE" w:bidi="en-US"/>
        </w:rPr>
        <w:t>2020</w:t>
      </w:r>
      <w:r w:rsidRPr="00683E53">
        <w:rPr>
          <w:rFonts w:eastAsia="Times New Roman"/>
          <w:noProof w:val="0"/>
          <w:sz w:val="18"/>
          <w:lang w:eastAsia="de-DE" w:bidi="en-US"/>
        </w:rPr>
        <w:t>, 1–25.</w:t>
      </w:r>
    </w:p>
    <w:p w14:paraId="21FA87E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Gravagnuolo</w:t>
      </w:r>
      <w:proofErr w:type="spellEnd"/>
      <w:r w:rsidRPr="00683E53">
        <w:rPr>
          <w:rFonts w:eastAsia="Times New Roman"/>
          <w:noProof w:val="0"/>
          <w:sz w:val="18"/>
          <w:lang w:eastAsia="de-DE" w:bidi="en-US"/>
        </w:rPr>
        <w:t xml:space="preserve">, A.; </w:t>
      </w:r>
      <w:proofErr w:type="spellStart"/>
      <w:r w:rsidRPr="00683E53">
        <w:rPr>
          <w:rFonts w:eastAsia="Times New Roman"/>
          <w:noProof w:val="0"/>
          <w:sz w:val="18"/>
          <w:lang w:eastAsia="de-DE" w:bidi="en-US"/>
        </w:rPr>
        <w:t>Angrisano</w:t>
      </w:r>
      <w:proofErr w:type="spellEnd"/>
      <w:r w:rsidRPr="00683E53">
        <w:rPr>
          <w:rFonts w:eastAsia="Times New Roman"/>
          <w:noProof w:val="0"/>
          <w:sz w:val="18"/>
          <w:lang w:eastAsia="de-DE" w:bidi="en-US"/>
        </w:rPr>
        <w:t xml:space="preserve">, M.; Girard, L.F. Circular Economy Strategies in Eight Historic Port Cities: Criteria and Indicators Towards a Circular City Assessment Framework.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11</w:t>
      </w:r>
      <w:r w:rsidRPr="00683E53">
        <w:rPr>
          <w:rFonts w:eastAsia="Times New Roman"/>
          <w:noProof w:val="0"/>
          <w:sz w:val="18"/>
          <w:lang w:eastAsia="de-DE" w:bidi="en-US"/>
        </w:rPr>
        <w:t>, 3512.</w:t>
      </w:r>
    </w:p>
    <w:p w14:paraId="233D001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lastRenderedPageBreak/>
        <w:t>Rizos</w:t>
      </w:r>
      <w:proofErr w:type="spellEnd"/>
      <w:r w:rsidRPr="00683E53">
        <w:rPr>
          <w:rFonts w:eastAsia="Times New Roman"/>
          <w:noProof w:val="0"/>
          <w:sz w:val="18"/>
          <w:lang w:eastAsia="de-DE" w:bidi="en-US"/>
        </w:rPr>
        <w:t xml:space="preserve">, V.; Behrens, A.; van der </w:t>
      </w:r>
      <w:proofErr w:type="spellStart"/>
      <w:r w:rsidRPr="00683E53">
        <w:rPr>
          <w:rFonts w:eastAsia="Times New Roman"/>
          <w:noProof w:val="0"/>
          <w:sz w:val="18"/>
          <w:lang w:eastAsia="de-DE" w:bidi="en-US"/>
        </w:rPr>
        <w:t>Gaast</w:t>
      </w:r>
      <w:proofErr w:type="spellEnd"/>
      <w:r w:rsidRPr="00683E53">
        <w:rPr>
          <w:rFonts w:eastAsia="Times New Roman"/>
          <w:noProof w:val="0"/>
          <w:sz w:val="18"/>
          <w:lang w:eastAsia="de-DE" w:bidi="en-US"/>
        </w:rPr>
        <w:t xml:space="preserve">, W.; </w:t>
      </w:r>
      <w:proofErr w:type="spellStart"/>
      <w:r w:rsidRPr="00683E53">
        <w:rPr>
          <w:rFonts w:eastAsia="Times New Roman"/>
          <w:noProof w:val="0"/>
          <w:sz w:val="18"/>
          <w:lang w:eastAsia="de-DE" w:bidi="en-US"/>
        </w:rPr>
        <w:t>Hofman</w:t>
      </w:r>
      <w:proofErr w:type="spellEnd"/>
      <w:r w:rsidRPr="00683E53">
        <w:rPr>
          <w:rFonts w:eastAsia="Times New Roman"/>
          <w:noProof w:val="0"/>
          <w:sz w:val="18"/>
          <w:lang w:eastAsia="de-DE" w:bidi="en-US"/>
        </w:rPr>
        <w:t xml:space="preserve">, E.; </w:t>
      </w:r>
      <w:proofErr w:type="spellStart"/>
      <w:r w:rsidRPr="00683E53">
        <w:rPr>
          <w:rFonts w:eastAsia="Times New Roman"/>
          <w:noProof w:val="0"/>
          <w:sz w:val="18"/>
          <w:lang w:eastAsia="de-DE" w:bidi="en-US"/>
        </w:rPr>
        <w:t>Ioannou</w:t>
      </w:r>
      <w:proofErr w:type="spellEnd"/>
      <w:r w:rsidRPr="00683E53">
        <w:rPr>
          <w:rFonts w:eastAsia="Times New Roman"/>
          <w:noProof w:val="0"/>
          <w:sz w:val="18"/>
          <w:lang w:eastAsia="de-DE" w:bidi="en-US"/>
        </w:rPr>
        <w:t xml:space="preserve">, A.; </w:t>
      </w:r>
      <w:proofErr w:type="spellStart"/>
      <w:r w:rsidRPr="00683E53">
        <w:rPr>
          <w:rFonts w:eastAsia="Times New Roman"/>
          <w:noProof w:val="0"/>
          <w:sz w:val="18"/>
          <w:lang w:eastAsia="de-DE" w:bidi="en-US"/>
        </w:rPr>
        <w:t>Kafyeke</w:t>
      </w:r>
      <w:proofErr w:type="spellEnd"/>
      <w:r w:rsidRPr="00683E53">
        <w:rPr>
          <w:rFonts w:eastAsia="Times New Roman"/>
          <w:noProof w:val="0"/>
          <w:sz w:val="18"/>
          <w:lang w:eastAsia="de-DE" w:bidi="en-US"/>
        </w:rPr>
        <w:t xml:space="preserve">, T.; </w:t>
      </w:r>
      <w:proofErr w:type="spellStart"/>
      <w:r w:rsidRPr="00683E53">
        <w:rPr>
          <w:rFonts w:eastAsia="Times New Roman"/>
          <w:noProof w:val="0"/>
          <w:sz w:val="18"/>
          <w:lang w:eastAsia="de-DE" w:bidi="en-US"/>
        </w:rPr>
        <w:t>Flamos</w:t>
      </w:r>
      <w:proofErr w:type="spellEnd"/>
      <w:r w:rsidRPr="00683E53">
        <w:rPr>
          <w:rFonts w:eastAsia="Times New Roman"/>
          <w:noProof w:val="0"/>
          <w:sz w:val="18"/>
          <w:lang w:eastAsia="de-DE" w:bidi="en-US"/>
        </w:rPr>
        <w:t xml:space="preserve">, A.; Rinaldi, R.; </w:t>
      </w:r>
      <w:proofErr w:type="spellStart"/>
      <w:r w:rsidRPr="00683E53">
        <w:rPr>
          <w:rFonts w:eastAsia="Times New Roman"/>
          <w:noProof w:val="0"/>
          <w:sz w:val="18"/>
          <w:lang w:eastAsia="de-DE" w:bidi="en-US"/>
        </w:rPr>
        <w:t>Papadelis</w:t>
      </w:r>
      <w:proofErr w:type="spellEnd"/>
      <w:r w:rsidRPr="00683E53">
        <w:rPr>
          <w:rFonts w:eastAsia="Times New Roman"/>
          <w:noProof w:val="0"/>
          <w:sz w:val="18"/>
          <w:lang w:eastAsia="de-DE" w:bidi="en-US"/>
        </w:rPr>
        <w:t xml:space="preserve">, S.; </w:t>
      </w:r>
      <w:proofErr w:type="spellStart"/>
      <w:r w:rsidRPr="00683E53">
        <w:rPr>
          <w:rFonts w:eastAsia="Times New Roman"/>
          <w:noProof w:val="0"/>
          <w:sz w:val="18"/>
          <w:lang w:eastAsia="de-DE" w:bidi="en-US"/>
        </w:rPr>
        <w:t>Hirschnitz-Garbers</w:t>
      </w:r>
      <w:proofErr w:type="spellEnd"/>
      <w:r w:rsidRPr="00683E53">
        <w:rPr>
          <w:rFonts w:eastAsia="Times New Roman"/>
          <w:noProof w:val="0"/>
          <w:sz w:val="18"/>
          <w:lang w:eastAsia="de-DE" w:bidi="en-US"/>
        </w:rPr>
        <w:t xml:space="preserve">, M.; et al. Implementation of Circular Economy Business Models by Small and Medium-Sized Enterprises (SMEs): Barriers and Enablers.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2016</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8</w:t>
      </w:r>
      <w:r w:rsidRPr="00683E53">
        <w:rPr>
          <w:rFonts w:eastAsia="Times New Roman"/>
          <w:noProof w:val="0"/>
          <w:sz w:val="18"/>
          <w:lang w:eastAsia="de-DE" w:bidi="en-US"/>
        </w:rPr>
        <w:t>, 1–18, doi:10.3390/su8111212.</w:t>
      </w:r>
    </w:p>
    <w:p w14:paraId="763A25C9"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Aparecida de Mattos, C.; Meira de Albuquerque, T.L. Enabling Factors and Strategies for the Transition Toward a Circular Economy (CE).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2018</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10</w:t>
      </w:r>
      <w:r w:rsidRPr="00683E53">
        <w:rPr>
          <w:rFonts w:eastAsia="Times New Roman"/>
          <w:noProof w:val="0"/>
          <w:sz w:val="18"/>
          <w:lang w:eastAsia="de-DE" w:bidi="en-US"/>
        </w:rPr>
        <w:t>, 1–18.</w:t>
      </w:r>
    </w:p>
    <w:p w14:paraId="2FC87446"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De </w:t>
      </w:r>
      <w:proofErr w:type="spellStart"/>
      <w:r w:rsidRPr="00683E53">
        <w:rPr>
          <w:rFonts w:eastAsia="Times New Roman"/>
          <w:noProof w:val="0"/>
          <w:sz w:val="18"/>
          <w:lang w:eastAsia="de-DE" w:bidi="en-US"/>
        </w:rPr>
        <w:t>Langen</w:t>
      </w:r>
      <w:proofErr w:type="spellEnd"/>
      <w:r w:rsidRPr="00683E53">
        <w:rPr>
          <w:rFonts w:eastAsia="Times New Roman"/>
          <w:noProof w:val="0"/>
          <w:sz w:val="18"/>
          <w:lang w:eastAsia="de-DE" w:bidi="en-US"/>
        </w:rPr>
        <w:t xml:space="preserve">, P.; </w:t>
      </w:r>
      <w:proofErr w:type="spellStart"/>
      <w:r w:rsidRPr="00683E53">
        <w:rPr>
          <w:rFonts w:eastAsia="Times New Roman"/>
          <w:noProof w:val="0"/>
          <w:sz w:val="18"/>
          <w:lang w:eastAsia="de-DE" w:bidi="en-US"/>
        </w:rPr>
        <w:t>Sornn</w:t>
      </w:r>
      <w:proofErr w:type="spellEnd"/>
      <w:r w:rsidRPr="00683E53">
        <w:rPr>
          <w:rFonts w:eastAsia="Times New Roman"/>
          <w:noProof w:val="0"/>
          <w:sz w:val="18"/>
          <w:lang w:eastAsia="de-DE" w:bidi="en-US"/>
        </w:rPr>
        <w:t xml:space="preserve">-Friese, H. Ports and the Circular Economy. In </w:t>
      </w:r>
      <w:r w:rsidRPr="00683E53">
        <w:rPr>
          <w:rFonts w:eastAsia="Times New Roman"/>
          <w:i/>
          <w:iCs/>
          <w:noProof w:val="0"/>
          <w:sz w:val="18"/>
          <w:lang w:eastAsia="de-DE" w:bidi="en-US"/>
        </w:rPr>
        <w:t>Green Ports: Inland and Seaside Sustainable Transportation Strategies</w:t>
      </w:r>
      <w:r w:rsidRPr="00683E53">
        <w:rPr>
          <w:rFonts w:eastAsia="Times New Roman"/>
          <w:noProof w:val="0"/>
          <w:sz w:val="18"/>
          <w:lang w:eastAsia="de-DE" w:bidi="en-US"/>
        </w:rPr>
        <w:t>; Elsevier: Amsterdam, The Netherlands, 2019; Chapter 5, pp. 85–108.</w:t>
      </w:r>
    </w:p>
    <w:p w14:paraId="38217CC5"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Green Alliance, 2015. Social Benefits of a Circular Economy. Available online: https://green-alliance.org.uk/resources/The%20social%20benefits%20of%20a%20circular%20economy.pdf (accessed on 11 June 2021).</w:t>
      </w:r>
    </w:p>
    <w:p w14:paraId="77BC5526"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Lloyd’s List. 2020. One Hundred Container Ports 2020. Available online: https://lloydslist.maritimeintelligence.informa.com/one-hundred-container-ports-2020 (accessed on 18 February 2021).</w:t>
      </w:r>
    </w:p>
    <w:p w14:paraId="0F1B8CD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Carpenter, A.; Lozano, R.; </w:t>
      </w:r>
      <w:proofErr w:type="spellStart"/>
      <w:r w:rsidRPr="00683E53">
        <w:rPr>
          <w:rFonts w:eastAsia="Times New Roman"/>
          <w:noProof w:val="0"/>
          <w:sz w:val="18"/>
          <w:lang w:eastAsia="de-DE" w:bidi="en-US"/>
        </w:rPr>
        <w:t>Sammalisto</w:t>
      </w:r>
      <w:proofErr w:type="spellEnd"/>
      <w:r w:rsidRPr="00683E53">
        <w:rPr>
          <w:rFonts w:eastAsia="Times New Roman"/>
          <w:noProof w:val="0"/>
          <w:sz w:val="18"/>
          <w:lang w:eastAsia="de-DE" w:bidi="en-US"/>
        </w:rPr>
        <w:t xml:space="preserve">, K.; </w:t>
      </w:r>
      <w:proofErr w:type="spellStart"/>
      <w:r w:rsidRPr="00683E53">
        <w:rPr>
          <w:rFonts w:eastAsia="Times New Roman"/>
          <w:noProof w:val="0"/>
          <w:sz w:val="18"/>
          <w:lang w:eastAsia="de-DE" w:bidi="en-US"/>
        </w:rPr>
        <w:t>Astner</w:t>
      </w:r>
      <w:proofErr w:type="spellEnd"/>
      <w:r w:rsidRPr="00683E53">
        <w:rPr>
          <w:rFonts w:eastAsia="Times New Roman"/>
          <w:noProof w:val="0"/>
          <w:sz w:val="18"/>
          <w:lang w:eastAsia="de-DE" w:bidi="en-US"/>
        </w:rPr>
        <w:t xml:space="preserve">, L. Securing a port’s future through Circular Economy: Experiences from the Port of </w:t>
      </w:r>
      <w:proofErr w:type="spellStart"/>
      <w:r w:rsidRPr="00683E53">
        <w:rPr>
          <w:rFonts w:eastAsia="Times New Roman"/>
          <w:noProof w:val="0"/>
          <w:sz w:val="18"/>
          <w:lang w:eastAsia="de-DE" w:bidi="en-US"/>
        </w:rPr>
        <w:t>Gävle</w:t>
      </w:r>
      <w:proofErr w:type="spellEnd"/>
      <w:r w:rsidRPr="00683E53">
        <w:rPr>
          <w:rFonts w:eastAsia="Times New Roman"/>
          <w:noProof w:val="0"/>
          <w:sz w:val="18"/>
          <w:lang w:eastAsia="de-DE" w:bidi="en-US"/>
        </w:rPr>
        <w:t xml:space="preserve"> in contributing to sustainability. </w:t>
      </w:r>
      <w:r w:rsidRPr="00683E53">
        <w:rPr>
          <w:rFonts w:eastAsia="Times New Roman"/>
          <w:i/>
          <w:noProof w:val="0"/>
          <w:sz w:val="18"/>
          <w:lang w:eastAsia="de-DE" w:bidi="en-US"/>
        </w:rPr>
        <w:t xml:space="preserve">Mar. </w:t>
      </w:r>
      <w:proofErr w:type="spellStart"/>
      <w:r w:rsidRPr="00683E53">
        <w:rPr>
          <w:rFonts w:eastAsia="Times New Roman"/>
          <w:i/>
          <w:noProof w:val="0"/>
          <w:sz w:val="18"/>
          <w:lang w:eastAsia="de-DE" w:bidi="en-US"/>
        </w:rPr>
        <w:t>Pollut</w:t>
      </w:r>
      <w:proofErr w:type="spellEnd"/>
      <w:r w:rsidRPr="00683E53">
        <w:rPr>
          <w:rFonts w:eastAsia="Times New Roman"/>
          <w:i/>
          <w:noProof w:val="0"/>
          <w:sz w:val="18"/>
          <w:lang w:eastAsia="de-DE" w:bidi="en-US"/>
        </w:rPr>
        <w:t xml:space="preserve">. Bull. </w:t>
      </w:r>
      <w:r w:rsidRPr="00683E53">
        <w:rPr>
          <w:rFonts w:eastAsia="Times New Roman"/>
          <w:b/>
          <w:bCs/>
          <w:noProof w:val="0"/>
          <w:sz w:val="18"/>
          <w:lang w:eastAsia="de-DE" w:bidi="en-US"/>
        </w:rPr>
        <w:t>2018</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128</w:t>
      </w:r>
      <w:r w:rsidRPr="00683E53">
        <w:rPr>
          <w:rFonts w:eastAsia="Times New Roman"/>
          <w:noProof w:val="0"/>
          <w:sz w:val="18"/>
          <w:lang w:eastAsia="de-DE" w:bidi="en-US"/>
        </w:rPr>
        <w:t>, 539–547.</w:t>
      </w:r>
    </w:p>
    <w:p w14:paraId="2EF7D014"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Marine Management </w:t>
      </w:r>
      <w:proofErr w:type="spellStart"/>
      <w:r w:rsidRPr="00683E53">
        <w:rPr>
          <w:rFonts w:eastAsia="Times New Roman"/>
          <w:noProof w:val="0"/>
          <w:sz w:val="18"/>
          <w:lang w:eastAsia="de-DE" w:bidi="en-US"/>
        </w:rPr>
        <w:t>Organisation</w:t>
      </w:r>
      <w:proofErr w:type="spellEnd"/>
      <w:r w:rsidRPr="00683E53">
        <w:rPr>
          <w:rFonts w:eastAsia="Times New Roman"/>
          <w:noProof w:val="0"/>
          <w:sz w:val="18"/>
          <w:lang w:eastAsia="de-DE" w:bidi="en-US"/>
        </w:rPr>
        <w:t>. 2014. Use of Beneficial Dredged Materials in the South Inshore and South Offshore Marine Plan Areas Available online: https://assets.publishing.service.gov.uk/government/uploads/system/uploads/attachment_data/file/358069/MMO_1073_Beneficial_Use_Final.pdf (accessed on 19 March 2021).</w:t>
      </w:r>
    </w:p>
    <w:p w14:paraId="73F66847"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pacing w:val="-4"/>
          <w:sz w:val="18"/>
          <w:lang w:eastAsia="de-DE" w:bidi="en-US"/>
        </w:rPr>
      </w:pPr>
      <w:r w:rsidRPr="00683E53">
        <w:rPr>
          <w:rFonts w:eastAsia="Times New Roman"/>
          <w:noProof w:val="0"/>
          <w:spacing w:val="-4"/>
          <w:sz w:val="18"/>
          <w:lang w:eastAsia="de-DE" w:bidi="en-US"/>
        </w:rPr>
        <w:t xml:space="preserve">Ros, M.; Read, A.; </w:t>
      </w:r>
      <w:proofErr w:type="spellStart"/>
      <w:r w:rsidRPr="00683E53">
        <w:rPr>
          <w:rFonts w:eastAsia="Times New Roman"/>
          <w:noProof w:val="0"/>
          <w:spacing w:val="-4"/>
          <w:sz w:val="18"/>
          <w:lang w:eastAsia="de-DE" w:bidi="en-US"/>
        </w:rPr>
        <w:t>Uilenreef</w:t>
      </w:r>
      <w:proofErr w:type="spellEnd"/>
      <w:r w:rsidRPr="00683E53">
        <w:rPr>
          <w:rFonts w:eastAsia="Times New Roman"/>
          <w:noProof w:val="0"/>
          <w:spacing w:val="-4"/>
          <w:sz w:val="18"/>
          <w:lang w:eastAsia="de-DE" w:bidi="en-US"/>
        </w:rPr>
        <w:t xml:space="preserve">, J.; </w:t>
      </w:r>
      <w:proofErr w:type="spellStart"/>
      <w:r w:rsidRPr="00683E53">
        <w:rPr>
          <w:rFonts w:eastAsia="Times New Roman"/>
          <w:noProof w:val="0"/>
          <w:spacing w:val="-4"/>
          <w:sz w:val="18"/>
          <w:lang w:eastAsia="de-DE" w:bidi="en-US"/>
        </w:rPr>
        <w:t>Limbeek</w:t>
      </w:r>
      <w:proofErr w:type="spellEnd"/>
      <w:r w:rsidRPr="00683E53">
        <w:rPr>
          <w:rFonts w:eastAsia="Times New Roman"/>
          <w:noProof w:val="0"/>
          <w:spacing w:val="-4"/>
          <w:sz w:val="18"/>
          <w:lang w:eastAsia="de-DE" w:bidi="en-US"/>
        </w:rPr>
        <w:t>, J. Start of a CO</w:t>
      </w:r>
      <w:r w:rsidRPr="00683E53">
        <w:rPr>
          <w:rFonts w:eastAsia="Times New Roman"/>
          <w:noProof w:val="0"/>
          <w:spacing w:val="-4"/>
          <w:sz w:val="18"/>
          <w:vertAlign w:val="subscript"/>
          <w:lang w:eastAsia="de-DE" w:bidi="en-US"/>
        </w:rPr>
        <w:t>2</w:t>
      </w:r>
      <w:r w:rsidRPr="00683E53">
        <w:rPr>
          <w:rFonts w:eastAsia="Times New Roman"/>
          <w:noProof w:val="0"/>
          <w:spacing w:val="-4"/>
          <w:sz w:val="18"/>
          <w:lang w:eastAsia="de-DE" w:bidi="en-US"/>
        </w:rPr>
        <w:t xml:space="preserve"> hub in Rotterdam: Connecting CCS and CCU. </w:t>
      </w:r>
      <w:r w:rsidRPr="00683E53">
        <w:rPr>
          <w:rFonts w:eastAsia="Times New Roman"/>
          <w:i/>
          <w:noProof w:val="0"/>
          <w:spacing w:val="-4"/>
          <w:sz w:val="18"/>
          <w:lang w:eastAsia="de-DE" w:bidi="en-US"/>
        </w:rPr>
        <w:t xml:space="preserve">Energy </w:t>
      </w:r>
      <w:proofErr w:type="spellStart"/>
      <w:r w:rsidRPr="00683E53">
        <w:rPr>
          <w:rFonts w:eastAsia="Times New Roman"/>
          <w:i/>
          <w:noProof w:val="0"/>
          <w:spacing w:val="-4"/>
          <w:sz w:val="18"/>
          <w:lang w:eastAsia="de-DE" w:bidi="en-US"/>
        </w:rPr>
        <w:t>Proce</w:t>
      </w:r>
      <w:proofErr w:type="spellEnd"/>
      <w:r w:rsidRPr="00683E53">
        <w:rPr>
          <w:rFonts w:eastAsia="Times New Roman"/>
          <w:i/>
          <w:noProof w:val="0"/>
          <w:spacing w:val="-4"/>
          <w:sz w:val="18"/>
          <w:lang w:eastAsia="de-DE" w:bidi="en-US"/>
        </w:rPr>
        <w:t>.</w:t>
      </w:r>
      <w:r w:rsidRPr="00683E53">
        <w:rPr>
          <w:rFonts w:eastAsia="Times New Roman"/>
          <w:noProof w:val="0"/>
          <w:spacing w:val="-4"/>
          <w:sz w:val="18"/>
          <w:lang w:eastAsia="de-DE" w:bidi="en-US"/>
        </w:rPr>
        <w:t xml:space="preserve"> </w:t>
      </w:r>
      <w:r w:rsidRPr="00683E53">
        <w:rPr>
          <w:rFonts w:eastAsia="Times New Roman"/>
          <w:b/>
          <w:bCs/>
          <w:noProof w:val="0"/>
          <w:spacing w:val="-4"/>
          <w:sz w:val="18"/>
          <w:lang w:eastAsia="de-DE" w:bidi="en-US"/>
        </w:rPr>
        <w:t>2014</w:t>
      </w:r>
      <w:r w:rsidRPr="00683E53">
        <w:rPr>
          <w:rFonts w:eastAsia="Times New Roman"/>
          <w:noProof w:val="0"/>
          <w:spacing w:val="-4"/>
          <w:sz w:val="18"/>
          <w:lang w:eastAsia="de-DE" w:bidi="en-US"/>
        </w:rPr>
        <w:t>, 2691–2701.</w:t>
      </w:r>
    </w:p>
    <w:p w14:paraId="4F0B63E7"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Port of Antwerp, 2014. Port of Antwerp at the Helm of Innovative Waste Logistics. Available online: http://www.portofantwerp.com/sites/portofantwerp/files/campaigns/Afval_EN_LR.pdf (accessed on 10 February 2021).</w:t>
      </w:r>
    </w:p>
    <w:p w14:paraId="0304755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Qpinch</w:t>
      </w:r>
      <w:proofErr w:type="spellEnd"/>
      <w:r w:rsidRPr="00683E53">
        <w:rPr>
          <w:rFonts w:eastAsia="Times New Roman"/>
          <w:noProof w:val="0"/>
          <w:sz w:val="18"/>
          <w:lang w:eastAsia="de-DE" w:bidi="en-US"/>
        </w:rPr>
        <w:t>, 2019. Heat Transformer Carbon Neutral Industrial Energy from Waste Heat. Available online: https://www.qpinch.com/ (accessed on 15 February 2021).</w:t>
      </w:r>
    </w:p>
    <w:p w14:paraId="5D16CEC4"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Plymouth City Council, 2019. Energy from Waste. Available online: https://www.plymouth.gov.uk/binsrecyclingandwaste/southwestdevonwastepartnership/swdwpenergywaste (accessed on 14 February 2021).</w:t>
      </w:r>
    </w:p>
    <w:p w14:paraId="4F072393"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COGEN. 2010. Port of Liverpool CHP Plant. Available online: http://www.cogeneurope.eu/medialibrary/2012/01/30/0408ccaa/CODE_CS%20-%20Port%20of%20Liverpool.pdf (accessed on 16 February 2021).</w:t>
      </w:r>
    </w:p>
    <w:p w14:paraId="5FEC9E3C"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Richardson, K.; Wilcox, C.; Vince, J.; Hardesty, B.D. </w:t>
      </w:r>
      <w:proofErr w:type="gramStart"/>
      <w:r w:rsidRPr="00683E53">
        <w:rPr>
          <w:rFonts w:eastAsia="Times New Roman"/>
          <w:noProof w:val="0"/>
          <w:sz w:val="18"/>
          <w:lang w:eastAsia="de-DE" w:bidi="en-US"/>
        </w:rPr>
        <w:t>Challenges</w:t>
      </w:r>
      <w:proofErr w:type="gramEnd"/>
      <w:r w:rsidRPr="00683E53">
        <w:rPr>
          <w:rFonts w:eastAsia="Times New Roman"/>
          <w:noProof w:val="0"/>
          <w:sz w:val="18"/>
          <w:lang w:eastAsia="de-DE" w:bidi="en-US"/>
        </w:rPr>
        <w:t xml:space="preserve"> and misperceptions around global fishing gear loss estimates. </w:t>
      </w:r>
      <w:r w:rsidRPr="00683E53">
        <w:rPr>
          <w:rFonts w:eastAsia="Times New Roman"/>
          <w:i/>
          <w:noProof w:val="0"/>
          <w:sz w:val="18"/>
          <w:lang w:eastAsia="de-DE" w:bidi="en-US"/>
        </w:rPr>
        <w:t>Mar. Policy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2021</w:t>
      </w:r>
      <w:r w:rsidRPr="00683E53">
        <w:rPr>
          <w:rFonts w:eastAsia="Times New Roman"/>
          <w:noProof w:val="0"/>
          <w:sz w:val="18"/>
          <w:lang w:eastAsia="de-DE" w:bidi="en-US"/>
        </w:rPr>
        <w:t xml:space="preserve">, </w:t>
      </w:r>
      <w:proofErr w:type="gramStart"/>
      <w:r w:rsidRPr="00683E53">
        <w:rPr>
          <w:rFonts w:eastAsia="Times New Roman"/>
          <w:noProof w:val="0"/>
          <w:sz w:val="18"/>
          <w:lang w:eastAsia="de-DE" w:bidi="en-US"/>
        </w:rPr>
        <w:t>doi:10.1016/j.marpol</w:t>
      </w:r>
      <w:proofErr w:type="gramEnd"/>
      <w:r w:rsidRPr="00683E53">
        <w:rPr>
          <w:rFonts w:eastAsia="Times New Roman"/>
          <w:noProof w:val="0"/>
          <w:sz w:val="18"/>
          <w:lang w:eastAsia="de-DE" w:bidi="en-US"/>
        </w:rPr>
        <w:t>.2021.104522.</w:t>
      </w:r>
    </w:p>
    <w:p w14:paraId="137F49DA"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Duliere</w:t>
      </w:r>
      <w:proofErr w:type="spellEnd"/>
      <w:r w:rsidRPr="00683E53">
        <w:rPr>
          <w:rFonts w:eastAsia="Times New Roman"/>
          <w:noProof w:val="0"/>
          <w:sz w:val="18"/>
          <w:lang w:eastAsia="de-DE" w:bidi="en-US"/>
        </w:rPr>
        <w:t xml:space="preserve">, V.; </w:t>
      </w:r>
      <w:proofErr w:type="spellStart"/>
      <w:r w:rsidRPr="00683E53">
        <w:rPr>
          <w:rFonts w:eastAsia="Times New Roman"/>
          <w:noProof w:val="0"/>
          <w:sz w:val="18"/>
          <w:lang w:eastAsia="de-DE" w:bidi="en-US"/>
        </w:rPr>
        <w:t>Baetens</w:t>
      </w:r>
      <w:proofErr w:type="spellEnd"/>
      <w:r w:rsidRPr="00683E53">
        <w:rPr>
          <w:rFonts w:eastAsia="Times New Roman"/>
          <w:noProof w:val="0"/>
          <w:sz w:val="18"/>
          <w:lang w:eastAsia="de-DE" w:bidi="en-US"/>
        </w:rPr>
        <w:t>, K.; Lacroix, G. 2020. Potential Impact of Wash Water Effluents from Scrubbers on Water Acidification in the Southern North Sea. Available online: https://www.researchgate.net/profile/Valerie-Duliere/publication/341642158_Potential_impact_of_wash_water_effluents_from_scrubbers_on_water_acidification_in_the_southern_North_Sea/links/5eccd571458515626ccc72dc/Potential-impact-of-wash-water-effluents-from-scrubbers-on-water-acidification-in-the-southern-North-Sea.pdf (accessed on 28 April 2021).</w:t>
      </w:r>
    </w:p>
    <w:p w14:paraId="1540F2CF"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Zhang, Y.; </w:t>
      </w:r>
      <w:proofErr w:type="spellStart"/>
      <w:r w:rsidRPr="00683E53">
        <w:rPr>
          <w:rFonts w:eastAsia="Times New Roman"/>
          <w:noProof w:val="0"/>
          <w:sz w:val="18"/>
          <w:lang w:eastAsia="de-DE" w:bidi="en-US"/>
        </w:rPr>
        <w:t>Stripple</w:t>
      </w:r>
      <w:proofErr w:type="spellEnd"/>
      <w:r w:rsidRPr="00683E53">
        <w:rPr>
          <w:rFonts w:eastAsia="Times New Roman"/>
          <w:noProof w:val="0"/>
          <w:sz w:val="18"/>
          <w:lang w:eastAsia="de-DE" w:bidi="en-US"/>
        </w:rPr>
        <w:t>, H. 2018. Scrubbers: Closing the Loop. Available online: https://safety4sea.com/wp-content/uploads/2019/06/IVL-Scrubbers-Closing-the-Loop-2019_06.pdf?__cf_chl_jschl_tk__=9def11c739e95c31c34e06b885d74997c847d763-1619610460-0-AbI8lDHNUEfjitXDuV-mLwAVLIGbd_xcSiA8Ghcai98ajGwcLHEjikZd6R-5vyFa-nDyrDna3u2Kj6ctzPoZFmodDBzqW27MiMbD1897XZZJYz7NL8mCqPR0Bm1AT5Fewn1YOuynHkW26DTda_J48-4_3Z0H4AAOROe2nVpbC4LTwA7DD_p6AwGeeGn1K-FYUpyOifD13BZ6Ew1Gmx5QWuPL9g18MlHRyg43RpFOWHtdLgxXQI4X_p0qJGGmyLrc9p36KpUy3Ifr9lg81CPM9lo5jLtIqfXj7VHVzIRHz3qM2_y-JX-QtaWmCVAMZPJcCK0SZxQ5wX-9zA0mfxgBFpx12OiyY7YA7vww52je7DNGdYj9SYnTWS06yptoAJVF-XnMJt6TYqy8k8nR0wagsqTiGNXMCdjnV7kenJJnzQ2Hk6G05799O_09WsvSvxm4yxsK-NhUANfMMlKXygHfBTAkqOjA47lWx3bhmP5IVcax (accessed on 28 April 2021).</w:t>
      </w:r>
    </w:p>
    <w:p w14:paraId="77AFB50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Girard, L.F. Toward a Smart Sustainable Development of Port Cities/Areas: The Role of the “Historic Urban Landscape” Approach.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2013</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5</w:t>
      </w:r>
      <w:r w:rsidRPr="00683E53">
        <w:rPr>
          <w:rFonts w:eastAsia="Times New Roman"/>
          <w:noProof w:val="0"/>
          <w:sz w:val="18"/>
          <w:lang w:eastAsia="de-DE" w:bidi="en-US"/>
        </w:rPr>
        <w:t>, 4329–4348.</w:t>
      </w:r>
    </w:p>
    <w:p w14:paraId="2AC0D8D6"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Galvao</w:t>
      </w:r>
      <w:proofErr w:type="spellEnd"/>
      <w:r w:rsidRPr="00683E53">
        <w:rPr>
          <w:rFonts w:eastAsia="Times New Roman"/>
          <w:noProof w:val="0"/>
          <w:sz w:val="18"/>
          <w:lang w:eastAsia="de-DE" w:bidi="en-US"/>
        </w:rPr>
        <w:t xml:space="preserve">, G.D.A.; de </w:t>
      </w:r>
      <w:proofErr w:type="spellStart"/>
      <w:r w:rsidRPr="00683E53">
        <w:rPr>
          <w:rFonts w:eastAsia="Times New Roman"/>
          <w:noProof w:val="0"/>
          <w:sz w:val="18"/>
          <w:lang w:eastAsia="de-DE" w:bidi="en-US"/>
        </w:rPr>
        <w:t>Nadae</w:t>
      </w:r>
      <w:proofErr w:type="spellEnd"/>
      <w:r w:rsidRPr="00683E53">
        <w:rPr>
          <w:rFonts w:eastAsia="Times New Roman"/>
          <w:noProof w:val="0"/>
          <w:sz w:val="18"/>
          <w:lang w:eastAsia="de-DE" w:bidi="en-US"/>
        </w:rPr>
        <w:t xml:space="preserve">, J.; Clemente, D.H.; </w:t>
      </w:r>
      <w:proofErr w:type="spellStart"/>
      <w:r w:rsidRPr="00683E53">
        <w:rPr>
          <w:rFonts w:eastAsia="Times New Roman"/>
          <w:noProof w:val="0"/>
          <w:sz w:val="18"/>
          <w:lang w:eastAsia="de-DE" w:bidi="en-US"/>
        </w:rPr>
        <w:t>Chinen</w:t>
      </w:r>
      <w:proofErr w:type="spellEnd"/>
      <w:r w:rsidRPr="00683E53">
        <w:rPr>
          <w:rFonts w:eastAsia="Times New Roman"/>
          <w:noProof w:val="0"/>
          <w:sz w:val="18"/>
          <w:lang w:eastAsia="de-DE" w:bidi="en-US"/>
        </w:rPr>
        <w:t xml:space="preserve">, G.; Monteiro de Carvalho, M. Circular Economy: Overview of Barriers. </w:t>
      </w:r>
      <w:r w:rsidRPr="00683E53">
        <w:rPr>
          <w:rFonts w:eastAsia="Times New Roman"/>
          <w:i/>
          <w:noProof w:val="0"/>
          <w:sz w:val="18"/>
          <w:lang w:eastAsia="de-DE" w:bidi="en-US"/>
        </w:rPr>
        <w:t>Proc. CIRP</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2018</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73</w:t>
      </w:r>
      <w:r w:rsidRPr="00683E53">
        <w:rPr>
          <w:rFonts w:eastAsia="Times New Roman"/>
          <w:noProof w:val="0"/>
          <w:sz w:val="18"/>
          <w:lang w:eastAsia="de-DE" w:bidi="en-US"/>
        </w:rPr>
        <w:t>, 79–85.</w:t>
      </w:r>
    </w:p>
    <w:p w14:paraId="434B56F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Zheng, Y.; Zhao, J.; Shao, G. Port City Sustainability: A Review of Its Research Trends.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2020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12</w:t>
      </w:r>
      <w:r w:rsidRPr="00683E53">
        <w:rPr>
          <w:rFonts w:eastAsia="Times New Roman"/>
          <w:noProof w:val="0"/>
          <w:sz w:val="18"/>
          <w:lang w:eastAsia="de-DE" w:bidi="en-US"/>
        </w:rPr>
        <w:t>, 8355.</w:t>
      </w:r>
    </w:p>
    <w:p w14:paraId="3C553287"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lastRenderedPageBreak/>
        <w:t>Harris, C, D. Ullman, E, L. The Nature of Cities. The ANNALS of the American Academic of Political and Social Science.</w:t>
      </w:r>
      <w:r w:rsidRPr="00683E53">
        <w:rPr>
          <w:rFonts w:asciiTheme="minorHAnsi" w:eastAsiaTheme="minorHAnsi" w:hAnsiTheme="minorHAnsi" w:cstheme="minorBidi"/>
          <w:noProof w:val="0"/>
          <w:color w:val="auto"/>
          <w:sz w:val="22"/>
          <w:szCs w:val="22"/>
          <w:lang w:val="en-GB" w:eastAsia="en-US"/>
        </w:rPr>
        <w:t xml:space="preserve"> </w:t>
      </w:r>
      <w:r w:rsidRPr="00683E53">
        <w:rPr>
          <w:rFonts w:eastAsiaTheme="minorHAnsi" w:cstheme="minorBidi"/>
          <w:b/>
          <w:bCs/>
          <w:noProof w:val="0"/>
          <w:color w:val="auto"/>
          <w:sz w:val="18"/>
          <w:szCs w:val="18"/>
          <w:lang w:val="en-GB" w:eastAsia="en-US"/>
        </w:rPr>
        <w:t>1945</w:t>
      </w:r>
      <w:r w:rsidRPr="00683E53">
        <w:rPr>
          <w:rFonts w:eastAsiaTheme="minorHAnsi" w:cstheme="minorBidi"/>
          <w:noProof w:val="0"/>
          <w:color w:val="auto"/>
          <w:sz w:val="18"/>
          <w:szCs w:val="18"/>
          <w:lang w:val="en-GB" w:eastAsia="en-US"/>
        </w:rPr>
        <w:t xml:space="preserve">, </w:t>
      </w:r>
      <w:r w:rsidRPr="00683E53">
        <w:rPr>
          <w:rFonts w:eastAsia="Times New Roman"/>
          <w:noProof w:val="0"/>
          <w:sz w:val="18"/>
          <w:szCs w:val="18"/>
          <w:lang w:eastAsia="de-DE" w:bidi="en-US"/>
        </w:rPr>
        <w:t>242, 1, 7-17.</w:t>
      </w:r>
    </w:p>
    <w:p w14:paraId="2B80403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Liang, Z. Foreign Investment, Economic growth, and temporary migration: The case of Shenzhen special economic zone, China </w:t>
      </w:r>
      <w:r w:rsidRPr="00683E53">
        <w:rPr>
          <w:rFonts w:eastAsia="Times New Roman"/>
          <w:i/>
          <w:noProof w:val="0"/>
          <w:sz w:val="18"/>
          <w:lang w:eastAsia="de-DE" w:bidi="en-US"/>
        </w:rPr>
        <w:t xml:space="preserve">Dev. Soc. </w:t>
      </w:r>
      <w:r w:rsidRPr="00683E53">
        <w:rPr>
          <w:rFonts w:eastAsia="Times New Roman"/>
          <w:b/>
          <w:bCs/>
          <w:noProof w:val="0"/>
          <w:sz w:val="18"/>
          <w:lang w:eastAsia="de-DE" w:bidi="en-US"/>
        </w:rPr>
        <w:t>1999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28</w:t>
      </w:r>
      <w:r w:rsidRPr="00683E53">
        <w:rPr>
          <w:rFonts w:eastAsia="Times New Roman"/>
          <w:noProof w:val="0"/>
          <w:sz w:val="18"/>
          <w:lang w:eastAsia="de-DE" w:bidi="en-US"/>
        </w:rPr>
        <w:t>, 115–137.</w:t>
      </w:r>
    </w:p>
    <w:p w14:paraId="722CF37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Grether</w:t>
      </w:r>
      <w:proofErr w:type="spellEnd"/>
      <w:r w:rsidRPr="00683E53">
        <w:rPr>
          <w:rFonts w:eastAsia="Times New Roman"/>
          <w:noProof w:val="0"/>
          <w:sz w:val="18"/>
          <w:lang w:eastAsia="de-DE" w:bidi="en-US"/>
        </w:rPr>
        <w:t xml:space="preserve">, J.; Melo, J. Globalization and Dirty Industries: Do Pollution Havens Matter? </w:t>
      </w:r>
      <w:r w:rsidRPr="00683E53">
        <w:rPr>
          <w:rFonts w:eastAsia="Times New Roman"/>
          <w:i/>
          <w:noProof w:val="0"/>
          <w:sz w:val="18"/>
          <w:lang w:eastAsia="de-DE" w:bidi="en-US"/>
        </w:rPr>
        <w:t xml:space="preserve">Natl. Bur. Econ. Res. </w:t>
      </w:r>
      <w:r w:rsidRPr="00683E53">
        <w:rPr>
          <w:rFonts w:eastAsia="Times New Roman"/>
          <w:b/>
          <w:bCs/>
          <w:noProof w:val="0"/>
          <w:sz w:val="18"/>
          <w:lang w:eastAsia="de-DE" w:bidi="en-US"/>
        </w:rPr>
        <w:t>2003</w:t>
      </w:r>
      <w:r w:rsidRPr="00683E53">
        <w:rPr>
          <w:rFonts w:eastAsia="Times New Roman"/>
          <w:noProof w:val="0"/>
          <w:sz w:val="18"/>
          <w:lang w:eastAsia="de-DE" w:bidi="en-US"/>
        </w:rPr>
        <w:t>. Available online: https://www.nber.org/system/files/working_papers/w9776/w9776.pdf (accessed on 16 March 2021).</w:t>
      </w:r>
    </w:p>
    <w:p w14:paraId="4184385A"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Jian, Z. The Course, Achievements and Inspirations of the Reform and </w:t>
      </w:r>
      <w:proofErr w:type="gramStart"/>
      <w:r w:rsidRPr="00683E53">
        <w:rPr>
          <w:rFonts w:eastAsia="Times New Roman"/>
          <w:noProof w:val="0"/>
          <w:sz w:val="18"/>
          <w:lang w:eastAsia="de-DE" w:bidi="en-US"/>
        </w:rPr>
        <w:t>Opening-Up</w:t>
      </w:r>
      <w:proofErr w:type="gramEnd"/>
      <w:r w:rsidRPr="00683E53">
        <w:rPr>
          <w:rFonts w:eastAsia="Times New Roman"/>
          <w:noProof w:val="0"/>
          <w:sz w:val="18"/>
          <w:lang w:eastAsia="de-DE" w:bidi="en-US"/>
        </w:rPr>
        <w:t xml:space="preserve"> of the Shenzhen Special Economic Zone. In </w:t>
      </w:r>
      <w:r w:rsidRPr="00683E53">
        <w:rPr>
          <w:rFonts w:eastAsia="Times New Roman"/>
          <w:i/>
          <w:iCs/>
          <w:noProof w:val="0"/>
          <w:sz w:val="18"/>
          <w:lang w:eastAsia="de-DE" w:bidi="en-US"/>
        </w:rPr>
        <w:t>Studies on China’s Special Economic Zones</w:t>
      </w:r>
      <w:r w:rsidRPr="00683E53">
        <w:rPr>
          <w:rFonts w:eastAsia="Times New Roman"/>
          <w:noProof w:val="0"/>
          <w:sz w:val="18"/>
          <w:lang w:eastAsia="de-DE" w:bidi="en-US"/>
        </w:rPr>
        <w:t>; Research Series on the Chinese Dream and China’s Development Path; Yuan, Y., Ed.; Springer: Singapore, 2017; doi:10.1007/978-981-10-3704-7_3.</w:t>
      </w:r>
    </w:p>
    <w:p w14:paraId="0872A9B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Wang, Y.; Sun, X.; Guo, X. Environmental </w:t>
      </w:r>
      <w:proofErr w:type="gramStart"/>
      <w:r w:rsidRPr="00683E53">
        <w:rPr>
          <w:rFonts w:eastAsia="Times New Roman"/>
          <w:noProof w:val="0"/>
          <w:sz w:val="18"/>
          <w:lang w:eastAsia="de-DE" w:bidi="en-US"/>
        </w:rPr>
        <w:t>regulation</w:t>
      </w:r>
      <w:proofErr w:type="gramEnd"/>
      <w:r w:rsidRPr="00683E53">
        <w:rPr>
          <w:rFonts w:eastAsia="Times New Roman"/>
          <w:noProof w:val="0"/>
          <w:sz w:val="18"/>
          <w:lang w:eastAsia="de-DE" w:bidi="en-US"/>
        </w:rPr>
        <w:t xml:space="preserve"> and green productivity growth: Empirical evidence on the Porter Hypothesis from OECD industrial sectors. </w:t>
      </w:r>
      <w:r w:rsidRPr="00683E53">
        <w:rPr>
          <w:rFonts w:eastAsia="Times New Roman"/>
          <w:i/>
          <w:noProof w:val="0"/>
          <w:sz w:val="18"/>
          <w:lang w:eastAsia="de-DE" w:bidi="en-US"/>
        </w:rPr>
        <w:t>Energy Policy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132</w:t>
      </w:r>
      <w:r w:rsidRPr="00683E53">
        <w:rPr>
          <w:rFonts w:eastAsia="Times New Roman"/>
          <w:noProof w:val="0"/>
          <w:sz w:val="18"/>
          <w:lang w:eastAsia="de-DE" w:bidi="en-US"/>
        </w:rPr>
        <w:t>, 611–619.</w:t>
      </w:r>
    </w:p>
    <w:p w14:paraId="31E697B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British Ports Association. 2020. Freeports Hub. Available online: https://www.britishports.org.uk/FreeportsHub (accessed on 12 February 2021).</w:t>
      </w:r>
    </w:p>
    <w:p w14:paraId="7657426F"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MACE, 2021. The Ultimate Boost for Britain’s Economy. Available online: https://www.macegroup.com/perspectives/180617-the-ultimate-boost-for-britains-economy (accessed on 19 March 2021).</w:t>
      </w:r>
    </w:p>
    <w:p w14:paraId="0C9C9F4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Serwicka</w:t>
      </w:r>
      <w:proofErr w:type="spellEnd"/>
      <w:r w:rsidRPr="00683E53">
        <w:rPr>
          <w:rFonts w:eastAsia="Times New Roman"/>
          <w:noProof w:val="0"/>
          <w:sz w:val="18"/>
          <w:lang w:eastAsia="de-DE" w:bidi="en-US"/>
        </w:rPr>
        <w:t>, I.; Holmes, P. 2019. The Future of Free Zones in the UK. Available online: https://www.porttechnology.org/wp-content/uploads/2019/07/UK_TRADE_POLICY_OBSERVATORY.pdf (accessed on 15 March 2021).</w:t>
      </w:r>
    </w:p>
    <w:p w14:paraId="6F9813E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Freeport East. 2021. Freeport East Hydrogen Hub. Available online: https://www.freeporteast.com/news/freeport-east-hydrogen-hub-will-boost-decarbonisation-agenda (accessed on 1 May 2021).</w:t>
      </w:r>
    </w:p>
    <w:p w14:paraId="38416BD3"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Merk, O. 2018. Container Ship Size and Port Relocation Discussion Paper. Available online: https://www.econstor.eu/bitstream/10419/194073/1/itf-dp-2018-10.pdf (accessed on 16 March 2021).</w:t>
      </w:r>
    </w:p>
    <w:p w14:paraId="40D259E4"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Hoyle, B. Global and Local change on the Port-City Waterfront. </w:t>
      </w:r>
      <w:proofErr w:type="spellStart"/>
      <w:r w:rsidRPr="00683E53">
        <w:rPr>
          <w:rFonts w:eastAsia="Times New Roman"/>
          <w:i/>
          <w:noProof w:val="0"/>
          <w:sz w:val="18"/>
          <w:lang w:eastAsia="de-DE" w:bidi="en-US"/>
        </w:rPr>
        <w:t>Geogr</w:t>
      </w:r>
      <w:proofErr w:type="spellEnd"/>
      <w:r w:rsidRPr="00683E53">
        <w:rPr>
          <w:rFonts w:eastAsia="Times New Roman"/>
          <w:i/>
          <w:noProof w:val="0"/>
          <w:sz w:val="18"/>
          <w:lang w:eastAsia="de-DE" w:bidi="en-US"/>
        </w:rPr>
        <w:t xml:space="preserve">. Rev. </w:t>
      </w:r>
      <w:r w:rsidRPr="00683E53">
        <w:rPr>
          <w:rFonts w:eastAsia="Times New Roman"/>
          <w:b/>
          <w:bCs/>
          <w:noProof w:val="0"/>
          <w:sz w:val="18"/>
          <w:lang w:eastAsia="de-DE" w:bidi="en-US"/>
        </w:rPr>
        <w:t>2000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90</w:t>
      </w:r>
      <w:r w:rsidRPr="00683E53">
        <w:rPr>
          <w:rFonts w:eastAsia="Times New Roman"/>
          <w:noProof w:val="0"/>
          <w:sz w:val="18"/>
          <w:lang w:eastAsia="de-DE" w:bidi="en-US"/>
        </w:rPr>
        <w:t>, 395–417.</w:t>
      </w:r>
    </w:p>
    <w:p w14:paraId="60CF4A4E"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Asteris</w:t>
      </w:r>
      <w:proofErr w:type="spellEnd"/>
      <w:r w:rsidRPr="00683E53">
        <w:rPr>
          <w:rFonts w:eastAsia="Times New Roman"/>
          <w:noProof w:val="0"/>
          <w:sz w:val="18"/>
          <w:lang w:eastAsia="de-DE" w:bidi="en-US"/>
        </w:rPr>
        <w:t xml:space="preserve">, M.; Collins, A. Developing Britain’s port infrastructure: Markets, policy, and location. </w:t>
      </w:r>
      <w:r w:rsidRPr="00683E53">
        <w:rPr>
          <w:rFonts w:eastAsia="Times New Roman"/>
          <w:i/>
          <w:noProof w:val="0"/>
          <w:sz w:val="18"/>
          <w:lang w:eastAsia="de-DE" w:bidi="en-US"/>
        </w:rPr>
        <w:t xml:space="preserve">Environ. Plan. </w:t>
      </w:r>
      <w:proofErr w:type="gramStart"/>
      <w:r w:rsidRPr="00683E53">
        <w:rPr>
          <w:rFonts w:eastAsia="Times New Roman"/>
          <w:i/>
          <w:noProof w:val="0"/>
          <w:sz w:val="18"/>
          <w:lang w:eastAsia="de-DE" w:bidi="en-US"/>
        </w:rPr>
        <w:t>A</w:t>
      </w:r>
      <w:proofErr w:type="gramEnd"/>
      <w:r w:rsidRPr="00683E53">
        <w:rPr>
          <w:rFonts w:eastAsia="Times New Roman"/>
          <w:i/>
          <w:noProof w:val="0"/>
          <w:sz w:val="18"/>
          <w:lang w:eastAsia="de-DE" w:bidi="en-US"/>
        </w:rPr>
        <w:t xml:space="preserve"> Econ. Space</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2007</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39</w:t>
      </w:r>
      <w:r w:rsidRPr="00683E53">
        <w:rPr>
          <w:rFonts w:eastAsia="Times New Roman"/>
          <w:noProof w:val="0"/>
          <w:sz w:val="18"/>
          <w:lang w:eastAsia="de-DE" w:bidi="en-US"/>
        </w:rPr>
        <w:t>, 2271–2286.</w:t>
      </w:r>
    </w:p>
    <w:p w14:paraId="0B62814F"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Upadhyay, N.H. 2019. Urban Waterfront Regeneration: Through the Case Studies of Baltimore and Seoul. Available online: https://www.researchgate.net/publication/342199469_Urban_Waterfront_Regeneration_Through_the_case_studies_of_Baltimore_and_Seoul (accessed on 18 February 2021).</w:t>
      </w:r>
    </w:p>
    <w:p w14:paraId="5D07678C"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Monclus</w:t>
      </w:r>
      <w:proofErr w:type="spellEnd"/>
      <w:r w:rsidRPr="00683E53">
        <w:rPr>
          <w:rFonts w:eastAsia="Times New Roman"/>
          <w:noProof w:val="0"/>
          <w:sz w:val="18"/>
          <w:lang w:eastAsia="de-DE" w:bidi="en-US"/>
        </w:rPr>
        <w:t xml:space="preserve">, F.J. The Barcelona model: And an original formula? From ‘reconstruction’ to strategic urban projects (1979–2004). </w:t>
      </w:r>
      <w:r w:rsidRPr="00683E53">
        <w:rPr>
          <w:rFonts w:eastAsia="Times New Roman"/>
          <w:i/>
          <w:noProof w:val="0"/>
          <w:sz w:val="18"/>
          <w:lang w:eastAsia="de-DE" w:bidi="en-US"/>
        </w:rPr>
        <w:t xml:space="preserve">Plan. </w:t>
      </w:r>
      <w:proofErr w:type="spellStart"/>
      <w:r w:rsidRPr="00683E53">
        <w:rPr>
          <w:rFonts w:eastAsia="Times New Roman"/>
          <w:i/>
          <w:noProof w:val="0"/>
          <w:sz w:val="18"/>
          <w:lang w:eastAsia="de-DE" w:bidi="en-US"/>
        </w:rPr>
        <w:t>Perspect</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2010</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18</w:t>
      </w:r>
      <w:r w:rsidRPr="00683E53">
        <w:rPr>
          <w:rFonts w:eastAsia="Times New Roman"/>
          <w:noProof w:val="0"/>
          <w:sz w:val="18"/>
          <w:lang w:eastAsia="de-DE" w:bidi="en-US"/>
        </w:rPr>
        <w:t>, 399–421.</w:t>
      </w:r>
    </w:p>
    <w:p w14:paraId="001C5A6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Sepe</w:t>
      </w:r>
      <w:proofErr w:type="spellEnd"/>
      <w:r w:rsidRPr="00683E53">
        <w:rPr>
          <w:rFonts w:eastAsia="Times New Roman"/>
          <w:noProof w:val="0"/>
          <w:sz w:val="18"/>
          <w:lang w:eastAsia="de-DE" w:bidi="en-US"/>
        </w:rPr>
        <w:t xml:space="preserve">, M. Urban history and cultural resources in urban regeneration: A case of creative waterfront renewal. </w:t>
      </w:r>
      <w:r w:rsidRPr="00683E53">
        <w:rPr>
          <w:rFonts w:eastAsia="Times New Roman"/>
          <w:i/>
          <w:noProof w:val="0"/>
          <w:sz w:val="18"/>
          <w:lang w:eastAsia="de-DE" w:bidi="en-US"/>
        </w:rPr>
        <w:t xml:space="preserve">Plan. </w:t>
      </w:r>
      <w:proofErr w:type="spellStart"/>
      <w:r w:rsidRPr="00683E53">
        <w:rPr>
          <w:rFonts w:eastAsia="Times New Roman"/>
          <w:i/>
          <w:noProof w:val="0"/>
          <w:sz w:val="18"/>
          <w:lang w:eastAsia="de-DE" w:bidi="en-US"/>
        </w:rPr>
        <w:t>Perspect</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2013</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28</w:t>
      </w:r>
      <w:r w:rsidRPr="00683E53">
        <w:rPr>
          <w:rFonts w:eastAsia="Times New Roman"/>
          <w:noProof w:val="0"/>
          <w:sz w:val="18"/>
          <w:lang w:eastAsia="de-DE" w:bidi="en-US"/>
        </w:rPr>
        <w:t>, 595–613.</w:t>
      </w:r>
    </w:p>
    <w:p w14:paraId="5AC3D9A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Pinder, D. Seaport decline and cultural heritage sustainability issues in the UK coastal zone. </w:t>
      </w:r>
      <w:r w:rsidRPr="00683E53">
        <w:rPr>
          <w:rFonts w:eastAsia="Times New Roman"/>
          <w:i/>
          <w:noProof w:val="0"/>
          <w:sz w:val="18"/>
          <w:lang w:eastAsia="de-DE" w:bidi="en-US"/>
        </w:rPr>
        <w:t xml:space="preserve">J. Cult. </w:t>
      </w:r>
      <w:proofErr w:type="spellStart"/>
      <w:r w:rsidRPr="00683E53">
        <w:rPr>
          <w:rFonts w:eastAsia="Times New Roman"/>
          <w:i/>
          <w:noProof w:val="0"/>
          <w:sz w:val="18"/>
          <w:lang w:eastAsia="de-DE" w:bidi="en-US"/>
        </w:rPr>
        <w:t>Herit</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2003</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4</w:t>
      </w:r>
      <w:r w:rsidRPr="00683E53">
        <w:rPr>
          <w:rFonts w:eastAsia="Times New Roman"/>
          <w:noProof w:val="0"/>
          <w:sz w:val="18"/>
          <w:lang w:eastAsia="de-DE" w:bidi="en-US"/>
        </w:rPr>
        <w:t>, 35–47.</w:t>
      </w:r>
    </w:p>
    <w:p w14:paraId="2681F87F"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Hein, C. Port cities and urban wealth: Between global networks and local transformations. </w:t>
      </w:r>
      <w:r w:rsidRPr="00683E53">
        <w:rPr>
          <w:rFonts w:eastAsia="Times New Roman"/>
          <w:i/>
          <w:noProof w:val="0"/>
          <w:sz w:val="18"/>
          <w:lang w:eastAsia="de-DE" w:bidi="en-US"/>
        </w:rPr>
        <w:t>Int. J. Glob. Environ. Issues</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2014</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13,</w:t>
      </w:r>
      <w:r w:rsidRPr="00683E53">
        <w:rPr>
          <w:rFonts w:asciiTheme="minorHAnsi" w:eastAsiaTheme="minorHAnsi" w:hAnsiTheme="minorHAnsi" w:cstheme="minorBidi"/>
          <w:noProof w:val="0"/>
          <w:color w:val="auto"/>
          <w:sz w:val="22"/>
          <w:szCs w:val="22"/>
          <w:lang w:val="en-GB" w:eastAsia="en-US"/>
        </w:rPr>
        <w:t xml:space="preserve"> </w:t>
      </w:r>
      <w:r w:rsidRPr="00683E53">
        <w:rPr>
          <w:rFonts w:eastAsia="Times New Roman"/>
          <w:i/>
          <w:iCs/>
          <w:noProof w:val="0"/>
          <w:sz w:val="18"/>
          <w:lang w:eastAsia="de-DE" w:bidi="en-US"/>
        </w:rPr>
        <w:t>DOI:10.1504/IJGENVI.2014.064510</w:t>
      </w:r>
    </w:p>
    <w:p w14:paraId="6326E8AA"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Kostopoulou</w:t>
      </w:r>
      <w:proofErr w:type="spellEnd"/>
      <w:r w:rsidRPr="00683E53">
        <w:rPr>
          <w:rFonts w:eastAsia="Times New Roman"/>
          <w:noProof w:val="0"/>
          <w:sz w:val="18"/>
          <w:lang w:eastAsia="de-DE" w:bidi="en-US"/>
        </w:rPr>
        <w:t xml:space="preserve">, S. On the revitalized waterfront: Creative milieu for creative tourism.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2013</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5</w:t>
      </w:r>
      <w:r w:rsidRPr="00683E53">
        <w:rPr>
          <w:rFonts w:eastAsia="Times New Roman"/>
          <w:noProof w:val="0"/>
          <w:sz w:val="18"/>
          <w:lang w:eastAsia="de-DE" w:bidi="en-US"/>
        </w:rPr>
        <w:t>, 4578–4593.</w:t>
      </w:r>
    </w:p>
    <w:p w14:paraId="66B8BB5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t>Doloreux</w:t>
      </w:r>
      <w:proofErr w:type="spellEnd"/>
      <w:r w:rsidRPr="00683E53">
        <w:rPr>
          <w:rFonts w:eastAsia="Times New Roman"/>
          <w:noProof w:val="0"/>
          <w:sz w:val="18"/>
          <w:lang w:eastAsia="de-DE" w:bidi="en-US"/>
        </w:rPr>
        <w:t xml:space="preserve">, D. What is a maritime cluster? </w:t>
      </w:r>
      <w:r w:rsidRPr="00683E53">
        <w:rPr>
          <w:rFonts w:eastAsia="Times New Roman"/>
          <w:i/>
          <w:noProof w:val="0"/>
          <w:sz w:val="18"/>
          <w:lang w:eastAsia="de-DE" w:bidi="en-US"/>
        </w:rPr>
        <w:t>Mar. Policy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2017</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83</w:t>
      </w:r>
      <w:r w:rsidRPr="00683E53">
        <w:rPr>
          <w:rFonts w:eastAsia="Times New Roman"/>
          <w:noProof w:val="0"/>
          <w:sz w:val="18"/>
          <w:lang w:eastAsia="de-DE" w:bidi="en-US"/>
        </w:rPr>
        <w:t>, 215–220.</w:t>
      </w:r>
    </w:p>
    <w:p w14:paraId="57F8D76B" w14:textId="4A7DA680"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Mohammed, T.I. 2019. All </w:t>
      </w:r>
      <w:proofErr w:type="gramStart"/>
      <w:r w:rsidRPr="00683E53">
        <w:rPr>
          <w:rFonts w:eastAsia="Times New Roman"/>
          <w:noProof w:val="0"/>
          <w:sz w:val="18"/>
          <w:lang w:eastAsia="de-DE" w:bidi="en-US"/>
        </w:rPr>
        <w:t>Hands on</w:t>
      </w:r>
      <w:proofErr w:type="gramEnd"/>
      <w:r w:rsidRPr="00683E53">
        <w:rPr>
          <w:rFonts w:eastAsia="Times New Roman"/>
          <w:noProof w:val="0"/>
          <w:sz w:val="18"/>
          <w:lang w:eastAsia="de-DE" w:bidi="en-US"/>
        </w:rPr>
        <w:t xml:space="preserve"> Deck: Addressing Key Challenges in Kenya’s MET System in Compliance with The STCW Convention and Code for Sustainable Blue Economy Growth. In Proceedings of the 1st TUM Multidisciplinary Conference and Innovation Week.  Available online: </w:t>
      </w:r>
      <w:r w:rsidR="00C36764">
        <w:rPr>
          <w:rFonts w:eastAsia="Times New Roman"/>
          <w:noProof w:val="0"/>
          <w:sz w:val="18"/>
          <w:lang w:eastAsia="de-DE" w:bidi="en-US"/>
        </w:rPr>
        <w:t>h</w:t>
      </w:r>
      <w:r w:rsidRPr="00683E53">
        <w:rPr>
          <w:rFonts w:eastAsia="Times New Roman"/>
          <w:noProof w:val="0"/>
          <w:sz w:val="18"/>
          <w:lang w:eastAsia="de-DE" w:bidi="en-US"/>
        </w:rPr>
        <w:t>ttps://www.researchgate.net/publication/332910573_All_Hands_on_Deck_Addressing_Key_Challenges_in_Kenya%27s_MET_System_in_Compliance_with_The_STCW_Convention_and_Code_for_Sustainable_Blue_Economy_Growth (accessed on 22 February 2021).</w:t>
      </w:r>
    </w:p>
    <w:p w14:paraId="006D0EA6"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Li, M.; Luo, M. Review of existing studies on maritime clusters. </w:t>
      </w:r>
      <w:proofErr w:type="spellStart"/>
      <w:r w:rsidRPr="00683E53">
        <w:rPr>
          <w:rFonts w:eastAsia="Times New Roman"/>
          <w:i/>
          <w:noProof w:val="0"/>
          <w:sz w:val="18"/>
          <w:lang w:eastAsia="de-DE" w:bidi="en-US"/>
        </w:rPr>
        <w:t>Marit</w:t>
      </w:r>
      <w:proofErr w:type="spellEnd"/>
      <w:r w:rsidRPr="00683E53">
        <w:rPr>
          <w:rFonts w:eastAsia="Times New Roman"/>
          <w:i/>
          <w:noProof w:val="0"/>
          <w:sz w:val="18"/>
          <w:lang w:eastAsia="de-DE" w:bidi="en-US"/>
        </w:rPr>
        <w:t xml:space="preserve">. Policy </w:t>
      </w:r>
      <w:proofErr w:type="spellStart"/>
      <w:r w:rsidRPr="00683E53">
        <w:rPr>
          <w:rFonts w:eastAsia="Times New Roman"/>
          <w:i/>
          <w:noProof w:val="0"/>
          <w:sz w:val="18"/>
          <w:lang w:eastAsia="de-DE" w:bidi="en-US"/>
        </w:rPr>
        <w:t>Manag</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2020</w:t>
      </w:r>
      <w:r w:rsidRPr="00683E53">
        <w:rPr>
          <w:rFonts w:eastAsia="Times New Roman"/>
          <w:noProof w:val="0"/>
          <w:sz w:val="18"/>
          <w:lang w:eastAsia="de-DE" w:bidi="en-US"/>
        </w:rPr>
        <w:t>, doi:10.1080/03088839.2020.1802786</w:t>
      </w:r>
    </w:p>
    <w:p w14:paraId="72D7A38F"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Hein, C.; Schubert, D. Resilience and Path Dependence: A Comparative Study of the Port Cities of London, Hamburg, and Philadelphia. </w:t>
      </w:r>
      <w:r w:rsidRPr="00683E53">
        <w:rPr>
          <w:rFonts w:eastAsia="Times New Roman"/>
          <w:i/>
          <w:noProof w:val="0"/>
          <w:sz w:val="18"/>
          <w:lang w:eastAsia="de-DE" w:bidi="en-US"/>
        </w:rPr>
        <w:t xml:space="preserve">J. Urban Hist. </w:t>
      </w:r>
      <w:r w:rsidRPr="00683E53">
        <w:rPr>
          <w:rFonts w:eastAsia="Times New Roman"/>
          <w:b/>
          <w:bCs/>
          <w:noProof w:val="0"/>
          <w:sz w:val="18"/>
          <w:lang w:eastAsia="de-DE" w:bidi="en-US"/>
        </w:rPr>
        <w:t>2021</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47</w:t>
      </w:r>
      <w:r w:rsidRPr="00683E53">
        <w:rPr>
          <w:rFonts w:eastAsia="Times New Roman"/>
          <w:noProof w:val="0"/>
          <w:sz w:val="18"/>
          <w:lang w:eastAsia="de-DE" w:bidi="en-US"/>
        </w:rPr>
        <w:t>, 389–419.</w:t>
      </w:r>
    </w:p>
    <w:p w14:paraId="55AA9A10"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proofErr w:type="spellStart"/>
      <w:r w:rsidRPr="00683E53">
        <w:rPr>
          <w:rFonts w:eastAsia="Times New Roman"/>
          <w:noProof w:val="0"/>
          <w:sz w:val="18"/>
          <w:lang w:eastAsia="de-DE" w:bidi="en-US"/>
        </w:rPr>
        <w:lastRenderedPageBreak/>
        <w:t>Moeremans</w:t>
      </w:r>
      <w:proofErr w:type="spellEnd"/>
      <w:r w:rsidRPr="00683E53">
        <w:rPr>
          <w:rFonts w:eastAsia="Times New Roman"/>
          <w:noProof w:val="0"/>
          <w:sz w:val="18"/>
          <w:lang w:eastAsia="de-DE" w:bidi="en-US"/>
        </w:rPr>
        <w:t xml:space="preserve">, B.; Dooms, M. An Exploration of Social License to Operate (SLTO) Measurement in the Port Industry: The Case of North America.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2021</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13</w:t>
      </w:r>
      <w:r w:rsidRPr="00683E53">
        <w:rPr>
          <w:rFonts w:eastAsia="Times New Roman"/>
          <w:noProof w:val="0"/>
          <w:sz w:val="18"/>
          <w:lang w:eastAsia="de-DE" w:bidi="en-US"/>
        </w:rPr>
        <w:t>, 1–26.</w:t>
      </w:r>
    </w:p>
    <w:p w14:paraId="0CE53999"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IAPH, 2018. World Container Traffic Data, 2018. Available online: https://www.iaphworldports.org/statistics (accessed on 12 February 2019).</w:t>
      </w:r>
    </w:p>
    <w:p w14:paraId="50DF57A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Lloyds List. 2018. One Hundred Ports. Available online: https://transportationstore.informa.com/wp-content/uploads/woocommerce_uploads/2018/09/LL-Top-Ports-sampler.pdf (accessed on 7 February 2019).</w:t>
      </w:r>
    </w:p>
    <w:p w14:paraId="2331AC6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Ship Technology, 2019. Biggest Cruise Ports. Available online: https://www.ship-technology.com/features/worlds-busiest-cruise-ports/ (accessed on 11 February 2021).</w:t>
      </w:r>
    </w:p>
    <w:p w14:paraId="43AFE15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CLIA Asia. 2018. Asian Cruise Trends Report. Available online: https://cliaasia.org/wp-content/uploads/2018/08/asia-cruise-trends-2018.pdf (accessed on 18 May 2019).</w:t>
      </w:r>
    </w:p>
    <w:p w14:paraId="4D653627"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Cruise Industry News. 2017. The Biggest Cruise Ports. Available online: https://www.cruiseindustrynews.com/cruise-news/17487-the-busiest-cruise-ports.html (accessed on 9 February 2021).</w:t>
      </w:r>
    </w:p>
    <w:p w14:paraId="3EDB44B1"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Christodoulou, A.; Cullinane, K. Identifying the Main Opportunities and Challenges from the Implementation of a Port Energy Management System: A swot / pestle Analysis. </w:t>
      </w:r>
      <w:r w:rsidRPr="00683E53">
        <w:rPr>
          <w:rFonts w:eastAsia="Times New Roman"/>
          <w:i/>
          <w:iCs/>
          <w:noProof w:val="0"/>
          <w:sz w:val="18"/>
          <w:lang w:eastAsia="de-DE" w:bidi="en-US"/>
        </w:rPr>
        <w:t>Sustainability</w:t>
      </w:r>
      <w:r w:rsidRPr="00683E53">
        <w:rPr>
          <w:rFonts w:eastAsia="Times New Roman"/>
          <w:noProof w:val="0"/>
          <w:sz w:val="18"/>
          <w:lang w:eastAsia="de-DE" w:bidi="en-US"/>
        </w:rPr>
        <w:t xml:space="preserve"> </w:t>
      </w:r>
      <w:r w:rsidRPr="00683E53">
        <w:rPr>
          <w:rFonts w:eastAsia="Times New Roman"/>
          <w:b/>
          <w:bCs/>
          <w:noProof w:val="0"/>
          <w:sz w:val="18"/>
          <w:lang w:eastAsia="de-DE" w:bidi="en-US"/>
        </w:rPr>
        <w:t>2019</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11</w:t>
      </w:r>
      <w:r w:rsidRPr="00683E53">
        <w:rPr>
          <w:rFonts w:eastAsia="Times New Roman"/>
          <w:noProof w:val="0"/>
          <w:sz w:val="18"/>
          <w:lang w:eastAsia="de-DE" w:bidi="en-US"/>
        </w:rPr>
        <w:t>, 1–15.</w:t>
      </w:r>
    </w:p>
    <w:p w14:paraId="7CE721EC"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VCU. 2021. Nominal Association: Phi and Cramer’s V. Available online: http://www.people.vcu.edu/~pdattalo/702SuppRead/MeasAssoc/NominalAssoc.html (accessed on 16 March 2021).</w:t>
      </w:r>
    </w:p>
    <w:p w14:paraId="4A0D62F4"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Conover, W.J. Some Reasons for Not Using the Yates Continuity Correction on 2 × 2 Contingency Tables. </w:t>
      </w:r>
      <w:r w:rsidRPr="00683E53">
        <w:rPr>
          <w:rFonts w:eastAsia="Times New Roman"/>
          <w:i/>
          <w:noProof w:val="0"/>
          <w:sz w:val="18"/>
          <w:lang w:eastAsia="de-DE" w:bidi="en-US"/>
        </w:rPr>
        <w:t xml:space="preserve">J. Am. Stat. Assoc. </w:t>
      </w:r>
      <w:r w:rsidRPr="00683E53">
        <w:rPr>
          <w:rFonts w:eastAsia="Times New Roman"/>
          <w:b/>
          <w:bCs/>
          <w:noProof w:val="0"/>
          <w:sz w:val="18"/>
          <w:lang w:eastAsia="de-DE" w:bidi="en-US"/>
        </w:rPr>
        <w:t>1974</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69</w:t>
      </w:r>
      <w:r w:rsidRPr="00683E53">
        <w:rPr>
          <w:rFonts w:eastAsia="Times New Roman"/>
          <w:noProof w:val="0"/>
          <w:sz w:val="18"/>
          <w:lang w:eastAsia="de-DE" w:bidi="en-US"/>
        </w:rPr>
        <w:t>, 374–376.</w:t>
      </w:r>
    </w:p>
    <w:p w14:paraId="7E9A0D2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Jamieson, S. Likert scales: How to (ab)use them. </w:t>
      </w:r>
      <w:r w:rsidRPr="00683E53">
        <w:rPr>
          <w:rFonts w:eastAsia="Times New Roman"/>
          <w:i/>
          <w:noProof w:val="0"/>
          <w:sz w:val="18"/>
          <w:lang w:eastAsia="de-DE" w:bidi="en-US"/>
        </w:rPr>
        <w:t xml:space="preserve">Med Educ. </w:t>
      </w:r>
      <w:r w:rsidRPr="00683E53">
        <w:rPr>
          <w:rFonts w:eastAsia="Times New Roman"/>
          <w:b/>
          <w:bCs/>
          <w:noProof w:val="0"/>
          <w:sz w:val="18"/>
          <w:lang w:eastAsia="de-DE" w:bidi="en-US"/>
        </w:rPr>
        <w:t>2004</w:t>
      </w:r>
      <w:r w:rsidRPr="00683E53">
        <w:rPr>
          <w:rFonts w:eastAsia="Times New Roman"/>
          <w:noProof w:val="0"/>
          <w:sz w:val="18"/>
          <w:lang w:eastAsia="de-DE" w:bidi="en-US"/>
        </w:rPr>
        <w:t xml:space="preserve">, </w:t>
      </w:r>
      <w:r w:rsidRPr="00683E53">
        <w:rPr>
          <w:rFonts w:eastAsia="Times New Roman"/>
          <w:i/>
          <w:iCs/>
          <w:noProof w:val="0"/>
          <w:sz w:val="18"/>
          <w:lang w:eastAsia="de-DE" w:bidi="en-US"/>
        </w:rPr>
        <w:t>38</w:t>
      </w:r>
      <w:r w:rsidRPr="00683E53">
        <w:rPr>
          <w:rFonts w:eastAsia="Times New Roman"/>
          <w:noProof w:val="0"/>
          <w:sz w:val="18"/>
          <w:lang w:eastAsia="de-DE" w:bidi="en-US"/>
        </w:rPr>
        <w:t>, 1212–1218.</w:t>
      </w:r>
    </w:p>
    <w:p w14:paraId="76F8255A"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IBM, 2021. SPSS. Available online: https://www.ibm.com/analytics/spss-statistics-software (accessed on 16 March 2021).</w:t>
      </w:r>
    </w:p>
    <w:p w14:paraId="28BDDBEB"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Roberts, T.; Williams, I.; Preston, J. The Southampton System: A new universal standard approach to port-city classification. </w:t>
      </w:r>
      <w:proofErr w:type="spellStart"/>
      <w:r w:rsidRPr="00683E53">
        <w:rPr>
          <w:rFonts w:eastAsia="Times New Roman"/>
          <w:i/>
          <w:noProof w:val="0"/>
          <w:sz w:val="18"/>
          <w:lang w:eastAsia="de-DE" w:bidi="en-US"/>
        </w:rPr>
        <w:t>Marit</w:t>
      </w:r>
      <w:proofErr w:type="spellEnd"/>
      <w:r w:rsidRPr="00683E53">
        <w:rPr>
          <w:rFonts w:eastAsia="Times New Roman"/>
          <w:i/>
          <w:noProof w:val="0"/>
          <w:sz w:val="18"/>
          <w:lang w:eastAsia="de-DE" w:bidi="en-US"/>
        </w:rPr>
        <w:t xml:space="preserve">. Policy </w:t>
      </w:r>
      <w:proofErr w:type="spellStart"/>
      <w:r w:rsidRPr="00683E53">
        <w:rPr>
          <w:rFonts w:eastAsia="Times New Roman"/>
          <w:i/>
          <w:noProof w:val="0"/>
          <w:sz w:val="18"/>
          <w:lang w:eastAsia="de-DE" w:bidi="en-US"/>
        </w:rPr>
        <w:t>Manag</w:t>
      </w:r>
      <w:proofErr w:type="spellEnd"/>
      <w:r w:rsidRPr="00683E53">
        <w:rPr>
          <w:rFonts w:eastAsia="Times New Roman"/>
          <w:i/>
          <w:noProof w:val="0"/>
          <w:sz w:val="18"/>
          <w:lang w:eastAsia="de-DE" w:bidi="en-US"/>
        </w:rPr>
        <w:t xml:space="preserve">. </w:t>
      </w:r>
      <w:r w:rsidRPr="00683E53">
        <w:rPr>
          <w:rFonts w:eastAsia="Times New Roman"/>
          <w:b/>
          <w:bCs/>
          <w:noProof w:val="0"/>
          <w:sz w:val="18"/>
          <w:lang w:eastAsia="de-DE" w:bidi="en-US"/>
        </w:rPr>
        <w:t>2020</w:t>
      </w:r>
      <w:r w:rsidRPr="00683E53">
        <w:rPr>
          <w:rFonts w:eastAsia="Times New Roman"/>
          <w:noProof w:val="0"/>
          <w:sz w:val="18"/>
          <w:lang w:eastAsia="de-DE" w:bidi="en-US"/>
        </w:rPr>
        <w:t>. Available online: https://www.tandfonline.com/doi/full/10.1080/03088839.2020.1802785 (accessed on 10 August 2020).</w:t>
      </w:r>
    </w:p>
    <w:p w14:paraId="16AA8158"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Carpenter, A.; Lozano, R. European Port Cities in Transition: Moving Towards More Sustainable Sea Transport Hubs; Springer Nature: Cham, Switzerland, 2020.</w:t>
      </w:r>
    </w:p>
    <w:p w14:paraId="2630BE93" w14:textId="77777777" w:rsidR="00683E53" w:rsidRPr="00683E53" w:rsidRDefault="00683E53" w:rsidP="00683E53">
      <w:pPr>
        <w:numPr>
          <w:ilvl w:val="0"/>
          <w:numId w:val="15"/>
        </w:numPr>
        <w:spacing w:after="160" w:line="259" w:lineRule="auto"/>
        <w:contextualSpacing/>
        <w:jc w:val="left"/>
        <w:rPr>
          <w:rFonts w:eastAsia="Times New Roman"/>
          <w:noProof w:val="0"/>
          <w:sz w:val="18"/>
          <w:lang w:eastAsia="de-DE" w:bidi="en-US"/>
        </w:rPr>
      </w:pPr>
      <w:r w:rsidRPr="00683E53">
        <w:rPr>
          <w:rFonts w:eastAsia="Times New Roman"/>
          <w:noProof w:val="0"/>
          <w:sz w:val="18"/>
          <w:lang w:eastAsia="de-DE" w:bidi="en-US"/>
        </w:rPr>
        <w:t xml:space="preserve">Girard, L.F.; </w:t>
      </w:r>
      <w:proofErr w:type="spellStart"/>
      <w:r w:rsidRPr="00683E53">
        <w:rPr>
          <w:rFonts w:eastAsia="Times New Roman"/>
          <w:noProof w:val="0"/>
          <w:sz w:val="18"/>
          <w:lang w:eastAsia="de-DE" w:bidi="en-US"/>
        </w:rPr>
        <w:t>Nocca</w:t>
      </w:r>
      <w:proofErr w:type="spellEnd"/>
      <w:r w:rsidRPr="00683E53">
        <w:rPr>
          <w:rFonts w:eastAsia="Times New Roman"/>
          <w:noProof w:val="0"/>
          <w:sz w:val="18"/>
          <w:lang w:eastAsia="de-DE" w:bidi="en-US"/>
        </w:rPr>
        <w:t>, F. Moving Towards the Circular Economy/City Model: Which Tools for Operationalizing This Model? Sustainability 2019, 11, 1–48.</w:t>
      </w:r>
    </w:p>
    <w:p w14:paraId="370BCA52"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Scottish Government, 2021. Green Ports to Aid Economic Recovery. Available online: https://www.gov.scot/news/green-ports-to-aid-economic-recovery/ (accessed on 19 March 2021).</w:t>
      </w:r>
    </w:p>
    <w:p w14:paraId="5A5D791D"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 xml:space="preserve">ESPO. 2021. </w:t>
      </w:r>
      <w:proofErr w:type="spellStart"/>
      <w:r w:rsidRPr="00683E53">
        <w:rPr>
          <w:rFonts w:eastAsia="Times New Roman"/>
          <w:noProof w:val="0"/>
          <w:sz w:val="18"/>
          <w:lang w:eastAsia="de-DE" w:bidi="en-US"/>
        </w:rPr>
        <w:t>EcoPorts</w:t>
      </w:r>
      <w:proofErr w:type="spellEnd"/>
      <w:r w:rsidRPr="00683E53">
        <w:rPr>
          <w:rFonts w:eastAsia="Times New Roman"/>
          <w:noProof w:val="0"/>
          <w:sz w:val="18"/>
          <w:lang w:eastAsia="de-DE" w:bidi="en-US"/>
        </w:rPr>
        <w:t>. Available online: ecoports.com (accessed on 18 March 2021).</w:t>
      </w:r>
    </w:p>
    <w:p w14:paraId="4EFC38C2" w14:textId="77777777" w:rsidR="00683E53" w:rsidRPr="00683E53" w:rsidRDefault="00683E53" w:rsidP="00683E53">
      <w:pPr>
        <w:numPr>
          <w:ilvl w:val="0"/>
          <w:numId w:val="15"/>
        </w:numPr>
        <w:adjustRightInd w:val="0"/>
        <w:snapToGrid w:val="0"/>
        <w:spacing w:after="160" w:line="228" w:lineRule="auto"/>
        <w:jc w:val="left"/>
        <w:rPr>
          <w:rFonts w:eastAsia="Times New Roman"/>
          <w:noProof w:val="0"/>
          <w:sz w:val="18"/>
          <w:lang w:eastAsia="de-DE" w:bidi="en-US"/>
        </w:rPr>
      </w:pPr>
      <w:r w:rsidRPr="00683E53">
        <w:rPr>
          <w:rFonts w:eastAsia="Times New Roman"/>
          <w:noProof w:val="0"/>
          <w:sz w:val="18"/>
          <w:lang w:eastAsia="de-DE" w:bidi="en-US"/>
        </w:rPr>
        <w:t>Zero Waste Scotland, 2021. Circular Economy Business Models. Available online: https://www.zerowastescotland.org.uk/content/what-are-circular-economy-business-models#:~:text=What%20are%20circular%20economy%20business,for%20as%20long%20as%20possible (accessed on 11 June 2021).</w:t>
      </w:r>
    </w:p>
    <w:p w14:paraId="6ED8BB05" w14:textId="4D8E616D" w:rsidR="00AD34DE" w:rsidRPr="00EA2A02" w:rsidRDefault="00AD34DE" w:rsidP="00001C64">
      <w:pPr>
        <w:pStyle w:val="MDPI71References"/>
        <w:ind w:left="0" w:firstLine="0"/>
      </w:pPr>
    </w:p>
    <w:sectPr w:rsidR="00AD34DE" w:rsidRPr="00EA2A02" w:rsidSect="0029420B">
      <w:headerReference w:type="even" r:id="rId15"/>
      <w:headerReference w:type="default" r:id="rId16"/>
      <w:headerReference w:type="first" r:id="rId17"/>
      <w:footerReference w:type="first" r:id="rId18"/>
      <w:type w:val="continuous"/>
      <w:pgSz w:w="11906" w:h="16838" w:code="9"/>
      <w:pgMar w:top="1417" w:right="720" w:bottom="1077" w:left="720" w:header="1020" w:footer="340" w:gutter="0"/>
      <w:lnNumType w:countBy="1"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92B1F" w14:textId="77777777" w:rsidR="00EA5537" w:rsidRDefault="00EA5537">
      <w:pPr>
        <w:spacing w:line="240" w:lineRule="auto"/>
      </w:pPr>
      <w:r>
        <w:separator/>
      </w:r>
    </w:p>
  </w:endnote>
  <w:endnote w:type="continuationSeparator" w:id="0">
    <w:p w14:paraId="191BA769" w14:textId="77777777" w:rsidR="00EA5537" w:rsidRDefault="00EA5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F430F" w14:textId="77777777" w:rsidR="00922A2B" w:rsidRDefault="00922A2B" w:rsidP="004F0E02">
    <w:pPr>
      <w:pStyle w:val="MDPIfooterfirstpage"/>
      <w:pBdr>
        <w:top w:val="single" w:sz="4" w:space="0" w:color="000000"/>
      </w:pBdr>
      <w:adjustRightInd w:val="0"/>
      <w:snapToGrid w:val="0"/>
      <w:spacing w:before="480" w:line="100" w:lineRule="exact"/>
      <w:rPr>
        <w:i/>
        <w:iCs/>
        <w:szCs w:val="16"/>
      </w:rPr>
    </w:pPr>
  </w:p>
  <w:p w14:paraId="073C5D8F" w14:textId="77777777" w:rsidR="00922A2B" w:rsidRPr="008B308E" w:rsidRDefault="00922A2B" w:rsidP="00BA570C">
    <w:pPr>
      <w:pStyle w:val="MDPIfooterfirstpage"/>
      <w:tabs>
        <w:tab w:val="clear" w:pos="8845"/>
        <w:tab w:val="right" w:pos="10466"/>
      </w:tabs>
      <w:spacing w:line="240" w:lineRule="auto"/>
      <w:jc w:val="both"/>
      <w:rPr>
        <w:lang w:val="fr-CH"/>
      </w:rPr>
    </w:pPr>
    <w:r w:rsidRPr="00C30F79">
      <w:rPr>
        <w:i/>
        <w:iCs/>
        <w:szCs w:val="16"/>
      </w:rPr>
      <w:t>Sustainability</w:t>
    </w:r>
    <w:r w:rsidRPr="00C30F79">
      <w:rPr>
        <w:szCs w:val="16"/>
      </w:rPr>
      <w:t xml:space="preserve"> </w:t>
    </w:r>
    <w:r w:rsidRPr="003337EA">
      <w:rPr>
        <w:b/>
        <w:bCs/>
        <w:iCs/>
        <w:szCs w:val="16"/>
      </w:rPr>
      <w:t>2021</w:t>
    </w:r>
    <w:r w:rsidRPr="00632077">
      <w:rPr>
        <w:bCs/>
        <w:iCs/>
        <w:szCs w:val="16"/>
      </w:rPr>
      <w:t xml:space="preserve">, </w:t>
    </w:r>
    <w:r w:rsidRPr="003337EA">
      <w:rPr>
        <w:bCs/>
        <w:i/>
        <w:iCs/>
        <w:szCs w:val="16"/>
      </w:rPr>
      <w:t>13</w:t>
    </w:r>
    <w:r w:rsidRPr="00632077">
      <w:rPr>
        <w:bCs/>
        <w:iCs/>
        <w:szCs w:val="16"/>
      </w:rPr>
      <w:t xml:space="preserve">, </w:t>
    </w:r>
    <w:r>
      <w:rPr>
        <w:bCs/>
        <w:iCs/>
        <w:szCs w:val="16"/>
      </w:rPr>
      <w:t>x. https://doi.org/10.3390/xxxxx</w:t>
    </w:r>
    <w:r w:rsidRPr="008B308E">
      <w:rPr>
        <w:lang w:val="fr-CH"/>
      </w:rPr>
      <w:tab/>
      <w:t>www.mdpi.com/journal/</w:t>
    </w:r>
    <w:r w:rsidRPr="003915ED">
      <w:t>sustainability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48F49" w14:textId="77777777" w:rsidR="00EA5537" w:rsidRDefault="00EA5537">
      <w:pPr>
        <w:spacing w:line="240" w:lineRule="auto"/>
      </w:pPr>
      <w:r>
        <w:separator/>
      </w:r>
    </w:p>
  </w:footnote>
  <w:footnote w:type="continuationSeparator" w:id="0">
    <w:p w14:paraId="5AD3D456" w14:textId="77777777" w:rsidR="00EA5537" w:rsidRDefault="00EA55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F921" w14:textId="77777777" w:rsidR="00922A2B" w:rsidRDefault="00922A2B"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5CF71" w14:textId="3BF42912" w:rsidR="00922A2B" w:rsidRDefault="00922A2B" w:rsidP="00BA570C">
    <w:pPr>
      <w:tabs>
        <w:tab w:val="right" w:pos="10466"/>
      </w:tabs>
      <w:adjustRightInd w:val="0"/>
      <w:snapToGrid w:val="0"/>
      <w:spacing w:line="240" w:lineRule="auto"/>
      <w:rPr>
        <w:sz w:val="16"/>
      </w:rPr>
    </w:pPr>
    <w:r>
      <w:rPr>
        <w:i/>
        <w:sz w:val="16"/>
      </w:rPr>
      <w:t xml:space="preserve">Sustainability </w:t>
    </w:r>
    <w:r w:rsidRPr="005028E5">
      <w:rPr>
        <w:b/>
        <w:sz w:val="16"/>
      </w:rPr>
      <w:t>2021</w:t>
    </w:r>
    <w:r w:rsidRPr="00632077">
      <w:rPr>
        <w:sz w:val="16"/>
      </w:rPr>
      <w:t xml:space="preserve">, </w:t>
    </w:r>
    <w:r w:rsidRPr="005028E5">
      <w:rPr>
        <w:i/>
        <w:sz w:val="16"/>
      </w:rPr>
      <w:t>13</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24</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26</w:t>
    </w:r>
    <w:r>
      <w:rPr>
        <w:sz w:val="16"/>
      </w:rPr>
      <w:fldChar w:fldCharType="end"/>
    </w:r>
  </w:p>
  <w:p w14:paraId="5B642134" w14:textId="77777777" w:rsidR="00922A2B" w:rsidRPr="0050778E" w:rsidRDefault="00922A2B"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922A2B" w:rsidRPr="00BA570C" w14:paraId="5C6E95DC" w14:textId="77777777" w:rsidTr="00BA570C">
      <w:trPr>
        <w:trHeight w:val="686"/>
      </w:trPr>
      <w:tc>
        <w:tcPr>
          <w:tcW w:w="3679" w:type="dxa"/>
          <w:shd w:val="clear" w:color="auto" w:fill="auto"/>
          <w:vAlign w:val="center"/>
        </w:tcPr>
        <w:p w14:paraId="5065844F" w14:textId="77777777" w:rsidR="00922A2B" w:rsidRPr="00401235" w:rsidRDefault="00922A2B" w:rsidP="00BA570C">
          <w:pPr>
            <w:pStyle w:val="Header"/>
            <w:pBdr>
              <w:bottom w:val="none" w:sz="0" w:space="0" w:color="auto"/>
            </w:pBdr>
            <w:jc w:val="left"/>
            <w:rPr>
              <w:rFonts w:eastAsia="DengXian"/>
              <w:b/>
              <w:bCs/>
            </w:rPr>
          </w:pPr>
          <w:r w:rsidRPr="00401235">
            <w:rPr>
              <w:rFonts w:eastAsia="DengXian"/>
              <w:b/>
              <w:bCs/>
              <w:lang w:eastAsia="en-US"/>
            </w:rPr>
            <w:drawing>
              <wp:inline distT="0" distB="0" distL="0" distR="0" wp14:anchorId="7E8CEA5A" wp14:editId="7F076EDC">
                <wp:extent cx="1685290" cy="429895"/>
                <wp:effectExtent l="0" t="0" r="0" b="0"/>
                <wp:docPr id="5" name="Picture 5" descr="C:\Users\home\AppData\Local\Temp\HZ$D.082.3379\sustainabil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379\sustainability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29895"/>
                        </a:xfrm>
                        <a:prstGeom prst="rect">
                          <a:avLst/>
                        </a:prstGeom>
                        <a:noFill/>
                        <a:ln>
                          <a:noFill/>
                        </a:ln>
                      </pic:spPr>
                    </pic:pic>
                  </a:graphicData>
                </a:graphic>
              </wp:inline>
            </w:drawing>
          </w:r>
        </w:p>
      </w:tc>
      <w:tc>
        <w:tcPr>
          <w:tcW w:w="4535" w:type="dxa"/>
          <w:shd w:val="clear" w:color="auto" w:fill="auto"/>
          <w:vAlign w:val="center"/>
        </w:tcPr>
        <w:p w14:paraId="6191B5EB" w14:textId="77777777" w:rsidR="00922A2B" w:rsidRPr="00401235" w:rsidRDefault="00922A2B" w:rsidP="00BA570C">
          <w:pPr>
            <w:pStyle w:val="Header"/>
            <w:pBdr>
              <w:bottom w:val="none" w:sz="0" w:space="0" w:color="auto"/>
            </w:pBdr>
            <w:rPr>
              <w:rFonts w:eastAsia="DengXian"/>
              <w:b/>
              <w:bCs/>
            </w:rPr>
          </w:pPr>
        </w:p>
      </w:tc>
      <w:tc>
        <w:tcPr>
          <w:tcW w:w="2273" w:type="dxa"/>
          <w:shd w:val="clear" w:color="auto" w:fill="auto"/>
          <w:vAlign w:val="center"/>
        </w:tcPr>
        <w:p w14:paraId="2DFCF5CD" w14:textId="77777777" w:rsidR="00922A2B" w:rsidRPr="00401235" w:rsidRDefault="00922A2B" w:rsidP="00BA570C">
          <w:pPr>
            <w:pStyle w:val="Header"/>
            <w:pBdr>
              <w:bottom w:val="none" w:sz="0" w:space="0" w:color="auto"/>
            </w:pBdr>
            <w:jc w:val="right"/>
            <w:rPr>
              <w:rFonts w:eastAsia="DengXian"/>
              <w:b/>
              <w:bCs/>
            </w:rPr>
          </w:pPr>
          <w:r w:rsidRPr="00401235">
            <w:rPr>
              <w:rFonts w:eastAsia="DengXian"/>
              <w:b/>
              <w:bCs/>
              <w:lang w:eastAsia="en-US"/>
            </w:rPr>
            <w:drawing>
              <wp:inline distT="0" distB="0" distL="0" distR="0" wp14:anchorId="5B34EAFA" wp14:editId="182758CE">
                <wp:extent cx="539115" cy="354965"/>
                <wp:effectExtent l="0" t="0" r="0" b="0"/>
                <wp:docPr id="6" name="Picture 6"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 cy="354965"/>
                        </a:xfrm>
                        <a:prstGeom prst="rect">
                          <a:avLst/>
                        </a:prstGeom>
                        <a:noFill/>
                        <a:ln>
                          <a:noFill/>
                        </a:ln>
                      </pic:spPr>
                    </pic:pic>
                  </a:graphicData>
                </a:graphic>
              </wp:inline>
            </w:drawing>
          </w:r>
        </w:p>
      </w:tc>
    </w:tr>
  </w:tbl>
  <w:p w14:paraId="1977F157" w14:textId="77777777" w:rsidR="00922A2B" w:rsidRPr="00281E5B" w:rsidRDefault="00922A2B"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9469D"/>
    <w:multiLevelType w:val="hybridMultilevel"/>
    <w:tmpl w:val="8AAC8106"/>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FC35D75"/>
    <w:multiLevelType w:val="hybridMultilevel"/>
    <w:tmpl w:val="3844DEEA"/>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70FA6F73"/>
    <w:multiLevelType w:val="hybridMultilevel"/>
    <w:tmpl w:val="AEC67040"/>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12" w15:restartNumberingAfterBreak="0">
    <w:nsid w:val="79D8175E"/>
    <w:multiLevelType w:val="hybridMultilevel"/>
    <w:tmpl w:val="69C63ACC"/>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num w:numId="1">
    <w:abstractNumId w:val="4"/>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
  </w:num>
  <w:num w:numId="8">
    <w:abstractNumId w:val="8"/>
  </w:num>
  <w:num w:numId="9">
    <w:abstractNumId w:val="1"/>
  </w:num>
  <w:num w:numId="10">
    <w:abstractNumId w:val="8"/>
  </w:num>
  <w:num w:numId="11">
    <w:abstractNumId w:val="1"/>
  </w:num>
  <w:num w:numId="12">
    <w:abstractNumId w:val="10"/>
  </w:num>
  <w:num w:numId="13">
    <w:abstractNumId w:val="8"/>
  </w:num>
  <w:num w:numId="14">
    <w:abstractNumId w:val="1"/>
  </w:num>
  <w:num w:numId="15">
    <w:abstractNumId w:val="0"/>
  </w:num>
  <w:num w:numId="16">
    <w:abstractNumId w:val="7"/>
  </w:num>
  <w:num w:numId="17">
    <w:abstractNumId w:val="9"/>
  </w:num>
  <w:num w:numId="18">
    <w:abstractNumId w:val="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tjAwMzM0MLU0sjRX0lEKTi0uzszPAykwrAUAXFQrNSwAAAA="/>
  </w:docVars>
  <w:rsids>
    <w:rsidRoot w:val="00E43486"/>
    <w:rsid w:val="00001C64"/>
    <w:rsid w:val="000142CA"/>
    <w:rsid w:val="00020CE2"/>
    <w:rsid w:val="0002400C"/>
    <w:rsid w:val="0002426C"/>
    <w:rsid w:val="000310D3"/>
    <w:rsid w:val="00051876"/>
    <w:rsid w:val="00064772"/>
    <w:rsid w:val="00067ECE"/>
    <w:rsid w:val="00071218"/>
    <w:rsid w:val="00080EFC"/>
    <w:rsid w:val="000855EA"/>
    <w:rsid w:val="000925CA"/>
    <w:rsid w:val="00093E7F"/>
    <w:rsid w:val="000B6F53"/>
    <w:rsid w:val="000D66DA"/>
    <w:rsid w:val="000E6992"/>
    <w:rsid w:val="000E7715"/>
    <w:rsid w:val="000F13E6"/>
    <w:rsid w:val="00104D24"/>
    <w:rsid w:val="001069DC"/>
    <w:rsid w:val="0011196A"/>
    <w:rsid w:val="00115682"/>
    <w:rsid w:val="00130E6C"/>
    <w:rsid w:val="001378DE"/>
    <w:rsid w:val="00177D99"/>
    <w:rsid w:val="00177E40"/>
    <w:rsid w:val="00182D23"/>
    <w:rsid w:val="00185980"/>
    <w:rsid w:val="00187023"/>
    <w:rsid w:val="00195A68"/>
    <w:rsid w:val="001A1BB3"/>
    <w:rsid w:val="001A27B2"/>
    <w:rsid w:val="001A57BF"/>
    <w:rsid w:val="001B03B9"/>
    <w:rsid w:val="001B0B91"/>
    <w:rsid w:val="001B38D4"/>
    <w:rsid w:val="001C07B5"/>
    <w:rsid w:val="001D19A9"/>
    <w:rsid w:val="001D4BF6"/>
    <w:rsid w:val="001D7AAC"/>
    <w:rsid w:val="001E2AEB"/>
    <w:rsid w:val="002039F6"/>
    <w:rsid w:val="00203F2C"/>
    <w:rsid w:val="00204327"/>
    <w:rsid w:val="00217137"/>
    <w:rsid w:val="0022638C"/>
    <w:rsid w:val="002266AA"/>
    <w:rsid w:val="00232DB2"/>
    <w:rsid w:val="00245ED3"/>
    <w:rsid w:val="00253CA3"/>
    <w:rsid w:val="00256E65"/>
    <w:rsid w:val="00263A2D"/>
    <w:rsid w:val="00281E5B"/>
    <w:rsid w:val="0029190A"/>
    <w:rsid w:val="00292CDD"/>
    <w:rsid w:val="0029420B"/>
    <w:rsid w:val="002A4873"/>
    <w:rsid w:val="002A7208"/>
    <w:rsid w:val="002C7F7D"/>
    <w:rsid w:val="002D2D8E"/>
    <w:rsid w:val="002D650D"/>
    <w:rsid w:val="002E57DB"/>
    <w:rsid w:val="002E5B86"/>
    <w:rsid w:val="002F1BFE"/>
    <w:rsid w:val="002F35A4"/>
    <w:rsid w:val="002F789E"/>
    <w:rsid w:val="00306515"/>
    <w:rsid w:val="0031141A"/>
    <w:rsid w:val="00315A41"/>
    <w:rsid w:val="003168BC"/>
    <w:rsid w:val="00316C89"/>
    <w:rsid w:val="00326141"/>
    <w:rsid w:val="003266BF"/>
    <w:rsid w:val="003337EA"/>
    <w:rsid w:val="00337833"/>
    <w:rsid w:val="00354A5A"/>
    <w:rsid w:val="00373015"/>
    <w:rsid w:val="00383253"/>
    <w:rsid w:val="0039110B"/>
    <w:rsid w:val="003944DB"/>
    <w:rsid w:val="00394DD3"/>
    <w:rsid w:val="003B7D90"/>
    <w:rsid w:val="003C38A3"/>
    <w:rsid w:val="003D0980"/>
    <w:rsid w:val="003D1D40"/>
    <w:rsid w:val="003E66C7"/>
    <w:rsid w:val="003E7640"/>
    <w:rsid w:val="003F6C3A"/>
    <w:rsid w:val="00401235"/>
    <w:rsid w:val="00401D30"/>
    <w:rsid w:val="0040637F"/>
    <w:rsid w:val="00422930"/>
    <w:rsid w:val="004456D4"/>
    <w:rsid w:val="00451C31"/>
    <w:rsid w:val="004564BB"/>
    <w:rsid w:val="00470D89"/>
    <w:rsid w:val="004760C0"/>
    <w:rsid w:val="0047692B"/>
    <w:rsid w:val="00476B4C"/>
    <w:rsid w:val="00492944"/>
    <w:rsid w:val="00496283"/>
    <w:rsid w:val="004A00EE"/>
    <w:rsid w:val="004A5153"/>
    <w:rsid w:val="004B0B17"/>
    <w:rsid w:val="004C1A44"/>
    <w:rsid w:val="004C1DB1"/>
    <w:rsid w:val="004C3F57"/>
    <w:rsid w:val="004C46B1"/>
    <w:rsid w:val="004D6FB7"/>
    <w:rsid w:val="004E0F98"/>
    <w:rsid w:val="004E21A1"/>
    <w:rsid w:val="004F0E02"/>
    <w:rsid w:val="004F2BC6"/>
    <w:rsid w:val="004F5267"/>
    <w:rsid w:val="004F6C5F"/>
    <w:rsid w:val="005028E5"/>
    <w:rsid w:val="00511E44"/>
    <w:rsid w:val="005120AA"/>
    <w:rsid w:val="005327C9"/>
    <w:rsid w:val="00562826"/>
    <w:rsid w:val="005660F6"/>
    <w:rsid w:val="0057659D"/>
    <w:rsid w:val="005819A6"/>
    <w:rsid w:val="00584543"/>
    <w:rsid w:val="00586F92"/>
    <w:rsid w:val="0058776F"/>
    <w:rsid w:val="005A0F9C"/>
    <w:rsid w:val="005E14E8"/>
    <w:rsid w:val="005E406E"/>
    <w:rsid w:val="005E4685"/>
    <w:rsid w:val="005E6C18"/>
    <w:rsid w:val="00601599"/>
    <w:rsid w:val="006031B8"/>
    <w:rsid w:val="00604689"/>
    <w:rsid w:val="00604EDE"/>
    <w:rsid w:val="00607F24"/>
    <w:rsid w:val="006204BC"/>
    <w:rsid w:val="00632077"/>
    <w:rsid w:val="00641199"/>
    <w:rsid w:val="006429BB"/>
    <w:rsid w:val="00662A0C"/>
    <w:rsid w:val="006735A6"/>
    <w:rsid w:val="006774CE"/>
    <w:rsid w:val="00677B65"/>
    <w:rsid w:val="006806A3"/>
    <w:rsid w:val="00683E53"/>
    <w:rsid w:val="006904AB"/>
    <w:rsid w:val="00692393"/>
    <w:rsid w:val="00692E76"/>
    <w:rsid w:val="006A0063"/>
    <w:rsid w:val="006B3ABF"/>
    <w:rsid w:val="006B53AC"/>
    <w:rsid w:val="006B72E0"/>
    <w:rsid w:val="006C3195"/>
    <w:rsid w:val="006C5CC4"/>
    <w:rsid w:val="006D5864"/>
    <w:rsid w:val="006E142A"/>
    <w:rsid w:val="006E7032"/>
    <w:rsid w:val="006E7FB8"/>
    <w:rsid w:val="006F22FF"/>
    <w:rsid w:val="006F45E8"/>
    <w:rsid w:val="00730B8F"/>
    <w:rsid w:val="00740B6F"/>
    <w:rsid w:val="00740E02"/>
    <w:rsid w:val="0075784B"/>
    <w:rsid w:val="0075794E"/>
    <w:rsid w:val="007628E6"/>
    <w:rsid w:val="00765080"/>
    <w:rsid w:val="0076686D"/>
    <w:rsid w:val="00770948"/>
    <w:rsid w:val="0077402B"/>
    <w:rsid w:val="00784431"/>
    <w:rsid w:val="007971C5"/>
    <w:rsid w:val="00797E61"/>
    <w:rsid w:val="007A0414"/>
    <w:rsid w:val="007A108C"/>
    <w:rsid w:val="007A283C"/>
    <w:rsid w:val="007A453C"/>
    <w:rsid w:val="007A6BD8"/>
    <w:rsid w:val="007B3E55"/>
    <w:rsid w:val="007D0930"/>
    <w:rsid w:val="007D2775"/>
    <w:rsid w:val="007D4A7A"/>
    <w:rsid w:val="007E0113"/>
    <w:rsid w:val="007E1AD0"/>
    <w:rsid w:val="007E5740"/>
    <w:rsid w:val="007E6724"/>
    <w:rsid w:val="007F30E1"/>
    <w:rsid w:val="008020DE"/>
    <w:rsid w:val="008067BC"/>
    <w:rsid w:val="00807626"/>
    <w:rsid w:val="00822B3D"/>
    <w:rsid w:val="00822D82"/>
    <w:rsid w:val="00823A84"/>
    <w:rsid w:val="00830EB6"/>
    <w:rsid w:val="00832857"/>
    <w:rsid w:val="00833345"/>
    <w:rsid w:val="00840934"/>
    <w:rsid w:val="00841933"/>
    <w:rsid w:val="008430FD"/>
    <w:rsid w:val="0085057A"/>
    <w:rsid w:val="00851163"/>
    <w:rsid w:val="00851E06"/>
    <w:rsid w:val="008523BB"/>
    <w:rsid w:val="008606AE"/>
    <w:rsid w:val="0086350A"/>
    <w:rsid w:val="00865E1F"/>
    <w:rsid w:val="008838CF"/>
    <w:rsid w:val="00886ABF"/>
    <w:rsid w:val="008A1CF5"/>
    <w:rsid w:val="008B5125"/>
    <w:rsid w:val="008B6D1C"/>
    <w:rsid w:val="008C12A4"/>
    <w:rsid w:val="008E5EDA"/>
    <w:rsid w:val="008E5EE9"/>
    <w:rsid w:val="008F21DB"/>
    <w:rsid w:val="008F446B"/>
    <w:rsid w:val="00901A30"/>
    <w:rsid w:val="00904C87"/>
    <w:rsid w:val="0090640E"/>
    <w:rsid w:val="00914B5B"/>
    <w:rsid w:val="00915072"/>
    <w:rsid w:val="00915FC7"/>
    <w:rsid w:val="00922A2B"/>
    <w:rsid w:val="0092722D"/>
    <w:rsid w:val="00933E2C"/>
    <w:rsid w:val="009344DA"/>
    <w:rsid w:val="009418C9"/>
    <w:rsid w:val="00956613"/>
    <w:rsid w:val="00964A28"/>
    <w:rsid w:val="00965085"/>
    <w:rsid w:val="00971090"/>
    <w:rsid w:val="00975F54"/>
    <w:rsid w:val="0098695E"/>
    <w:rsid w:val="0098767A"/>
    <w:rsid w:val="00993A21"/>
    <w:rsid w:val="009A16A0"/>
    <w:rsid w:val="009A7AFF"/>
    <w:rsid w:val="009D5560"/>
    <w:rsid w:val="009D5E99"/>
    <w:rsid w:val="009E3ED6"/>
    <w:rsid w:val="009E5996"/>
    <w:rsid w:val="009E6081"/>
    <w:rsid w:val="009E7E90"/>
    <w:rsid w:val="009F70E6"/>
    <w:rsid w:val="00A03430"/>
    <w:rsid w:val="00A034A1"/>
    <w:rsid w:val="00A04FD6"/>
    <w:rsid w:val="00A0751C"/>
    <w:rsid w:val="00A078E9"/>
    <w:rsid w:val="00A142F4"/>
    <w:rsid w:val="00A1557D"/>
    <w:rsid w:val="00A20A4A"/>
    <w:rsid w:val="00A34E05"/>
    <w:rsid w:val="00A36565"/>
    <w:rsid w:val="00A3696E"/>
    <w:rsid w:val="00A65307"/>
    <w:rsid w:val="00A6585D"/>
    <w:rsid w:val="00A70B08"/>
    <w:rsid w:val="00A86E9F"/>
    <w:rsid w:val="00A91C90"/>
    <w:rsid w:val="00A93766"/>
    <w:rsid w:val="00A94AAB"/>
    <w:rsid w:val="00AC34A2"/>
    <w:rsid w:val="00AD1C72"/>
    <w:rsid w:val="00AD34DE"/>
    <w:rsid w:val="00AD39EF"/>
    <w:rsid w:val="00AD3C47"/>
    <w:rsid w:val="00AD430E"/>
    <w:rsid w:val="00AF5A91"/>
    <w:rsid w:val="00B00977"/>
    <w:rsid w:val="00B00AFB"/>
    <w:rsid w:val="00B00CD2"/>
    <w:rsid w:val="00B1149F"/>
    <w:rsid w:val="00B212BC"/>
    <w:rsid w:val="00B21347"/>
    <w:rsid w:val="00B4734C"/>
    <w:rsid w:val="00B61B6C"/>
    <w:rsid w:val="00B61C31"/>
    <w:rsid w:val="00B7223B"/>
    <w:rsid w:val="00B76AC7"/>
    <w:rsid w:val="00B84F5A"/>
    <w:rsid w:val="00BA1918"/>
    <w:rsid w:val="00BA570C"/>
    <w:rsid w:val="00BB5981"/>
    <w:rsid w:val="00BC0BDC"/>
    <w:rsid w:val="00BD2405"/>
    <w:rsid w:val="00BD5735"/>
    <w:rsid w:val="00BE0791"/>
    <w:rsid w:val="00BE14BD"/>
    <w:rsid w:val="00C0122A"/>
    <w:rsid w:val="00C02A07"/>
    <w:rsid w:val="00C036E8"/>
    <w:rsid w:val="00C10D9B"/>
    <w:rsid w:val="00C34820"/>
    <w:rsid w:val="00C36764"/>
    <w:rsid w:val="00C43255"/>
    <w:rsid w:val="00C45F1E"/>
    <w:rsid w:val="00C474C2"/>
    <w:rsid w:val="00C51EAC"/>
    <w:rsid w:val="00C54694"/>
    <w:rsid w:val="00C8316E"/>
    <w:rsid w:val="00C874EE"/>
    <w:rsid w:val="00C90EAB"/>
    <w:rsid w:val="00C90F92"/>
    <w:rsid w:val="00C9601A"/>
    <w:rsid w:val="00CA6896"/>
    <w:rsid w:val="00CB014A"/>
    <w:rsid w:val="00CB3347"/>
    <w:rsid w:val="00CB41C3"/>
    <w:rsid w:val="00CC36E1"/>
    <w:rsid w:val="00CD3203"/>
    <w:rsid w:val="00CD7830"/>
    <w:rsid w:val="00CE5BD2"/>
    <w:rsid w:val="00CE7302"/>
    <w:rsid w:val="00D05A3E"/>
    <w:rsid w:val="00D07230"/>
    <w:rsid w:val="00D223A8"/>
    <w:rsid w:val="00D23348"/>
    <w:rsid w:val="00D2684C"/>
    <w:rsid w:val="00D32E9B"/>
    <w:rsid w:val="00D50246"/>
    <w:rsid w:val="00D62335"/>
    <w:rsid w:val="00D85CE5"/>
    <w:rsid w:val="00D9060D"/>
    <w:rsid w:val="00D92691"/>
    <w:rsid w:val="00DB04E8"/>
    <w:rsid w:val="00DC5535"/>
    <w:rsid w:val="00DC709D"/>
    <w:rsid w:val="00DE16C1"/>
    <w:rsid w:val="00E034CE"/>
    <w:rsid w:val="00E11356"/>
    <w:rsid w:val="00E30E54"/>
    <w:rsid w:val="00E43486"/>
    <w:rsid w:val="00E52736"/>
    <w:rsid w:val="00E667D2"/>
    <w:rsid w:val="00E70428"/>
    <w:rsid w:val="00E82C92"/>
    <w:rsid w:val="00E93F94"/>
    <w:rsid w:val="00E940D9"/>
    <w:rsid w:val="00E943BD"/>
    <w:rsid w:val="00E94AAD"/>
    <w:rsid w:val="00EA5537"/>
    <w:rsid w:val="00EA7231"/>
    <w:rsid w:val="00EA77BB"/>
    <w:rsid w:val="00EC7CE5"/>
    <w:rsid w:val="00EE1995"/>
    <w:rsid w:val="00EF5129"/>
    <w:rsid w:val="00EF5A1A"/>
    <w:rsid w:val="00EF5EA6"/>
    <w:rsid w:val="00EF7C2A"/>
    <w:rsid w:val="00F02E03"/>
    <w:rsid w:val="00F04DDD"/>
    <w:rsid w:val="00F1024E"/>
    <w:rsid w:val="00F160FD"/>
    <w:rsid w:val="00F17B5D"/>
    <w:rsid w:val="00F528DD"/>
    <w:rsid w:val="00F554CD"/>
    <w:rsid w:val="00F55EBE"/>
    <w:rsid w:val="00F57906"/>
    <w:rsid w:val="00F64221"/>
    <w:rsid w:val="00F6738F"/>
    <w:rsid w:val="00F7573D"/>
    <w:rsid w:val="00F7596B"/>
    <w:rsid w:val="00F82AA2"/>
    <w:rsid w:val="00F87055"/>
    <w:rsid w:val="00FA1723"/>
    <w:rsid w:val="00FA52B1"/>
    <w:rsid w:val="00FA5CFC"/>
    <w:rsid w:val="00FC7628"/>
    <w:rsid w:val="00FD0336"/>
    <w:rsid w:val="00FD5AB3"/>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4CDF"/>
  <w15:chartTrackingRefBased/>
  <w15:docId w15:val="{8B4A0B1F-ED3F-4995-99EA-3E5EB535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9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6E9F"/>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6E9F"/>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86E9F"/>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86E9F"/>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86E9F"/>
    <w:rPr>
      <w:color w:val="0000FF"/>
      <w:u w:val="single"/>
    </w:rPr>
  </w:style>
  <w:style w:type="character" w:customStyle="1" w:styleId="UnresolvedMention1">
    <w:name w:val="Unresolved Mention1"/>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86E9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86E9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FD0336"/>
    <w:rPr>
      <w:noProof w:val="0"/>
    </w:rPr>
  </w:style>
  <w:style w:type="character" w:customStyle="1" w:styleId="CommentTextChar">
    <w:name w:val="Comment Text Char"/>
    <w:link w:val="CommentText"/>
    <w:rsid w:val="00FD0336"/>
    <w:rPr>
      <w:rFonts w:ascii="Palatino Linotype" w:hAnsi="Palatino Linotype"/>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MDPI71FootNotes">
    <w:name w:val="MDPI_7.1_FootNotes"/>
    <w:qFormat/>
    <w:rsid w:val="00E93F94"/>
    <w:pPr>
      <w:numPr>
        <w:numId w:val="16"/>
      </w:numPr>
      <w:adjustRightInd w:val="0"/>
      <w:snapToGrid w:val="0"/>
      <w:spacing w:line="228" w:lineRule="auto"/>
      <w:jc w:val="both"/>
    </w:pPr>
    <w:rPr>
      <w:rFonts w:ascii="Palatino Linotype" w:eastAsiaTheme="minorEastAsia" w:hAnsi="Palatino Linotype"/>
      <w:noProof/>
      <w:color w:val="000000"/>
      <w:sz w:val="18"/>
    </w:rPr>
  </w:style>
  <w:style w:type="table" w:customStyle="1" w:styleId="TableGrid1">
    <w:name w:val="Table Grid1"/>
    <w:basedOn w:val="TableNormal"/>
    <w:next w:val="TableGrid"/>
    <w:uiPriority w:val="39"/>
    <w:rsid w:val="00E93F94"/>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7D2"/>
    <w:pPr>
      <w:spacing w:after="160" w:line="259" w:lineRule="auto"/>
      <w:ind w:left="720"/>
      <w:contextualSpacing/>
      <w:jc w:val="left"/>
    </w:pPr>
    <w:rPr>
      <w:rFonts w:asciiTheme="minorHAnsi" w:eastAsiaTheme="minorHAnsi" w:hAnsiTheme="minorHAnsi" w:cstheme="minorBidi"/>
      <w:noProof w:val="0"/>
      <w:color w:val="aut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852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sustainability-template</Template>
  <TotalTime>1</TotalTime>
  <Pages>27</Pages>
  <Words>13222</Words>
  <Characters>75370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Toby Roberts</cp:lastModifiedBy>
  <cp:revision>2</cp:revision>
  <cp:lastPrinted>2021-06-22T14:02:00Z</cp:lastPrinted>
  <dcterms:created xsi:type="dcterms:W3CDTF">2021-06-22T15:30:00Z</dcterms:created>
  <dcterms:modified xsi:type="dcterms:W3CDTF">2021-06-22T15:30:00Z</dcterms:modified>
</cp:coreProperties>
</file>