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4EBD8" w14:textId="433F255B" w:rsidR="00A66EDD" w:rsidRPr="00706162" w:rsidRDefault="00DB1E78" w:rsidP="00706162">
      <w:pPr>
        <w:pStyle w:val="BATitle"/>
      </w:pPr>
      <w:r w:rsidRPr="00706162">
        <w:t>Synthesis of</w:t>
      </w:r>
      <w:r w:rsidR="00D062D6" w:rsidRPr="00706162">
        <w:t xml:space="preserve"> </w:t>
      </w:r>
      <w:r w:rsidR="00176D09" w:rsidRPr="00706162">
        <w:t>O</w:t>
      </w:r>
      <w:r w:rsidR="00D062D6" w:rsidRPr="00706162">
        <w:t>rtho</w:t>
      </w:r>
      <w:r w:rsidR="001E2454" w:rsidRPr="00706162">
        <w:t>–</w:t>
      </w:r>
      <w:r w:rsidR="00B4579A" w:rsidRPr="00706162">
        <w:t>Functio</w:t>
      </w:r>
      <w:r w:rsidR="00176D09" w:rsidRPr="00706162">
        <w:t>nal</w:t>
      </w:r>
      <w:r w:rsidR="00934E5D">
        <w:t>ize</w:t>
      </w:r>
      <w:r w:rsidR="00176D09" w:rsidRPr="00706162">
        <w:t>d</w:t>
      </w:r>
      <w:r w:rsidR="00D062D6" w:rsidRPr="00706162">
        <w:t xml:space="preserve"> 1,4</w:t>
      </w:r>
      <w:r w:rsidR="001E2454" w:rsidRPr="00706162">
        <w:t>–</w:t>
      </w:r>
      <w:proofErr w:type="spellStart"/>
      <w:r w:rsidR="002373E3" w:rsidRPr="00706162">
        <w:t>C</w:t>
      </w:r>
      <w:r w:rsidR="00D062D6" w:rsidRPr="00706162">
        <w:t>ubanedicarboxylate</w:t>
      </w:r>
      <w:proofErr w:type="spellEnd"/>
      <w:r w:rsidR="00D062D6" w:rsidRPr="00706162">
        <w:t xml:space="preserve"> </w:t>
      </w:r>
      <w:r w:rsidR="00150A29" w:rsidRPr="00706162">
        <w:t xml:space="preserve">Derivatives </w:t>
      </w:r>
      <w:r w:rsidR="00A67DC9" w:rsidRPr="00706162">
        <w:t>t</w:t>
      </w:r>
      <w:r w:rsidR="0011129D" w:rsidRPr="00706162">
        <w:t xml:space="preserve">hrough </w:t>
      </w:r>
      <w:r w:rsidR="00A67DC9" w:rsidRPr="00706162">
        <w:t xml:space="preserve">Photochemical </w:t>
      </w:r>
      <w:proofErr w:type="spellStart"/>
      <w:r w:rsidR="00BC4956" w:rsidRPr="00706162">
        <w:t>Chlorocarbon</w:t>
      </w:r>
      <w:r w:rsidR="00D062D6" w:rsidRPr="00706162">
        <w:t>ylation</w:t>
      </w:r>
      <w:proofErr w:type="spellEnd"/>
    </w:p>
    <w:p w14:paraId="72B885B2" w14:textId="70D9A2B9" w:rsidR="00A66EDD" w:rsidRPr="00706162" w:rsidRDefault="002A7C69" w:rsidP="00706162">
      <w:pPr>
        <w:pStyle w:val="BBAuthorName"/>
      </w:pPr>
      <w:r w:rsidRPr="00706162">
        <w:t>Diego E. Collin</w:t>
      </w:r>
      <w:r w:rsidR="00B1632E" w:rsidRPr="00706162">
        <w:t>, Kristina Kovacic</w:t>
      </w:r>
      <w:r w:rsidR="00FF052D" w:rsidRPr="00706162">
        <w:t xml:space="preserve">, </w:t>
      </w:r>
      <w:r w:rsidR="00C25A0B" w:rsidRPr="00706162">
        <w:t>Mark E. Light</w:t>
      </w:r>
      <w:r w:rsidR="00B1632E" w:rsidRPr="00706162">
        <w:t>,</w:t>
      </w:r>
      <w:r w:rsidRPr="00706162">
        <w:t xml:space="preserve"> and Bruno Linclau*</w:t>
      </w:r>
      <w:r w:rsidR="00A66EDD" w:rsidRPr="00706162">
        <w:t xml:space="preserve"> </w:t>
      </w:r>
    </w:p>
    <w:p w14:paraId="64C678AB" w14:textId="3EAC66D9" w:rsidR="00A66EDD" w:rsidRPr="00D32DA4" w:rsidRDefault="00C41846" w:rsidP="002B4130">
      <w:pPr>
        <w:pStyle w:val="BCAuthorAddress"/>
      </w:pPr>
      <w:r w:rsidRPr="00D32DA4">
        <w:t xml:space="preserve">School of </w:t>
      </w:r>
      <w:r w:rsidR="00433A72" w:rsidRPr="00D32DA4">
        <w:t xml:space="preserve">Chemistry, University of Southampton, </w:t>
      </w:r>
      <w:proofErr w:type="spellStart"/>
      <w:r w:rsidR="00433A72" w:rsidRPr="00D32DA4">
        <w:t>Highfield</w:t>
      </w:r>
      <w:proofErr w:type="spellEnd"/>
      <w:r w:rsidR="00433A72" w:rsidRPr="00D32DA4">
        <w:t>, Southampton SO17 1BJ, United Kingdom.</w:t>
      </w:r>
    </w:p>
    <w:p w14:paraId="46472413" w14:textId="29088070" w:rsidR="002B4130" w:rsidRPr="00D32DA4" w:rsidRDefault="002B4130" w:rsidP="002B4130">
      <w:pPr>
        <w:pStyle w:val="AIReceivedDate"/>
      </w:pPr>
    </w:p>
    <w:p w14:paraId="55984319" w14:textId="39D086DD" w:rsidR="002B4130" w:rsidRPr="00D32DA4" w:rsidRDefault="00BF5350" w:rsidP="002B4130">
      <w:pPr>
        <w:jc w:val="center"/>
        <w:sectPr w:rsidR="002B4130" w:rsidRPr="00D32DA4" w:rsidSect="00984F9E">
          <w:footerReference w:type="even" r:id="rId8"/>
          <w:footerReference w:type="default" r:id="rId9"/>
          <w:type w:val="continuous"/>
          <w:pgSz w:w="12240" w:h="15840" w:code="1"/>
          <w:pgMar w:top="720" w:right="1094" w:bottom="720" w:left="1094" w:header="720" w:footer="720" w:gutter="0"/>
          <w:cols w:space="720"/>
          <w:titlePg/>
        </w:sectPr>
      </w:pPr>
      <w:r w:rsidRPr="00D32DA4">
        <w:rPr>
          <w:noProof/>
        </w:rPr>
        <w:object w:dxaOrig="10653" w:dyaOrig="2138" w14:anchorId="4D52F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in;height:57.85pt;mso-width-percent:0;mso-height-percent:0;mso-width-percent:0;mso-height-percent:0" o:ole="">
            <v:imagedata r:id="rId10" o:title=""/>
          </v:shape>
          <o:OLEObject Type="Embed" ProgID="ChemDraw.Document.6.0" ShapeID="_x0000_i1030" DrawAspect="Content" ObjectID="_1686056270" r:id="rId11"/>
        </w:object>
      </w:r>
    </w:p>
    <w:p w14:paraId="5FE9555E" w14:textId="76DB197D" w:rsidR="00552A07" w:rsidRPr="00D32DA4" w:rsidRDefault="00552A07" w:rsidP="00C06FB7">
      <w:pPr>
        <w:pStyle w:val="BDAbstract"/>
        <w:spacing w:before="0"/>
      </w:pPr>
      <w:r w:rsidRPr="00D32DA4">
        <w:rPr>
          <w:rStyle w:val="BDAbstractTitleChar"/>
          <w:rFonts w:ascii="Times New Roman" w:hAnsi="Times New Roman"/>
        </w:rPr>
        <w:t>ABSTRACT</w:t>
      </w:r>
      <w:r w:rsidR="006532A9" w:rsidRPr="00D32DA4">
        <w:rPr>
          <w:rStyle w:val="BDAbstractTitleChar"/>
          <w:rFonts w:ascii="Times New Roman" w:hAnsi="Times New Roman"/>
        </w:rPr>
        <w:t>:</w:t>
      </w:r>
      <w:r w:rsidRPr="00D32DA4">
        <w:rPr>
          <w:rFonts w:ascii="Times New Roman" w:hAnsi="Times New Roman"/>
        </w:rPr>
        <w:t xml:space="preserve"> </w:t>
      </w:r>
      <w:r w:rsidR="008F4829" w:rsidRPr="00706162">
        <w:t>The cubane ring has received intense attention as</w:t>
      </w:r>
      <w:r w:rsidR="00116FC2">
        <w:t xml:space="preserve"> a</w:t>
      </w:r>
      <w:r w:rsidR="00245977">
        <w:t xml:space="preserve"> </w:t>
      </w:r>
      <w:r w:rsidR="008F4829" w:rsidRPr="00706162">
        <w:t>3D benzene isostere an</w:t>
      </w:r>
      <w:r w:rsidR="009D54F0" w:rsidRPr="00706162">
        <w:t>d scaffold. Mono</w:t>
      </w:r>
      <w:r w:rsidR="002B0E00" w:rsidRPr="00706162">
        <w:t>–</w:t>
      </w:r>
      <w:r w:rsidR="009D54F0" w:rsidRPr="00706162">
        <w:t xml:space="preserve"> and 1,4</w:t>
      </w:r>
      <w:r w:rsidR="002B0E00" w:rsidRPr="00706162">
        <w:t>–</w:t>
      </w:r>
      <w:r w:rsidR="009D54F0" w:rsidRPr="00706162">
        <w:t>disubstituted cubanes are well</w:t>
      </w:r>
      <w:r w:rsidR="002B0E00" w:rsidRPr="00706162">
        <w:t>–</w:t>
      </w:r>
      <w:r w:rsidR="009D54F0" w:rsidRPr="00706162">
        <w:t>described. Here we report a practical procedure for a direct radical</w:t>
      </w:r>
      <w:r w:rsidR="009C4165" w:rsidRPr="00706162">
        <w:t>–</w:t>
      </w:r>
      <w:r w:rsidR="009D54F0" w:rsidRPr="00706162">
        <w:t>mediated c</w:t>
      </w:r>
      <w:r w:rsidR="007964B6" w:rsidRPr="00706162">
        <w:t>hlorocarbonylation process initially</w:t>
      </w:r>
      <w:r w:rsidR="009D54F0" w:rsidRPr="00706162">
        <w:t xml:space="preserve"> repor</w:t>
      </w:r>
      <w:r w:rsidR="00DA6311" w:rsidRPr="00706162">
        <w:t>ted by Bashir</w:t>
      </w:r>
      <w:r w:rsidR="002B0E00" w:rsidRPr="00706162">
        <w:t>–</w:t>
      </w:r>
      <w:r w:rsidR="00DA6311" w:rsidRPr="00706162">
        <w:t xml:space="preserve">Hashemi, to access </w:t>
      </w:r>
      <w:r w:rsidR="00E754B8">
        <w:t xml:space="preserve">a range of </w:t>
      </w:r>
      <w:r w:rsidR="00DA6311" w:rsidRPr="00706162">
        <w:t>2</w:t>
      </w:r>
      <w:r w:rsidR="002B0E00" w:rsidRPr="00706162">
        <w:t>–</w:t>
      </w:r>
      <w:r w:rsidR="00DA6311" w:rsidRPr="00706162">
        <w:t>substituted 1,4</w:t>
      </w:r>
      <w:r w:rsidR="002B0E00" w:rsidRPr="00706162">
        <w:t>–</w:t>
      </w:r>
      <w:proofErr w:type="spellStart"/>
      <w:r w:rsidR="00DA6311" w:rsidRPr="00706162">
        <w:t>cubanedicarboxylic</w:t>
      </w:r>
      <w:proofErr w:type="spellEnd"/>
      <w:r w:rsidR="00DA6311" w:rsidRPr="00706162">
        <w:t xml:space="preserve"> ester derivatives. A subsequent regioselective ester hydrolysis to </w:t>
      </w:r>
      <w:r w:rsidR="00EE241E">
        <w:t>give</w:t>
      </w:r>
      <w:r w:rsidR="00EE241E" w:rsidRPr="00706162">
        <w:t xml:space="preserve"> </w:t>
      </w:r>
      <w:r w:rsidR="00DA6311" w:rsidRPr="00706162">
        <w:t>fully differentiated 1,2,4</w:t>
      </w:r>
      <w:r w:rsidR="002B0E00" w:rsidRPr="00706162">
        <w:t>–</w:t>
      </w:r>
      <w:r w:rsidR="00DA6311" w:rsidRPr="00706162">
        <w:t>trisubstituted cubanes is demonstrated</w:t>
      </w:r>
      <w:r w:rsidRPr="00706162">
        <w:t>.</w:t>
      </w:r>
    </w:p>
    <w:p w14:paraId="157CF255" w14:textId="77777777" w:rsidR="004E35E0" w:rsidRPr="00D32DA4" w:rsidRDefault="004E35E0" w:rsidP="009A247F">
      <w:pPr>
        <w:pStyle w:val="TAMainText"/>
        <w:sectPr w:rsidR="004E35E0" w:rsidRPr="00D32DA4" w:rsidSect="004E35E0">
          <w:type w:val="continuous"/>
          <w:pgSz w:w="12240" w:h="15840"/>
          <w:pgMar w:top="720" w:right="1094" w:bottom="720" w:left="1094" w:header="720" w:footer="720" w:gutter="0"/>
          <w:cols w:space="461"/>
        </w:sectPr>
      </w:pPr>
    </w:p>
    <w:p w14:paraId="75697207" w14:textId="638A3432" w:rsidR="000C4EAD" w:rsidRPr="00D32DA4" w:rsidRDefault="007C59C5" w:rsidP="009A247F">
      <w:pPr>
        <w:pStyle w:val="TAMainText"/>
      </w:pPr>
      <w:r w:rsidRPr="00D32DA4">
        <w:t>W</w:t>
      </w:r>
      <w:r w:rsidR="0071698B" w:rsidRPr="00D32DA4">
        <w:t>h</w:t>
      </w:r>
      <w:r w:rsidRPr="00D32DA4">
        <w:t>ether</w:t>
      </w:r>
      <w:r w:rsidR="0071698B" w:rsidRPr="00D32DA4">
        <w:t xml:space="preserve"> </w:t>
      </w:r>
      <w:r w:rsidRPr="00D32DA4">
        <w:t>drug</w:t>
      </w:r>
      <w:r w:rsidRPr="00D32DA4">
        <w:rPr>
          <w:i/>
        </w:rPr>
        <w:t>–</w:t>
      </w:r>
      <w:r w:rsidRPr="00D32DA4">
        <w:t xml:space="preserve">like molecules with substantial </w:t>
      </w:r>
      <w:r w:rsidR="0071698B" w:rsidRPr="00D32DA4">
        <w:rPr>
          <w:lang w:val="en-GB"/>
        </w:rPr>
        <w:t>sp</w:t>
      </w:r>
      <w:r w:rsidR="0071698B" w:rsidRPr="00D32DA4">
        <w:rPr>
          <w:vertAlign w:val="superscript"/>
          <w:lang w:val="en-GB"/>
        </w:rPr>
        <w:t>3</w:t>
      </w:r>
      <w:r w:rsidR="00916FFF" w:rsidRPr="00D32DA4">
        <w:rPr>
          <w:lang w:val="en-GB"/>
        </w:rPr>
        <w:t>–</w:t>
      </w:r>
      <w:r w:rsidR="0071698B" w:rsidRPr="00D32DA4">
        <w:rPr>
          <w:lang w:val="en-GB"/>
        </w:rPr>
        <w:t xml:space="preserve">rich </w:t>
      </w:r>
      <w:r w:rsidR="002C4BBD" w:rsidRPr="00D32DA4">
        <w:rPr>
          <w:lang w:val="en-GB"/>
        </w:rPr>
        <w:t>sub</w:t>
      </w:r>
      <w:r w:rsidR="0071698B" w:rsidRPr="00D32DA4">
        <w:rPr>
          <w:lang w:val="en-GB"/>
        </w:rPr>
        <w:t>structures</w:t>
      </w:r>
      <w:r w:rsidRPr="00D32DA4">
        <w:t xml:space="preserve"> could improve clinical success by </w:t>
      </w:r>
      <w:r w:rsidR="0071698B" w:rsidRPr="00D32DA4">
        <w:t>modulating</w:t>
      </w:r>
      <w:r w:rsidRPr="00D32DA4">
        <w:t xml:space="preserve"> their pharmacokinetics properties</w:t>
      </w:r>
      <w:r w:rsidR="0071698B" w:rsidRPr="00D32DA4">
        <w:t xml:space="preserve"> is </w:t>
      </w:r>
      <w:r w:rsidR="00E46962" w:rsidRPr="00D32DA4">
        <w:t xml:space="preserve">a </w:t>
      </w:r>
      <w:r w:rsidR="0071698B" w:rsidRPr="00D32DA4">
        <w:t>subject of debate.</w:t>
      </w:r>
      <w:r w:rsidR="004C0CB0" w:rsidRPr="00D32DA4">
        <w:rPr>
          <w:vertAlign w:val="superscript"/>
        </w:rPr>
        <w:t>1,2</w:t>
      </w:r>
      <w:r w:rsidR="0071698B" w:rsidRPr="00D32DA4">
        <w:t xml:space="preserve"> However, </w:t>
      </w:r>
      <w:r w:rsidR="00CC6321" w:rsidRPr="00D32DA4">
        <w:rPr>
          <w:lang w:val="en-GB"/>
        </w:rPr>
        <w:t>sp</w:t>
      </w:r>
      <w:r w:rsidR="00CC6321" w:rsidRPr="00D32DA4">
        <w:rPr>
          <w:vertAlign w:val="superscript"/>
          <w:lang w:val="en-GB"/>
        </w:rPr>
        <w:t>3</w:t>
      </w:r>
      <w:r w:rsidR="00372AE8" w:rsidRPr="00D32DA4">
        <w:t>–</w:t>
      </w:r>
      <w:r w:rsidR="00CC6321" w:rsidRPr="00D32DA4">
        <w:rPr>
          <w:lang w:val="en-GB"/>
        </w:rPr>
        <w:t>rich</w:t>
      </w:r>
      <w:r w:rsidR="00E46962" w:rsidRPr="00D32DA4">
        <w:t xml:space="preserve"> sphere–like fragments</w:t>
      </w:r>
      <w:r w:rsidR="009556CA" w:rsidRPr="00D32DA4">
        <w:t xml:space="preserve"> are underrepresented</w:t>
      </w:r>
      <w:r w:rsidR="00E46962" w:rsidRPr="00D32DA4">
        <w:t xml:space="preserve"> in </w:t>
      </w:r>
      <w:r w:rsidR="00E46962" w:rsidRPr="00D32DA4">
        <w:rPr>
          <w:lang w:val="en-GB"/>
        </w:rPr>
        <w:t>drug screening libraries</w:t>
      </w:r>
      <w:r w:rsidR="009556CA" w:rsidRPr="00D32DA4">
        <w:rPr>
          <w:lang w:val="en-GB"/>
        </w:rPr>
        <w:t>,</w:t>
      </w:r>
      <w:r w:rsidR="00ED4DFB" w:rsidRPr="00D32DA4">
        <w:rPr>
          <w:vertAlign w:val="superscript"/>
          <w:lang w:val="en-GB"/>
        </w:rPr>
        <w:t>3</w:t>
      </w:r>
      <w:r w:rsidR="001A7B85" w:rsidRPr="00D32DA4">
        <w:rPr>
          <w:lang w:val="en-GB"/>
        </w:rPr>
        <w:t xml:space="preserve"> </w:t>
      </w:r>
      <w:r w:rsidR="009556CA" w:rsidRPr="00D32DA4">
        <w:rPr>
          <w:lang w:val="en-GB"/>
        </w:rPr>
        <w:t xml:space="preserve">and </w:t>
      </w:r>
      <w:r w:rsidR="002769B7" w:rsidRPr="00D32DA4">
        <w:rPr>
          <w:lang w:val="en-GB"/>
        </w:rPr>
        <w:t>1,4–</w:t>
      </w:r>
      <w:r w:rsidR="009556CA" w:rsidRPr="00D32DA4">
        <w:rPr>
          <w:lang w:val="en-GB"/>
        </w:rPr>
        <w:t>s</w:t>
      </w:r>
      <w:r w:rsidR="002769B7" w:rsidRPr="00D32DA4">
        <w:rPr>
          <w:lang w:val="en-GB"/>
        </w:rPr>
        <w:t xml:space="preserve">ubstituted </w:t>
      </w:r>
      <w:r w:rsidR="002769B7" w:rsidRPr="00D32DA4">
        <w:t>cubanes</w:t>
      </w:r>
      <w:r w:rsidR="000C4EAD" w:rsidRPr="00D32DA4">
        <w:t xml:space="preserve"> </w:t>
      </w:r>
      <w:r w:rsidR="009556CA" w:rsidRPr="00D32DA4">
        <w:t>have received great interest</w:t>
      </w:r>
      <w:r w:rsidR="002769B7" w:rsidRPr="00D32DA4">
        <w:t xml:space="preserve"> as </w:t>
      </w:r>
      <w:r w:rsidR="002769B7" w:rsidRPr="00D32DA4">
        <w:rPr>
          <w:lang w:val="en-GB"/>
        </w:rPr>
        <w:t xml:space="preserve">non–classical </w:t>
      </w:r>
      <w:proofErr w:type="spellStart"/>
      <w:r w:rsidR="002769B7" w:rsidRPr="00D32DA4">
        <w:rPr>
          <w:lang w:val="en-GB"/>
        </w:rPr>
        <w:t>bioisostere</w:t>
      </w:r>
      <w:r w:rsidR="00E653F2" w:rsidRPr="00D32DA4">
        <w:rPr>
          <w:lang w:val="en-GB"/>
        </w:rPr>
        <w:t>s</w:t>
      </w:r>
      <w:proofErr w:type="spellEnd"/>
      <w:r w:rsidR="002769B7" w:rsidRPr="00D32DA4">
        <w:rPr>
          <w:lang w:val="en-GB"/>
        </w:rPr>
        <w:t xml:space="preserve"> for </w:t>
      </w:r>
      <w:r w:rsidR="002769B7" w:rsidRPr="00D32DA4">
        <w:rPr>
          <w:i/>
        </w:rPr>
        <w:t>para</w:t>
      </w:r>
      <w:r w:rsidR="002769B7" w:rsidRPr="00D32DA4">
        <w:rPr>
          <w:lang w:val="en-GB"/>
        </w:rPr>
        <w:t>–substituted benzene</w:t>
      </w:r>
      <w:r w:rsidR="00C41846" w:rsidRPr="00D32DA4">
        <w:rPr>
          <w:lang w:val="en-GB"/>
        </w:rPr>
        <w:t xml:space="preserve"> structures</w:t>
      </w:r>
      <w:r w:rsidR="002769B7" w:rsidRPr="00D32DA4">
        <w:rPr>
          <w:lang w:val="en-GB"/>
        </w:rPr>
        <w:t xml:space="preserve"> </w:t>
      </w:r>
      <w:r w:rsidR="005D7B51" w:rsidRPr="00D32DA4">
        <w:t>in medicinal chemistry</w:t>
      </w:r>
      <w:r w:rsidR="000C4EAD" w:rsidRPr="00D32DA4">
        <w:t>.</w:t>
      </w:r>
      <w:r w:rsidR="003C4C99" w:rsidRPr="00D32DA4">
        <w:rPr>
          <w:vertAlign w:val="superscript"/>
        </w:rPr>
        <w:t>4–</w:t>
      </w:r>
      <w:r w:rsidR="00ED4DFB" w:rsidRPr="00D32DA4">
        <w:rPr>
          <w:vertAlign w:val="superscript"/>
        </w:rPr>
        <w:t>6</w:t>
      </w:r>
      <w:r w:rsidR="000C4EAD" w:rsidRPr="00D32DA4">
        <w:t xml:space="preserve"> </w:t>
      </w:r>
      <w:r w:rsidR="002C4BBD" w:rsidRPr="00D32DA4">
        <w:t>F</w:t>
      </w:r>
      <w:proofErr w:type="spellStart"/>
      <w:r w:rsidR="002C4BBD" w:rsidRPr="00D32DA4">
        <w:rPr>
          <w:lang w:val="en-GB"/>
        </w:rPr>
        <w:t>urther</w:t>
      </w:r>
      <w:proofErr w:type="spellEnd"/>
      <w:r w:rsidR="002C4BBD" w:rsidRPr="00D32DA4">
        <w:rPr>
          <w:lang w:val="en-GB"/>
        </w:rPr>
        <w:t xml:space="preserve"> exciting opportunities to enter unexplored </w:t>
      </w:r>
      <w:r w:rsidR="000C0C7B" w:rsidRPr="00D32DA4">
        <w:rPr>
          <w:lang w:val="en-GB"/>
        </w:rPr>
        <w:t>areas</w:t>
      </w:r>
      <w:r w:rsidR="000C0C7B" w:rsidRPr="00D32DA4">
        <w:t xml:space="preserve"> </w:t>
      </w:r>
      <w:r w:rsidR="000C0C7B">
        <w:t xml:space="preserve">of </w:t>
      </w:r>
      <w:r w:rsidR="002C4BBD" w:rsidRPr="00D32DA4">
        <w:rPr>
          <w:lang w:val="en-GB"/>
        </w:rPr>
        <w:t xml:space="preserve">chemical space </w:t>
      </w:r>
      <w:r w:rsidR="002C4BBD" w:rsidRPr="00D32DA4">
        <w:t>can be envisaged with</w:t>
      </w:r>
      <w:r w:rsidR="009556CA" w:rsidRPr="00D32DA4">
        <w:t xml:space="preserve"> 1,2</w:t>
      </w:r>
      <w:r w:rsidR="006F4BAB" w:rsidRPr="00D32DA4">
        <w:rPr>
          <w:lang w:val="en-GB"/>
        </w:rPr>
        <w:t>–</w:t>
      </w:r>
      <w:r w:rsidR="009556CA" w:rsidRPr="00D32DA4">
        <w:t xml:space="preserve"> and 1,3</w:t>
      </w:r>
      <w:r w:rsidR="006F4BAB" w:rsidRPr="00D32DA4">
        <w:rPr>
          <w:lang w:val="en-GB"/>
        </w:rPr>
        <w:t>–</w:t>
      </w:r>
      <w:r w:rsidR="009556CA" w:rsidRPr="00D32DA4">
        <w:t>substituted cubanes</w:t>
      </w:r>
      <w:r w:rsidR="000C4EAD" w:rsidRPr="00D32DA4">
        <w:t xml:space="preserve"> </w:t>
      </w:r>
      <w:r w:rsidR="009556CA" w:rsidRPr="00D32DA4">
        <w:t xml:space="preserve">to replace </w:t>
      </w:r>
      <w:r w:rsidR="000C4EAD" w:rsidRPr="00D32DA4">
        <w:rPr>
          <w:lang w:val="en-GB"/>
        </w:rPr>
        <w:t>o</w:t>
      </w:r>
      <w:r w:rsidR="000C4EAD" w:rsidRPr="00D32DA4">
        <w:rPr>
          <w:i/>
          <w:lang w:val="en-GB"/>
        </w:rPr>
        <w:t>rtho</w:t>
      </w:r>
      <w:r w:rsidR="000C4EAD" w:rsidRPr="00D32DA4">
        <w:rPr>
          <w:lang w:val="en-GB"/>
        </w:rPr>
        <w:t xml:space="preserve">– and </w:t>
      </w:r>
      <w:r w:rsidR="000C4EAD" w:rsidRPr="00D32DA4">
        <w:rPr>
          <w:i/>
          <w:lang w:val="en-GB"/>
        </w:rPr>
        <w:t>meta</w:t>
      </w:r>
      <w:r w:rsidR="000C4EAD" w:rsidRPr="00D32DA4">
        <w:rPr>
          <w:lang w:val="en-GB"/>
        </w:rPr>
        <w:t>– substituted benzene</w:t>
      </w:r>
      <w:r w:rsidR="009556CA" w:rsidRPr="00D32DA4">
        <w:rPr>
          <w:lang w:val="en-GB"/>
        </w:rPr>
        <w:t>s (Figure 1A)</w:t>
      </w:r>
      <w:r w:rsidR="002C4BBD" w:rsidRPr="00D32DA4">
        <w:rPr>
          <w:lang w:val="en-GB"/>
        </w:rPr>
        <w:t>.</w:t>
      </w:r>
      <w:r w:rsidR="00EC0E4E">
        <w:rPr>
          <w:vertAlign w:val="superscript"/>
          <w:lang w:val="en-GB"/>
        </w:rPr>
        <w:t xml:space="preserve">5 </w:t>
      </w:r>
      <w:r w:rsidR="002C4BBD" w:rsidRPr="00D32DA4">
        <w:t>In addition to</w:t>
      </w:r>
      <w:r w:rsidR="007B531D" w:rsidRPr="00D32DA4">
        <w:t xml:space="preserve"> bioisosteric </w:t>
      </w:r>
      <w:r w:rsidR="002C4BBD" w:rsidRPr="00D32DA4">
        <w:t xml:space="preserve">applications, cubanes could also </w:t>
      </w:r>
      <w:r w:rsidR="007B531D" w:rsidRPr="00D32DA4">
        <w:t xml:space="preserve">be considered as a 3D </w:t>
      </w:r>
      <w:r w:rsidR="00C600AA" w:rsidRPr="00D32DA4">
        <w:t>benzene</w:t>
      </w:r>
      <w:r w:rsidR="00C600AA" w:rsidRPr="00D32DA4">
        <w:rPr>
          <w:lang w:val="en-GB"/>
        </w:rPr>
        <w:t>–</w:t>
      </w:r>
      <w:r w:rsidR="00C600AA" w:rsidRPr="00D32DA4">
        <w:t xml:space="preserve">like </w:t>
      </w:r>
      <w:r w:rsidR="007B531D" w:rsidRPr="00D32DA4">
        <w:t>scaffold</w:t>
      </w:r>
      <w:r w:rsidR="003D467E" w:rsidRPr="00D32DA4">
        <w:t xml:space="preserve">, </w:t>
      </w:r>
      <w:r w:rsidR="007B531D" w:rsidRPr="00D32DA4">
        <w:t xml:space="preserve">offering an opportunity to introduce substituents perpendicular to the </w:t>
      </w:r>
      <w:r w:rsidR="00C41846" w:rsidRPr="00D32DA4">
        <w:t xml:space="preserve">aromatic </w:t>
      </w:r>
      <w:r w:rsidR="007B531D" w:rsidRPr="00D32DA4">
        <w:t>plane</w:t>
      </w:r>
      <w:r w:rsidR="00E61D71" w:rsidRPr="00D32DA4">
        <w:t>.</w:t>
      </w:r>
      <w:r w:rsidR="00ED4DFB" w:rsidRPr="00D32DA4">
        <w:rPr>
          <w:vertAlign w:val="superscript"/>
        </w:rPr>
        <w:t>6,7</w:t>
      </w:r>
      <w:r w:rsidR="007D1DA7" w:rsidRPr="00D32DA4">
        <w:rPr>
          <w:lang w:val="en-GB"/>
        </w:rPr>
        <w:t xml:space="preserve"> </w:t>
      </w:r>
      <w:r w:rsidR="007D1DA7" w:rsidRPr="00D32DA4">
        <w:t xml:space="preserve">However, accessing these cubane motifs is </w:t>
      </w:r>
      <w:r w:rsidR="00D9328F" w:rsidRPr="00D32DA4">
        <w:t xml:space="preserve">still </w:t>
      </w:r>
      <w:r w:rsidR="007D1DA7" w:rsidRPr="00D32DA4">
        <w:rPr>
          <w:lang w:val="en-GB"/>
        </w:rPr>
        <w:t>hampered by non–trivial synthetic access.</w:t>
      </w:r>
    </w:p>
    <w:p w14:paraId="532D7094" w14:textId="1CA7F6C2" w:rsidR="001042AF" w:rsidRPr="00D32DA4" w:rsidRDefault="009556CA" w:rsidP="009A247F">
      <w:pPr>
        <w:pStyle w:val="TAMainText"/>
        <w:rPr>
          <w:lang w:val="en-GB"/>
        </w:rPr>
      </w:pPr>
      <w:r w:rsidRPr="00D32DA4">
        <w:t xml:space="preserve">Eaton </w:t>
      </w:r>
      <w:r w:rsidRPr="00D32DA4">
        <w:rPr>
          <w:i/>
        </w:rPr>
        <w:t>et al.</w:t>
      </w:r>
      <w:r w:rsidRPr="00D32DA4">
        <w:t xml:space="preserve"> pioneered </w:t>
      </w:r>
      <w:r w:rsidR="00A369ED" w:rsidRPr="00D32DA4">
        <w:rPr>
          <w:i/>
        </w:rPr>
        <w:t>ortho</w:t>
      </w:r>
      <w:r w:rsidR="00A369ED" w:rsidRPr="00D32DA4">
        <w:t>–</w:t>
      </w:r>
      <w:r w:rsidR="00DA6311" w:rsidRPr="00D32DA4">
        <w:t xml:space="preserve">lithiation </w:t>
      </w:r>
      <w:r w:rsidR="00A369ED" w:rsidRPr="00D32DA4">
        <w:t xml:space="preserve">of amidocubanes </w:t>
      </w:r>
      <w:r w:rsidR="00A369ED" w:rsidRPr="00D32DA4">
        <w:rPr>
          <w:lang w:val="en-GB"/>
        </w:rPr>
        <w:t>(Figure 1</w:t>
      </w:r>
      <w:r w:rsidRPr="00D32DA4">
        <w:rPr>
          <w:lang w:val="en-GB"/>
        </w:rPr>
        <w:t>B)</w:t>
      </w:r>
      <w:r w:rsidR="00CC4491" w:rsidRPr="00D32DA4">
        <w:rPr>
          <w:lang w:val="en-GB"/>
        </w:rPr>
        <w:t>.</w:t>
      </w:r>
      <w:r w:rsidR="003C4C99" w:rsidRPr="00D32DA4">
        <w:rPr>
          <w:vertAlign w:val="superscript"/>
          <w:lang w:val="en-GB"/>
        </w:rPr>
        <w:t>8</w:t>
      </w:r>
      <w:r w:rsidR="001042AF" w:rsidRPr="00D32DA4">
        <w:rPr>
          <w:lang w:val="en-GB"/>
        </w:rPr>
        <w:t xml:space="preserve"> </w:t>
      </w:r>
      <w:r w:rsidR="003E4228" w:rsidRPr="00D32DA4">
        <w:t xml:space="preserve">While </w:t>
      </w:r>
      <w:r w:rsidR="00F35A5C" w:rsidRPr="00D32DA4">
        <w:t xml:space="preserve">this requires </w:t>
      </w:r>
      <w:r w:rsidR="00DA6311" w:rsidRPr="00D32DA4">
        <w:t xml:space="preserve">the introduction of </w:t>
      </w:r>
      <w:r w:rsidR="00F35A5C" w:rsidRPr="00D32DA4">
        <w:t xml:space="preserve">a directing group and the use of strong bases, it is </w:t>
      </w:r>
      <w:r w:rsidR="00D9328F" w:rsidRPr="00D32DA4">
        <w:t xml:space="preserve">a </w:t>
      </w:r>
      <w:r w:rsidR="00F35A5C" w:rsidRPr="00D32DA4">
        <w:t xml:space="preserve">versatile </w:t>
      </w:r>
      <w:r w:rsidRPr="00D32DA4">
        <w:t xml:space="preserve">methodology </w:t>
      </w:r>
      <w:r w:rsidR="00F35A5C" w:rsidRPr="00D32DA4">
        <w:t>to introduce cubane substitution</w:t>
      </w:r>
      <w:r w:rsidRPr="00D32DA4">
        <w:t>.</w:t>
      </w:r>
      <w:r w:rsidR="00761D56" w:rsidRPr="00D32DA4">
        <w:rPr>
          <w:vertAlign w:val="superscript"/>
        </w:rPr>
        <w:t>9</w:t>
      </w:r>
      <w:r w:rsidR="00744E91" w:rsidRPr="00D32DA4">
        <w:rPr>
          <w:lang w:val="en-GB"/>
        </w:rPr>
        <w:t xml:space="preserve"> </w:t>
      </w:r>
      <w:r w:rsidR="00DA6311" w:rsidRPr="00D32DA4">
        <w:rPr>
          <w:lang w:val="en-GB"/>
        </w:rPr>
        <w:t>Subsequently, transmetallation</w:t>
      </w:r>
      <w:r w:rsidR="00F10FDC" w:rsidRPr="00D32DA4">
        <w:rPr>
          <w:lang w:val="en-GB"/>
        </w:rPr>
        <w:t>, typically</w:t>
      </w:r>
      <w:r w:rsidR="00DA6311" w:rsidRPr="00D32DA4">
        <w:rPr>
          <w:lang w:val="en-GB"/>
        </w:rPr>
        <w:t xml:space="preserve"> with Zn, enhanc</w:t>
      </w:r>
      <w:r w:rsidR="00F10FDC" w:rsidRPr="00D32DA4">
        <w:rPr>
          <w:lang w:val="en-GB"/>
        </w:rPr>
        <w:t>es</w:t>
      </w:r>
      <w:r w:rsidR="00DA6311" w:rsidRPr="00D32DA4">
        <w:rPr>
          <w:lang w:val="en-GB"/>
        </w:rPr>
        <w:t xml:space="preserve"> the nucleophilicity </w:t>
      </w:r>
      <w:r w:rsidR="00F10FDC" w:rsidRPr="00D32DA4">
        <w:rPr>
          <w:lang w:val="en-GB"/>
        </w:rPr>
        <w:t xml:space="preserve">and </w:t>
      </w:r>
      <w:r w:rsidR="00DA6311" w:rsidRPr="00D32DA4">
        <w:rPr>
          <w:lang w:val="en-GB"/>
        </w:rPr>
        <w:t>was shown to facilitate reaction with electrophiles.</w:t>
      </w:r>
      <w:r w:rsidR="00761D56" w:rsidRPr="00D32DA4">
        <w:rPr>
          <w:vertAlign w:val="superscript"/>
          <w:lang w:val="en-GB"/>
        </w:rPr>
        <w:t>1</w:t>
      </w:r>
      <w:r w:rsidR="005341F9" w:rsidRPr="00D32DA4">
        <w:rPr>
          <w:vertAlign w:val="superscript"/>
          <w:lang w:val="en-GB"/>
        </w:rPr>
        <w:t>0</w:t>
      </w:r>
    </w:p>
    <w:p w14:paraId="7EC0E48A" w14:textId="6D856E54" w:rsidR="00C927E4" w:rsidRDefault="001042AF" w:rsidP="00C927E4">
      <w:pPr>
        <w:pStyle w:val="TAMainText"/>
        <w:rPr>
          <w:lang w:val="en-GB"/>
        </w:rPr>
      </w:pPr>
      <w:r w:rsidRPr="00D32DA4">
        <w:rPr>
          <w:lang w:val="en-GB"/>
        </w:rPr>
        <w:t>Direct C–H to C–C bond formation can also be achieved using radical</w:t>
      </w:r>
      <w:r w:rsidR="00CC4491" w:rsidRPr="00D32DA4">
        <w:rPr>
          <w:lang w:val="en-GB"/>
        </w:rPr>
        <w:t>–</w:t>
      </w:r>
      <w:r w:rsidRPr="00D32DA4">
        <w:rPr>
          <w:lang w:val="en-GB"/>
        </w:rPr>
        <w:t xml:space="preserve">based strategies, despite the strong </w:t>
      </w:r>
      <w:proofErr w:type="spellStart"/>
      <w:r w:rsidRPr="00D32DA4">
        <w:rPr>
          <w:lang w:val="en-GB"/>
        </w:rPr>
        <w:t>cubane</w:t>
      </w:r>
      <w:proofErr w:type="spellEnd"/>
      <w:r w:rsidRPr="00D32DA4">
        <w:rPr>
          <w:lang w:val="en-GB"/>
        </w:rPr>
        <w:t xml:space="preserve"> C–H bond (Figure 1</w:t>
      </w:r>
      <w:r w:rsidR="00DA6311" w:rsidRPr="00D32DA4">
        <w:rPr>
          <w:lang w:val="en-GB"/>
        </w:rPr>
        <w:t>C</w:t>
      </w:r>
      <w:r w:rsidRPr="00D32DA4">
        <w:rPr>
          <w:lang w:val="en-GB"/>
        </w:rPr>
        <w:t>).</w:t>
      </w:r>
      <w:r w:rsidR="00533D2D" w:rsidRPr="00D32DA4">
        <w:rPr>
          <w:vertAlign w:val="superscript"/>
          <w:lang w:val="en-GB"/>
        </w:rPr>
        <w:t>11</w:t>
      </w:r>
      <w:r w:rsidRPr="00D32DA4">
        <w:rPr>
          <w:lang w:val="en-GB"/>
        </w:rPr>
        <w:t xml:space="preserve"> The C–H bond dissociation enthalpy of </w:t>
      </w:r>
      <w:r w:rsidRPr="00D32DA4">
        <w:rPr>
          <w:b/>
          <w:lang w:val="en-GB"/>
        </w:rPr>
        <w:t>1</w:t>
      </w:r>
      <w:r w:rsidRPr="00D32DA4">
        <w:rPr>
          <w:lang w:val="en-GB"/>
        </w:rPr>
        <w:t xml:space="preserve"> is expected to be even higher than 104.7 kcal.mol</w:t>
      </w:r>
      <w:r w:rsidRPr="00D32DA4">
        <w:rPr>
          <w:vertAlign w:val="superscript"/>
          <w:lang w:val="en-GB"/>
        </w:rPr>
        <w:t>-1</w:t>
      </w:r>
      <w:r w:rsidRPr="00D32DA4">
        <w:rPr>
          <w:lang w:val="en-GB"/>
        </w:rPr>
        <w:t xml:space="preserve"> due to the presence of electron–withdrawing groups.</w:t>
      </w:r>
      <w:r w:rsidR="00533D2D" w:rsidRPr="00D32DA4">
        <w:rPr>
          <w:vertAlign w:val="superscript"/>
          <w:lang w:val="en-GB"/>
        </w:rPr>
        <w:t>12</w:t>
      </w:r>
      <w:r w:rsidR="00916AB4" w:rsidRPr="00D32DA4">
        <w:rPr>
          <w:vertAlign w:val="superscript"/>
          <w:lang w:val="en-GB"/>
        </w:rPr>
        <w:t>,13</w:t>
      </w:r>
      <w:r w:rsidR="004C0CB0" w:rsidRPr="00D32DA4">
        <w:rPr>
          <w:lang w:val="en-GB"/>
        </w:rPr>
        <w:t xml:space="preserve"> </w:t>
      </w:r>
      <w:r w:rsidRPr="00D32DA4">
        <w:rPr>
          <w:lang w:val="en-GB"/>
        </w:rPr>
        <w:t xml:space="preserve">Indeed, while </w:t>
      </w:r>
      <w:proofErr w:type="spellStart"/>
      <w:r w:rsidRPr="00D32DA4">
        <w:rPr>
          <w:i/>
          <w:lang w:val="en-GB"/>
        </w:rPr>
        <w:t>tert</w:t>
      </w:r>
      <w:proofErr w:type="spellEnd"/>
      <w:r w:rsidRPr="00D32DA4">
        <w:rPr>
          <w:lang w:val="en-GB"/>
        </w:rPr>
        <w:t>–butoxyl radicals abstract hydrogen atoms</w:t>
      </w:r>
      <w:r w:rsidR="001B026B" w:rsidRPr="00D32DA4">
        <w:rPr>
          <w:lang w:val="en-GB"/>
        </w:rPr>
        <w:t xml:space="preserve"> from </w:t>
      </w:r>
      <w:proofErr w:type="spellStart"/>
      <w:r w:rsidR="001B026B" w:rsidRPr="00D32DA4">
        <w:rPr>
          <w:lang w:val="en-GB"/>
        </w:rPr>
        <w:t>cubane</w:t>
      </w:r>
      <w:proofErr w:type="spellEnd"/>
      <w:r w:rsidR="001B026B" w:rsidRPr="00D32DA4">
        <w:rPr>
          <w:lang w:val="en-GB"/>
        </w:rPr>
        <w:t xml:space="preserve"> or mono–s</w:t>
      </w:r>
      <w:r w:rsidRPr="00D32DA4">
        <w:rPr>
          <w:lang w:val="en-GB"/>
        </w:rPr>
        <w:t xml:space="preserve">ubstituted </w:t>
      </w:r>
      <w:proofErr w:type="spellStart"/>
      <w:r w:rsidRPr="00D32DA4">
        <w:rPr>
          <w:lang w:val="en-GB"/>
        </w:rPr>
        <w:t>cubanes</w:t>
      </w:r>
      <w:proofErr w:type="spellEnd"/>
      <w:r w:rsidRPr="00D32DA4">
        <w:rPr>
          <w:lang w:val="en-GB"/>
        </w:rPr>
        <w:t xml:space="preserve">, no </w:t>
      </w:r>
      <w:proofErr w:type="spellStart"/>
      <w:r w:rsidRPr="00D32DA4">
        <w:rPr>
          <w:lang w:val="en-GB"/>
        </w:rPr>
        <w:t>cubyl</w:t>
      </w:r>
      <w:proofErr w:type="spellEnd"/>
      <w:r w:rsidRPr="00D32DA4">
        <w:rPr>
          <w:lang w:val="en-GB"/>
        </w:rPr>
        <w:t xml:space="preserve"> radical formation could be observed for </w:t>
      </w:r>
      <w:r w:rsidRPr="00D32DA4">
        <w:rPr>
          <w:b/>
          <w:lang w:val="en-GB"/>
        </w:rPr>
        <w:t>1</w:t>
      </w:r>
      <w:r w:rsidRPr="00D32DA4">
        <w:rPr>
          <w:lang w:val="en-GB"/>
        </w:rPr>
        <w:t>.</w:t>
      </w:r>
      <w:r w:rsidR="008F242A" w:rsidRPr="00D32DA4">
        <w:rPr>
          <w:vertAlign w:val="superscript"/>
          <w:lang w:val="en-GB"/>
        </w:rPr>
        <w:t>14</w:t>
      </w:r>
      <w:r w:rsidRPr="00D32DA4">
        <w:rPr>
          <w:lang w:val="en-GB"/>
        </w:rPr>
        <w:t xml:space="preserve"> </w:t>
      </w:r>
      <w:r w:rsidR="0087259C" w:rsidRPr="00D32DA4">
        <w:t>Nevertheless, b</w:t>
      </w:r>
      <w:r w:rsidR="009556CA" w:rsidRPr="00D32DA4">
        <w:t xml:space="preserve">ased on the work of Kharasch and Brown, Bashir–Hashemi reported </w:t>
      </w:r>
      <w:r w:rsidR="00B12B0E" w:rsidRPr="00D32DA4">
        <w:t xml:space="preserve">a </w:t>
      </w:r>
      <w:r w:rsidR="006170F7" w:rsidRPr="00D32DA4">
        <w:t xml:space="preserve">photochemical radical </w:t>
      </w:r>
      <w:proofErr w:type="spellStart"/>
      <w:r w:rsidR="006170F7" w:rsidRPr="00D32DA4">
        <w:t>chlorocarbonylation</w:t>
      </w:r>
      <w:proofErr w:type="spellEnd"/>
      <w:r w:rsidR="009556CA" w:rsidRPr="00D32DA4">
        <w:t xml:space="preserve"> of dimethyl</w:t>
      </w:r>
      <w:r w:rsidR="009556CA" w:rsidRPr="00D32DA4">
        <w:rPr>
          <w:lang w:val="en-GB"/>
        </w:rPr>
        <w:t xml:space="preserve"> 1,4–</w:t>
      </w:r>
      <w:proofErr w:type="spellStart"/>
      <w:r w:rsidR="009556CA" w:rsidRPr="00D32DA4">
        <w:rPr>
          <w:lang w:val="en-GB"/>
        </w:rPr>
        <w:t>cubanedicarboxylate</w:t>
      </w:r>
      <w:proofErr w:type="spellEnd"/>
      <w:r w:rsidR="009556CA" w:rsidRPr="00D32DA4">
        <w:rPr>
          <w:lang w:val="en-GB"/>
        </w:rPr>
        <w:t xml:space="preserve"> </w:t>
      </w:r>
      <w:r w:rsidR="009556CA" w:rsidRPr="00D32DA4">
        <w:rPr>
          <w:b/>
          <w:lang w:val="en-GB"/>
        </w:rPr>
        <w:t xml:space="preserve">1 </w:t>
      </w:r>
      <w:r w:rsidR="009556CA" w:rsidRPr="00D32DA4">
        <w:t>with oxalyl chloride under light irradiation.</w:t>
      </w:r>
      <w:r w:rsidR="008F242A" w:rsidRPr="00D32DA4">
        <w:rPr>
          <w:vertAlign w:val="superscript"/>
        </w:rPr>
        <w:t>15</w:t>
      </w:r>
      <w:r w:rsidR="00D8588F" w:rsidRPr="00D32DA4">
        <w:rPr>
          <w:vertAlign w:val="superscript"/>
        </w:rPr>
        <w:t>,</w:t>
      </w:r>
      <w:r w:rsidR="00580A7F" w:rsidRPr="00D32DA4">
        <w:rPr>
          <w:vertAlign w:val="superscript"/>
        </w:rPr>
        <w:t xml:space="preserve"> </w:t>
      </w:r>
      <w:r w:rsidR="00D8588F" w:rsidRPr="00D32DA4">
        <w:rPr>
          <w:vertAlign w:val="superscript"/>
        </w:rPr>
        <w:t>16</w:t>
      </w:r>
      <w:r w:rsidR="009556CA" w:rsidRPr="00D32DA4">
        <w:rPr>
          <w:vertAlign w:val="superscript"/>
        </w:rPr>
        <w:fldChar w:fldCharType="begin" w:fldLock="1"/>
      </w:r>
      <w:r w:rsidR="00CA06ED" w:rsidRPr="00D32DA4">
        <w:rPr>
          <w:vertAlign w:val="superscript"/>
        </w:rPr>
        <w:instrText>ADDIN CSL_CITATION {"citationItems":[{"id":"ITEM-1","itemData":{"DOI":"10.1021/ja980514m","ISSN":"00027863","author":[{"dropping-particle":"","family":"Irngartinger","given":"H.","non-dropping-particle":"","parse-names":false,"suffix":""},{"dropping-particle":"","family":"Strack","given":"S.","non-dropping-particle":"","parse-names":false,"suffix":""}],"container-title":"Journal of the American Chemical Society","id":"ITEM-1","issue":"23","issued":{"date-parts":[["1998"]]},"page":"5818-5819","title":"Electron density distribution in a 1,2-difluorinated cubane derivative [7]","type":"article-journal","volume":"120"},"uris":["http://www.mendeley.com/documents/?uuid=c2d52af4-167d-4c13-8ad9-eabb9932c26e"]}],"mendeley":{"formattedCitation":"&lt;sup&gt;1&lt;/sup&gt;","plainTextFormattedCitation":"1","previouslyFormattedCitation":"&lt;sup&gt;27&lt;/sup&gt;"},"properties":{"noteIndex":0},"schema":"https://github.com/citation-style-language/schema/raw/master/csl-citation.json"}</w:instrText>
      </w:r>
      <w:r w:rsidR="009556CA" w:rsidRPr="00D32DA4">
        <w:rPr>
          <w:vertAlign w:val="superscript"/>
        </w:rPr>
        <w:fldChar w:fldCharType="end"/>
      </w:r>
      <w:r w:rsidR="00C41846" w:rsidRPr="00D32DA4">
        <w:rPr>
          <w:vertAlign w:val="superscript"/>
          <w:lang w:val="en-GB"/>
        </w:rPr>
        <w:t>,</w:t>
      </w:r>
      <w:r w:rsidR="00580A7F" w:rsidRPr="00D32DA4">
        <w:rPr>
          <w:vertAlign w:val="superscript"/>
          <w:lang w:val="en-GB"/>
        </w:rPr>
        <w:t xml:space="preserve"> </w:t>
      </w:r>
      <w:r w:rsidR="00D8588F" w:rsidRPr="00D32DA4">
        <w:rPr>
          <w:vertAlign w:val="superscript"/>
          <w:lang w:val="en-GB"/>
        </w:rPr>
        <w:t>17</w:t>
      </w:r>
      <w:r w:rsidR="00C41846" w:rsidRPr="00D32DA4">
        <w:rPr>
          <w:lang w:val="en-GB"/>
        </w:rPr>
        <w:t xml:space="preserve"> </w:t>
      </w:r>
      <w:r w:rsidR="00504522" w:rsidRPr="00D32DA4">
        <w:rPr>
          <w:lang w:val="en-GB"/>
        </w:rPr>
        <w:t>R</w:t>
      </w:r>
      <w:r w:rsidR="00885D2C" w:rsidRPr="00D32DA4">
        <w:rPr>
          <w:lang w:val="en-GB"/>
        </w:rPr>
        <w:t>adical–</w:t>
      </w:r>
      <w:r w:rsidR="0087259C" w:rsidRPr="00D32DA4">
        <w:rPr>
          <w:lang w:val="en-GB"/>
        </w:rPr>
        <w:t>mediated cubane trifluoromethylation using oxone with</w:t>
      </w:r>
      <w:r w:rsidR="00746387" w:rsidRPr="00D32DA4">
        <w:rPr>
          <w:lang w:val="en-GB"/>
        </w:rPr>
        <w:t xml:space="preserve"> (bipy)Cu(CF</w:t>
      </w:r>
      <w:r w:rsidR="00746387" w:rsidRPr="00D32DA4">
        <w:rPr>
          <w:vertAlign w:val="subscript"/>
          <w:lang w:val="en-GB"/>
        </w:rPr>
        <w:t>3</w:t>
      </w:r>
      <w:r w:rsidR="00746387" w:rsidRPr="00D32DA4">
        <w:rPr>
          <w:lang w:val="en-GB"/>
        </w:rPr>
        <w:t>)</w:t>
      </w:r>
      <w:r w:rsidR="00746387" w:rsidRPr="00D32DA4">
        <w:rPr>
          <w:vertAlign w:val="subscript"/>
          <w:lang w:val="en-GB"/>
        </w:rPr>
        <w:t>3</w:t>
      </w:r>
      <w:r w:rsidR="00A953CB" w:rsidRPr="00D32DA4">
        <w:rPr>
          <w:vertAlign w:val="subscript"/>
          <w:lang w:val="en-GB"/>
        </w:rPr>
        <w:t xml:space="preserve"> </w:t>
      </w:r>
      <w:r w:rsidR="00655122" w:rsidRPr="00D32DA4">
        <w:rPr>
          <w:bCs/>
          <w:lang w:val="en-GB"/>
        </w:rPr>
        <w:t xml:space="preserve">under blue light irradiation </w:t>
      </w:r>
      <w:r w:rsidR="00746387" w:rsidRPr="00D32DA4">
        <w:rPr>
          <w:lang w:val="en-GB"/>
        </w:rPr>
        <w:t>was recently reported to allow direct CF</w:t>
      </w:r>
      <w:r w:rsidR="00746387" w:rsidRPr="00D32DA4">
        <w:rPr>
          <w:vertAlign w:val="subscript"/>
          <w:lang w:val="en-GB"/>
        </w:rPr>
        <w:t>3</w:t>
      </w:r>
      <w:r w:rsidR="00746387" w:rsidRPr="00D32DA4">
        <w:rPr>
          <w:lang w:val="en-GB"/>
        </w:rPr>
        <w:t xml:space="preserve"> int</w:t>
      </w:r>
      <w:r w:rsidR="00A953CB" w:rsidRPr="00D32DA4">
        <w:rPr>
          <w:lang w:val="en-GB"/>
        </w:rPr>
        <w:t xml:space="preserve">roduction, </w:t>
      </w:r>
      <w:r w:rsidR="009A247F" w:rsidRPr="00D32DA4">
        <w:rPr>
          <w:lang w:val="en-GB"/>
        </w:rPr>
        <w:t>albeit in low yield</w:t>
      </w:r>
      <w:r w:rsidR="00885D2C" w:rsidRPr="00D32DA4">
        <w:rPr>
          <w:lang w:val="en-GB"/>
        </w:rPr>
        <w:t xml:space="preserve"> </w:t>
      </w:r>
      <w:r w:rsidR="00C927E4" w:rsidRPr="00D32DA4">
        <w:rPr>
          <w:lang w:val="en-GB"/>
        </w:rPr>
        <w:t xml:space="preserve">(14%) despite using six equivalents of </w:t>
      </w:r>
      <w:r w:rsidR="00C927E4" w:rsidRPr="00D32DA4">
        <w:rPr>
          <w:b/>
          <w:lang w:val="en-GB"/>
        </w:rPr>
        <w:t>1</w:t>
      </w:r>
      <w:r w:rsidR="00C927E4" w:rsidRPr="00D32DA4">
        <w:rPr>
          <w:lang w:val="en-GB"/>
        </w:rPr>
        <w:t>.</w:t>
      </w:r>
      <w:r w:rsidR="00C927E4" w:rsidRPr="00D32DA4">
        <w:rPr>
          <w:vertAlign w:val="superscript"/>
          <w:lang w:val="en-GB"/>
        </w:rPr>
        <w:t>18</w:t>
      </w:r>
    </w:p>
    <w:p w14:paraId="6D0EA7A7" w14:textId="32E66EBF" w:rsidR="00977EF4" w:rsidRPr="00745627" w:rsidRDefault="00EC36D5" w:rsidP="00C927E4">
      <w:pPr>
        <w:pStyle w:val="TAMainText"/>
        <w:rPr>
          <w:i/>
        </w:rPr>
      </w:pPr>
      <w:r w:rsidRPr="00EC36D5">
        <w:rPr>
          <w:i/>
          <w:noProof/>
        </w:rPr>
        <w:drawing>
          <wp:inline distT="0" distB="0" distL="0" distR="0" wp14:anchorId="089BF64C" wp14:editId="537B2E94">
            <wp:extent cx="3044825" cy="4023995"/>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4825" cy="4023995"/>
                    </a:xfrm>
                    <a:prstGeom prst="rect">
                      <a:avLst/>
                    </a:prstGeom>
                  </pic:spPr>
                </pic:pic>
              </a:graphicData>
            </a:graphic>
          </wp:inline>
        </w:drawing>
      </w:r>
    </w:p>
    <w:p w14:paraId="31976A95" w14:textId="6612DB71" w:rsidR="00DA6311" w:rsidRPr="00F26721" w:rsidRDefault="00977EF4" w:rsidP="00706162">
      <w:pPr>
        <w:pStyle w:val="VAFigureCaption"/>
        <w:rPr>
          <w:b/>
          <w:sz w:val="19"/>
          <w:szCs w:val="19"/>
        </w:rPr>
      </w:pPr>
      <w:r w:rsidRPr="00F26721">
        <w:rPr>
          <w:b/>
          <w:sz w:val="19"/>
          <w:szCs w:val="19"/>
        </w:rPr>
        <w:t xml:space="preserve">Figure 1. </w:t>
      </w:r>
      <w:r w:rsidRPr="00F26721">
        <w:rPr>
          <w:sz w:val="19"/>
          <w:szCs w:val="19"/>
        </w:rPr>
        <w:t>Context of the work.</w:t>
      </w:r>
    </w:p>
    <w:p w14:paraId="6AA85C5F" w14:textId="51F35846" w:rsidR="00640C25" w:rsidRPr="00D32DA4" w:rsidRDefault="00A56A9D" w:rsidP="00885D2C">
      <w:pPr>
        <w:pStyle w:val="TAMainText"/>
        <w:rPr>
          <w:lang w:val="en-GB"/>
        </w:rPr>
      </w:pPr>
      <w:r w:rsidRPr="00D32DA4">
        <w:rPr>
          <w:lang w:val="en-GB"/>
        </w:rPr>
        <w:t>Radical</w:t>
      </w:r>
      <w:r w:rsidR="002B0E00" w:rsidRPr="00D32DA4">
        <w:rPr>
          <w:lang w:val="en-GB"/>
        </w:rPr>
        <w:t>–</w:t>
      </w:r>
      <w:r w:rsidRPr="00D32DA4">
        <w:rPr>
          <w:lang w:val="en-GB"/>
        </w:rPr>
        <w:t>mediated halogenation has also been re</w:t>
      </w:r>
      <w:r w:rsidR="001B026B" w:rsidRPr="00D32DA4">
        <w:rPr>
          <w:lang w:val="en-GB"/>
        </w:rPr>
        <w:t>ported to subsequently enable C–</w:t>
      </w:r>
      <w:r w:rsidRPr="00D32DA4">
        <w:rPr>
          <w:lang w:val="en-GB"/>
        </w:rPr>
        <w:t>C bond formation.</w:t>
      </w:r>
      <w:r w:rsidR="008360FC" w:rsidRPr="00D32DA4">
        <w:rPr>
          <w:vertAlign w:val="superscript"/>
          <w:lang w:val="en-GB"/>
        </w:rPr>
        <w:t>10</w:t>
      </w:r>
      <w:proofErr w:type="gramStart"/>
      <w:r w:rsidR="004C4DEB" w:rsidRPr="00D32DA4">
        <w:rPr>
          <w:vertAlign w:val="superscript"/>
          <w:lang w:val="en-GB"/>
        </w:rPr>
        <w:t>b,d</w:t>
      </w:r>
      <w:proofErr w:type="gramEnd"/>
      <w:r w:rsidRPr="00D32DA4">
        <w:rPr>
          <w:lang w:val="en-GB"/>
        </w:rPr>
        <w:t xml:space="preserve"> Here, r</w:t>
      </w:r>
      <w:r w:rsidR="00E82D49" w:rsidRPr="00D32DA4">
        <w:rPr>
          <w:lang w:val="en-GB"/>
        </w:rPr>
        <w:t xml:space="preserve">egioselective hydrogen abstraction of monosubstituted cubanes </w:t>
      </w:r>
      <w:r w:rsidR="0087259C" w:rsidRPr="00D32DA4">
        <w:rPr>
          <w:lang w:val="en-GB"/>
        </w:rPr>
        <w:t>was shown to be</w:t>
      </w:r>
      <w:r w:rsidR="00E82D49" w:rsidRPr="00D32DA4">
        <w:rPr>
          <w:lang w:val="en-GB"/>
        </w:rPr>
        <w:t xml:space="preserve"> challenging</w:t>
      </w:r>
      <w:r w:rsidR="0087259C" w:rsidRPr="00D32DA4">
        <w:rPr>
          <w:lang w:val="en-GB"/>
        </w:rPr>
        <w:t xml:space="preserve"> </w:t>
      </w:r>
      <w:r w:rsidR="00E82D49" w:rsidRPr="00D32DA4">
        <w:rPr>
          <w:lang w:val="en-GB"/>
        </w:rPr>
        <w:t xml:space="preserve">due to the small BDEs differences between the </w:t>
      </w:r>
      <w:r w:rsidR="00E82D49" w:rsidRPr="00D32DA4">
        <w:rPr>
          <w:i/>
          <w:lang w:val="en-GB"/>
        </w:rPr>
        <w:t>para</w:t>
      </w:r>
      <w:r w:rsidR="00E82D49" w:rsidRPr="00D32DA4">
        <w:rPr>
          <w:lang w:val="en-GB"/>
        </w:rPr>
        <w:t xml:space="preserve">–, </w:t>
      </w:r>
      <w:r w:rsidR="00E82D49" w:rsidRPr="00D32DA4">
        <w:rPr>
          <w:i/>
          <w:lang w:val="en-GB"/>
        </w:rPr>
        <w:t>meta–</w:t>
      </w:r>
      <w:r w:rsidR="00E82D49" w:rsidRPr="00D32DA4">
        <w:rPr>
          <w:lang w:val="en-GB"/>
        </w:rPr>
        <w:t xml:space="preserve"> and </w:t>
      </w:r>
      <w:r w:rsidR="00E82D49" w:rsidRPr="00D32DA4">
        <w:rPr>
          <w:i/>
          <w:lang w:val="en-GB"/>
        </w:rPr>
        <w:t>ortho</w:t>
      </w:r>
      <w:r w:rsidR="00E82D49" w:rsidRPr="00D32DA4">
        <w:rPr>
          <w:lang w:val="en-GB"/>
        </w:rPr>
        <w:t xml:space="preserve">–hydrogens. </w:t>
      </w:r>
    </w:p>
    <w:p w14:paraId="37D59FCA" w14:textId="77777777" w:rsidR="000C0C7B" w:rsidRDefault="00746387" w:rsidP="005D4F8D">
      <w:pPr>
        <w:pStyle w:val="TAMainText"/>
        <w:rPr>
          <w:lang w:val="en-GB"/>
        </w:rPr>
      </w:pPr>
      <w:r w:rsidRPr="00D32DA4">
        <w:lastRenderedPageBreak/>
        <w:t>Direct introduction of a c</w:t>
      </w:r>
      <w:r w:rsidR="009556CA" w:rsidRPr="00D32DA4">
        <w:t xml:space="preserve">arboxylic acid </w:t>
      </w:r>
      <w:r w:rsidRPr="00D32DA4">
        <w:t xml:space="preserve">group in </w:t>
      </w:r>
      <w:r w:rsidR="00941C64" w:rsidRPr="00D32DA4">
        <w:t xml:space="preserve">the archetypical </w:t>
      </w:r>
      <w:r w:rsidR="00FF21C3" w:rsidRPr="00D32DA4">
        <w:t xml:space="preserve">cubane </w:t>
      </w:r>
      <w:r w:rsidR="00941C64" w:rsidRPr="00D32DA4">
        <w:t xml:space="preserve">starting material </w:t>
      </w:r>
      <w:r w:rsidR="00941C64" w:rsidRPr="00D32DA4">
        <w:rPr>
          <w:b/>
          <w:bCs/>
        </w:rPr>
        <w:t>1</w:t>
      </w:r>
      <w:r w:rsidRPr="00D32DA4">
        <w:t xml:space="preserve"> is of high interest due to the rich cub</w:t>
      </w:r>
      <w:r w:rsidR="00B51C8A" w:rsidRPr="00D32DA4">
        <w:t>ane decarboxylative functional</w:t>
      </w:r>
      <w:r w:rsidR="00934E5D">
        <w:t>iza</w:t>
      </w:r>
      <w:r w:rsidRPr="00D32DA4">
        <w:t>tion chemistry developed in recent years</w:t>
      </w:r>
      <w:r w:rsidR="009556CA" w:rsidRPr="00D32DA4">
        <w:t>.</w:t>
      </w:r>
      <w:r w:rsidR="008360FC" w:rsidRPr="00D32DA4">
        <w:rPr>
          <w:vertAlign w:val="superscript"/>
        </w:rPr>
        <w:t>19</w:t>
      </w:r>
      <w:r w:rsidR="004C0CB0" w:rsidRPr="00D32DA4">
        <w:rPr>
          <w:lang w:val="en-GB"/>
        </w:rPr>
        <w:t xml:space="preserve"> </w:t>
      </w:r>
    </w:p>
    <w:p w14:paraId="007F7219" w14:textId="6ABD5BC1" w:rsidR="00746387" w:rsidRPr="00D32DA4" w:rsidRDefault="00F10FDC" w:rsidP="005D4F8D">
      <w:pPr>
        <w:pStyle w:val="TAMainText"/>
      </w:pPr>
      <w:r w:rsidRPr="00D32DA4">
        <w:rPr>
          <w:lang w:val="en-GB"/>
        </w:rPr>
        <w:t>M</w:t>
      </w:r>
      <w:proofErr w:type="spellStart"/>
      <w:r w:rsidR="00FC745E" w:rsidRPr="00D32DA4">
        <w:t>ost</w:t>
      </w:r>
      <w:proofErr w:type="spellEnd"/>
      <w:r w:rsidR="00FC745E" w:rsidRPr="00D32DA4">
        <w:t xml:space="preserve"> of the reported alip</w:t>
      </w:r>
      <w:r w:rsidR="00FF21C3" w:rsidRPr="00D32DA4">
        <w:t>h</w:t>
      </w:r>
      <w:r w:rsidR="00FC745E" w:rsidRPr="00D32DA4">
        <w:t xml:space="preserve">atic </w:t>
      </w:r>
      <w:r w:rsidR="00FC745E" w:rsidRPr="00D32DA4">
        <w:rPr>
          <w:lang w:val="en-GB"/>
        </w:rPr>
        <w:t xml:space="preserve">C–H bond </w:t>
      </w:r>
      <w:proofErr w:type="spellStart"/>
      <w:r w:rsidR="00FC745E" w:rsidRPr="00D32DA4">
        <w:t>carboxylation</w:t>
      </w:r>
      <w:r w:rsidRPr="00D32DA4">
        <w:t>s</w:t>
      </w:r>
      <w:proofErr w:type="spellEnd"/>
      <w:r w:rsidR="00FC745E" w:rsidRPr="00D32DA4">
        <w:t xml:space="preserve"> </w:t>
      </w:r>
      <w:r w:rsidR="00FC745E" w:rsidRPr="00D32DA4">
        <w:rPr>
          <w:lang w:val="en-GB"/>
        </w:rPr>
        <w:t xml:space="preserve">rely on the use of transition metal complexes, </w:t>
      </w:r>
      <w:proofErr w:type="spellStart"/>
      <w:r w:rsidR="00FC745E" w:rsidRPr="00D32DA4">
        <w:rPr>
          <w:lang w:val="en-GB"/>
        </w:rPr>
        <w:t>photoredox</w:t>
      </w:r>
      <w:proofErr w:type="spellEnd"/>
      <w:r w:rsidR="00FC745E" w:rsidRPr="00D32DA4">
        <w:rPr>
          <w:lang w:val="en-GB"/>
        </w:rPr>
        <w:t xml:space="preserve"> catalysis process</w:t>
      </w:r>
      <w:r w:rsidR="000C0C7B">
        <w:rPr>
          <w:lang w:val="en-GB"/>
        </w:rPr>
        <w:t>,</w:t>
      </w:r>
      <w:r w:rsidR="00FC745E" w:rsidRPr="00D32DA4">
        <w:rPr>
          <w:lang w:val="en-GB"/>
        </w:rPr>
        <w:t xml:space="preserve"> or both, usually in presence of carbon dioxide</w:t>
      </w:r>
      <w:r w:rsidR="000C0C7B">
        <w:rPr>
          <w:lang w:val="en-GB"/>
        </w:rPr>
        <w:t>,</w:t>
      </w:r>
      <w:r w:rsidR="00FC745E" w:rsidRPr="00D32DA4">
        <w:rPr>
          <w:lang w:val="en-GB"/>
        </w:rPr>
        <w:t xml:space="preserve"> and remain limited to allylic, benzylic, α–amino weak C–H bonds.</w:t>
      </w:r>
      <w:r w:rsidR="00FC745E" w:rsidRPr="00D32DA4">
        <w:rPr>
          <w:vertAlign w:val="superscript"/>
          <w:lang w:val="en-GB"/>
        </w:rPr>
        <w:t xml:space="preserve">20 </w:t>
      </w:r>
      <w:r w:rsidR="003C333C" w:rsidRPr="00D32DA4">
        <w:rPr>
          <w:lang w:val="en-GB"/>
        </w:rPr>
        <w:t xml:space="preserve">With the challenging </w:t>
      </w:r>
      <w:proofErr w:type="spellStart"/>
      <w:r w:rsidR="003C333C" w:rsidRPr="00D32DA4">
        <w:rPr>
          <w:lang w:val="en-GB"/>
        </w:rPr>
        <w:t>cubyl</w:t>
      </w:r>
      <w:proofErr w:type="spellEnd"/>
      <w:r w:rsidR="003C333C" w:rsidRPr="00D32DA4">
        <w:rPr>
          <w:lang w:val="en-GB"/>
        </w:rPr>
        <w:t xml:space="preserve"> radical formation in mind</w:t>
      </w:r>
      <w:r w:rsidR="00941C64" w:rsidRPr="00D32DA4">
        <w:rPr>
          <w:lang w:val="en-GB"/>
        </w:rPr>
        <w:t xml:space="preserve">, </w:t>
      </w:r>
      <w:r w:rsidR="003C333C" w:rsidRPr="00D32DA4">
        <w:rPr>
          <w:lang w:val="en-GB"/>
        </w:rPr>
        <w:t>Bashir</w:t>
      </w:r>
      <w:r w:rsidR="001B2E94" w:rsidRPr="00D32DA4">
        <w:rPr>
          <w:lang w:val="en-GB"/>
        </w:rPr>
        <w:t>–</w:t>
      </w:r>
      <w:r w:rsidR="003C333C" w:rsidRPr="00D32DA4">
        <w:rPr>
          <w:lang w:val="en-GB"/>
        </w:rPr>
        <w:t xml:space="preserve">Hashemi’s chlorine radical mediated </w:t>
      </w:r>
      <w:proofErr w:type="spellStart"/>
      <w:r w:rsidR="003C333C" w:rsidRPr="00D32DA4">
        <w:rPr>
          <w:lang w:val="en-GB"/>
        </w:rPr>
        <w:t>cubane</w:t>
      </w:r>
      <w:proofErr w:type="spellEnd"/>
      <w:r w:rsidR="003C333C" w:rsidRPr="00D32DA4">
        <w:rPr>
          <w:lang w:val="en-GB"/>
        </w:rPr>
        <w:t xml:space="preserve"> C–H </w:t>
      </w:r>
      <w:proofErr w:type="spellStart"/>
      <w:r w:rsidR="003C333C" w:rsidRPr="00D32DA4">
        <w:rPr>
          <w:lang w:val="en-GB"/>
        </w:rPr>
        <w:t>c</w:t>
      </w:r>
      <w:r w:rsidR="00D9328F" w:rsidRPr="00D32DA4">
        <w:rPr>
          <w:lang w:val="en-GB"/>
        </w:rPr>
        <w:t>hlorocarbonylation</w:t>
      </w:r>
      <w:proofErr w:type="spellEnd"/>
      <w:r w:rsidR="003C333C" w:rsidRPr="00D32DA4">
        <w:rPr>
          <w:lang w:val="en-GB"/>
        </w:rPr>
        <w:t xml:space="preserve"> remains of great interest </w:t>
      </w:r>
      <w:r w:rsidR="00941C64" w:rsidRPr="00D32DA4">
        <w:rPr>
          <w:lang w:val="en-GB"/>
        </w:rPr>
        <w:t>despite the use of the toxic and corrosive oxalyl chloride in very large excess</w:t>
      </w:r>
      <w:r w:rsidR="00E50F1F" w:rsidRPr="00D32DA4">
        <w:rPr>
          <w:lang w:val="en-GB"/>
        </w:rPr>
        <w:t>, and the use of a high</w:t>
      </w:r>
      <w:r w:rsidR="0046025F" w:rsidRPr="00D32DA4">
        <w:rPr>
          <w:lang w:val="en-GB"/>
        </w:rPr>
        <w:t>–</w:t>
      </w:r>
      <w:r w:rsidR="00E50F1F" w:rsidRPr="00D32DA4">
        <w:rPr>
          <w:lang w:val="en-GB"/>
        </w:rPr>
        <w:t>powered halogen</w:t>
      </w:r>
      <w:r w:rsidR="00627718">
        <w:rPr>
          <w:lang w:val="en-GB"/>
        </w:rPr>
        <w:t xml:space="preserve"> </w:t>
      </w:r>
      <w:r w:rsidR="00E50F1F" w:rsidRPr="00D32DA4">
        <w:rPr>
          <w:lang w:val="en-GB"/>
        </w:rPr>
        <w:t>lamp (</w:t>
      </w:r>
      <w:r w:rsidR="00E50F1F" w:rsidRPr="00D32DA4">
        <w:rPr>
          <w:rFonts w:ascii="Times New Roman" w:hAnsi="Times New Roman"/>
          <w:lang w:val="en-GB"/>
        </w:rPr>
        <w:t>≥</w:t>
      </w:r>
      <w:r w:rsidR="00E50F1F" w:rsidRPr="00D32DA4">
        <w:rPr>
          <w:lang w:val="en-GB"/>
        </w:rPr>
        <w:t xml:space="preserve"> 275 W) operating at very high temperatures.</w:t>
      </w:r>
      <w:r w:rsidR="002265AE" w:rsidRPr="00D32DA4">
        <w:rPr>
          <w:vertAlign w:val="superscript"/>
          <w:lang w:val="en-GB"/>
        </w:rPr>
        <w:t>16</w:t>
      </w:r>
      <w:r w:rsidR="00E50F1F" w:rsidRPr="00D32DA4">
        <w:rPr>
          <w:lang w:val="en-GB"/>
        </w:rPr>
        <w:t xml:space="preserve"> </w:t>
      </w:r>
      <w:r w:rsidR="00067999" w:rsidRPr="00D32DA4">
        <w:t>This method has previously shown</w:t>
      </w:r>
      <w:r w:rsidR="005D4F8D" w:rsidRPr="00D32DA4">
        <w:t xml:space="preserve"> </w:t>
      </w:r>
      <w:r w:rsidR="005D4F8D" w:rsidRPr="00D32DA4">
        <w:rPr>
          <w:lang w:val="en-GB"/>
        </w:rPr>
        <w:t>high potential to access molecular diversity in the field of combinatorial chemistry.</w:t>
      </w:r>
      <w:r w:rsidR="00E44588" w:rsidRPr="00D32DA4">
        <w:rPr>
          <w:vertAlign w:val="superscript"/>
          <w:lang w:val="en-GB"/>
        </w:rPr>
        <w:t>2</w:t>
      </w:r>
      <w:r w:rsidR="00B8487F" w:rsidRPr="00D32DA4">
        <w:rPr>
          <w:vertAlign w:val="superscript"/>
          <w:lang w:val="en-GB"/>
        </w:rPr>
        <w:t>1</w:t>
      </w:r>
      <w:r w:rsidR="005D4F8D" w:rsidRPr="00D32DA4">
        <w:t xml:space="preserve"> </w:t>
      </w:r>
      <w:r w:rsidR="00746387" w:rsidRPr="00D32DA4">
        <w:rPr>
          <w:lang w:val="en-GB"/>
        </w:rPr>
        <w:t xml:space="preserve">Recently, several milder conditions for the generation of chlorine radical have been reported </w:t>
      </w:r>
      <w:r w:rsidR="00FF21C3" w:rsidRPr="00D32DA4">
        <w:rPr>
          <w:lang w:val="en-GB"/>
        </w:rPr>
        <w:t>(</w:t>
      </w:r>
      <w:r w:rsidR="00746387" w:rsidRPr="00D32DA4">
        <w:rPr>
          <w:lang w:val="en-GB"/>
        </w:rPr>
        <w:t xml:space="preserve">for nickel </w:t>
      </w:r>
      <w:r w:rsidR="00172C95" w:rsidRPr="00D32DA4">
        <w:rPr>
          <w:lang w:val="en-GB"/>
        </w:rPr>
        <w:t xml:space="preserve">mediated </w:t>
      </w:r>
      <w:r w:rsidR="000F54FB" w:rsidRPr="003725B2">
        <w:t>C</w:t>
      </w:r>
      <w:r w:rsidR="000F54FB" w:rsidRPr="00D32DA4">
        <w:rPr>
          <w:rFonts w:ascii="Times New Roman" w:hAnsi="Times New Roman"/>
          <w:sz w:val="16"/>
          <w:szCs w:val="16"/>
          <w:vertAlign w:val="subscript"/>
        </w:rPr>
        <w:t>Sp</w:t>
      </w:r>
      <w:r w:rsidR="000F54FB" w:rsidRPr="00D32DA4">
        <w:rPr>
          <w:rFonts w:ascii="Times New Roman" w:hAnsi="Times New Roman"/>
          <w:sz w:val="16"/>
          <w:szCs w:val="16"/>
          <w:vertAlign w:val="superscript"/>
        </w:rPr>
        <w:t>3</w:t>
      </w:r>
      <w:r w:rsidR="000F54FB" w:rsidRPr="00D32DA4">
        <w:rPr>
          <w:lang w:val="en-GB"/>
        </w:rPr>
        <w:t>–</w:t>
      </w:r>
      <w:r w:rsidR="000F54FB" w:rsidRPr="003725B2">
        <w:t>H</w:t>
      </w:r>
      <w:r w:rsidR="000F54FB" w:rsidRPr="00D32DA4">
        <w:rPr>
          <w:rFonts w:ascii="Times New Roman" w:hAnsi="Times New Roman"/>
          <w:sz w:val="16"/>
          <w:szCs w:val="16"/>
        </w:rPr>
        <w:t xml:space="preserve"> </w:t>
      </w:r>
      <w:r w:rsidR="00746387" w:rsidRPr="00D32DA4">
        <w:rPr>
          <w:lang w:val="en-GB"/>
        </w:rPr>
        <w:t xml:space="preserve">cross–coupling or </w:t>
      </w:r>
      <w:proofErr w:type="spellStart"/>
      <w:r w:rsidR="00746387" w:rsidRPr="00D32DA4">
        <w:rPr>
          <w:lang w:val="en-GB"/>
        </w:rPr>
        <w:t>Minisci</w:t>
      </w:r>
      <w:proofErr w:type="spellEnd"/>
      <w:r w:rsidR="00746387" w:rsidRPr="00D32DA4">
        <w:rPr>
          <w:lang w:val="en-GB"/>
        </w:rPr>
        <w:t>–type reactions</w:t>
      </w:r>
      <w:r w:rsidR="00FF21C3" w:rsidRPr="00D32DA4">
        <w:rPr>
          <w:lang w:val="en-GB"/>
        </w:rPr>
        <w:t>),</w:t>
      </w:r>
      <w:r w:rsidR="008E04DF" w:rsidRPr="00D32DA4">
        <w:rPr>
          <w:vertAlign w:val="superscript"/>
          <w:lang w:val="en-GB"/>
        </w:rPr>
        <w:t>22</w:t>
      </w:r>
      <w:r w:rsidR="003D467E" w:rsidRPr="00D32DA4">
        <w:rPr>
          <w:lang w:val="en-GB"/>
        </w:rPr>
        <w:t xml:space="preserve"> however </w:t>
      </w:r>
      <w:r w:rsidR="00746387" w:rsidRPr="00D32DA4">
        <w:rPr>
          <w:lang w:val="en-GB"/>
        </w:rPr>
        <w:t xml:space="preserve">large excess of substrates (5 to 20 equiv.) are required, </w:t>
      </w:r>
      <w:r w:rsidR="00E50F1F" w:rsidRPr="00D32DA4">
        <w:rPr>
          <w:lang w:val="en-GB"/>
        </w:rPr>
        <w:t>rendering these</w:t>
      </w:r>
      <w:r w:rsidR="001B2E94" w:rsidRPr="00D32DA4">
        <w:rPr>
          <w:lang w:val="en-GB"/>
        </w:rPr>
        <w:t xml:space="preserve"> </w:t>
      </w:r>
      <w:r w:rsidR="00746387" w:rsidRPr="00D32DA4">
        <w:rPr>
          <w:lang w:val="en-GB"/>
        </w:rPr>
        <w:t xml:space="preserve">approaches </w:t>
      </w:r>
      <w:r w:rsidR="00E50F1F" w:rsidRPr="00D32DA4">
        <w:t>unattractive with the use of</w:t>
      </w:r>
      <w:r w:rsidR="000C0C7B">
        <w:t xml:space="preserve"> expensive</w:t>
      </w:r>
      <w:r w:rsidR="00746387" w:rsidRPr="00D32DA4">
        <w:t xml:space="preserve"> </w:t>
      </w:r>
      <w:r w:rsidR="00746387" w:rsidRPr="00D32DA4">
        <w:rPr>
          <w:b/>
        </w:rPr>
        <w:t>1</w:t>
      </w:r>
      <w:r w:rsidR="00746387" w:rsidRPr="00D32DA4">
        <w:t xml:space="preserve">. </w:t>
      </w:r>
    </w:p>
    <w:p w14:paraId="21018814" w14:textId="692A663A" w:rsidR="007D4866" w:rsidRPr="00D32DA4" w:rsidRDefault="00400FEC" w:rsidP="009A247F">
      <w:pPr>
        <w:pStyle w:val="TAMainText"/>
        <w:rPr>
          <w:lang w:val="en-GB"/>
        </w:rPr>
      </w:pPr>
      <w:r w:rsidRPr="00D32DA4">
        <w:rPr>
          <w:lang w:val="en-GB"/>
        </w:rPr>
        <w:t>Here</w:t>
      </w:r>
      <w:r w:rsidR="00895508">
        <w:rPr>
          <w:lang w:val="en-GB"/>
        </w:rPr>
        <w:t>in,</w:t>
      </w:r>
      <w:r w:rsidRPr="00D32DA4">
        <w:rPr>
          <w:lang w:val="en-GB"/>
        </w:rPr>
        <w:t xml:space="preserve"> we describe our efforts </w:t>
      </w:r>
      <w:r w:rsidR="00DC4CB7" w:rsidRPr="00D32DA4">
        <w:t xml:space="preserve">to develop safer, milder, practical and more efficient conditions </w:t>
      </w:r>
      <w:r w:rsidRPr="00D32DA4">
        <w:t xml:space="preserve">to achieve the powerful C–H </w:t>
      </w:r>
      <w:r w:rsidRPr="00D32DA4">
        <w:rPr>
          <w:rFonts w:ascii="Times New Roman" w:hAnsi="Times New Roman"/>
          <w:szCs w:val="19"/>
          <w:lang w:val="en-GB"/>
        </w:rPr>
        <w:t>chlorocarbonylation</w:t>
      </w:r>
      <w:r w:rsidRPr="00D32DA4">
        <w:t xml:space="preserve"> of </w:t>
      </w:r>
      <w:r w:rsidRPr="00D32DA4">
        <w:rPr>
          <w:b/>
        </w:rPr>
        <w:t xml:space="preserve">1 </w:t>
      </w:r>
      <w:r w:rsidR="003C333C" w:rsidRPr="00D32DA4">
        <w:rPr>
          <w:bCs/>
        </w:rPr>
        <w:t xml:space="preserve">(Figure 1D) </w:t>
      </w:r>
      <w:r w:rsidR="00DC4CB7" w:rsidRPr="00D32DA4">
        <w:t xml:space="preserve">to </w:t>
      </w:r>
      <w:r w:rsidR="00EE241E">
        <w:t xml:space="preserve">give </w:t>
      </w:r>
      <w:r w:rsidR="00321384" w:rsidRPr="00D32DA4">
        <w:t xml:space="preserve">access </w:t>
      </w:r>
      <w:r w:rsidR="00EE241E">
        <w:t xml:space="preserve">to </w:t>
      </w:r>
      <w:r w:rsidR="00DC4CB7" w:rsidRPr="00D32DA4">
        <w:t xml:space="preserve">a wide variety </w:t>
      </w:r>
      <w:r w:rsidR="00504522" w:rsidRPr="00D32DA4">
        <w:t>of</w:t>
      </w:r>
      <w:r w:rsidR="00DC4CB7" w:rsidRPr="00D32DA4">
        <w:t xml:space="preserve"> </w:t>
      </w:r>
      <w:r w:rsidR="00321384" w:rsidRPr="00D32DA4">
        <w:t>1,2,4–</w:t>
      </w:r>
      <w:r w:rsidR="00DC4CB7" w:rsidRPr="00D32DA4">
        <w:t>substituted cubane derivatives</w:t>
      </w:r>
      <w:r w:rsidR="0042470E" w:rsidRPr="00D32DA4">
        <w:t xml:space="preserve">, exemplify the synthetic opportunities offered by the </w:t>
      </w:r>
      <w:r w:rsidR="000C0C7B">
        <w:t>introduction of the corresponding carboxylic acid, as well as full differentiation of the three substituents</w:t>
      </w:r>
      <w:r w:rsidR="0042470E" w:rsidRPr="00D32DA4">
        <w:t>.</w:t>
      </w:r>
    </w:p>
    <w:p w14:paraId="52CE3B42" w14:textId="1E78AFEC" w:rsidR="00811F74" w:rsidRPr="00D32DA4" w:rsidRDefault="00EA6263" w:rsidP="000C0C7B">
      <w:pPr>
        <w:pStyle w:val="TAMainText"/>
      </w:pPr>
      <w:r w:rsidRPr="00D32DA4">
        <w:t xml:space="preserve">Key considerations involved the excess of oxalyl chloride and the irradiation source. </w:t>
      </w:r>
      <w:r w:rsidR="000C0C7B">
        <w:t>Instead of using oxalyl chloride as the solvent, d</w:t>
      </w:r>
      <w:proofErr w:type="spellStart"/>
      <w:r w:rsidRPr="00D32DA4">
        <w:rPr>
          <w:lang w:val="en-GB"/>
        </w:rPr>
        <w:t>ichloromethane</w:t>
      </w:r>
      <w:proofErr w:type="spellEnd"/>
      <w:r w:rsidRPr="00D32DA4">
        <w:rPr>
          <w:lang w:val="en-GB"/>
        </w:rPr>
        <w:t xml:space="preserve"> was chosen, given the hydrocarbons and ethers, the only other solvents compatible with oxalyl chloride</w:t>
      </w:r>
      <w:r w:rsidR="00504522" w:rsidRPr="00D32DA4">
        <w:rPr>
          <w:lang w:val="en-GB"/>
        </w:rPr>
        <w:t>,</w:t>
      </w:r>
      <w:r w:rsidRPr="00D32DA4">
        <w:rPr>
          <w:lang w:val="en-GB"/>
        </w:rPr>
        <w:t xml:space="preserve"> </w:t>
      </w:r>
      <w:r w:rsidR="00EE241E">
        <w:rPr>
          <w:lang w:val="en-GB"/>
        </w:rPr>
        <w:t>are expected to</w:t>
      </w:r>
      <w:r w:rsidR="00EE241E" w:rsidRPr="00D32DA4">
        <w:rPr>
          <w:lang w:val="en-GB"/>
        </w:rPr>
        <w:t xml:space="preserve"> </w:t>
      </w:r>
      <w:r w:rsidRPr="00D32DA4">
        <w:t>undergo H</w:t>
      </w:r>
      <w:r w:rsidRPr="00D32DA4">
        <w:rPr>
          <w:lang w:val="en-GB"/>
        </w:rPr>
        <w:t>–</w:t>
      </w:r>
      <w:r w:rsidRPr="00D32DA4">
        <w:t>atom transfer (HAT)</w:t>
      </w:r>
      <w:r w:rsidRPr="00D32DA4">
        <w:rPr>
          <w:lang w:val="en-GB"/>
        </w:rPr>
        <w:t xml:space="preserve"> with the cubyl radical</w:t>
      </w:r>
      <w:r w:rsidRPr="00D32DA4">
        <w:t xml:space="preserve">. According </w:t>
      </w:r>
      <w:r w:rsidR="002D09A8" w:rsidRPr="00D32DA4">
        <w:t xml:space="preserve">to </w:t>
      </w:r>
      <w:r w:rsidRPr="00D32DA4">
        <w:t>the</w:t>
      </w:r>
      <w:r w:rsidR="00E04B53" w:rsidRPr="00D32DA4">
        <w:t xml:space="preserve"> reported</w:t>
      </w:r>
      <w:r w:rsidRPr="00D32DA4">
        <w:t xml:space="preserve"> photodissociation mechanism of oxalyl chloride</w:t>
      </w:r>
      <w:r w:rsidR="00EE241E">
        <w:t>,</w:t>
      </w:r>
      <w:r w:rsidR="00CD62E6" w:rsidRPr="00D32DA4">
        <w:rPr>
          <w:vertAlign w:val="superscript"/>
        </w:rPr>
        <w:t>23</w:t>
      </w:r>
      <w:r w:rsidR="00E04B53" w:rsidRPr="00D32DA4">
        <w:rPr>
          <w:vertAlign w:val="superscript"/>
        </w:rPr>
        <w:t xml:space="preserve"> </w:t>
      </w:r>
      <w:r w:rsidRPr="00D32DA4">
        <w:t xml:space="preserve">we considered that a large part of the emission spectrum of the </w:t>
      </w:r>
      <w:r w:rsidR="00B34386" w:rsidRPr="00D32DA4">
        <w:t xml:space="preserve">previously used </w:t>
      </w:r>
      <w:r w:rsidRPr="00D32DA4">
        <w:t xml:space="preserve">halogen </w:t>
      </w:r>
      <w:r w:rsidR="003D3D85">
        <w:t xml:space="preserve">or </w:t>
      </w:r>
      <w:r w:rsidR="003D3D85" w:rsidRPr="00D32DA4">
        <w:rPr>
          <w:szCs w:val="16"/>
          <w:lang w:val="en-GB"/>
        </w:rPr>
        <w:t>mercury–vapor lamps</w:t>
      </w:r>
      <w:r w:rsidR="003D3D85">
        <w:t xml:space="preserve"> </w:t>
      </w:r>
      <w:r w:rsidRPr="00D32DA4">
        <w:t xml:space="preserve">remained unused, </w:t>
      </w:r>
      <w:r w:rsidR="00B34386" w:rsidRPr="00D32DA4">
        <w:t xml:space="preserve">leading </w:t>
      </w:r>
      <w:r w:rsidR="002D09A8" w:rsidRPr="00D32DA4">
        <w:t>us to select</w:t>
      </w:r>
      <w:r w:rsidRPr="00D32DA4">
        <w:t xml:space="preserve"> UV–irradiation</w:t>
      </w:r>
      <w:r w:rsidR="000C0C7B">
        <w:t xml:space="preserve"> to increase the </w:t>
      </w:r>
      <w:r w:rsidR="007E5C1E">
        <w:t>energy efficiency</w:t>
      </w:r>
      <w:r w:rsidRPr="00D32DA4">
        <w:t xml:space="preserve">. </w:t>
      </w:r>
      <w:r w:rsidR="00EE241E">
        <w:t>In addition</w:t>
      </w:r>
      <w:r w:rsidR="00B34386" w:rsidRPr="00D32DA4">
        <w:t xml:space="preserve">, the use of a microreactor was employed as </w:t>
      </w:r>
      <w:r w:rsidR="009502FD" w:rsidRPr="00D32DA4">
        <w:t xml:space="preserve">a safe and more efficient </w:t>
      </w:r>
      <w:r w:rsidR="00B34386" w:rsidRPr="00D32DA4">
        <w:t xml:space="preserve">means for photochemical reactions, envisioning </w:t>
      </w:r>
      <w:r w:rsidR="00EE241E">
        <w:t xml:space="preserve">to enable </w:t>
      </w:r>
      <w:r w:rsidR="00B34386" w:rsidRPr="00D32DA4">
        <w:t>a drastic reduction in lamp power. A previously reported</w:t>
      </w:r>
      <w:r w:rsidR="00AA0F93" w:rsidRPr="00D32DA4">
        <w:fldChar w:fldCharType="begin" w:fldLock="1"/>
      </w:r>
      <w:r w:rsidR="00CA06ED" w:rsidRPr="00D32DA4">
        <w:instrText>ADDIN CSL_CITATION {"citationItems":[{"id":"ITEM-1","itemData":{"DOI":"10.1055/s-0040-1705964","ISSN":"0039-7881","abstract":"The highly strained cubane system is of great interest as a scaffold and rigid linker in both pharmaceutical and materials chemistry. A straightforward approach is reported for the scale-up of a [2+2] photocycloaddition step using convenient home-made flow photoreactors to access dimethyl 1,4-cubanedicarboxylate on decagram-scale in 33–40% yield over 8 steps. The process is demonstrated on 3.4 g·h–1 input with 30 minutes residence time, enabling to reduce the process time and to avoid the use of batch photoreactors. Completion of the characterisation of the photocycloadduct and its hydrates is reported.","author":[{"dropping-particle":"","family":"Collin","given":"Diego E.","non-dropping-particle":"","parse-names":false,"suffix":""},{"dropping-particle":"","family":"Jackman","given":"Edward H.","non-dropping-particle":"","parse-names":false,"suffix":""},{"dropping-particle":"","family":"Jouandon","given":"Nicolas","non-dropping-particle":"","parse-names":false,"suffix":""},{"dropping-particle":"","family":"Sun","given":"Wei","non-dropping-particle":"","parse-names":false,"suffix":""},{"dropping-particle":"","family":"Light","given":"Mark E.","non-dropping-particle":"","parse-names":false,"suffix":""},{"dropping-particle":"","family":"Harrowven","given":"David C.","non-dropping-particle":"","parse-names":false,"suffix":""},{"dropping-particle":"","family":"Linclau","given":"Bruno","non-dropping-particle":"","parse-names":false,"suffix":""}],"container-title":"Synthesis","id":"ITEM-1","issue":"07","issued":{"date-parts":[["2021","4","4"]]},"page":"1307-1314","title":"Decagram Synthesis of Dimethyl 1,4-Cubanedicarboxylate Using Continuous-Flow Photochemistry","type":"article-journal","volume":"53"},"uris":["http://www.mendeley.com/documents/?uuid=083a1a9c-5b39-4935-bc69-2fd85c4361a7"]}],"mendeley":{"formattedCitation":"&lt;sup&gt;2&lt;/sup&gt;","manualFormatting":"24","plainTextFormattedCitation":"2","previouslyFormattedCitation":"&lt;sup&gt;51&lt;/sup&gt;"},"properties":{"noteIndex":0},"schema":"https://github.com/citation-style-language/schema/raw/master/csl-citation.json"}</w:instrText>
      </w:r>
      <w:r w:rsidR="00AA0F93" w:rsidRPr="00D32DA4">
        <w:fldChar w:fldCharType="separate"/>
      </w:r>
      <w:r w:rsidR="00CD62E6" w:rsidRPr="00D32DA4">
        <w:rPr>
          <w:noProof/>
          <w:vertAlign w:val="superscript"/>
        </w:rPr>
        <w:t>24</w:t>
      </w:r>
      <w:r w:rsidR="00AA0F93" w:rsidRPr="00D32DA4">
        <w:fldChar w:fldCharType="end"/>
      </w:r>
      <w:r w:rsidR="00C96B75" w:rsidRPr="00D32DA4">
        <w:t xml:space="preserve"> </w:t>
      </w:r>
      <w:r w:rsidR="00AA0F93" w:rsidRPr="00D32DA4">
        <w:t>home–</w:t>
      </w:r>
      <w:r w:rsidR="00B34386" w:rsidRPr="00D32DA4">
        <w:t>made reactor set–up using</w:t>
      </w:r>
      <w:r w:rsidR="007357ED" w:rsidRPr="00D32DA4">
        <w:rPr>
          <w:lang w:val="en-GB"/>
        </w:rPr>
        <w:t xml:space="preserve"> commercially available parts </w:t>
      </w:r>
      <w:r w:rsidR="00A4070B" w:rsidRPr="00D32DA4">
        <w:rPr>
          <w:lang w:val="en-GB"/>
        </w:rPr>
        <w:t>and a low</w:t>
      </w:r>
      <w:r w:rsidR="00977EF4">
        <w:rPr>
          <w:rFonts w:hint="eastAsia"/>
          <w:lang w:val="en-GB"/>
        </w:rPr>
        <w:t>–</w:t>
      </w:r>
      <w:r w:rsidR="00A4070B" w:rsidRPr="00D32DA4">
        <w:rPr>
          <w:lang w:val="en-GB"/>
        </w:rPr>
        <w:t>pow</w:t>
      </w:r>
      <w:r w:rsidR="0032583D" w:rsidRPr="00D32DA4">
        <w:rPr>
          <w:lang w:val="en-GB"/>
        </w:rPr>
        <w:t xml:space="preserve">ered 9 W </w:t>
      </w:r>
      <w:r w:rsidR="009B7D26" w:rsidRPr="00D32DA4">
        <w:rPr>
          <w:lang w:val="en-GB"/>
        </w:rPr>
        <w:t>bulb</w:t>
      </w:r>
      <w:r w:rsidR="00A4070B" w:rsidRPr="00D32DA4">
        <w:rPr>
          <w:lang w:val="en-GB"/>
        </w:rPr>
        <w:t xml:space="preserve"> </w:t>
      </w:r>
      <w:r w:rsidR="00B34386" w:rsidRPr="00D32DA4">
        <w:t>was used</w:t>
      </w:r>
      <w:r w:rsidR="006C0D54" w:rsidRPr="00D32DA4">
        <w:rPr>
          <w:lang w:val="en-GB"/>
        </w:rPr>
        <w:t xml:space="preserve">. </w:t>
      </w:r>
    </w:p>
    <w:p w14:paraId="2A06C973" w14:textId="0F22C226" w:rsidR="00A20089" w:rsidRDefault="00A20089" w:rsidP="009A247F">
      <w:pPr>
        <w:pStyle w:val="TAMainText"/>
      </w:pPr>
      <w:r w:rsidRPr="00D32DA4">
        <w:t>Our synthetic study began with UV–B irradi</w:t>
      </w:r>
      <w:r w:rsidR="00F20E61" w:rsidRPr="00D32DA4">
        <w:t xml:space="preserve">ation of a 0.05 M solution of </w:t>
      </w:r>
      <w:r w:rsidR="00F20E61" w:rsidRPr="00D32DA4">
        <w:rPr>
          <w:b/>
        </w:rPr>
        <w:t>1</w:t>
      </w:r>
      <w:r w:rsidRPr="00D32DA4">
        <w:t xml:space="preserve"> in a continuous manner. However, the formation of carbon monoxide gas bubbles led to an uncontrolled flow rate, and consequently a low conversion towards the formation of </w:t>
      </w:r>
      <w:proofErr w:type="spellStart"/>
      <w:r w:rsidRPr="00D32DA4">
        <w:t>chlorocarbonylated</w:t>
      </w:r>
      <w:proofErr w:type="spellEnd"/>
      <w:r w:rsidRPr="00D32DA4">
        <w:t xml:space="preserve"> </w:t>
      </w:r>
      <w:proofErr w:type="spellStart"/>
      <w:r w:rsidRPr="00D32DA4">
        <w:t>cubane</w:t>
      </w:r>
      <w:proofErr w:type="spellEnd"/>
      <w:r w:rsidRPr="00D32DA4">
        <w:t xml:space="preserve"> </w:t>
      </w:r>
      <w:r w:rsidR="00AF2D52" w:rsidRPr="00D32DA4">
        <w:rPr>
          <w:b/>
        </w:rPr>
        <w:t>2</w:t>
      </w:r>
      <w:r w:rsidRPr="00D32DA4">
        <w:t>. The use of a back pressure regulator led to clogging and was therefore abandoned. Therefore, in order to keep the inherent benefits of the photomicroreactor such as better light penetration, mixing, and heat transfer</w:t>
      </w:r>
      <w:r w:rsidR="003B53AD">
        <w:rPr>
          <w:vertAlign w:val="superscript"/>
        </w:rPr>
        <w:t>25</w:t>
      </w:r>
      <w:r w:rsidR="002D09A8" w:rsidRPr="00D32DA4">
        <w:t xml:space="preserve"> despite the excessive gas generation</w:t>
      </w:r>
      <w:r w:rsidRPr="00D32DA4">
        <w:t xml:space="preserve">, it was decided to use the microreactor in a </w:t>
      </w:r>
      <w:r w:rsidR="003E3030" w:rsidRPr="00D32DA4">
        <w:t xml:space="preserve">recirculating </w:t>
      </w:r>
      <w:r w:rsidRPr="00D32DA4">
        <w:t>mode, enabling the formed carbon monoxide to escape from the setup</w:t>
      </w:r>
      <w:r w:rsidR="003E3030" w:rsidRPr="00D32DA4">
        <w:t xml:space="preserve"> (Figure 2)</w:t>
      </w:r>
      <w:r w:rsidRPr="00D32DA4">
        <w:t xml:space="preserve">. In this case, an ice–water bath was used in order to </w:t>
      </w:r>
      <w:r w:rsidR="008B5B0C" w:rsidRPr="00D32DA4">
        <w:t xml:space="preserve">cool </w:t>
      </w:r>
      <w:r w:rsidRPr="00D32DA4">
        <w:t xml:space="preserve">the solution during the </w:t>
      </w:r>
      <w:r w:rsidR="007E5C1E">
        <w:t>process</w:t>
      </w:r>
      <w:r w:rsidRPr="00D32DA4">
        <w:t>.</w:t>
      </w:r>
    </w:p>
    <w:p w14:paraId="5A7C4937" w14:textId="77777777" w:rsidR="00A47E25" w:rsidRDefault="00EC36D5" w:rsidP="00A47E25">
      <w:pPr>
        <w:pStyle w:val="TAMainText"/>
        <w:rPr>
          <w:lang w:val="en-GB"/>
        </w:rPr>
      </w:pPr>
      <w:r w:rsidRPr="00D32DA4">
        <w:t>After some experimentation towards reducing the amount of oxalyl chloride, irradiation of dimethyl 1,4–</w:t>
      </w:r>
      <w:proofErr w:type="spellStart"/>
      <w:r w:rsidRPr="00D32DA4">
        <w:t>cubanedicarboxylate</w:t>
      </w:r>
      <w:proofErr w:type="spellEnd"/>
      <w:r w:rsidRPr="00D32DA4">
        <w:t xml:space="preserve"> </w:t>
      </w:r>
      <w:r w:rsidRPr="00D32DA4">
        <w:rPr>
          <w:b/>
        </w:rPr>
        <w:t>1</w:t>
      </w:r>
      <w:r w:rsidRPr="00D32DA4">
        <w:t xml:space="preserve"> with twenty equivalents of oxalyl chloride for 3 h under</w:t>
      </w:r>
      <w:r>
        <w:t xml:space="preserve"> </w:t>
      </w:r>
      <w:r w:rsidRPr="00D32DA4">
        <w:t>a recirculating flow rate of 0.2 mL.min</w:t>
      </w:r>
      <w:r w:rsidRPr="00E2638D">
        <w:rPr>
          <w:vertAlign w:val="superscript"/>
        </w:rPr>
        <w:t>-1</w:t>
      </w:r>
      <w:r w:rsidRPr="00D32DA4">
        <w:t>, followed by quenching with methanol, gave trimethyl 1,2,4–</w:t>
      </w:r>
      <w:proofErr w:type="spellStart"/>
      <w:r w:rsidRPr="00D32DA4">
        <w:t>cubanetricarboxylate</w:t>
      </w:r>
      <w:proofErr w:type="spellEnd"/>
      <w:r w:rsidRPr="00D32DA4">
        <w:t xml:space="preserve"> </w:t>
      </w:r>
      <w:r w:rsidRPr="00D32DA4">
        <w:rPr>
          <w:b/>
        </w:rPr>
        <w:t>3</w:t>
      </w:r>
      <w:r>
        <w:rPr>
          <w:b/>
        </w:rPr>
        <w:t xml:space="preserve"> </w:t>
      </w:r>
      <w:r w:rsidR="00A47E25" w:rsidRPr="00D32DA4">
        <w:t xml:space="preserve">in 23% yield along with unreacted </w:t>
      </w:r>
      <w:r w:rsidR="00A47E25" w:rsidRPr="00E2638D">
        <w:rPr>
          <w:b/>
        </w:rPr>
        <w:t>1</w:t>
      </w:r>
      <w:r w:rsidR="00A47E25" w:rsidRPr="00D32DA4">
        <w:t xml:space="preserve"> (Table 1, Entry 1). When the flow rate was increased to 3 mL.min</w:t>
      </w:r>
      <w:r w:rsidR="00A47E25" w:rsidRPr="00D32DA4">
        <w:rPr>
          <w:vertAlign w:val="superscript"/>
        </w:rPr>
        <w:t>-1</w:t>
      </w:r>
      <w:r w:rsidR="00A47E25" w:rsidRPr="00D32DA4">
        <w:t>, the yield increased</w:t>
      </w:r>
      <w:r w:rsidR="00A47E25" w:rsidRPr="00EE241E">
        <w:t xml:space="preserve"> </w:t>
      </w:r>
      <w:r w:rsidR="00A47E25" w:rsidRPr="00D32DA4">
        <w:t xml:space="preserve">to 49% and increasing the irradiation time to 4 hours led to a </w:t>
      </w:r>
      <w:r w:rsidR="00A47E25" w:rsidRPr="00D36215">
        <w:t xml:space="preserve">62% yield with 7% of unreacted </w:t>
      </w:r>
      <w:r w:rsidR="00A47E25" w:rsidRPr="00EC0E4E">
        <w:rPr>
          <w:b/>
          <w:bCs/>
        </w:rPr>
        <w:t>1</w:t>
      </w:r>
      <w:r w:rsidR="00A47E25" w:rsidRPr="00D36215">
        <w:t xml:space="preserve"> (Entries 2 and 3). Under similar irradiation conditions, doubling the concentration of </w:t>
      </w:r>
      <w:r w:rsidR="00A47E25" w:rsidRPr="00934E5D">
        <w:rPr>
          <w:b/>
        </w:rPr>
        <w:t>1</w:t>
      </w:r>
      <w:r w:rsidR="00A47E25" w:rsidRPr="00934E5D">
        <w:t xml:space="preserve"> does not improve the yield (Entry 4).</w:t>
      </w:r>
      <w:r w:rsidR="00A47E25" w:rsidRPr="00934E5D">
        <w:rPr>
          <w:lang w:val="en-GB"/>
        </w:rPr>
        <w:t xml:space="preserve"> </w:t>
      </w:r>
    </w:p>
    <w:p w14:paraId="744690A2" w14:textId="7A8C3F0A" w:rsidR="003E73B9" w:rsidRPr="00D32DA4" w:rsidRDefault="00BF5350" w:rsidP="003E73B9">
      <w:pPr>
        <w:pStyle w:val="TAMainText"/>
        <w:keepNext/>
        <w:jc w:val="center"/>
      </w:pPr>
      <w:r w:rsidRPr="00D32DA4">
        <w:rPr>
          <w:noProof/>
        </w:rPr>
        <w:object w:dxaOrig="6319" w:dyaOrig="2841" w14:anchorId="715B5EDC">
          <v:shape id="_x0000_i1029" type="#_x0000_t75" alt="" style="width:236.65pt;height:106.25pt;mso-width-percent:0;mso-height-percent:0;mso-width-percent:0;mso-height-percent:0" o:ole="">
            <v:imagedata r:id="rId13" o:title=""/>
          </v:shape>
          <o:OLEObject Type="Embed" ProgID="ChemDraw.Document.6.0" ShapeID="_x0000_i1029" DrawAspect="Content" ObjectID="_1686056271" r:id="rId14"/>
        </w:object>
      </w:r>
    </w:p>
    <w:p w14:paraId="50C3F0F8" w14:textId="32DE95B9" w:rsidR="00B508CB" w:rsidRPr="00F26721" w:rsidRDefault="003E73B9" w:rsidP="00706162">
      <w:pPr>
        <w:pStyle w:val="VAFigureCaption"/>
        <w:rPr>
          <w:i/>
          <w:sz w:val="19"/>
          <w:szCs w:val="19"/>
        </w:rPr>
      </w:pPr>
      <w:r w:rsidRPr="00F26721">
        <w:rPr>
          <w:b/>
          <w:sz w:val="19"/>
          <w:szCs w:val="19"/>
        </w:rPr>
        <w:t xml:space="preserve">Figure </w:t>
      </w:r>
      <w:r w:rsidR="00E02BA7">
        <w:rPr>
          <w:b/>
          <w:sz w:val="19"/>
          <w:szCs w:val="19"/>
        </w:rPr>
        <w:t>2</w:t>
      </w:r>
      <w:r w:rsidRPr="00F26721">
        <w:rPr>
          <w:b/>
          <w:sz w:val="19"/>
          <w:szCs w:val="19"/>
        </w:rPr>
        <w:t>.</w:t>
      </w:r>
      <w:r w:rsidRPr="00F26721">
        <w:rPr>
          <w:sz w:val="19"/>
          <w:szCs w:val="19"/>
        </w:rPr>
        <w:t xml:space="preserve"> Schematic representation and picture of the recirculating flow microphotoreactor.</w:t>
      </w:r>
    </w:p>
    <w:p w14:paraId="4CC44491" w14:textId="440E0A25" w:rsidR="00640C25" w:rsidRPr="00F26721" w:rsidRDefault="00640C25" w:rsidP="00640C25">
      <w:pPr>
        <w:pStyle w:val="Caption"/>
        <w:keepNext/>
        <w:rPr>
          <w:rFonts w:ascii="Arno Pro" w:hAnsi="Arno Pro"/>
          <w:b/>
          <w:color w:val="auto"/>
          <w:sz w:val="19"/>
          <w:szCs w:val="19"/>
          <w:lang w:val="en-GB"/>
        </w:rPr>
      </w:pPr>
      <w:r w:rsidRPr="00F26721">
        <w:rPr>
          <w:rFonts w:ascii="Arno Pro" w:hAnsi="Arno Pro"/>
          <w:b/>
          <w:i w:val="0"/>
          <w:color w:val="auto"/>
          <w:sz w:val="19"/>
          <w:szCs w:val="19"/>
        </w:rPr>
        <w:t xml:space="preserve">Table </w:t>
      </w:r>
      <w:r w:rsidRPr="00F26721">
        <w:rPr>
          <w:rFonts w:ascii="Arno Pro" w:hAnsi="Arno Pro"/>
          <w:b/>
          <w:i w:val="0"/>
          <w:color w:val="auto"/>
          <w:sz w:val="19"/>
          <w:szCs w:val="19"/>
        </w:rPr>
        <w:fldChar w:fldCharType="begin"/>
      </w:r>
      <w:r w:rsidRPr="00F26721">
        <w:rPr>
          <w:rFonts w:ascii="Arno Pro" w:hAnsi="Arno Pro"/>
          <w:b/>
          <w:i w:val="0"/>
          <w:color w:val="auto"/>
          <w:sz w:val="19"/>
          <w:szCs w:val="19"/>
        </w:rPr>
        <w:instrText xml:space="preserve"> SEQ Table \* ARABIC </w:instrText>
      </w:r>
      <w:r w:rsidRPr="00F26721">
        <w:rPr>
          <w:rFonts w:ascii="Arno Pro" w:hAnsi="Arno Pro"/>
          <w:b/>
          <w:i w:val="0"/>
          <w:color w:val="auto"/>
          <w:sz w:val="19"/>
          <w:szCs w:val="19"/>
        </w:rPr>
        <w:fldChar w:fldCharType="separate"/>
      </w:r>
      <w:r w:rsidR="003743E5">
        <w:rPr>
          <w:rFonts w:ascii="Arno Pro" w:hAnsi="Arno Pro"/>
          <w:b/>
          <w:i w:val="0"/>
          <w:noProof/>
          <w:color w:val="auto"/>
          <w:sz w:val="19"/>
          <w:szCs w:val="19"/>
        </w:rPr>
        <w:t>1</w:t>
      </w:r>
      <w:r w:rsidRPr="00F26721">
        <w:rPr>
          <w:rFonts w:ascii="Arno Pro" w:hAnsi="Arno Pro"/>
          <w:b/>
          <w:i w:val="0"/>
          <w:color w:val="auto"/>
          <w:sz w:val="19"/>
          <w:szCs w:val="19"/>
        </w:rPr>
        <w:fldChar w:fldCharType="end"/>
      </w:r>
      <w:r w:rsidRPr="00F26721">
        <w:rPr>
          <w:rFonts w:ascii="Arno Pro" w:hAnsi="Arno Pro"/>
          <w:b/>
          <w:i w:val="0"/>
          <w:color w:val="auto"/>
          <w:sz w:val="19"/>
          <w:szCs w:val="19"/>
        </w:rPr>
        <w:t xml:space="preserve">. </w:t>
      </w:r>
      <w:r w:rsidR="003F794B" w:rsidRPr="00F26721">
        <w:rPr>
          <w:rFonts w:ascii="Arno Pro" w:hAnsi="Arno Pro"/>
          <w:i w:val="0"/>
          <w:color w:val="auto"/>
          <w:sz w:val="19"/>
          <w:szCs w:val="19"/>
          <w:lang w:val="en-GB"/>
        </w:rPr>
        <w:t>Optim</w:t>
      </w:r>
      <w:r w:rsidR="00934E5D">
        <w:rPr>
          <w:rFonts w:ascii="Arno Pro" w:hAnsi="Arno Pro"/>
          <w:i w:val="0"/>
          <w:color w:val="auto"/>
          <w:sz w:val="19"/>
          <w:szCs w:val="19"/>
          <w:lang w:val="en-GB"/>
        </w:rPr>
        <w:t>iza</w:t>
      </w:r>
      <w:r w:rsidR="003F794B" w:rsidRPr="00F26721">
        <w:rPr>
          <w:rFonts w:ascii="Arno Pro" w:hAnsi="Arno Pro"/>
          <w:i w:val="0"/>
          <w:color w:val="auto"/>
          <w:sz w:val="19"/>
          <w:szCs w:val="19"/>
          <w:lang w:val="en-GB"/>
        </w:rPr>
        <w:t xml:space="preserve">tion for the </w:t>
      </w:r>
      <w:r w:rsidR="003F794B" w:rsidRPr="00F26721">
        <w:rPr>
          <w:rFonts w:ascii="Arno Pro" w:hAnsi="Arno Pro"/>
          <w:color w:val="auto"/>
          <w:sz w:val="19"/>
          <w:szCs w:val="19"/>
          <w:lang w:val="en-GB"/>
        </w:rPr>
        <w:t>ortho</w:t>
      </w:r>
      <w:r w:rsidRPr="00F26721">
        <w:rPr>
          <w:rFonts w:ascii="Arno Pro" w:hAnsi="Arno Pro"/>
          <w:i w:val="0"/>
          <w:color w:val="auto"/>
          <w:sz w:val="19"/>
          <w:szCs w:val="19"/>
          <w:lang w:val="en-GB"/>
        </w:rPr>
        <w:t xml:space="preserve">–carboxylation of dimethyl–1,4–cubanedicarboxylate </w:t>
      </w:r>
      <w:r w:rsidRPr="00F26721">
        <w:rPr>
          <w:rFonts w:ascii="Arno Pro" w:hAnsi="Arno Pro"/>
          <w:b/>
          <w:i w:val="0"/>
          <w:color w:val="auto"/>
          <w:sz w:val="19"/>
          <w:szCs w:val="19"/>
          <w:lang w:val="en-GB"/>
        </w:rPr>
        <w:t>1</w:t>
      </w:r>
      <w:r w:rsidRPr="00F26721">
        <w:rPr>
          <w:rFonts w:ascii="Arno Pro" w:hAnsi="Arno Pro"/>
          <w:i w:val="0"/>
          <w:color w:val="auto"/>
          <w:sz w:val="19"/>
          <w:szCs w:val="19"/>
          <w:lang w:val="en-GB"/>
        </w:rPr>
        <w:t>.</w:t>
      </w:r>
    </w:p>
    <w:p w14:paraId="2087569B" w14:textId="256C177E" w:rsidR="00640C25" w:rsidRPr="00D32DA4" w:rsidRDefault="00814BE4" w:rsidP="007357ED">
      <w:pPr>
        <w:jc w:val="center"/>
        <w:rPr>
          <w:rFonts w:ascii="Times New Roman" w:hAnsi="Times New Roman"/>
        </w:rPr>
      </w:pPr>
      <w:r w:rsidRPr="00814BE4">
        <w:rPr>
          <w:rFonts w:ascii="Times New Roman" w:hAnsi="Times New Roman"/>
        </w:rPr>
        <w:drawing>
          <wp:inline distT="0" distB="0" distL="0" distR="0" wp14:anchorId="3ECE0395" wp14:editId="18384B9E">
            <wp:extent cx="3044825" cy="65595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4825" cy="655955"/>
                    </a:xfrm>
                    <a:prstGeom prst="rect">
                      <a:avLst/>
                    </a:prstGeom>
                  </pic:spPr>
                </pic:pic>
              </a:graphicData>
            </a:graphic>
          </wp:inline>
        </w:drawing>
      </w:r>
    </w:p>
    <w:tbl>
      <w:tblPr>
        <w:tblStyle w:val="ListTable6Colourful"/>
        <w:tblW w:w="0" w:type="auto"/>
        <w:jc w:val="center"/>
        <w:tblBorders>
          <w:top w:val="none" w:sz="0" w:space="0" w:color="auto"/>
          <w:bottom w:val="none" w:sz="0" w:space="0" w:color="auto"/>
        </w:tblBorders>
        <w:tblLook w:val="04A0" w:firstRow="1" w:lastRow="0" w:firstColumn="1" w:lastColumn="0" w:noHBand="0" w:noVBand="1"/>
      </w:tblPr>
      <w:tblGrid>
        <w:gridCol w:w="666"/>
        <w:gridCol w:w="951"/>
        <w:gridCol w:w="876"/>
        <w:gridCol w:w="1051"/>
        <w:gridCol w:w="616"/>
        <w:gridCol w:w="627"/>
      </w:tblGrid>
      <w:tr w:rsidR="00F26721" w:rsidRPr="00706162" w14:paraId="4E3C9E64" w14:textId="77777777" w:rsidTr="003743E5">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D9D9D9" w:themeFill="background1" w:themeFillShade="D9"/>
            <w:vAlign w:val="center"/>
          </w:tcPr>
          <w:p w14:paraId="03122951" w14:textId="77777777" w:rsidR="00640C25" w:rsidRPr="00706162" w:rsidRDefault="00640C25" w:rsidP="00895508">
            <w:pPr>
              <w:pStyle w:val="TCTableBody"/>
            </w:pPr>
            <w:r w:rsidRPr="00706162">
              <w:t>Entry</w:t>
            </w:r>
          </w:p>
        </w:tc>
        <w:tc>
          <w:tcPr>
            <w:tcW w:w="0" w:type="auto"/>
            <w:tcBorders>
              <w:bottom w:val="none" w:sz="0" w:space="0" w:color="auto"/>
            </w:tcBorders>
            <w:shd w:val="clear" w:color="auto" w:fill="D9D9D9" w:themeFill="background1" w:themeFillShade="D9"/>
            <w:vAlign w:val="center"/>
          </w:tcPr>
          <w:p w14:paraId="6AC7B3F5"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Light</w:t>
            </w:r>
          </w:p>
        </w:tc>
        <w:tc>
          <w:tcPr>
            <w:tcW w:w="0" w:type="auto"/>
            <w:tcBorders>
              <w:bottom w:val="none" w:sz="0" w:space="0" w:color="auto"/>
            </w:tcBorders>
            <w:shd w:val="clear" w:color="auto" w:fill="D9D9D9" w:themeFill="background1" w:themeFillShade="D9"/>
            <w:vAlign w:val="center"/>
          </w:tcPr>
          <w:p w14:paraId="0A4FAC4E"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(COCl)2</w:t>
            </w:r>
          </w:p>
          <w:p w14:paraId="2D91DEEA"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[equiv.]</w:t>
            </w:r>
          </w:p>
        </w:tc>
        <w:tc>
          <w:tcPr>
            <w:tcW w:w="0" w:type="auto"/>
            <w:tcBorders>
              <w:bottom w:val="none" w:sz="0" w:space="0" w:color="auto"/>
            </w:tcBorders>
            <w:shd w:val="clear" w:color="auto" w:fill="D9D9D9" w:themeFill="background1" w:themeFillShade="D9"/>
            <w:vAlign w:val="center"/>
          </w:tcPr>
          <w:p w14:paraId="502181C9"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Flow rate</w:t>
            </w:r>
          </w:p>
          <w:p w14:paraId="307CE080"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[mL.min</w:t>
            </w:r>
            <w:r w:rsidRPr="00706162">
              <w:rPr>
                <w:vertAlign w:val="superscript"/>
              </w:rPr>
              <w:t>-1</w:t>
            </w:r>
            <w:r w:rsidRPr="00706162">
              <w:t>]</w:t>
            </w:r>
          </w:p>
        </w:tc>
        <w:tc>
          <w:tcPr>
            <w:tcW w:w="0" w:type="auto"/>
            <w:tcBorders>
              <w:bottom w:val="none" w:sz="0" w:space="0" w:color="auto"/>
            </w:tcBorders>
            <w:shd w:val="clear" w:color="auto" w:fill="D9D9D9" w:themeFill="background1" w:themeFillShade="D9"/>
            <w:vAlign w:val="center"/>
          </w:tcPr>
          <w:p w14:paraId="41BD583B"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Time</w:t>
            </w:r>
          </w:p>
          <w:p w14:paraId="17EE9F16"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[h]</w:t>
            </w:r>
          </w:p>
        </w:tc>
        <w:tc>
          <w:tcPr>
            <w:tcW w:w="0" w:type="auto"/>
            <w:tcBorders>
              <w:bottom w:val="none" w:sz="0" w:space="0" w:color="auto"/>
            </w:tcBorders>
            <w:shd w:val="clear" w:color="auto" w:fill="D9D9D9" w:themeFill="background1" w:themeFillShade="D9"/>
            <w:vAlign w:val="center"/>
          </w:tcPr>
          <w:p w14:paraId="3859C5B1" w14:textId="77777777"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pPr>
            <w:r w:rsidRPr="00706162">
              <w:t>Yield</w:t>
            </w:r>
          </w:p>
          <w:p w14:paraId="6701E1B4" w14:textId="05A5E235" w:rsidR="00640C25" w:rsidRPr="00706162" w:rsidRDefault="00640C25" w:rsidP="00895508">
            <w:pPr>
              <w:pStyle w:val="TCTableBody"/>
              <w:cnfStyle w:val="100000000000" w:firstRow="1" w:lastRow="0" w:firstColumn="0" w:lastColumn="0" w:oddVBand="0" w:evenVBand="0" w:oddHBand="0" w:evenHBand="0" w:firstRowFirstColumn="0" w:firstRowLastColumn="0" w:lastRowFirstColumn="0" w:lastRowLastColumn="0"/>
              <w:rPr>
                <w:vertAlign w:val="superscript"/>
              </w:rPr>
            </w:pPr>
            <w:r w:rsidRPr="00706162">
              <w:t>[%]</w:t>
            </w:r>
            <w:r w:rsidR="00706162" w:rsidRPr="00706162">
              <w:rPr>
                <w:i/>
                <w:vertAlign w:val="superscript"/>
              </w:rPr>
              <w:t>a</w:t>
            </w:r>
          </w:p>
        </w:tc>
      </w:tr>
      <w:tr w:rsidR="00F26721" w:rsidRPr="00706162" w14:paraId="707FC195" w14:textId="77777777" w:rsidTr="009B6A7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69540AB" w14:textId="77777777" w:rsidR="00640C25" w:rsidRPr="00895508" w:rsidRDefault="00640C25" w:rsidP="00895508">
            <w:pPr>
              <w:pStyle w:val="TCTableBody"/>
            </w:pPr>
            <w:r w:rsidRPr="00895508">
              <w:t>1</w:t>
            </w:r>
          </w:p>
        </w:tc>
        <w:tc>
          <w:tcPr>
            <w:tcW w:w="0" w:type="auto"/>
            <w:shd w:val="clear" w:color="auto" w:fill="auto"/>
            <w:vAlign w:val="center"/>
          </w:tcPr>
          <w:p w14:paraId="26DE8789"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UV–B</w:t>
            </w:r>
          </w:p>
        </w:tc>
        <w:tc>
          <w:tcPr>
            <w:tcW w:w="0" w:type="auto"/>
            <w:shd w:val="clear" w:color="auto" w:fill="auto"/>
            <w:vAlign w:val="center"/>
          </w:tcPr>
          <w:p w14:paraId="42025B13"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20</w:t>
            </w:r>
          </w:p>
        </w:tc>
        <w:tc>
          <w:tcPr>
            <w:tcW w:w="0" w:type="auto"/>
            <w:shd w:val="clear" w:color="auto" w:fill="auto"/>
            <w:vAlign w:val="center"/>
          </w:tcPr>
          <w:p w14:paraId="6F6CCC9A"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0.2</w:t>
            </w:r>
          </w:p>
        </w:tc>
        <w:tc>
          <w:tcPr>
            <w:tcW w:w="0" w:type="auto"/>
            <w:shd w:val="clear" w:color="auto" w:fill="auto"/>
            <w:vAlign w:val="center"/>
          </w:tcPr>
          <w:p w14:paraId="3BF234F2"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3</w:t>
            </w:r>
          </w:p>
        </w:tc>
        <w:tc>
          <w:tcPr>
            <w:tcW w:w="0" w:type="auto"/>
            <w:shd w:val="clear" w:color="auto" w:fill="auto"/>
            <w:vAlign w:val="center"/>
          </w:tcPr>
          <w:p w14:paraId="55E5EB46" w14:textId="365D0BBC"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23</w:t>
            </w:r>
            <w:r w:rsidR="00EA1974" w:rsidRPr="00895508">
              <w:rPr>
                <w:i/>
                <w:vertAlign w:val="superscript"/>
              </w:rPr>
              <w:t>b</w:t>
            </w:r>
          </w:p>
        </w:tc>
      </w:tr>
      <w:tr w:rsidR="00F26721" w:rsidRPr="00706162" w14:paraId="426F85BB" w14:textId="77777777" w:rsidTr="009B6A7C">
        <w:trPr>
          <w:trHeight w:val="3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0325335" w14:textId="77777777" w:rsidR="00640C25" w:rsidRPr="00895508" w:rsidRDefault="00640C25" w:rsidP="00895508">
            <w:pPr>
              <w:pStyle w:val="TCTableBody"/>
            </w:pPr>
            <w:r w:rsidRPr="00895508">
              <w:t>2</w:t>
            </w:r>
          </w:p>
        </w:tc>
        <w:tc>
          <w:tcPr>
            <w:tcW w:w="0" w:type="auto"/>
            <w:shd w:val="clear" w:color="auto" w:fill="auto"/>
            <w:vAlign w:val="center"/>
          </w:tcPr>
          <w:p w14:paraId="55AF0F9D"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UV–B</w:t>
            </w:r>
          </w:p>
        </w:tc>
        <w:tc>
          <w:tcPr>
            <w:tcW w:w="0" w:type="auto"/>
            <w:shd w:val="clear" w:color="auto" w:fill="auto"/>
            <w:vAlign w:val="center"/>
          </w:tcPr>
          <w:p w14:paraId="37F6E183"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20</w:t>
            </w:r>
          </w:p>
        </w:tc>
        <w:tc>
          <w:tcPr>
            <w:tcW w:w="0" w:type="auto"/>
            <w:shd w:val="clear" w:color="auto" w:fill="auto"/>
            <w:vAlign w:val="center"/>
          </w:tcPr>
          <w:p w14:paraId="15363283"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3</w:t>
            </w:r>
          </w:p>
        </w:tc>
        <w:tc>
          <w:tcPr>
            <w:tcW w:w="0" w:type="auto"/>
            <w:shd w:val="clear" w:color="auto" w:fill="auto"/>
            <w:vAlign w:val="center"/>
          </w:tcPr>
          <w:p w14:paraId="5B3C8FD9"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3</w:t>
            </w:r>
          </w:p>
        </w:tc>
        <w:tc>
          <w:tcPr>
            <w:tcW w:w="0" w:type="auto"/>
            <w:shd w:val="clear" w:color="auto" w:fill="auto"/>
            <w:vAlign w:val="center"/>
          </w:tcPr>
          <w:p w14:paraId="3D6763E1" w14:textId="1C488A6E"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49</w:t>
            </w:r>
            <w:r w:rsidR="00EA1974" w:rsidRPr="00895508">
              <w:rPr>
                <w:i/>
                <w:vertAlign w:val="superscript"/>
              </w:rPr>
              <w:t>b</w:t>
            </w:r>
          </w:p>
        </w:tc>
      </w:tr>
      <w:tr w:rsidR="00F26721" w:rsidRPr="00706162" w14:paraId="11E8628C" w14:textId="77777777" w:rsidTr="009B6A7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B6A2C5A" w14:textId="77777777" w:rsidR="00640C25" w:rsidRPr="00895508" w:rsidRDefault="00640C25" w:rsidP="00895508">
            <w:pPr>
              <w:pStyle w:val="TCTableBody"/>
            </w:pPr>
            <w:r w:rsidRPr="00895508">
              <w:t>3</w:t>
            </w:r>
          </w:p>
        </w:tc>
        <w:tc>
          <w:tcPr>
            <w:tcW w:w="0" w:type="auto"/>
            <w:shd w:val="clear" w:color="auto" w:fill="auto"/>
            <w:vAlign w:val="center"/>
          </w:tcPr>
          <w:p w14:paraId="4334553B" w14:textId="77777777" w:rsidR="00640C25" w:rsidRPr="00895508"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895508">
              <w:t>UV–B</w:t>
            </w:r>
          </w:p>
        </w:tc>
        <w:tc>
          <w:tcPr>
            <w:tcW w:w="0" w:type="auto"/>
            <w:shd w:val="clear" w:color="auto" w:fill="auto"/>
            <w:vAlign w:val="center"/>
          </w:tcPr>
          <w:p w14:paraId="49B69EC9" w14:textId="77777777" w:rsidR="00640C25" w:rsidRPr="00895508"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895508">
              <w:t>20</w:t>
            </w:r>
          </w:p>
        </w:tc>
        <w:tc>
          <w:tcPr>
            <w:tcW w:w="0" w:type="auto"/>
            <w:shd w:val="clear" w:color="auto" w:fill="auto"/>
            <w:vAlign w:val="center"/>
          </w:tcPr>
          <w:p w14:paraId="7DF66380" w14:textId="77777777" w:rsidR="00640C25" w:rsidRPr="00895508"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895508">
              <w:t>3</w:t>
            </w:r>
          </w:p>
        </w:tc>
        <w:tc>
          <w:tcPr>
            <w:tcW w:w="0" w:type="auto"/>
            <w:shd w:val="clear" w:color="auto" w:fill="auto"/>
            <w:vAlign w:val="center"/>
          </w:tcPr>
          <w:p w14:paraId="70542793" w14:textId="77777777" w:rsidR="00640C25" w:rsidRPr="00895508"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895508">
              <w:t>4</w:t>
            </w:r>
          </w:p>
        </w:tc>
        <w:tc>
          <w:tcPr>
            <w:tcW w:w="0" w:type="auto"/>
            <w:shd w:val="clear" w:color="auto" w:fill="auto"/>
            <w:vAlign w:val="center"/>
          </w:tcPr>
          <w:p w14:paraId="677F18D4" w14:textId="2D18E4A2" w:rsidR="00640C25" w:rsidRPr="00895508"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895508">
              <w:t>62</w:t>
            </w:r>
            <w:r w:rsidR="00EA1974" w:rsidRPr="00895508">
              <w:rPr>
                <w:i/>
                <w:vertAlign w:val="superscript"/>
              </w:rPr>
              <w:t>b</w:t>
            </w:r>
          </w:p>
        </w:tc>
      </w:tr>
      <w:tr w:rsidR="00F26721" w:rsidRPr="00706162" w14:paraId="42DA4260" w14:textId="77777777" w:rsidTr="009B6A7C">
        <w:trPr>
          <w:trHeight w:val="3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B194D0F" w14:textId="77777777" w:rsidR="00640C25" w:rsidRPr="00895508" w:rsidRDefault="00640C25" w:rsidP="00895508">
            <w:pPr>
              <w:pStyle w:val="TCTableBody"/>
            </w:pPr>
            <w:r w:rsidRPr="00895508">
              <w:t>4</w:t>
            </w:r>
          </w:p>
        </w:tc>
        <w:tc>
          <w:tcPr>
            <w:tcW w:w="0" w:type="auto"/>
            <w:shd w:val="clear" w:color="auto" w:fill="auto"/>
            <w:vAlign w:val="center"/>
          </w:tcPr>
          <w:p w14:paraId="34ADF4C4" w14:textId="77777777" w:rsidR="00640C25" w:rsidRPr="00895508"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895508">
              <w:t>UV–B</w:t>
            </w:r>
          </w:p>
        </w:tc>
        <w:tc>
          <w:tcPr>
            <w:tcW w:w="0" w:type="auto"/>
            <w:shd w:val="clear" w:color="auto" w:fill="auto"/>
            <w:vAlign w:val="center"/>
          </w:tcPr>
          <w:p w14:paraId="1093E583" w14:textId="77777777" w:rsidR="00640C25" w:rsidRPr="00895508"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895508">
              <w:t>20</w:t>
            </w:r>
          </w:p>
        </w:tc>
        <w:tc>
          <w:tcPr>
            <w:tcW w:w="0" w:type="auto"/>
            <w:shd w:val="clear" w:color="auto" w:fill="auto"/>
            <w:vAlign w:val="center"/>
          </w:tcPr>
          <w:p w14:paraId="14D8920F" w14:textId="77777777" w:rsidR="00640C25" w:rsidRPr="00895508"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895508">
              <w:t>3</w:t>
            </w:r>
          </w:p>
        </w:tc>
        <w:tc>
          <w:tcPr>
            <w:tcW w:w="0" w:type="auto"/>
            <w:shd w:val="clear" w:color="auto" w:fill="auto"/>
            <w:vAlign w:val="center"/>
          </w:tcPr>
          <w:p w14:paraId="5367F728" w14:textId="77777777" w:rsidR="00640C25" w:rsidRPr="00895508"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895508">
              <w:t>4</w:t>
            </w:r>
          </w:p>
        </w:tc>
        <w:tc>
          <w:tcPr>
            <w:tcW w:w="0" w:type="auto"/>
            <w:shd w:val="clear" w:color="auto" w:fill="auto"/>
            <w:vAlign w:val="center"/>
          </w:tcPr>
          <w:p w14:paraId="56818BBA" w14:textId="44BE5245" w:rsidR="00640C25" w:rsidRPr="00895508"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895508">
              <w:t>60</w:t>
            </w:r>
            <w:r w:rsidRPr="00895508">
              <w:rPr>
                <w:bCs/>
                <w:i/>
                <w:iCs/>
                <w:vertAlign w:val="superscript"/>
              </w:rPr>
              <w:t>c</w:t>
            </w:r>
          </w:p>
        </w:tc>
      </w:tr>
      <w:tr w:rsidR="00F26721" w:rsidRPr="00706162" w14:paraId="31E40BCB" w14:textId="77777777" w:rsidTr="009B6A7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A31349E" w14:textId="77777777" w:rsidR="00640C25" w:rsidRPr="00706162" w:rsidRDefault="00640C25" w:rsidP="00895508">
            <w:pPr>
              <w:pStyle w:val="TCTableBody"/>
            </w:pPr>
            <w:r w:rsidRPr="00706162">
              <w:t>5</w:t>
            </w:r>
          </w:p>
        </w:tc>
        <w:tc>
          <w:tcPr>
            <w:tcW w:w="0" w:type="auto"/>
            <w:shd w:val="clear" w:color="auto" w:fill="auto"/>
            <w:vAlign w:val="center"/>
          </w:tcPr>
          <w:p w14:paraId="5CBC5FC6"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UV–C</w:t>
            </w:r>
          </w:p>
        </w:tc>
        <w:tc>
          <w:tcPr>
            <w:tcW w:w="0" w:type="auto"/>
            <w:shd w:val="clear" w:color="auto" w:fill="auto"/>
            <w:vAlign w:val="center"/>
          </w:tcPr>
          <w:p w14:paraId="41B3089E"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20</w:t>
            </w:r>
          </w:p>
        </w:tc>
        <w:tc>
          <w:tcPr>
            <w:tcW w:w="0" w:type="auto"/>
            <w:shd w:val="clear" w:color="auto" w:fill="auto"/>
            <w:vAlign w:val="center"/>
          </w:tcPr>
          <w:p w14:paraId="0C5E7F80"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3</w:t>
            </w:r>
          </w:p>
        </w:tc>
        <w:tc>
          <w:tcPr>
            <w:tcW w:w="0" w:type="auto"/>
            <w:shd w:val="clear" w:color="auto" w:fill="auto"/>
            <w:vAlign w:val="center"/>
          </w:tcPr>
          <w:p w14:paraId="204E0CC5"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4</w:t>
            </w:r>
          </w:p>
        </w:tc>
        <w:tc>
          <w:tcPr>
            <w:tcW w:w="0" w:type="auto"/>
            <w:shd w:val="clear" w:color="auto" w:fill="auto"/>
            <w:vAlign w:val="center"/>
          </w:tcPr>
          <w:p w14:paraId="6D4CAF0A" w14:textId="63DD8EEF"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32</w:t>
            </w:r>
            <w:r w:rsidR="00706162" w:rsidRPr="00895508">
              <w:rPr>
                <w:vertAlign w:val="superscript"/>
              </w:rPr>
              <w:t>c,d</w:t>
            </w:r>
          </w:p>
        </w:tc>
      </w:tr>
      <w:tr w:rsidR="00F26721" w:rsidRPr="00706162" w14:paraId="6FC90457" w14:textId="77777777" w:rsidTr="009B6A7C">
        <w:trPr>
          <w:trHeight w:val="39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4A539A6" w14:textId="77777777" w:rsidR="00640C25" w:rsidRPr="00706162" w:rsidRDefault="00640C25" w:rsidP="00895508">
            <w:pPr>
              <w:pStyle w:val="TCTableBody"/>
            </w:pPr>
            <w:r w:rsidRPr="00706162">
              <w:t>6</w:t>
            </w:r>
          </w:p>
        </w:tc>
        <w:tc>
          <w:tcPr>
            <w:tcW w:w="0" w:type="auto"/>
            <w:shd w:val="clear" w:color="auto" w:fill="auto"/>
            <w:vAlign w:val="center"/>
          </w:tcPr>
          <w:p w14:paraId="21A1530C"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UV–A</w:t>
            </w:r>
          </w:p>
        </w:tc>
        <w:tc>
          <w:tcPr>
            <w:tcW w:w="0" w:type="auto"/>
            <w:shd w:val="clear" w:color="auto" w:fill="auto"/>
            <w:vAlign w:val="center"/>
          </w:tcPr>
          <w:p w14:paraId="44FBC09C"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20</w:t>
            </w:r>
          </w:p>
        </w:tc>
        <w:tc>
          <w:tcPr>
            <w:tcW w:w="0" w:type="auto"/>
            <w:shd w:val="clear" w:color="auto" w:fill="auto"/>
            <w:vAlign w:val="center"/>
          </w:tcPr>
          <w:p w14:paraId="091904EE"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3</w:t>
            </w:r>
          </w:p>
        </w:tc>
        <w:tc>
          <w:tcPr>
            <w:tcW w:w="0" w:type="auto"/>
            <w:shd w:val="clear" w:color="auto" w:fill="auto"/>
            <w:vAlign w:val="center"/>
          </w:tcPr>
          <w:p w14:paraId="1FDED34A"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4</w:t>
            </w:r>
          </w:p>
        </w:tc>
        <w:tc>
          <w:tcPr>
            <w:tcW w:w="0" w:type="auto"/>
            <w:shd w:val="clear" w:color="auto" w:fill="auto"/>
            <w:vAlign w:val="center"/>
          </w:tcPr>
          <w:p w14:paraId="425C7388" w14:textId="761FE9A9"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49</w:t>
            </w:r>
            <w:r w:rsidR="00EA1974" w:rsidRPr="00706162">
              <w:rPr>
                <w:bCs/>
                <w:i/>
                <w:iCs/>
                <w:vertAlign w:val="superscript"/>
              </w:rPr>
              <w:t>b</w:t>
            </w:r>
          </w:p>
        </w:tc>
      </w:tr>
      <w:tr w:rsidR="00F26721" w:rsidRPr="00706162" w14:paraId="10BADDB8" w14:textId="77777777" w:rsidTr="009B6A7C">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DB878F1" w14:textId="77777777" w:rsidR="00640C25" w:rsidRPr="00706162" w:rsidRDefault="00640C25" w:rsidP="00895508">
            <w:pPr>
              <w:pStyle w:val="TCTableBody"/>
            </w:pPr>
            <w:r w:rsidRPr="00706162">
              <w:t>7</w:t>
            </w:r>
          </w:p>
        </w:tc>
        <w:tc>
          <w:tcPr>
            <w:tcW w:w="0" w:type="auto"/>
            <w:shd w:val="clear" w:color="auto" w:fill="auto"/>
            <w:vAlign w:val="center"/>
          </w:tcPr>
          <w:p w14:paraId="7904686D"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Blue LED</w:t>
            </w:r>
          </w:p>
        </w:tc>
        <w:tc>
          <w:tcPr>
            <w:tcW w:w="0" w:type="auto"/>
            <w:shd w:val="clear" w:color="auto" w:fill="auto"/>
            <w:vAlign w:val="center"/>
          </w:tcPr>
          <w:p w14:paraId="39270440"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20</w:t>
            </w:r>
          </w:p>
        </w:tc>
        <w:tc>
          <w:tcPr>
            <w:tcW w:w="0" w:type="auto"/>
            <w:shd w:val="clear" w:color="auto" w:fill="auto"/>
            <w:vAlign w:val="center"/>
          </w:tcPr>
          <w:p w14:paraId="28DADF65"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3</w:t>
            </w:r>
          </w:p>
        </w:tc>
        <w:tc>
          <w:tcPr>
            <w:tcW w:w="0" w:type="auto"/>
            <w:shd w:val="clear" w:color="auto" w:fill="auto"/>
            <w:vAlign w:val="center"/>
          </w:tcPr>
          <w:p w14:paraId="6FB8FEDA"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8</w:t>
            </w:r>
          </w:p>
        </w:tc>
        <w:tc>
          <w:tcPr>
            <w:tcW w:w="0" w:type="auto"/>
            <w:shd w:val="clear" w:color="auto" w:fill="auto"/>
            <w:vAlign w:val="center"/>
          </w:tcPr>
          <w:p w14:paraId="2715F73E" w14:textId="40AA5676"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0</w:t>
            </w:r>
            <w:r w:rsidR="00BF1BF2" w:rsidRPr="00706162">
              <w:rPr>
                <w:i/>
                <w:iCs/>
                <w:vertAlign w:val="superscript"/>
              </w:rPr>
              <w:t>e</w:t>
            </w:r>
          </w:p>
        </w:tc>
      </w:tr>
      <w:tr w:rsidR="00F26721" w:rsidRPr="00706162" w14:paraId="0E467E4D" w14:textId="77777777" w:rsidTr="009B6A7C">
        <w:trPr>
          <w:trHeight w:val="39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BD8874D" w14:textId="77777777" w:rsidR="00640C25" w:rsidRPr="00706162" w:rsidRDefault="00640C25" w:rsidP="00895508">
            <w:pPr>
              <w:pStyle w:val="TCTableBody"/>
            </w:pPr>
            <w:r w:rsidRPr="00706162">
              <w:t>8</w:t>
            </w:r>
          </w:p>
        </w:tc>
        <w:tc>
          <w:tcPr>
            <w:tcW w:w="0" w:type="auto"/>
            <w:shd w:val="clear" w:color="auto" w:fill="auto"/>
            <w:vAlign w:val="center"/>
          </w:tcPr>
          <w:p w14:paraId="6CCB7C4C"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UV–B</w:t>
            </w:r>
          </w:p>
        </w:tc>
        <w:tc>
          <w:tcPr>
            <w:tcW w:w="0" w:type="auto"/>
            <w:shd w:val="clear" w:color="auto" w:fill="auto"/>
            <w:vAlign w:val="center"/>
          </w:tcPr>
          <w:p w14:paraId="556C5C08"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40</w:t>
            </w:r>
          </w:p>
        </w:tc>
        <w:tc>
          <w:tcPr>
            <w:tcW w:w="0" w:type="auto"/>
            <w:shd w:val="clear" w:color="auto" w:fill="auto"/>
            <w:vAlign w:val="center"/>
          </w:tcPr>
          <w:p w14:paraId="39137274"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3</w:t>
            </w:r>
          </w:p>
        </w:tc>
        <w:tc>
          <w:tcPr>
            <w:tcW w:w="0" w:type="auto"/>
            <w:shd w:val="clear" w:color="auto" w:fill="auto"/>
            <w:vAlign w:val="center"/>
          </w:tcPr>
          <w:p w14:paraId="3A1A93EC"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4</w:t>
            </w:r>
          </w:p>
        </w:tc>
        <w:tc>
          <w:tcPr>
            <w:tcW w:w="0" w:type="auto"/>
            <w:shd w:val="clear" w:color="auto" w:fill="auto"/>
            <w:vAlign w:val="center"/>
          </w:tcPr>
          <w:p w14:paraId="28A99F06" w14:textId="77777777" w:rsidR="00640C25" w:rsidRPr="00706162" w:rsidRDefault="00640C25" w:rsidP="00895508">
            <w:pPr>
              <w:pStyle w:val="TCTableBody"/>
              <w:cnfStyle w:val="000000000000" w:firstRow="0" w:lastRow="0" w:firstColumn="0" w:lastColumn="0" w:oddVBand="0" w:evenVBand="0" w:oddHBand="0" w:evenHBand="0" w:firstRowFirstColumn="0" w:firstRowLastColumn="0" w:lastRowFirstColumn="0" w:lastRowLastColumn="0"/>
            </w:pPr>
            <w:r w:rsidRPr="00706162">
              <w:t>61</w:t>
            </w:r>
          </w:p>
        </w:tc>
      </w:tr>
      <w:tr w:rsidR="00F26721" w:rsidRPr="00706162" w14:paraId="1ECBE9AA" w14:textId="77777777" w:rsidTr="009B6A7C">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16810A3" w14:textId="77777777" w:rsidR="00640C25" w:rsidRPr="00706162" w:rsidRDefault="00640C25" w:rsidP="00895508">
            <w:pPr>
              <w:pStyle w:val="TCTableBody"/>
            </w:pPr>
            <w:r w:rsidRPr="00706162">
              <w:t>9</w:t>
            </w:r>
          </w:p>
        </w:tc>
        <w:tc>
          <w:tcPr>
            <w:tcW w:w="0" w:type="auto"/>
            <w:shd w:val="clear" w:color="auto" w:fill="auto"/>
            <w:vAlign w:val="center"/>
          </w:tcPr>
          <w:p w14:paraId="50530DB0"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UV–B</w:t>
            </w:r>
          </w:p>
        </w:tc>
        <w:tc>
          <w:tcPr>
            <w:tcW w:w="0" w:type="auto"/>
            <w:shd w:val="clear" w:color="auto" w:fill="auto"/>
            <w:vAlign w:val="center"/>
          </w:tcPr>
          <w:p w14:paraId="1D40F5ED"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10</w:t>
            </w:r>
          </w:p>
        </w:tc>
        <w:tc>
          <w:tcPr>
            <w:tcW w:w="0" w:type="auto"/>
            <w:shd w:val="clear" w:color="auto" w:fill="auto"/>
            <w:vAlign w:val="center"/>
          </w:tcPr>
          <w:p w14:paraId="60274888"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3</w:t>
            </w:r>
          </w:p>
        </w:tc>
        <w:tc>
          <w:tcPr>
            <w:tcW w:w="0" w:type="auto"/>
            <w:shd w:val="clear" w:color="auto" w:fill="auto"/>
            <w:vAlign w:val="center"/>
          </w:tcPr>
          <w:p w14:paraId="5E167587"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4</w:t>
            </w:r>
          </w:p>
        </w:tc>
        <w:tc>
          <w:tcPr>
            <w:tcW w:w="0" w:type="auto"/>
            <w:shd w:val="clear" w:color="auto" w:fill="auto"/>
            <w:vAlign w:val="center"/>
          </w:tcPr>
          <w:p w14:paraId="1EA79A01" w14:textId="77777777" w:rsidR="00640C25" w:rsidRPr="00706162" w:rsidRDefault="00640C25" w:rsidP="00895508">
            <w:pPr>
              <w:pStyle w:val="TCTableBody"/>
              <w:cnfStyle w:val="000000100000" w:firstRow="0" w:lastRow="0" w:firstColumn="0" w:lastColumn="0" w:oddVBand="0" w:evenVBand="0" w:oddHBand="1" w:evenHBand="0" w:firstRowFirstColumn="0" w:firstRowLastColumn="0" w:lastRowFirstColumn="0" w:lastRowLastColumn="0"/>
            </w:pPr>
            <w:r w:rsidRPr="00706162">
              <w:t>55</w:t>
            </w:r>
          </w:p>
        </w:tc>
      </w:tr>
      <w:tr w:rsidR="00F26721" w:rsidRPr="00706162" w14:paraId="516E1670" w14:textId="77777777" w:rsidTr="009B6A7C">
        <w:trPr>
          <w:trHeight w:val="39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FCFD54F" w14:textId="77777777" w:rsidR="001F5AA3" w:rsidRPr="00706162" w:rsidRDefault="001F5AA3" w:rsidP="00895508">
            <w:pPr>
              <w:pStyle w:val="TCTableBody"/>
            </w:pPr>
            <w:r w:rsidRPr="00706162">
              <w:t>10</w:t>
            </w:r>
          </w:p>
        </w:tc>
        <w:tc>
          <w:tcPr>
            <w:tcW w:w="0" w:type="auto"/>
            <w:shd w:val="clear" w:color="auto" w:fill="auto"/>
            <w:vAlign w:val="center"/>
          </w:tcPr>
          <w:p w14:paraId="3336F42B" w14:textId="77777777" w:rsidR="001F5AA3" w:rsidRPr="00706162" w:rsidRDefault="001F5AA3" w:rsidP="00895508">
            <w:pPr>
              <w:pStyle w:val="TCTableBody"/>
              <w:cnfStyle w:val="000000000000" w:firstRow="0" w:lastRow="0" w:firstColumn="0" w:lastColumn="0" w:oddVBand="0" w:evenVBand="0" w:oddHBand="0" w:evenHBand="0" w:firstRowFirstColumn="0" w:firstRowLastColumn="0" w:lastRowFirstColumn="0" w:lastRowLastColumn="0"/>
            </w:pPr>
            <w:r w:rsidRPr="00706162">
              <w:t>UV–B</w:t>
            </w:r>
          </w:p>
        </w:tc>
        <w:tc>
          <w:tcPr>
            <w:tcW w:w="0" w:type="auto"/>
            <w:shd w:val="clear" w:color="auto" w:fill="auto"/>
            <w:vAlign w:val="center"/>
          </w:tcPr>
          <w:p w14:paraId="5E41DF80" w14:textId="11EDDFA8" w:rsidR="001F5AA3" w:rsidRPr="00706162" w:rsidRDefault="001F5AA3" w:rsidP="00895508">
            <w:pPr>
              <w:pStyle w:val="TCTableBody"/>
              <w:cnfStyle w:val="000000000000" w:firstRow="0" w:lastRow="0" w:firstColumn="0" w:lastColumn="0" w:oddVBand="0" w:evenVBand="0" w:oddHBand="0" w:evenHBand="0" w:firstRowFirstColumn="0" w:firstRowLastColumn="0" w:lastRowFirstColumn="0" w:lastRowLastColumn="0"/>
            </w:pPr>
            <w:r w:rsidRPr="00706162">
              <w:t>20</w:t>
            </w:r>
            <w:r w:rsidR="00544EDE" w:rsidRPr="00706162">
              <w:rPr>
                <w:i/>
                <w:iCs/>
                <w:vertAlign w:val="superscript"/>
              </w:rPr>
              <w:t>f</w:t>
            </w:r>
          </w:p>
        </w:tc>
        <w:tc>
          <w:tcPr>
            <w:tcW w:w="0" w:type="auto"/>
            <w:shd w:val="clear" w:color="auto" w:fill="auto"/>
            <w:vAlign w:val="center"/>
          </w:tcPr>
          <w:p w14:paraId="20280F16" w14:textId="77777777" w:rsidR="001F5AA3" w:rsidRPr="00706162" w:rsidRDefault="001F5AA3" w:rsidP="00895508">
            <w:pPr>
              <w:pStyle w:val="TCTableBody"/>
              <w:cnfStyle w:val="000000000000" w:firstRow="0" w:lastRow="0" w:firstColumn="0" w:lastColumn="0" w:oddVBand="0" w:evenVBand="0" w:oddHBand="0" w:evenHBand="0" w:firstRowFirstColumn="0" w:firstRowLastColumn="0" w:lastRowFirstColumn="0" w:lastRowLastColumn="0"/>
            </w:pPr>
            <w:r w:rsidRPr="00706162">
              <w:t>3</w:t>
            </w:r>
          </w:p>
        </w:tc>
        <w:tc>
          <w:tcPr>
            <w:tcW w:w="0" w:type="auto"/>
            <w:shd w:val="clear" w:color="auto" w:fill="auto"/>
            <w:vAlign w:val="center"/>
          </w:tcPr>
          <w:p w14:paraId="3BD793D0" w14:textId="77777777" w:rsidR="001F5AA3" w:rsidRPr="00706162" w:rsidRDefault="001F5AA3" w:rsidP="00895508">
            <w:pPr>
              <w:pStyle w:val="TCTableBody"/>
              <w:cnfStyle w:val="000000000000" w:firstRow="0" w:lastRow="0" w:firstColumn="0" w:lastColumn="0" w:oddVBand="0" w:evenVBand="0" w:oddHBand="0" w:evenHBand="0" w:firstRowFirstColumn="0" w:firstRowLastColumn="0" w:lastRowFirstColumn="0" w:lastRowLastColumn="0"/>
            </w:pPr>
            <w:r w:rsidRPr="00706162">
              <w:t>4</w:t>
            </w:r>
          </w:p>
        </w:tc>
        <w:tc>
          <w:tcPr>
            <w:tcW w:w="0" w:type="auto"/>
            <w:shd w:val="clear" w:color="auto" w:fill="auto"/>
            <w:vAlign w:val="center"/>
          </w:tcPr>
          <w:p w14:paraId="584E5DB7" w14:textId="77777777" w:rsidR="001F5AA3" w:rsidRPr="00706162" w:rsidRDefault="001F5AA3" w:rsidP="00895508">
            <w:pPr>
              <w:pStyle w:val="TCTableBody"/>
              <w:cnfStyle w:val="000000000000" w:firstRow="0" w:lastRow="0" w:firstColumn="0" w:lastColumn="0" w:oddVBand="0" w:evenVBand="0" w:oddHBand="0" w:evenHBand="0" w:firstRowFirstColumn="0" w:firstRowLastColumn="0" w:lastRowFirstColumn="0" w:lastRowLastColumn="0"/>
            </w:pPr>
            <w:r w:rsidRPr="00706162">
              <w:t>8</w:t>
            </w:r>
          </w:p>
        </w:tc>
      </w:tr>
      <w:tr w:rsidR="00F26721" w:rsidRPr="00706162" w14:paraId="27CF3908" w14:textId="77777777" w:rsidTr="009B6A7C">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75FA22E" w14:textId="77777777" w:rsidR="001F5AA3" w:rsidRPr="00706162" w:rsidRDefault="001F5AA3" w:rsidP="00895508">
            <w:pPr>
              <w:pStyle w:val="TCTableBody"/>
            </w:pPr>
            <w:r w:rsidRPr="00706162">
              <w:t>11</w:t>
            </w:r>
          </w:p>
        </w:tc>
        <w:tc>
          <w:tcPr>
            <w:tcW w:w="0" w:type="auto"/>
            <w:shd w:val="clear" w:color="auto" w:fill="auto"/>
            <w:vAlign w:val="center"/>
          </w:tcPr>
          <w:p w14:paraId="7ADD69DE" w14:textId="6E85F85E" w:rsidR="001F5AA3" w:rsidRPr="00706162" w:rsidRDefault="00116FC2" w:rsidP="00895508">
            <w:pPr>
              <w:pStyle w:val="TCTableBody"/>
              <w:cnfStyle w:val="000000100000" w:firstRow="0" w:lastRow="0" w:firstColumn="0" w:lastColumn="0" w:oddVBand="0" w:evenVBand="0" w:oddHBand="1" w:evenHBand="0" w:firstRowFirstColumn="0" w:firstRowLastColumn="0" w:lastRowFirstColumn="0" w:lastRowLastColumn="0"/>
            </w:pPr>
            <w:r w:rsidRPr="00706162">
              <w:t>No</w:t>
            </w:r>
            <w:r>
              <w:t>ne</w:t>
            </w:r>
          </w:p>
        </w:tc>
        <w:tc>
          <w:tcPr>
            <w:tcW w:w="0" w:type="auto"/>
            <w:shd w:val="clear" w:color="auto" w:fill="auto"/>
            <w:vAlign w:val="center"/>
          </w:tcPr>
          <w:p w14:paraId="1B335B78" w14:textId="77777777" w:rsidR="001F5AA3" w:rsidRPr="00706162" w:rsidRDefault="001F5AA3" w:rsidP="00895508">
            <w:pPr>
              <w:pStyle w:val="TCTableBody"/>
              <w:cnfStyle w:val="000000100000" w:firstRow="0" w:lastRow="0" w:firstColumn="0" w:lastColumn="0" w:oddVBand="0" w:evenVBand="0" w:oddHBand="1" w:evenHBand="0" w:firstRowFirstColumn="0" w:firstRowLastColumn="0" w:lastRowFirstColumn="0" w:lastRowLastColumn="0"/>
            </w:pPr>
            <w:r w:rsidRPr="00706162">
              <w:t>20</w:t>
            </w:r>
          </w:p>
        </w:tc>
        <w:tc>
          <w:tcPr>
            <w:tcW w:w="0" w:type="auto"/>
            <w:shd w:val="clear" w:color="auto" w:fill="auto"/>
            <w:vAlign w:val="center"/>
          </w:tcPr>
          <w:p w14:paraId="1C48BAC6" w14:textId="77777777" w:rsidR="001F5AA3" w:rsidRPr="00706162" w:rsidRDefault="001F5AA3" w:rsidP="00895508">
            <w:pPr>
              <w:pStyle w:val="TCTableBody"/>
              <w:cnfStyle w:val="000000100000" w:firstRow="0" w:lastRow="0" w:firstColumn="0" w:lastColumn="0" w:oddVBand="0" w:evenVBand="0" w:oddHBand="1" w:evenHBand="0" w:firstRowFirstColumn="0" w:firstRowLastColumn="0" w:lastRowFirstColumn="0" w:lastRowLastColumn="0"/>
            </w:pPr>
            <w:r w:rsidRPr="00706162">
              <w:t>3</w:t>
            </w:r>
          </w:p>
        </w:tc>
        <w:tc>
          <w:tcPr>
            <w:tcW w:w="0" w:type="auto"/>
            <w:shd w:val="clear" w:color="auto" w:fill="auto"/>
            <w:vAlign w:val="center"/>
          </w:tcPr>
          <w:p w14:paraId="2D320FE7" w14:textId="77777777" w:rsidR="001F5AA3" w:rsidRPr="00706162" w:rsidRDefault="001F5AA3" w:rsidP="00895508">
            <w:pPr>
              <w:pStyle w:val="TCTableBody"/>
              <w:cnfStyle w:val="000000100000" w:firstRow="0" w:lastRow="0" w:firstColumn="0" w:lastColumn="0" w:oddVBand="0" w:evenVBand="0" w:oddHBand="1" w:evenHBand="0" w:firstRowFirstColumn="0" w:firstRowLastColumn="0" w:lastRowFirstColumn="0" w:lastRowLastColumn="0"/>
            </w:pPr>
            <w:r w:rsidRPr="00706162">
              <w:t>3</w:t>
            </w:r>
          </w:p>
        </w:tc>
        <w:tc>
          <w:tcPr>
            <w:tcW w:w="0" w:type="auto"/>
            <w:shd w:val="clear" w:color="auto" w:fill="auto"/>
            <w:vAlign w:val="center"/>
          </w:tcPr>
          <w:p w14:paraId="7498DFD1" w14:textId="77777777" w:rsidR="001F5AA3" w:rsidRPr="00706162" w:rsidRDefault="001F5AA3" w:rsidP="00895508">
            <w:pPr>
              <w:pStyle w:val="TCTableBody"/>
              <w:cnfStyle w:val="000000100000" w:firstRow="0" w:lastRow="0" w:firstColumn="0" w:lastColumn="0" w:oddVBand="0" w:evenVBand="0" w:oddHBand="1" w:evenHBand="0" w:firstRowFirstColumn="0" w:firstRowLastColumn="0" w:lastRowFirstColumn="0" w:lastRowLastColumn="0"/>
            </w:pPr>
            <w:r w:rsidRPr="00706162">
              <w:t>0</w:t>
            </w:r>
          </w:p>
        </w:tc>
      </w:tr>
    </w:tbl>
    <w:p w14:paraId="2002B1E9" w14:textId="73BB1E0E" w:rsidR="00753F89" w:rsidRPr="004D7150" w:rsidRDefault="00F26721" w:rsidP="00DA6F36">
      <w:pPr>
        <w:pStyle w:val="TCTableBody"/>
      </w:pPr>
      <w:r>
        <w:t>Reaction c</w:t>
      </w:r>
      <w:r w:rsidR="00EA1974" w:rsidRPr="00F26721">
        <w:t>onditions: Optim</w:t>
      </w:r>
      <w:r w:rsidR="00934E5D">
        <w:t>ize</w:t>
      </w:r>
      <w:r w:rsidR="00EA1974" w:rsidRPr="00F26721">
        <w:t>d on 0.6 mmol of 1</w:t>
      </w:r>
      <w:r w:rsidR="000902D7" w:rsidRPr="00F26721">
        <w:t xml:space="preserve"> Internal Volume (V</w:t>
      </w:r>
      <w:r w:rsidR="000902D7" w:rsidRPr="00F26721">
        <w:rPr>
          <w:vertAlign w:val="subscript"/>
        </w:rPr>
        <w:t>i</w:t>
      </w:r>
      <w:r w:rsidR="000902D7" w:rsidRPr="00F26721">
        <w:t>) = 2 mL</w:t>
      </w:r>
      <w:r w:rsidR="00EA1974" w:rsidRPr="00F26721">
        <w:t xml:space="preserve">. </w:t>
      </w:r>
      <w:r w:rsidR="00706162" w:rsidRPr="00F26721">
        <w:rPr>
          <w:i/>
          <w:iCs/>
          <w:vertAlign w:val="superscript"/>
        </w:rPr>
        <w:t>a</w:t>
      </w:r>
      <w:r w:rsidR="00EA1974" w:rsidRPr="00F26721">
        <w:rPr>
          <w:vertAlign w:val="superscript"/>
        </w:rPr>
        <w:t>1</w:t>
      </w:r>
      <w:r w:rsidR="00EA1974" w:rsidRPr="00F26721">
        <w:t xml:space="preserve">H NMR yield with </w:t>
      </w:r>
      <w:r w:rsidR="003B25D9" w:rsidRPr="00F26721">
        <w:t>1,</w:t>
      </w:r>
      <w:r w:rsidR="00EA1974" w:rsidRPr="00F26721">
        <w:t xml:space="preserve">4–dimethyl terephthalate as internal standard. </w:t>
      </w:r>
      <w:r w:rsidR="00EA1974" w:rsidRPr="00F26721">
        <w:rPr>
          <w:i/>
          <w:iCs/>
          <w:vertAlign w:val="superscript"/>
        </w:rPr>
        <w:t>b</w:t>
      </w:r>
      <w:r w:rsidR="00EA1974" w:rsidRPr="00F26721">
        <w:t>c = 0.05 M, CH</w:t>
      </w:r>
      <w:r w:rsidR="00EA1974" w:rsidRPr="00F26721">
        <w:rPr>
          <w:vertAlign w:val="subscript"/>
        </w:rPr>
        <w:t>2</w:t>
      </w:r>
      <w:r w:rsidR="00EA1974" w:rsidRPr="00F26721">
        <w:t>Cl</w:t>
      </w:r>
      <w:r w:rsidR="00EA1974" w:rsidRPr="00F26721">
        <w:rPr>
          <w:vertAlign w:val="subscript"/>
        </w:rPr>
        <w:t>2</w:t>
      </w:r>
      <w:r w:rsidR="00EA1974" w:rsidRPr="00F26721">
        <w:t xml:space="preserve"> (10.95 mL), (COCl)</w:t>
      </w:r>
      <w:r w:rsidR="00EA1974" w:rsidRPr="00F26721">
        <w:rPr>
          <w:vertAlign w:val="subscript"/>
        </w:rPr>
        <w:t>2</w:t>
      </w:r>
      <w:r w:rsidR="00EA1974" w:rsidRPr="00F26721">
        <w:t xml:space="preserve"> (</w:t>
      </w:r>
      <w:r w:rsidR="00087D67" w:rsidRPr="00F26721">
        <w:t>20.0 equiv.)</w:t>
      </w:r>
      <w:r w:rsidR="00EA1974" w:rsidRPr="00F26721">
        <w:t xml:space="preserve">. </w:t>
      </w:r>
      <w:r w:rsidR="00EA1974" w:rsidRPr="00F26721">
        <w:rPr>
          <w:i/>
          <w:iCs/>
          <w:vertAlign w:val="superscript"/>
        </w:rPr>
        <w:t>c</w:t>
      </w:r>
      <w:r w:rsidR="00EA1974" w:rsidRPr="00F26721">
        <w:t>c = 0.1 M, CH</w:t>
      </w:r>
      <w:r w:rsidR="00EA1974" w:rsidRPr="00F26721">
        <w:rPr>
          <w:vertAlign w:val="subscript"/>
        </w:rPr>
        <w:t>2</w:t>
      </w:r>
      <w:r w:rsidR="00EA1974" w:rsidRPr="00F26721">
        <w:t>Cl</w:t>
      </w:r>
      <w:r w:rsidR="00EA1974" w:rsidRPr="00F26721">
        <w:rPr>
          <w:vertAlign w:val="subscript"/>
        </w:rPr>
        <w:t>2</w:t>
      </w:r>
      <w:r w:rsidR="00EA1974" w:rsidRPr="00F26721">
        <w:t xml:space="preserve"> (</w:t>
      </w:r>
      <w:r w:rsidR="006726CC" w:rsidRPr="00F26721">
        <w:t>5.0</w:t>
      </w:r>
      <w:r w:rsidR="00EA1974" w:rsidRPr="00F26721">
        <w:t xml:space="preserve"> mL), (COCl)</w:t>
      </w:r>
      <w:r w:rsidR="00EA1974" w:rsidRPr="00F26721">
        <w:rPr>
          <w:vertAlign w:val="subscript"/>
        </w:rPr>
        <w:t>2</w:t>
      </w:r>
      <w:r w:rsidR="00087D67" w:rsidRPr="00F26721">
        <w:t xml:space="preserve"> (20.0 equiv.</w:t>
      </w:r>
      <w:r w:rsidR="00EA1974" w:rsidRPr="00F26721">
        <w:t xml:space="preserve">). </w:t>
      </w:r>
      <w:r w:rsidR="00706162" w:rsidRPr="00F26721">
        <w:rPr>
          <w:i/>
          <w:iCs/>
          <w:vertAlign w:val="superscript"/>
        </w:rPr>
        <w:t>d</w:t>
      </w:r>
      <w:r w:rsidR="00EA1974" w:rsidRPr="00F26721">
        <w:rPr>
          <w:i/>
          <w:iCs/>
          <w:vertAlign w:val="superscript"/>
        </w:rPr>
        <w:t xml:space="preserve"> </w:t>
      </w:r>
      <w:r w:rsidR="00EA1974" w:rsidRPr="00F26721">
        <w:t xml:space="preserve">Reactor fouling was observed (see </w:t>
      </w:r>
      <w:r w:rsidR="00B4654F" w:rsidRPr="00F26721">
        <w:t>Supporting information for details</w:t>
      </w:r>
      <w:r w:rsidR="00EA1974" w:rsidRPr="00F26721">
        <w:t>).</w:t>
      </w:r>
      <w:r w:rsidR="00BF1BF2" w:rsidRPr="00F26721">
        <w:t xml:space="preserve"> </w:t>
      </w:r>
      <w:r w:rsidR="00BF1BF2" w:rsidRPr="00F26721">
        <w:rPr>
          <w:i/>
          <w:iCs/>
          <w:vertAlign w:val="superscript"/>
        </w:rPr>
        <w:t>e</w:t>
      </w:r>
      <w:r w:rsidR="00BF1BF2" w:rsidRPr="00F26721">
        <w:t xml:space="preserve">Kessil </w:t>
      </w:r>
      <w:r w:rsidR="00AE31C8" w:rsidRPr="00F26721">
        <w:t>A160WE Tuna Blue (40 W)</w:t>
      </w:r>
      <w:r w:rsidR="00A91E4B" w:rsidRPr="00F26721">
        <w:t xml:space="preserve"> lamp</w:t>
      </w:r>
      <w:r w:rsidR="00AE31C8" w:rsidRPr="00F26721">
        <w:t>.</w:t>
      </w:r>
      <w:r w:rsidR="005141D4" w:rsidRPr="00F26721">
        <w:t xml:space="preserve"> </w:t>
      </w:r>
      <w:r w:rsidR="005141D4" w:rsidRPr="00F26721">
        <w:rPr>
          <w:i/>
          <w:iCs/>
          <w:vertAlign w:val="superscript"/>
        </w:rPr>
        <w:t>f</w:t>
      </w:r>
      <w:r w:rsidR="005141D4" w:rsidRPr="00F26721">
        <w:t>methyl chlorooxoacetate</w:t>
      </w:r>
      <w:r w:rsidR="00087D67" w:rsidRPr="00F26721">
        <w:t xml:space="preserve"> (20.0 equiv.)</w:t>
      </w:r>
      <w:r w:rsidR="0086424E" w:rsidRPr="00F26721">
        <w:t>.</w:t>
      </w:r>
    </w:p>
    <w:p w14:paraId="423B1233" w14:textId="77777777" w:rsidR="00A47E25" w:rsidRDefault="00A47E25" w:rsidP="00A47E25">
      <w:pPr>
        <w:pStyle w:val="TAMainText"/>
        <w:rPr>
          <w:lang w:val="en-GB"/>
        </w:rPr>
      </w:pPr>
      <w:r>
        <w:rPr>
          <w:lang w:val="en-GB"/>
        </w:rPr>
        <w:t>The use of UV–C and UV–A lamps was then</w:t>
      </w:r>
      <w:r w:rsidRPr="00D36215">
        <w:rPr>
          <w:lang w:val="en-GB"/>
        </w:rPr>
        <w:t xml:space="preserve"> investigated. </w:t>
      </w:r>
      <w:r>
        <w:rPr>
          <w:lang w:val="en-GB"/>
        </w:rPr>
        <w:t>With a</w:t>
      </w:r>
      <w:r w:rsidRPr="00D36215">
        <w:rPr>
          <w:lang w:val="en-GB"/>
        </w:rPr>
        <w:t xml:space="preserve"> UV–C (λ = 100 – 280 nm) lamp</w:t>
      </w:r>
      <w:r>
        <w:rPr>
          <w:lang w:val="en-GB"/>
        </w:rPr>
        <w:t>,</w:t>
      </w:r>
      <w:r w:rsidRPr="00D36215">
        <w:rPr>
          <w:lang w:val="en-GB"/>
        </w:rPr>
        <w:t xml:space="preserve"> the yield </w:t>
      </w:r>
      <w:r>
        <w:rPr>
          <w:lang w:val="en-GB"/>
        </w:rPr>
        <w:t xml:space="preserve">was </w:t>
      </w:r>
      <w:r w:rsidRPr="00D36215">
        <w:rPr>
          <w:lang w:val="en-GB"/>
        </w:rPr>
        <w:t xml:space="preserve">decreased to 32% (Entry 5). </w:t>
      </w:r>
      <w:r>
        <w:rPr>
          <w:lang w:val="en-GB"/>
        </w:rPr>
        <w:t>Considering</w:t>
      </w:r>
      <w:r w:rsidRPr="00D36215">
        <w:rPr>
          <w:lang w:val="en-GB"/>
        </w:rPr>
        <w:t xml:space="preserve"> reactor fouling was also observed,</w:t>
      </w:r>
      <w:r>
        <w:rPr>
          <w:lang w:val="en-GB"/>
        </w:rPr>
        <w:t xml:space="preserve"> </w:t>
      </w:r>
    </w:p>
    <w:p w14:paraId="5F74C22E" w14:textId="4C34729D" w:rsidR="0086424E" w:rsidRPr="00D32DA4" w:rsidRDefault="00C66971" w:rsidP="004B763C">
      <w:pPr>
        <w:pStyle w:val="TAMainText"/>
        <w:rPr>
          <w:szCs w:val="16"/>
          <w:lang w:val="en-GB"/>
        </w:rPr>
      </w:pPr>
      <w:r w:rsidRPr="00D36215">
        <w:rPr>
          <w:lang w:val="en-GB"/>
        </w:rPr>
        <w:t>no further optimizations were carried out with</w:t>
      </w:r>
      <w:r>
        <w:rPr>
          <w:lang w:val="en-GB"/>
        </w:rPr>
        <w:t xml:space="preserve"> </w:t>
      </w:r>
      <w:r w:rsidRPr="00D36215">
        <w:rPr>
          <w:lang w:val="en-GB"/>
        </w:rPr>
        <w:t xml:space="preserve">UV–C (See </w:t>
      </w:r>
      <w:r w:rsidR="00657F1B" w:rsidRPr="00D36215">
        <w:rPr>
          <w:lang w:val="en-GB"/>
        </w:rPr>
        <w:t>Supporting information for details).</w:t>
      </w:r>
      <w:r w:rsidR="00657F1B">
        <w:rPr>
          <w:lang w:val="en-GB"/>
        </w:rPr>
        <w:t xml:space="preserve"> </w:t>
      </w:r>
      <w:r w:rsidR="00627718" w:rsidRPr="00D36215">
        <w:rPr>
          <w:lang w:val="en-GB"/>
        </w:rPr>
        <w:t xml:space="preserve">Under similar conditions, </w:t>
      </w:r>
      <w:r w:rsidR="007E5C1E" w:rsidRPr="003725B2">
        <w:t xml:space="preserve">replacing UV–B with UV–A (λ = 340 – 400 nm) also led to a lower yield (49%) for the same irradiation time. Under 40 W </w:t>
      </w:r>
      <w:r w:rsidR="007E5C1E" w:rsidRPr="003725B2">
        <w:lastRenderedPageBreak/>
        <w:t xml:space="preserve">blue LED (λ = 450 nm) light, no product could be observed after </w:t>
      </w:r>
      <w:r w:rsidR="0086424E" w:rsidRPr="00D32DA4">
        <w:rPr>
          <w:szCs w:val="16"/>
          <w:lang w:val="en-GB"/>
        </w:rPr>
        <w:t>8 h irradi</w:t>
      </w:r>
      <w:r w:rsidR="00366E22" w:rsidRPr="00D32DA4">
        <w:rPr>
          <w:szCs w:val="16"/>
          <w:lang w:val="en-GB"/>
        </w:rPr>
        <w:t>ation (Table 1, Entry 7) demonstrating</w:t>
      </w:r>
      <w:r w:rsidR="0086424E" w:rsidRPr="00D32DA4">
        <w:rPr>
          <w:szCs w:val="16"/>
          <w:lang w:val="en-GB"/>
        </w:rPr>
        <w:t xml:space="preserve"> that the visible </w:t>
      </w:r>
      <w:r w:rsidR="00DB272D" w:rsidRPr="00D32DA4">
        <w:rPr>
          <w:szCs w:val="16"/>
          <w:lang w:val="en-GB"/>
        </w:rPr>
        <w:t>region (λ = 400 – 700 nm) of the</w:t>
      </w:r>
      <w:r w:rsidR="0086424E" w:rsidRPr="00D32DA4">
        <w:rPr>
          <w:szCs w:val="16"/>
          <w:lang w:val="en-GB"/>
        </w:rPr>
        <w:t xml:space="preserve"> emitted</w:t>
      </w:r>
      <w:r w:rsidR="00DB272D" w:rsidRPr="00D32DA4">
        <w:rPr>
          <w:szCs w:val="16"/>
          <w:lang w:val="en-GB"/>
        </w:rPr>
        <w:t xml:space="preserve"> spectrum</w:t>
      </w:r>
      <w:r w:rsidR="0086424E" w:rsidRPr="00D32DA4">
        <w:rPr>
          <w:szCs w:val="16"/>
          <w:lang w:val="en-GB"/>
        </w:rPr>
        <w:t xml:space="preserve"> by halogen or mercury–vapor lamps initially reported</w:t>
      </w:r>
      <w:r w:rsidR="00365A4D" w:rsidRPr="00D32DA4">
        <w:rPr>
          <w:szCs w:val="16"/>
          <w:vertAlign w:val="superscript"/>
          <w:lang w:val="en-GB"/>
        </w:rPr>
        <w:t>16,17</w:t>
      </w:r>
      <w:r w:rsidR="00DB272D" w:rsidRPr="00D32DA4">
        <w:rPr>
          <w:szCs w:val="16"/>
          <w:lang w:val="en-GB"/>
        </w:rPr>
        <w:t xml:space="preserve"> is not </w:t>
      </w:r>
      <w:r w:rsidR="00D36215">
        <w:rPr>
          <w:szCs w:val="16"/>
          <w:lang w:val="en-GB"/>
        </w:rPr>
        <w:t>optimal</w:t>
      </w:r>
      <w:r w:rsidR="0086424E" w:rsidRPr="00D32DA4">
        <w:rPr>
          <w:szCs w:val="16"/>
          <w:lang w:val="en-GB"/>
        </w:rPr>
        <w:t xml:space="preserve">. With regard to the large excess of oxalyl chloride used originally, doubling the concentration did not significantly increase the yield of </w:t>
      </w:r>
      <w:r w:rsidR="0086424E" w:rsidRPr="00D32DA4">
        <w:rPr>
          <w:b/>
          <w:szCs w:val="16"/>
          <w:lang w:val="en-GB"/>
        </w:rPr>
        <w:t>1</w:t>
      </w:r>
      <w:r w:rsidR="0086424E" w:rsidRPr="00D32DA4">
        <w:rPr>
          <w:szCs w:val="16"/>
          <w:lang w:val="en-GB"/>
        </w:rPr>
        <w:t xml:space="preserve"> whereas decreasing the concentration two–fold still gave trimethyl 1,2,4–cubanetricarboxylate </w:t>
      </w:r>
      <w:r w:rsidR="0086424E" w:rsidRPr="00D32DA4">
        <w:rPr>
          <w:b/>
          <w:szCs w:val="16"/>
          <w:lang w:val="en-GB"/>
        </w:rPr>
        <w:t>3</w:t>
      </w:r>
      <w:r w:rsidR="0086424E" w:rsidRPr="00D32DA4">
        <w:rPr>
          <w:szCs w:val="16"/>
          <w:lang w:val="en-GB"/>
        </w:rPr>
        <w:t xml:space="preserve"> in 55% yield (Entries 8 and 9). Using the optimized conditions, replacing oxalyl chloride with methyl chlorooxoacetate led to the desired product </w:t>
      </w:r>
      <w:r w:rsidR="0086424E" w:rsidRPr="00D32DA4">
        <w:rPr>
          <w:b/>
          <w:szCs w:val="16"/>
          <w:lang w:val="en-GB"/>
        </w:rPr>
        <w:t>3</w:t>
      </w:r>
      <w:r w:rsidR="0086424E" w:rsidRPr="00D32DA4">
        <w:rPr>
          <w:szCs w:val="16"/>
          <w:lang w:val="en-GB"/>
        </w:rPr>
        <w:t xml:space="preserve"> in 8% yield (Entry 10). Finally, as expected, a control experiment performed in absence of light gave no product (Entry 11).</w:t>
      </w:r>
    </w:p>
    <w:p w14:paraId="14B8501F" w14:textId="63B11102" w:rsidR="00187EB3" w:rsidRDefault="00946B66" w:rsidP="00187EB3">
      <w:pPr>
        <w:spacing w:after="0"/>
        <w:ind w:firstLine="284"/>
        <w:rPr>
          <w:rFonts w:ascii="Arno Pro" w:hAnsi="Arno Pro"/>
          <w:sz w:val="19"/>
          <w:szCs w:val="19"/>
          <w:lang w:val="en-GB"/>
        </w:rPr>
      </w:pPr>
      <w:r w:rsidRPr="00D32DA4">
        <w:rPr>
          <w:rFonts w:ascii="Arno Pro" w:hAnsi="Arno Pro"/>
          <w:sz w:val="19"/>
          <w:szCs w:val="19"/>
          <w:lang w:val="en-GB"/>
        </w:rPr>
        <w:t>Using the optim</w:t>
      </w:r>
      <w:r w:rsidR="00934E5D">
        <w:rPr>
          <w:rFonts w:ascii="Arno Pro" w:hAnsi="Arno Pro"/>
          <w:sz w:val="19"/>
          <w:szCs w:val="19"/>
          <w:lang w:val="en-GB"/>
        </w:rPr>
        <w:t>ize</w:t>
      </w:r>
      <w:r w:rsidRPr="00D32DA4">
        <w:rPr>
          <w:rFonts w:ascii="Arno Pro" w:hAnsi="Arno Pro"/>
          <w:sz w:val="19"/>
          <w:szCs w:val="19"/>
          <w:lang w:val="en-GB"/>
        </w:rPr>
        <w:t>d conditions, the formed ac</w:t>
      </w:r>
      <w:r w:rsidR="002D09A8" w:rsidRPr="00D32DA4">
        <w:rPr>
          <w:rFonts w:ascii="Arno Pro" w:hAnsi="Arno Pro"/>
          <w:sz w:val="19"/>
          <w:szCs w:val="19"/>
          <w:lang w:val="en-GB"/>
        </w:rPr>
        <w:t>id</w:t>
      </w:r>
      <w:r w:rsidRPr="00D32DA4">
        <w:rPr>
          <w:rFonts w:ascii="Arno Pro" w:hAnsi="Arno Pro"/>
          <w:sz w:val="19"/>
          <w:szCs w:val="19"/>
          <w:lang w:val="en-GB"/>
        </w:rPr>
        <w:t xml:space="preserve"> chloride intermediate </w:t>
      </w:r>
      <w:r w:rsidR="001422F0" w:rsidRPr="00D32DA4">
        <w:rPr>
          <w:rFonts w:ascii="Arno Pro" w:hAnsi="Arno Pro"/>
          <w:b/>
          <w:sz w:val="19"/>
          <w:szCs w:val="19"/>
          <w:lang w:val="en-GB"/>
        </w:rPr>
        <w:t>2</w:t>
      </w:r>
      <w:r w:rsidRPr="00D32DA4">
        <w:rPr>
          <w:rFonts w:ascii="Arno Pro" w:hAnsi="Arno Pro"/>
          <w:sz w:val="19"/>
          <w:szCs w:val="19"/>
          <w:lang w:val="en-GB"/>
        </w:rPr>
        <w:t xml:space="preserve"> was then trapped with various nucleophiles to demonstrate further in situ derivat</w:t>
      </w:r>
      <w:r w:rsidR="00934E5D">
        <w:rPr>
          <w:rFonts w:ascii="Arno Pro" w:hAnsi="Arno Pro"/>
          <w:sz w:val="19"/>
          <w:szCs w:val="19"/>
          <w:lang w:val="en-GB"/>
        </w:rPr>
        <w:t>iza</w:t>
      </w:r>
      <w:r w:rsidRPr="00D32DA4">
        <w:rPr>
          <w:rFonts w:ascii="Arno Pro" w:hAnsi="Arno Pro"/>
          <w:sz w:val="19"/>
          <w:szCs w:val="19"/>
          <w:lang w:val="en-GB"/>
        </w:rPr>
        <w:t>tion while keeping the two original ester groups intact. Several 1,2,4–tricarbonyl cubane derivati</w:t>
      </w:r>
      <w:r w:rsidR="001422F0" w:rsidRPr="00D32DA4">
        <w:rPr>
          <w:rFonts w:ascii="Arno Pro" w:hAnsi="Arno Pro"/>
          <w:sz w:val="19"/>
          <w:szCs w:val="19"/>
          <w:lang w:val="en-GB"/>
        </w:rPr>
        <w:t>ves have been prepared (</w:t>
      </w:r>
      <w:r w:rsidR="003E3030" w:rsidRPr="00D32DA4">
        <w:rPr>
          <w:rFonts w:ascii="Arno Pro" w:hAnsi="Arno Pro"/>
          <w:sz w:val="19"/>
          <w:szCs w:val="19"/>
          <w:lang w:val="en-GB"/>
        </w:rPr>
        <w:t>Scheme 1</w:t>
      </w:r>
      <w:r w:rsidR="001422F0" w:rsidRPr="00D32DA4">
        <w:rPr>
          <w:rFonts w:ascii="Arno Pro" w:hAnsi="Arno Pro"/>
          <w:sz w:val="19"/>
          <w:szCs w:val="19"/>
          <w:lang w:val="en-GB"/>
        </w:rPr>
        <w:t>).</w:t>
      </w:r>
      <w:r w:rsidRPr="00D32DA4">
        <w:rPr>
          <w:rFonts w:ascii="Arno Pro" w:hAnsi="Arno Pro"/>
          <w:sz w:val="19"/>
          <w:szCs w:val="19"/>
          <w:lang w:val="en-GB"/>
        </w:rPr>
        <w:t xml:space="preserve"> Hydrolysis of </w:t>
      </w:r>
      <w:r w:rsidR="001422F0" w:rsidRPr="00D32DA4">
        <w:rPr>
          <w:rFonts w:ascii="Arno Pro" w:hAnsi="Arno Pro"/>
          <w:b/>
          <w:sz w:val="19"/>
          <w:szCs w:val="19"/>
          <w:lang w:val="en-GB"/>
        </w:rPr>
        <w:t>2</w:t>
      </w:r>
      <w:r w:rsidRPr="00D32DA4">
        <w:rPr>
          <w:rFonts w:ascii="Arno Pro" w:hAnsi="Arno Pro"/>
          <w:sz w:val="19"/>
          <w:szCs w:val="19"/>
          <w:lang w:val="en-GB"/>
        </w:rPr>
        <w:t xml:space="preserve"> gave the crude carboxylic acid </w:t>
      </w:r>
      <w:r w:rsidR="001422F0" w:rsidRPr="00D32DA4">
        <w:rPr>
          <w:rFonts w:ascii="Arno Pro" w:hAnsi="Arno Pro"/>
          <w:b/>
          <w:sz w:val="19"/>
          <w:szCs w:val="19"/>
          <w:lang w:val="en-GB"/>
        </w:rPr>
        <w:t>4</w:t>
      </w:r>
      <w:r w:rsidRPr="00D32DA4">
        <w:rPr>
          <w:rFonts w:ascii="Arno Pro" w:hAnsi="Arno Pro"/>
          <w:sz w:val="19"/>
          <w:szCs w:val="19"/>
          <w:lang w:val="en-GB"/>
        </w:rPr>
        <w:t xml:space="preserve"> in 56% yield</w:t>
      </w:r>
      <w:r w:rsidR="007E5C1E">
        <w:rPr>
          <w:rFonts w:ascii="Arno Pro" w:hAnsi="Arno Pro"/>
          <w:sz w:val="19"/>
          <w:szCs w:val="19"/>
          <w:lang w:val="en-GB"/>
        </w:rPr>
        <w:t>, similar as obtained by Irngartinger</w:t>
      </w:r>
      <w:r w:rsidR="00D20CBC">
        <w:rPr>
          <w:rFonts w:ascii="Arno Pro" w:hAnsi="Arno Pro"/>
          <w:sz w:val="19"/>
          <w:szCs w:val="19"/>
          <w:vertAlign w:val="superscript"/>
          <w:lang w:val="en-GB"/>
        </w:rPr>
        <w:t>17</w:t>
      </w:r>
      <w:r w:rsidR="007E5C1E">
        <w:rPr>
          <w:rFonts w:ascii="Arno Pro" w:hAnsi="Arno Pro"/>
          <w:sz w:val="19"/>
          <w:szCs w:val="19"/>
          <w:lang w:val="en-GB"/>
        </w:rPr>
        <w:t xml:space="preserve"> (</w:t>
      </w:r>
      <w:proofErr w:type="spellStart"/>
      <w:r w:rsidR="007E5C1E">
        <w:rPr>
          <w:rFonts w:ascii="Arno Pro" w:hAnsi="Arno Pro"/>
          <w:sz w:val="19"/>
          <w:szCs w:val="19"/>
          <w:lang w:val="en-GB"/>
        </w:rPr>
        <w:t>cf</w:t>
      </w:r>
      <w:proofErr w:type="spellEnd"/>
      <w:r w:rsidR="007E5C1E">
        <w:rPr>
          <w:rFonts w:ascii="Arno Pro" w:hAnsi="Arno Pro"/>
          <w:sz w:val="19"/>
          <w:szCs w:val="19"/>
          <w:lang w:val="en-GB"/>
        </w:rPr>
        <w:t xml:space="preserve"> Figure 1)</w:t>
      </w:r>
      <w:r w:rsidRPr="00D32DA4">
        <w:rPr>
          <w:rFonts w:ascii="Arno Pro" w:hAnsi="Arno Pro"/>
          <w:sz w:val="19"/>
          <w:szCs w:val="19"/>
          <w:lang w:val="en-GB"/>
        </w:rPr>
        <w:t xml:space="preserve">. </w:t>
      </w:r>
      <w:r w:rsidR="00BD62D3" w:rsidRPr="00D32DA4">
        <w:rPr>
          <w:rFonts w:ascii="Arno Pro" w:hAnsi="Arno Pro"/>
          <w:sz w:val="19"/>
          <w:szCs w:val="19"/>
          <w:lang w:val="en-GB"/>
        </w:rPr>
        <w:t>D</w:t>
      </w:r>
      <w:r w:rsidR="001422F0" w:rsidRPr="00D32DA4">
        <w:rPr>
          <w:rFonts w:ascii="Arno Pro" w:hAnsi="Arno Pro"/>
          <w:sz w:val="19"/>
          <w:szCs w:val="19"/>
          <w:lang w:val="en-GB"/>
        </w:rPr>
        <w:t xml:space="preserve">oubling the amount of </w:t>
      </w:r>
      <w:r w:rsidR="001422F0" w:rsidRPr="00D32DA4">
        <w:rPr>
          <w:rFonts w:ascii="Arno Pro" w:hAnsi="Arno Pro"/>
          <w:b/>
          <w:sz w:val="19"/>
          <w:szCs w:val="19"/>
          <w:lang w:val="en-GB"/>
        </w:rPr>
        <w:t>1</w:t>
      </w:r>
      <w:r w:rsidRPr="00D32DA4">
        <w:rPr>
          <w:rFonts w:ascii="Arno Pro" w:hAnsi="Arno Pro"/>
          <w:sz w:val="19"/>
          <w:szCs w:val="19"/>
          <w:lang w:val="en-GB"/>
        </w:rPr>
        <w:t xml:space="preserve"> and increasing the reaction time to 8 h led to isolation of </w:t>
      </w:r>
      <w:r w:rsidR="001422F0" w:rsidRPr="00D32DA4">
        <w:rPr>
          <w:rFonts w:ascii="Arno Pro" w:hAnsi="Arno Pro"/>
          <w:b/>
          <w:sz w:val="19"/>
          <w:szCs w:val="19"/>
          <w:lang w:val="en-GB"/>
        </w:rPr>
        <w:t>4</w:t>
      </w:r>
      <w:r w:rsidR="001422F0" w:rsidRPr="00D32DA4">
        <w:rPr>
          <w:rFonts w:ascii="Arno Pro" w:hAnsi="Arno Pro"/>
          <w:sz w:val="19"/>
          <w:szCs w:val="19"/>
          <w:lang w:val="en-GB"/>
        </w:rPr>
        <w:t xml:space="preserve"> in 44% yield (</w:t>
      </w:r>
      <w:r w:rsidR="003E7D8B" w:rsidRPr="00D32DA4">
        <w:rPr>
          <w:rFonts w:ascii="Arno Pro" w:hAnsi="Arno Pro"/>
          <w:sz w:val="19"/>
          <w:szCs w:val="19"/>
          <w:lang w:val="en-GB"/>
        </w:rPr>
        <w:t>Scheme 1</w:t>
      </w:r>
      <w:r w:rsidRPr="00D32DA4">
        <w:rPr>
          <w:rFonts w:ascii="Arno Pro" w:hAnsi="Arno Pro"/>
          <w:sz w:val="19"/>
          <w:szCs w:val="19"/>
          <w:lang w:val="en-GB"/>
        </w:rPr>
        <w:t xml:space="preserve">). </w:t>
      </w:r>
      <w:r w:rsidR="00FD7718" w:rsidRPr="00D32DA4">
        <w:rPr>
          <w:rFonts w:ascii="Arno Pro" w:hAnsi="Arno Pro"/>
          <w:sz w:val="19"/>
          <w:szCs w:val="19"/>
          <w:lang w:val="en-GB"/>
        </w:rPr>
        <w:t xml:space="preserve">While </w:t>
      </w:r>
      <w:r w:rsidR="00FD7718" w:rsidRPr="00D32DA4">
        <w:rPr>
          <w:rFonts w:ascii="Arno Pro" w:hAnsi="Arno Pro"/>
          <w:b/>
          <w:sz w:val="19"/>
          <w:szCs w:val="19"/>
          <w:lang w:val="en-GB"/>
        </w:rPr>
        <w:t xml:space="preserve">3 </w:t>
      </w:r>
      <w:r w:rsidR="00FD7718" w:rsidRPr="00D32DA4">
        <w:rPr>
          <w:rFonts w:ascii="Arno Pro" w:hAnsi="Arno Pro"/>
          <w:sz w:val="19"/>
          <w:szCs w:val="19"/>
          <w:lang w:val="en-GB"/>
        </w:rPr>
        <w:t xml:space="preserve">was obtained subsequently by the addition of methanol after concentration of the acyl chloride intermediate </w:t>
      </w:r>
      <w:r w:rsidR="00FD7718" w:rsidRPr="00D32DA4">
        <w:rPr>
          <w:rFonts w:ascii="Arno Pro" w:hAnsi="Arno Pro"/>
          <w:b/>
          <w:sz w:val="19"/>
          <w:szCs w:val="19"/>
          <w:lang w:val="en-GB"/>
        </w:rPr>
        <w:t>2</w:t>
      </w:r>
      <w:r w:rsidR="00FD7718" w:rsidRPr="00D32DA4">
        <w:rPr>
          <w:rFonts w:ascii="Arno Pro" w:hAnsi="Arno Pro"/>
          <w:sz w:val="19"/>
          <w:szCs w:val="19"/>
          <w:lang w:val="en-GB"/>
        </w:rPr>
        <w:t>, a</w:t>
      </w:r>
      <w:r w:rsidRPr="00D32DA4">
        <w:rPr>
          <w:rFonts w:ascii="Arno Pro" w:hAnsi="Arno Pro"/>
          <w:sz w:val="19"/>
          <w:szCs w:val="19"/>
          <w:lang w:val="en-GB"/>
        </w:rPr>
        <w:t xml:space="preserve">ttempting to trap the acyl chloride </w:t>
      </w:r>
      <w:r w:rsidR="00FD7718" w:rsidRPr="00D32DA4">
        <w:rPr>
          <w:rFonts w:ascii="Arno Pro" w:hAnsi="Arno Pro"/>
          <w:sz w:val="19"/>
          <w:szCs w:val="19"/>
          <w:lang w:val="en-GB"/>
        </w:rPr>
        <w:t xml:space="preserve">similarly </w:t>
      </w:r>
      <w:r w:rsidRPr="00D32DA4">
        <w:rPr>
          <w:rFonts w:ascii="Arno Pro" w:hAnsi="Arno Pro"/>
          <w:sz w:val="19"/>
          <w:szCs w:val="19"/>
          <w:lang w:val="en-GB"/>
        </w:rPr>
        <w:t>with more complex and bulkier alcohols at room temperature did not lead to isolation of the corresponding 1,2,4–</w:t>
      </w:r>
      <w:proofErr w:type="spellStart"/>
      <w:r w:rsidRPr="00D32DA4">
        <w:rPr>
          <w:rFonts w:ascii="Arno Pro" w:hAnsi="Arno Pro"/>
          <w:sz w:val="19"/>
          <w:szCs w:val="19"/>
          <w:lang w:val="en-GB"/>
        </w:rPr>
        <w:t>triester</w:t>
      </w:r>
      <w:proofErr w:type="spellEnd"/>
      <w:r w:rsidRPr="00D32DA4">
        <w:rPr>
          <w:rFonts w:ascii="Arno Pro" w:hAnsi="Arno Pro"/>
          <w:sz w:val="19"/>
          <w:szCs w:val="19"/>
          <w:lang w:val="en-GB"/>
        </w:rPr>
        <w:t xml:space="preserve"> </w:t>
      </w:r>
      <w:proofErr w:type="spellStart"/>
      <w:r w:rsidRPr="00D32DA4">
        <w:rPr>
          <w:rFonts w:ascii="Arno Pro" w:hAnsi="Arno Pro"/>
          <w:sz w:val="19"/>
          <w:szCs w:val="19"/>
          <w:lang w:val="en-GB"/>
        </w:rPr>
        <w:t>cubanes</w:t>
      </w:r>
      <w:proofErr w:type="spellEnd"/>
      <w:r w:rsidR="007E5C1E">
        <w:rPr>
          <w:rFonts w:ascii="Arno Pro" w:hAnsi="Arno Pro"/>
          <w:sz w:val="19"/>
          <w:szCs w:val="19"/>
          <w:lang w:val="en-GB"/>
        </w:rPr>
        <w:t>, illustrating the hindered nature of this acid chloride group</w:t>
      </w:r>
      <w:r w:rsidR="003E7D8B" w:rsidRPr="00D32DA4">
        <w:rPr>
          <w:rFonts w:ascii="Arno Pro" w:hAnsi="Arno Pro"/>
          <w:sz w:val="19"/>
          <w:szCs w:val="19"/>
          <w:lang w:val="en-GB"/>
        </w:rPr>
        <w:t>.</w:t>
      </w:r>
      <w:r w:rsidRPr="00D32DA4">
        <w:rPr>
          <w:rFonts w:ascii="Arno Pro" w:hAnsi="Arno Pro"/>
          <w:sz w:val="19"/>
          <w:szCs w:val="19"/>
          <w:lang w:val="en-GB"/>
        </w:rPr>
        <w:t xml:space="preserve"> </w:t>
      </w:r>
      <w:r w:rsidR="003E7D8B" w:rsidRPr="00D32DA4">
        <w:rPr>
          <w:rFonts w:ascii="Arno Pro" w:hAnsi="Arno Pro"/>
          <w:sz w:val="19"/>
          <w:szCs w:val="19"/>
          <w:lang w:val="en-GB"/>
        </w:rPr>
        <w:t>H</w:t>
      </w:r>
      <w:r w:rsidRPr="00D32DA4">
        <w:rPr>
          <w:rFonts w:ascii="Arno Pro" w:hAnsi="Arno Pro"/>
          <w:sz w:val="19"/>
          <w:szCs w:val="19"/>
          <w:lang w:val="en-GB"/>
        </w:rPr>
        <w:t xml:space="preserve">owever, refluxing </w:t>
      </w:r>
      <w:r w:rsidR="001422F0" w:rsidRPr="00D32DA4">
        <w:rPr>
          <w:rFonts w:ascii="Arno Pro" w:hAnsi="Arno Pro"/>
          <w:b/>
          <w:sz w:val="19"/>
          <w:szCs w:val="19"/>
          <w:lang w:val="en-GB"/>
        </w:rPr>
        <w:t>2</w:t>
      </w:r>
      <w:r w:rsidRPr="00D32DA4">
        <w:rPr>
          <w:rFonts w:ascii="Arno Pro" w:hAnsi="Arno Pro"/>
          <w:sz w:val="19"/>
          <w:szCs w:val="19"/>
          <w:lang w:val="en-GB"/>
        </w:rPr>
        <w:t xml:space="preserve"> in toluene in presence of one equivalent or slight excess of (–)–menthol and bile acid </w:t>
      </w:r>
      <w:r w:rsidR="00934E5D">
        <w:rPr>
          <w:rFonts w:ascii="Arno Pro" w:hAnsi="Arno Pro"/>
          <w:sz w:val="19"/>
          <w:szCs w:val="19"/>
          <w:lang w:val="en-GB"/>
        </w:rPr>
        <w:t xml:space="preserve">methyl ester </w:t>
      </w:r>
      <w:r w:rsidRPr="00D32DA4">
        <w:rPr>
          <w:rFonts w:ascii="Arno Pro" w:hAnsi="Arno Pro"/>
          <w:sz w:val="19"/>
          <w:szCs w:val="19"/>
          <w:lang w:val="en-GB"/>
        </w:rPr>
        <w:t xml:space="preserve">led to the corresponding desired product </w:t>
      </w:r>
      <w:r w:rsidR="001422F0" w:rsidRPr="00D32DA4">
        <w:rPr>
          <w:rFonts w:ascii="Arno Pro" w:hAnsi="Arno Pro"/>
          <w:b/>
          <w:sz w:val="19"/>
          <w:szCs w:val="19"/>
          <w:lang w:val="en-GB"/>
        </w:rPr>
        <w:t>5</w:t>
      </w:r>
      <w:r w:rsidRPr="00D32DA4">
        <w:rPr>
          <w:rFonts w:ascii="Arno Pro" w:hAnsi="Arno Pro"/>
          <w:sz w:val="19"/>
          <w:szCs w:val="19"/>
          <w:lang w:val="en-GB"/>
        </w:rPr>
        <w:t xml:space="preserve"> and </w:t>
      </w:r>
      <w:r w:rsidR="001422F0" w:rsidRPr="00D32DA4">
        <w:rPr>
          <w:rFonts w:ascii="Arno Pro" w:hAnsi="Arno Pro"/>
          <w:b/>
          <w:sz w:val="19"/>
          <w:szCs w:val="19"/>
          <w:lang w:val="en-GB"/>
        </w:rPr>
        <w:t>6</w:t>
      </w:r>
      <w:r w:rsidRPr="00D32DA4">
        <w:rPr>
          <w:rFonts w:ascii="Arno Pro" w:hAnsi="Arno Pro"/>
          <w:sz w:val="19"/>
          <w:szCs w:val="19"/>
          <w:lang w:val="en-GB"/>
        </w:rPr>
        <w:t xml:space="preserve"> in 30% and 37% yield respectively (Scheme </w:t>
      </w:r>
      <w:r w:rsidR="003E7D8B" w:rsidRPr="00D32DA4">
        <w:rPr>
          <w:rFonts w:ascii="Arno Pro" w:hAnsi="Arno Pro"/>
          <w:sz w:val="19"/>
          <w:szCs w:val="19"/>
          <w:lang w:val="en-GB"/>
        </w:rPr>
        <w:t>1</w:t>
      </w:r>
      <w:r w:rsidRPr="00D32DA4">
        <w:rPr>
          <w:rFonts w:ascii="Arno Pro" w:hAnsi="Arno Pro"/>
          <w:sz w:val="19"/>
          <w:szCs w:val="19"/>
          <w:lang w:val="en-GB"/>
        </w:rPr>
        <w:t xml:space="preserve">). The use of hydroxyphthalamide at room temperature enabled us to obtain the redox active ester </w:t>
      </w:r>
      <w:r w:rsidR="001422F0" w:rsidRPr="00D32DA4">
        <w:rPr>
          <w:rFonts w:ascii="Arno Pro" w:hAnsi="Arno Pro"/>
          <w:b/>
          <w:sz w:val="19"/>
          <w:szCs w:val="19"/>
          <w:lang w:val="en-GB"/>
        </w:rPr>
        <w:t>7</w:t>
      </w:r>
      <w:r w:rsidRPr="00D32DA4">
        <w:rPr>
          <w:rFonts w:ascii="Arno Pro" w:hAnsi="Arno Pro"/>
          <w:sz w:val="19"/>
          <w:szCs w:val="19"/>
          <w:lang w:val="en-GB"/>
        </w:rPr>
        <w:t xml:space="preserve"> in low yield. In most cases, excess of triethylamine (5.0 equiv.) was added in order to avoid protonation and precipitation of the nucleophiles due to the formation of hydrochloric acid during the photochemical step. Changing alcohol for cyclohexyl mercaptan afforded </w:t>
      </w:r>
      <w:r w:rsidR="001422F0" w:rsidRPr="00D32DA4">
        <w:rPr>
          <w:rFonts w:ascii="Arno Pro" w:hAnsi="Arno Pro"/>
          <w:b/>
          <w:sz w:val="19"/>
          <w:szCs w:val="19"/>
          <w:lang w:val="en-GB"/>
        </w:rPr>
        <w:t>8</w:t>
      </w:r>
      <w:r w:rsidRPr="00D32DA4">
        <w:rPr>
          <w:rFonts w:ascii="Arno Pro" w:hAnsi="Arno Pro"/>
          <w:sz w:val="19"/>
          <w:szCs w:val="19"/>
          <w:lang w:val="en-GB"/>
        </w:rPr>
        <w:t xml:space="preserve"> in 43% yield. Trapping the acyl chloride </w:t>
      </w:r>
      <w:r w:rsidR="00BD62D3" w:rsidRPr="00D32DA4">
        <w:rPr>
          <w:rFonts w:ascii="Arno Pro" w:hAnsi="Arno Pro"/>
          <w:b/>
          <w:bCs/>
          <w:sz w:val="19"/>
          <w:szCs w:val="19"/>
          <w:lang w:val="en-GB"/>
        </w:rPr>
        <w:t>2</w:t>
      </w:r>
      <w:r w:rsidRPr="00D32DA4">
        <w:rPr>
          <w:rFonts w:ascii="Arno Pro" w:hAnsi="Arno Pro"/>
          <w:sz w:val="19"/>
          <w:szCs w:val="19"/>
          <w:lang w:val="en-GB"/>
        </w:rPr>
        <w:t xml:space="preserve"> with ammonium chloride in presence of triethylamine led to the isolation of the corresponding amide </w:t>
      </w:r>
      <w:r w:rsidR="00A145D4">
        <w:rPr>
          <w:rFonts w:ascii="Arno Pro" w:hAnsi="Arno Pro"/>
          <w:b/>
          <w:sz w:val="19"/>
          <w:szCs w:val="19"/>
          <w:lang w:val="en-GB"/>
        </w:rPr>
        <w:t>9</w:t>
      </w:r>
      <w:r w:rsidRPr="00D32DA4">
        <w:rPr>
          <w:rFonts w:ascii="Arno Pro" w:hAnsi="Arno Pro"/>
          <w:sz w:val="19"/>
          <w:szCs w:val="19"/>
          <w:lang w:val="en-GB"/>
        </w:rPr>
        <w:t xml:space="preserve"> in </w:t>
      </w:r>
      <w:r w:rsidR="00FD4F58">
        <w:rPr>
          <w:rFonts w:ascii="Arno Pro" w:hAnsi="Arno Pro"/>
          <w:sz w:val="19"/>
          <w:szCs w:val="19"/>
          <w:lang w:val="en-GB"/>
        </w:rPr>
        <w:t>22</w:t>
      </w:r>
      <w:r w:rsidRPr="00D32DA4">
        <w:rPr>
          <w:rFonts w:ascii="Arno Pro" w:hAnsi="Arno Pro"/>
          <w:sz w:val="19"/>
          <w:szCs w:val="19"/>
          <w:lang w:val="en-GB"/>
        </w:rPr>
        <w:t xml:space="preserve">% yield. </w:t>
      </w:r>
      <w:r w:rsidRPr="00756EBC">
        <w:rPr>
          <w:rFonts w:ascii="Arno Pro" w:hAnsi="Arno Pro"/>
          <w:sz w:val="19"/>
          <w:szCs w:val="19"/>
          <w:lang w:val="en-GB"/>
        </w:rPr>
        <w:t>Primary amines such as</w:t>
      </w:r>
      <w:r w:rsidR="007E5C1E" w:rsidRPr="00756EBC">
        <w:rPr>
          <w:rFonts w:ascii="Arno Pro" w:hAnsi="Arno Pro"/>
          <w:sz w:val="19"/>
          <w:szCs w:val="19"/>
          <w:lang w:val="en-GB"/>
        </w:rPr>
        <w:t xml:space="preserve"> </w:t>
      </w:r>
      <w:r w:rsidR="007E5C1E" w:rsidRPr="00756EBC">
        <w:rPr>
          <w:rFonts w:ascii="Arno Pro" w:hAnsi="Arno Pro"/>
          <w:i/>
          <w:iCs/>
          <w:sz w:val="19"/>
          <w:szCs w:val="19"/>
          <w:lang w:val="en-GB"/>
        </w:rPr>
        <w:t>p</w:t>
      </w:r>
      <w:r w:rsidR="007E5C1E" w:rsidRPr="00756EBC">
        <w:rPr>
          <w:rFonts w:ascii="Arno Pro" w:hAnsi="Arno Pro"/>
          <w:sz w:val="19"/>
          <w:szCs w:val="19"/>
          <w:lang w:val="en-GB"/>
        </w:rPr>
        <w:t>-</w:t>
      </w:r>
      <w:proofErr w:type="spellStart"/>
      <w:r w:rsidR="007E5C1E" w:rsidRPr="00756EBC">
        <w:rPr>
          <w:rFonts w:ascii="Arno Pro" w:hAnsi="Arno Pro"/>
          <w:sz w:val="19"/>
          <w:szCs w:val="19"/>
          <w:lang w:val="en-GB"/>
        </w:rPr>
        <w:t>fluorobenzylamine</w:t>
      </w:r>
      <w:proofErr w:type="spellEnd"/>
      <w:r w:rsidR="007E5C1E" w:rsidRPr="00756EBC">
        <w:rPr>
          <w:rFonts w:ascii="Arno Pro" w:hAnsi="Arno Pro"/>
          <w:sz w:val="19"/>
          <w:szCs w:val="19"/>
          <w:lang w:val="en-GB"/>
        </w:rPr>
        <w:t xml:space="preserve"> and the bulky </w:t>
      </w:r>
      <w:r w:rsidR="007E5C1E" w:rsidRPr="00756EBC">
        <w:rPr>
          <w:rFonts w:ascii="Arno Pro" w:hAnsi="Arno Pro"/>
          <w:i/>
          <w:iCs/>
          <w:sz w:val="19"/>
          <w:szCs w:val="19"/>
          <w:lang w:val="en-GB"/>
        </w:rPr>
        <w:t>t</w:t>
      </w:r>
      <w:r w:rsidR="007E5C1E" w:rsidRPr="00756EBC">
        <w:rPr>
          <w:rFonts w:ascii="Arno Pro" w:hAnsi="Arno Pro"/>
          <w:sz w:val="19"/>
          <w:szCs w:val="19"/>
          <w:lang w:val="en-GB"/>
        </w:rPr>
        <w:t>-butyl amine gave the amides in 43-47% yield. Amide bond formation using the</w:t>
      </w:r>
      <w:r w:rsidRPr="00756EBC">
        <w:rPr>
          <w:rFonts w:ascii="Arno Pro" w:hAnsi="Arno Pro"/>
          <w:sz w:val="19"/>
          <w:szCs w:val="19"/>
          <w:lang w:val="en-GB"/>
        </w:rPr>
        <w:t xml:space="preserve"> </w:t>
      </w:r>
      <w:r w:rsidRPr="00756EBC">
        <w:rPr>
          <w:rFonts w:ascii="Arno Pro" w:hAnsi="Arno Pro"/>
          <w:i/>
          <w:sz w:val="19"/>
          <w:szCs w:val="19"/>
          <w:lang w:val="en-GB"/>
        </w:rPr>
        <w:t>para</w:t>
      </w:r>
      <w:r w:rsidR="001422F0" w:rsidRPr="00756EBC">
        <w:rPr>
          <w:rFonts w:ascii="Arno Pro" w:hAnsi="Arno Pro"/>
          <w:sz w:val="19"/>
          <w:szCs w:val="19"/>
          <w:lang w:val="en-GB"/>
        </w:rPr>
        <w:t xml:space="preserve">–anisidine </w:t>
      </w:r>
      <w:proofErr w:type="spellStart"/>
      <w:r w:rsidR="001422F0" w:rsidRPr="00756EBC">
        <w:rPr>
          <w:rFonts w:ascii="Arno Pro" w:hAnsi="Arno Pro"/>
          <w:sz w:val="19"/>
          <w:szCs w:val="19"/>
          <w:lang w:val="en-GB"/>
        </w:rPr>
        <w:t>cubane</w:t>
      </w:r>
      <w:proofErr w:type="spellEnd"/>
      <w:r w:rsidR="001422F0" w:rsidRPr="00756EBC">
        <w:rPr>
          <w:rFonts w:ascii="Arno Pro" w:hAnsi="Arno Pro"/>
          <w:sz w:val="19"/>
          <w:szCs w:val="19"/>
          <w:lang w:val="en-GB"/>
        </w:rPr>
        <w:t xml:space="preserve"> isostere</w:t>
      </w:r>
      <w:r w:rsidR="009062A9">
        <w:rPr>
          <w:rFonts w:ascii="Arno Pro" w:hAnsi="Arno Pro"/>
          <w:sz w:val="19"/>
          <w:szCs w:val="19"/>
          <w:vertAlign w:val="superscript"/>
          <w:lang w:val="en-GB"/>
        </w:rPr>
        <w:t>19d</w:t>
      </w:r>
      <w:r w:rsidRPr="00756EBC">
        <w:rPr>
          <w:rFonts w:ascii="Arno Pro" w:hAnsi="Arno Pro"/>
          <w:sz w:val="19"/>
          <w:szCs w:val="19"/>
          <w:lang w:val="en-GB"/>
        </w:rPr>
        <w:t xml:space="preserve"> </w:t>
      </w:r>
      <w:r w:rsidR="007E5C1E" w:rsidRPr="00756EBC">
        <w:rPr>
          <w:rFonts w:ascii="Arno Pro" w:hAnsi="Arno Pro"/>
          <w:sz w:val="19"/>
          <w:szCs w:val="19"/>
          <w:lang w:val="en-GB"/>
        </w:rPr>
        <w:t xml:space="preserve">led to </w:t>
      </w:r>
      <w:r w:rsidR="007E5C1E" w:rsidRPr="00756EBC">
        <w:rPr>
          <w:rFonts w:ascii="Arno Pro" w:hAnsi="Arno Pro"/>
          <w:b/>
          <w:bCs/>
          <w:sz w:val="19"/>
          <w:szCs w:val="19"/>
          <w:lang w:val="en-GB"/>
        </w:rPr>
        <w:t xml:space="preserve">12 </w:t>
      </w:r>
      <w:r w:rsidR="007E5C1E" w:rsidRPr="003725B2">
        <w:rPr>
          <w:rFonts w:ascii="Arno Pro" w:hAnsi="Arno Pro"/>
          <w:sz w:val="19"/>
          <w:szCs w:val="19"/>
          <w:lang w:val="en-GB"/>
        </w:rPr>
        <w:t>in reasonable yield</w:t>
      </w:r>
      <w:r w:rsidR="007E5C1E" w:rsidRPr="00756EBC">
        <w:rPr>
          <w:rFonts w:ascii="Arno Pro" w:hAnsi="Arno Pro"/>
          <w:sz w:val="19"/>
          <w:szCs w:val="19"/>
          <w:lang w:val="en-GB"/>
        </w:rPr>
        <w:t xml:space="preserve">. </w:t>
      </w:r>
      <w:r w:rsidR="00EC36D5">
        <w:rPr>
          <w:rFonts w:ascii="Arno Pro" w:hAnsi="Arno Pro"/>
          <w:sz w:val="19"/>
          <w:szCs w:val="19"/>
          <w:lang w:val="en-GB"/>
        </w:rPr>
        <w:t>Given</w:t>
      </w:r>
      <w:r w:rsidR="00EC36D5" w:rsidRPr="00756EBC">
        <w:rPr>
          <w:rFonts w:ascii="Arno Pro" w:hAnsi="Arno Pro"/>
          <w:sz w:val="19"/>
          <w:szCs w:val="19"/>
          <w:lang w:val="en-GB"/>
        </w:rPr>
        <w:t xml:space="preserve"> </w:t>
      </w:r>
      <w:proofErr w:type="spellStart"/>
      <w:r w:rsidR="00EC36D5">
        <w:rPr>
          <w:rFonts w:ascii="Arno Pro" w:hAnsi="Arno Pro"/>
          <w:sz w:val="19"/>
          <w:szCs w:val="19"/>
          <w:lang w:val="en-GB"/>
        </w:rPr>
        <w:t>amino</w:t>
      </w:r>
      <w:r w:rsidR="00EC36D5" w:rsidRPr="00756EBC">
        <w:rPr>
          <w:rFonts w:ascii="Arno Pro" w:hAnsi="Arno Pro"/>
          <w:sz w:val="19"/>
          <w:szCs w:val="19"/>
          <w:lang w:val="en-GB"/>
        </w:rPr>
        <w:t>cubanes</w:t>
      </w:r>
      <w:proofErr w:type="spellEnd"/>
      <w:r w:rsidR="00EC36D5" w:rsidRPr="00756EBC">
        <w:rPr>
          <w:rFonts w:ascii="Arno Pro" w:hAnsi="Arno Pro"/>
          <w:sz w:val="19"/>
          <w:szCs w:val="19"/>
          <w:lang w:val="en-GB"/>
        </w:rPr>
        <w:t xml:space="preserve"> </w:t>
      </w:r>
      <w:r w:rsidR="007E5C1E" w:rsidRPr="00756EBC">
        <w:rPr>
          <w:rFonts w:ascii="Arno Pro" w:hAnsi="Arno Pro"/>
          <w:sz w:val="19"/>
          <w:szCs w:val="19"/>
          <w:lang w:val="en-GB"/>
        </w:rPr>
        <w:t>are unstable,</w:t>
      </w:r>
      <w:r w:rsidR="00423C72" w:rsidRPr="00EC36D5">
        <w:rPr>
          <w:rFonts w:ascii="Arno Pro" w:hAnsi="Arno Pro"/>
          <w:sz w:val="19"/>
          <w:szCs w:val="19"/>
          <w:vertAlign w:val="superscript"/>
          <w:lang w:val="en-GB"/>
        </w:rPr>
        <w:t>4</w:t>
      </w:r>
      <w:r w:rsidR="00423C72">
        <w:rPr>
          <w:rFonts w:ascii="Arno Pro" w:hAnsi="Arno Pro"/>
          <w:sz w:val="19"/>
          <w:szCs w:val="19"/>
          <w:lang w:val="en-GB"/>
        </w:rPr>
        <w:t xml:space="preserve"> </w:t>
      </w:r>
      <w:r w:rsidR="007E5C1E" w:rsidRPr="00756EBC">
        <w:rPr>
          <w:rFonts w:ascii="Arno Pro" w:hAnsi="Arno Pro"/>
          <w:sz w:val="19"/>
          <w:szCs w:val="19"/>
          <w:lang w:val="en-GB"/>
        </w:rPr>
        <w:t xml:space="preserve">it was added as the hydrochloric acid salt. Electron </w:t>
      </w:r>
      <w:r w:rsidRPr="00756EBC">
        <w:rPr>
          <w:rFonts w:ascii="Arno Pro" w:hAnsi="Arno Pro"/>
          <w:sz w:val="19"/>
          <w:szCs w:val="19"/>
          <w:lang w:val="en-GB"/>
        </w:rPr>
        <w:t>poor and rich anilines and ampyrone</w:t>
      </w:r>
      <w:r w:rsidR="008B138D" w:rsidRPr="00756EBC">
        <w:rPr>
          <w:rFonts w:ascii="Arno Pro" w:hAnsi="Arno Pro"/>
          <w:sz w:val="19"/>
          <w:szCs w:val="19"/>
          <w:lang w:val="en-GB"/>
        </w:rPr>
        <w:t xml:space="preserve"> g</w:t>
      </w:r>
      <w:r w:rsidRPr="00756EBC">
        <w:rPr>
          <w:rFonts w:ascii="Arno Pro" w:hAnsi="Arno Pro"/>
          <w:sz w:val="19"/>
          <w:szCs w:val="19"/>
          <w:lang w:val="en-GB"/>
        </w:rPr>
        <w:t>ave the corresponding amides</w:t>
      </w:r>
      <w:r w:rsidR="003E7D8B" w:rsidRPr="00756EBC">
        <w:rPr>
          <w:rFonts w:ascii="Arno Pro" w:hAnsi="Arno Pro"/>
          <w:sz w:val="19"/>
          <w:szCs w:val="19"/>
          <w:lang w:val="en-GB"/>
        </w:rPr>
        <w:t xml:space="preserve"> </w:t>
      </w:r>
      <w:r w:rsidR="00756EBC" w:rsidRPr="00756EBC">
        <w:rPr>
          <w:rFonts w:ascii="Arno Pro" w:hAnsi="Arno Pro"/>
          <w:b/>
          <w:sz w:val="19"/>
          <w:szCs w:val="19"/>
          <w:lang w:val="en-GB"/>
        </w:rPr>
        <w:t>13</w:t>
      </w:r>
      <w:r w:rsidR="00756EBC" w:rsidRPr="00756EBC">
        <w:rPr>
          <w:rFonts w:ascii="Arno Pro" w:hAnsi="Arno Pro"/>
          <w:sz w:val="19"/>
          <w:szCs w:val="19"/>
          <w:lang w:val="en-GB"/>
        </w:rPr>
        <w:t>–</w:t>
      </w:r>
      <w:r w:rsidR="003E7D8B" w:rsidRPr="00756EBC">
        <w:rPr>
          <w:rFonts w:ascii="Arno Pro" w:hAnsi="Arno Pro"/>
          <w:b/>
          <w:sz w:val="19"/>
          <w:szCs w:val="19"/>
          <w:lang w:val="en-GB"/>
        </w:rPr>
        <w:t>15</w:t>
      </w:r>
      <w:r w:rsidRPr="00756EBC">
        <w:rPr>
          <w:rFonts w:ascii="Arno Pro" w:hAnsi="Arno Pro"/>
          <w:sz w:val="19"/>
          <w:szCs w:val="19"/>
          <w:lang w:val="en-GB"/>
        </w:rPr>
        <w:t xml:space="preserve"> in modest and good yields respectively. Finally, secondary amides </w:t>
      </w:r>
      <w:r w:rsidR="001422F0" w:rsidRPr="00756EBC">
        <w:rPr>
          <w:rFonts w:ascii="Arno Pro" w:hAnsi="Arno Pro"/>
          <w:b/>
          <w:sz w:val="19"/>
          <w:szCs w:val="19"/>
          <w:lang w:val="en-GB"/>
        </w:rPr>
        <w:t>16</w:t>
      </w:r>
      <w:r w:rsidRPr="00756EBC">
        <w:rPr>
          <w:rFonts w:ascii="Arno Pro" w:hAnsi="Arno Pro"/>
          <w:sz w:val="19"/>
          <w:szCs w:val="19"/>
          <w:lang w:val="en-GB"/>
        </w:rPr>
        <w:t xml:space="preserve"> and </w:t>
      </w:r>
      <w:r w:rsidR="006F6E20" w:rsidRPr="00756EBC">
        <w:rPr>
          <w:rFonts w:ascii="Arno Pro" w:hAnsi="Arno Pro"/>
          <w:b/>
          <w:sz w:val="19"/>
          <w:szCs w:val="19"/>
          <w:lang w:val="en-GB"/>
        </w:rPr>
        <w:t>17</w:t>
      </w:r>
      <w:r w:rsidRPr="00756EBC">
        <w:rPr>
          <w:rFonts w:ascii="Arno Pro" w:hAnsi="Arno Pro"/>
          <w:sz w:val="19"/>
          <w:szCs w:val="19"/>
          <w:lang w:val="en-GB"/>
        </w:rPr>
        <w:t xml:space="preserve"> </w:t>
      </w:r>
      <w:r w:rsidR="00D36215" w:rsidRPr="00756EBC">
        <w:rPr>
          <w:rFonts w:ascii="Arno Pro" w:hAnsi="Arno Pro"/>
          <w:sz w:val="19"/>
          <w:szCs w:val="19"/>
          <w:lang w:val="en-GB"/>
        </w:rPr>
        <w:t>obtained with</w:t>
      </w:r>
      <w:r w:rsidRPr="00756EBC">
        <w:rPr>
          <w:rFonts w:ascii="Arno Pro" w:hAnsi="Arno Pro"/>
          <w:sz w:val="19"/>
          <w:szCs w:val="19"/>
          <w:lang w:val="en-GB"/>
        </w:rPr>
        <w:t xml:space="preserve"> morpholine and piperidine</w:t>
      </w:r>
      <w:r w:rsidR="00D36215" w:rsidRPr="00756EBC">
        <w:rPr>
          <w:rFonts w:ascii="Arno Pro" w:hAnsi="Arno Pro"/>
          <w:sz w:val="19"/>
          <w:szCs w:val="19"/>
          <w:lang w:val="en-GB"/>
        </w:rPr>
        <w:t xml:space="preserve">, which are abundant drug substructures, </w:t>
      </w:r>
      <w:r w:rsidRPr="00756EBC">
        <w:rPr>
          <w:rFonts w:ascii="Arno Pro" w:hAnsi="Arno Pro"/>
          <w:sz w:val="19"/>
          <w:szCs w:val="19"/>
          <w:lang w:val="en-GB"/>
        </w:rPr>
        <w:t>were synthes</w:t>
      </w:r>
      <w:r w:rsidR="00934E5D" w:rsidRPr="00756EBC">
        <w:rPr>
          <w:rFonts w:ascii="Arno Pro" w:hAnsi="Arno Pro"/>
          <w:sz w:val="19"/>
          <w:szCs w:val="19"/>
          <w:lang w:val="en-GB"/>
        </w:rPr>
        <w:t>ize</w:t>
      </w:r>
      <w:r w:rsidRPr="00756EBC">
        <w:rPr>
          <w:rFonts w:ascii="Arno Pro" w:hAnsi="Arno Pro"/>
          <w:sz w:val="19"/>
          <w:szCs w:val="19"/>
          <w:lang w:val="en-GB"/>
        </w:rPr>
        <w:t>d</w:t>
      </w:r>
      <w:r w:rsidRPr="00D32DA4">
        <w:rPr>
          <w:rFonts w:ascii="Arno Pro" w:hAnsi="Arno Pro"/>
          <w:sz w:val="19"/>
          <w:szCs w:val="19"/>
          <w:lang w:val="en-GB"/>
        </w:rPr>
        <w:t>. Unfortunately, attempt</w:t>
      </w:r>
      <w:r w:rsidR="00EC36D5">
        <w:rPr>
          <w:rFonts w:ascii="Arno Pro" w:hAnsi="Arno Pro"/>
          <w:sz w:val="19"/>
          <w:szCs w:val="19"/>
          <w:lang w:val="en-GB"/>
        </w:rPr>
        <w:t>s</w:t>
      </w:r>
      <w:r w:rsidRPr="00D32DA4">
        <w:rPr>
          <w:rFonts w:ascii="Arno Pro" w:hAnsi="Arno Pro"/>
          <w:sz w:val="19"/>
          <w:szCs w:val="19"/>
          <w:lang w:val="en-GB"/>
        </w:rPr>
        <w:t xml:space="preserve"> to form</w:t>
      </w:r>
      <w:r w:rsidR="00FA076F">
        <w:rPr>
          <w:rFonts w:ascii="Arno Pro" w:hAnsi="Arno Pro"/>
          <w:sz w:val="19"/>
          <w:szCs w:val="19"/>
          <w:lang w:val="en-GB"/>
        </w:rPr>
        <w:t xml:space="preserve"> </w:t>
      </w:r>
      <w:r w:rsidR="00EC36D5">
        <w:rPr>
          <w:rFonts w:ascii="Arno Pro" w:hAnsi="Arno Pro"/>
          <w:sz w:val="19"/>
          <w:szCs w:val="19"/>
          <w:lang w:val="en-GB"/>
        </w:rPr>
        <w:t xml:space="preserve">a </w:t>
      </w:r>
      <w:r w:rsidRPr="00D32DA4">
        <w:rPr>
          <w:rFonts w:ascii="Arno Pro" w:hAnsi="Arno Pro"/>
          <w:sz w:val="19"/>
          <w:szCs w:val="19"/>
          <w:lang w:val="en-GB"/>
        </w:rPr>
        <w:t xml:space="preserve">carbonyl–carbon bond </w:t>
      </w:r>
      <w:r w:rsidR="00EC36D5">
        <w:rPr>
          <w:rFonts w:ascii="Arno Pro" w:hAnsi="Arno Pro"/>
          <w:sz w:val="19"/>
          <w:szCs w:val="19"/>
          <w:lang w:val="en-GB"/>
        </w:rPr>
        <w:t>through</w:t>
      </w:r>
      <w:r w:rsidR="00EC36D5" w:rsidRPr="00D32DA4">
        <w:rPr>
          <w:rFonts w:ascii="Arno Pro" w:hAnsi="Arno Pro"/>
          <w:sz w:val="19"/>
          <w:szCs w:val="19"/>
          <w:lang w:val="en-GB"/>
        </w:rPr>
        <w:t xml:space="preserve"> </w:t>
      </w:r>
      <w:r w:rsidRPr="00D32DA4">
        <w:rPr>
          <w:rFonts w:ascii="Arno Pro" w:hAnsi="Arno Pro"/>
          <w:sz w:val="19"/>
          <w:szCs w:val="19"/>
          <w:lang w:val="en-GB"/>
        </w:rPr>
        <w:t xml:space="preserve">Friedel–Craft acylation in presence of </w:t>
      </w:r>
      <w:r w:rsidRPr="00D32DA4">
        <w:rPr>
          <w:rFonts w:ascii="Arno Pro" w:hAnsi="Arno Pro"/>
          <w:i/>
          <w:sz w:val="19"/>
          <w:szCs w:val="19"/>
          <w:lang w:val="en-GB"/>
        </w:rPr>
        <w:t>N–</w:t>
      </w:r>
      <w:r w:rsidRPr="00D32DA4">
        <w:rPr>
          <w:rFonts w:ascii="Arno Pro" w:hAnsi="Arno Pro"/>
          <w:sz w:val="19"/>
          <w:szCs w:val="19"/>
          <w:lang w:val="en-GB"/>
        </w:rPr>
        <w:t xml:space="preserve">methyl–indole did not </w:t>
      </w:r>
      <w:r w:rsidR="00187EB3" w:rsidRPr="00D32DA4">
        <w:rPr>
          <w:rFonts w:ascii="Arno Pro" w:hAnsi="Arno Pro"/>
          <w:sz w:val="19"/>
          <w:szCs w:val="19"/>
          <w:lang w:val="en-GB"/>
        </w:rPr>
        <w:t xml:space="preserve">lead to the corresponding ketone </w:t>
      </w:r>
      <w:r w:rsidR="00187EB3" w:rsidRPr="00D32DA4">
        <w:rPr>
          <w:rFonts w:ascii="Arno Pro" w:hAnsi="Arno Pro"/>
          <w:b/>
          <w:sz w:val="19"/>
          <w:szCs w:val="19"/>
          <w:lang w:val="en-GB"/>
        </w:rPr>
        <w:t>19</w:t>
      </w:r>
      <w:r w:rsidR="00187EB3" w:rsidRPr="00D32DA4">
        <w:rPr>
          <w:rFonts w:ascii="Arno Pro" w:hAnsi="Arno Pro"/>
          <w:sz w:val="19"/>
          <w:szCs w:val="19"/>
          <w:lang w:val="en-GB"/>
        </w:rPr>
        <w:t>, probably due to the unlikely formation or stabil</w:t>
      </w:r>
      <w:r w:rsidR="00187EB3">
        <w:rPr>
          <w:rFonts w:ascii="Arno Pro" w:hAnsi="Arno Pro"/>
          <w:sz w:val="19"/>
          <w:szCs w:val="19"/>
          <w:lang w:val="en-GB"/>
        </w:rPr>
        <w:t>iza</w:t>
      </w:r>
      <w:r w:rsidR="00187EB3" w:rsidRPr="00D32DA4">
        <w:rPr>
          <w:rFonts w:ascii="Arno Pro" w:hAnsi="Arno Pro"/>
          <w:sz w:val="19"/>
          <w:szCs w:val="19"/>
          <w:lang w:val="en-GB"/>
        </w:rPr>
        <w:t>tion of the corresponding cubyl acylium ion.</w:t>
      </w:r>
    </w:p>
    <w:p w14:paraId="06A672FD" w14:textId="592F0BAE" w:rsidR="00D36215" w:rsidRPr="00122F4D" w:rsidRDefault="00187EB3" w:rsidP="003D505A">
      <w:pPr>
        <w:spacing w:after="0"/>
        <w:rPr>
          <w:rFonts w:ascii="Arno Pro" w:hAnsi="Arno Pro"/>
          <w:sz w:val="19"/>
          <w:szCs w:val="19"/>
        </w:rPr>
      </w:pPr>
      <w:r w:rsidRPr="00D32DA4">
        <w:rPr>
          <w:sz w:val="19"/>
          <w:szCs w:val="19"/>
          <w:lang w:val="en-GB"/>
        </w:rPr>
        <w:t xml:space="preserve">With these 1,2,4–trisubstituted cubane derivatives in hand, further transformations were explored. Starting from the </w:t>
      </w:r>
      <w:r w:rsidRPr="00D32DA4">
        <w:rPr>
          <w:i/>
          <w:sz w:val="19"/>
          <w:szCs w:val="19"/>
          <w:lang w:val="en-GB"/>
        </w:rPr>
        <w:t>ortho</w:t>
      </w:r>
      <w:r w:rsidRPr="00D32DA4">
        <w:rPr>
          <w:sz w:val="19"/>
          <w:szCs w:val="19"/>
          <w:lang w:val="en-GB"/>
        </w:rPr>
        <w:t xml:space="preserve">–carboxylic acid </w:t>
      </w:r>
      <w:r w:rsidRPr="00D32DA4">
        <w:rPr>
          <w:b/>
          <w:sz w:val="19"/>
          <w:szCs w:val="19"/>
          <w:lang w:val="en-GB"/>
        </w:rPr>
        <w:t>4</w:t>
      </w:r>
      <w:r w:rsidRPr="00D32DA4">
        <w:rPr>
          <w:bCs/>
          <w:sz w:val="19"/>
          <w:szCs w:val="19"/>
          <w:lang w:val="en-GB"/>
        </w:rPr>
        <w:t>,</w:t>
      </w:r>
      <w:r w:rsidRPr="00D32DA4">
        <w:rPr>
          <w:sz w:val="19"/>
          <w:szCs w:val="19"/>
          <w:lang w:val="en-GB"/>
        </w:rPr>
        <w:t xml:space="preserve"> the redox–active ester </w:t>
      </w:r>
      <w:r w:rsidRPr="00D32DA4">
        <w:rPr>
          <w:b/>
          <w:sz w:val="19"/>
          <w:szCs w:val="19"/>
          <w:lang w:val="en-GB"/>
        </w:rPr>
        <w:t>7</w:t>
      </w:r>
      <w:r w:rsidRPr="00D32DA4">
        <w:rPr>
          <w:sz w:val="19"/>
          <w:szCs w:val="19"/>
          <w:lang w:val="en-GB"/>
        </w:rPr>
        <w:t xml:space="preserve"> was obtained in </w:t>
      </w:r>
      <w:r>
        <w:rPr>
          <w:sz w:val="19"/>
          <w:szCs w:val="19"/>
          <w:lang w:val="en-GB"/>
        </w:rPr>
        <w:t>92</w:t>
      </w:r>
      <w:r w:rsidRPr="00D32DA4">
        <w:rPr>
          <w:sz w:val="19"/>
          <w:szCs w:val="19"/>
          <w:lang w:val="en-GB"/>
        </w:rPr>
        <w:t>% yield (Scheme 2). This can now be used for a range of decarboxylative coupling methodologies</w:t>
      </w:r>
      <w:r w:rsidRPr="00D32DA4">
        <w:rPr>
          <w:sz w:val="19"/>
          <w:szCs w:val="19"/>
          <w:vertAlign w:val="superscript"/>
          <w:lang w:val="en-GB"/>
        </w:rPr>
        <w:t>2</w:t>
      </w:r>
      <w:r>
        <w:rPr>
          <w:sz w:val="19"/>
          <w:szCs w:val="19"/>
          <w:vertAlign w:val="superscript"/>
          <w:lang w:val="en-GB"/>
        </w:rPr>
        <w:t>6</w:t>
      </w:r>
      <w:r w:rsidRPr="00D32DA4">
        <w:rPr>
          <w:sz w:val="19"/>
          <w:szCs w:val="19"/>
          <w:lang w:val="en-GB"/>
        </w:rPr>
        <w:t xml:space="preserve"> </w:t>
      </w:r>
      <w:r w:rsidRPr="00D32DA4">
        <w:rPr>
          <w:sz w:val="19"/>
          <w:szCs w:val="19"/>
        </w:rPr>
        <w:t xml:space="preserve">to establish </w:t>
      </w:r>
      <w:proofErr w:type="spellStart"/>
      <w:r w:rsidRPr="00D32DA4">
        <w:rPr>
          <w:sz w:val="19"/>
          <w:szCs w:val="19"/>
        </w:rPr>
        <w:t>C</w:t>
      </w:r>
      <w:r w:rsidRPr="00D32DA4">
        <w:rPr>
          <w:sz w:val="19"/>
          <w:szCs w:val="19"/>
          <w:vertAlign w:val="subscript"/>
        </w:rPr>
        <w:t>cub</w:t>
      </w:r>
      <w:proofErr w:type="spellEnd"/>
      <w:r w:rsidRPr="00D32DA4">
        <w:rPr>
          <w:sz w:val="19"/>
          <w:szCs w:val="19"/>
        </w:rPr>
        <w:t>–C</w:t>
      </w:r>
      <w:r w:rsidRPr="00D32DA4">
        <w:rPr>
          <w:sz w:val="19"/>
          <w:szCs w:val="19"/>
          <w:vertAlign w:val="subscript"/>
        </w:rPr>
        <w:t>sp</w:t>
      </w:r>
      <w:r w:rsidRPr="00D32DA4">
        <w:rPr>
          <w:sz w:val="19"/>
          <w:szCs w:val="19"/>
          <w:vertAlign w:val="superscript"/>
        </w:rPr>
        <w:t>3</w:t>
      </w:r>
      <w:r w:rsidRPr="00D32DA4">
        <w:rPr>
          <w:sz w:val="19"/>
          <w:szCs w:val="19"/>
          <w:vertAlign w:val="subscript"/>
        </w:rPr>
        <w:t>/sp</w:t>
      </w:r>
      <w:r w:rsidRPr="00D32DA4">
        <w:rPr>
          <w:sz w:val="19"/>
          <w:szCs w:val="19"/>
          <w:vertAlign w:val="superscript"/>
        </w:rPr>
        <w:t>2</w:t>
      </w:r>
      <w:r w:rsidRPr="00D32DA4">
        <w:rPr>
          <w:sz w:val="19"/>
          <w:szCs w:val="19"/>
          <w:vertAlign w:val="subscript"/>
        </w:rPr>
        <w:t xml:space="preserve"> </w:t>
      </w:r>
      <w:r w:rsidRPr="00D32DA4">
        <w:rPr>
          <w:i/>
          <w:sz w:val="19"/>
          <w:szCs w:val="19"/>
        </w:rPr>
        <w:t>ortho</w:t>
      </w:r>
      <w:r w:rsidRPr="00D32DA4">
        <w:rPr>
          <w:sz w:val="19"/>
          <w:szCs w:val="19"/>
        </w:rPr>
        <w:t>–</w:t>
      </w:r>
      <w:proofErr w:type="spellStart"/>
      <w:r w:rsidRPr="00D32DA4">
        <w:rPr>
          <w:sz w:val="19"/>
          <w:szCs w:val="19"/>
        </w:rPr>
        <w:t>cubane</w:t>
      </w:r>
      <w:proofErr w:type="spellEnd"/>
      <w:r w:rsidRPr="00D32DA4">
        <w:rPr>
          <w:sz w:val="19"/>
          <w:szCs w:val="19"/>
        </w:rPr>
        <w:t xml:space="preserve"> functionalization without the need to introduce a directing amide groups as</w:t>
      </w:r>
      <w:r w:rsidRPr="00187EB3">
        <w:rPr>
          <w:sz w:val="19"/>
          <w:szCs w:val="19"/>
        </w:rPr>
        <w:t xml:space="preserve"> </w:t>
      </w:r>
      <w:r w:rsidRPr="00D32DA4">
        <w:rPr>
          <w:sz w:val="19"/>
          <w:szCs w:val="19"/>
        </w:rPr>
        <w:t>previously reported.</w:t>
      </w:r>
      <w:r w:rsidRPr="00D32DA4">
        <w:rPr>
          <w:sz w:val="19"/>
          <w:szCs w:val="19"/>
          <w:vertAlign w:val="superscript"/>
        </w:rPr>
        <w:t>10c</w:t>
      </w:r>
      <w:r w:rsidRPr="00D32DA4">
        <w:rPr>
          <w:sz w:val="19"/>
          <w:szCs w:val="19"/>
        </w:rPr>
        <w:t xml:space="preserve"> </w:t>
      </w:r>
    </w:p>
    <w:p w14:paraId="36CA3861" w14:textId="24F24FCA" w:rsidR="00EC36D5" w:rsidRDefault="00EC36D5" w:rsidP="00EC36D5">
      <w:pPr>
        <w:pStyle w:val="VAFigureCaption"/>
        <w:rPr>
          <w:sz w:val="19"/>
          <w:szCs w:val="19"/>
        </w:rPr>
      </w:pPr>
      <w:r w:rsidRPr="00F26721">
        <w:rPr>
          <w:b/>
          <w:sz w:val="19"/>
          <w:szCs w:val="19"/>
        </w:rPr>
        <w:t xml:space="preserve">Scheme 1. </w:t>
      </w:r>
      <w:r w:rsidRPr="00F26721">
        <w:rPr>
          <w:i/>
          <w:sz w:val="19"/>
          <w:szCs w:val="19"/>
        </w:rPr>
        <w:t>In situ</w:t>
      </w:r>
      <w:r w:rsidRPr="00F26721">
        <w:rPr>
          <w:sz w:val="19"/>
          <w:szCs w:val="19"/>
        </w:rPr>
        <w:t xml:space="preserve"> derivat</w:t>
      </w:r>
      <w:r>
        <w:rPr>
          <w:sz w:val="19"/>
          <w:szCs w:val="19"/>
        </w:rPr>
        <w:t>iza</w:t>
      </w:r>
      <w:r w:rsidRPr="00F26721">
        <w:rPr>
          <w:sz w:val="19"/>
          <w:szCs w:val="19"/>
        </w:rPr>
        <w:t xml:space="preserve">tion of acyl chloride intermediate </w:t>
      </w:r>
      <w:r w:rsidRPr="00F26721">
        <w:rPr>
          <w:b/>
          <w:sz w:val="19"/>
          <w:szCs w:val="19"/>
        </w:rPr>
        <w:t>2</w:t>
      </w:r>
      <w:r w:rsidRPr="00F26721">
        <w:rPr>
          <w:sz w:val="19"/>
          <w:szCs w:val="19"/>
        </w:rPr>
        <w:t xml:space="preserve">. Isolated yield based on 0.6 mmol of </w:t>
      </w:r>
      <w:r w:rsidRPr="00F26721">
        <w:rPr>
          <w:b/>
          <w:sz w:val="19"/>
          <w:szCs w:val="19"/>
        </w:rPr>
        <w:t>1</w:t>
      </w:r>
      <w:r w:rsidR="003D505A">
        <w:rPr>
          <w:sz w:val="19"/>
          <w:szCs w:val="19"/>
        </w:rPr>
        <w:t>;</w:t>
      </w:r>
      <w:r w:rsidR="003D505A" w:rsidRPr="00F26721">
        <w:rPr>
          <w:sz w:val="19"/>
          <w:szCs w:val="19"/>
        </w:rPr>
        <w:t xml:space="preserve"> </w:t>
      </w:r>
      <w:r w:rsidRPr="00F26721">
        <w:rPr>
          <w:sz w:val="19"/>
          <w:szCs w:val="19"/>
        </w:rPr>
        <w:t>7</w:t>
      </w:r>
      <w:r w:rsidR="003D505A">
        <w:rPr>
          <w:sz w:val="19"/>
          <w:szCs w:val="19"/>
        </w:rPr>
        <w:t>–</w:t>
      </w:r>
      <w:r w:rsidRPr="00F26721">
        <w:rPr>
          <w:sz w:val="19"/>
          <w:szCs w:val="19"/>
        </w:rPr>
        <w:t xml:space="preserve">10% of </w:t>
      </w:r>
      <w:r w:rsidRPr="00F26721">
        <w:rPr>
          <w:b/>
          <w:sz w:val="19"/>
          <w:szCs w:val="19"/>
        </w:rPr>
        <w:t>1</w:t>
      </w:r>
      <w:r w:rsidRPr="00F26721">
        <w:rPr>
          <w:sz w:val="19"/>
          <w:szCs w:val="19"/>
        </w:rPr>
        <w:t xml:space="preserve"> was recovered after the reaction.</w:t>
      </w:r>
    </w:p>
    <w:p w14:paraId="04F0DC7F" w14:textId="4969011C" w:rsidR="00977EF4" w:rsidRPr="00D32DA4" w:rsidRDefault="00814BE4" w:rsidP="00977EF4">
      <w:pPr>
        <w:spacing w:after="0"/>
        <w:jc w:val="center"/>
        <w:rPr>
          <w:rFonts w:ascii="Arno Pro" w:hAnsi="Arno Pro"/>
          <w:sz w:val="19"/>
          <w:szCs w:val="19"/>
          <w:lang w:val="en-GB"/>
        </w:rPr>
      </w:pPr>
      <w:r w:rsidRPr="00814BE4">
        <w:rPr>
          <w:rFonts w:ascii="Arno Pro" w:hAnsi="Arno Pro"/>
          <w:sz w:val="19"/>
          <w:szCs w:val="19"/>
          <w:lang w:val="en-GB"/>
        </w:rPr>
        <w:drawing>
          <wp:inline distT="0" distB="0" distL="0" distR="0" wp14:anchorId="5C5C700E" wp14:editId="0EF553FC">
            <wp:extent cx="3044825" cy="883920"/>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4825" cy="883920"/>
                    </a:xfrm>
                    <a:prstGeom prst="rect">
                      <a:avLst/>
                    </a:prstGeom>
                  </pic:spPr>
                </pic:pic>
              </a:graphicData>
            </a:graphic>
          </wp:inline>
        </w:drawing>
      </w:r>
    </w:p>
    <w:p w14:paraId="164382CE" w14:textId="37CDA813" w:rsidR="00FC1818" w:rsidRDefault="00BF5350" w:rsidP="00052952">
      <w:pPr>
        <w:jc w:val="center"/>
        <w:rPr>
          <w:noProof/>
        </w:rPr>
      </w:pPr>
      <w:r w:rsidRPr="00D32DA4">
        <w:rPr>
          <w:rFonts w:ascii="Times New Roman" w:hAnsi="Times New Roman"/>
          <w:noProof/>
        </w:rPr>
        <w:object w:dxaOrig="72" w:dyaOrig="73" w14:anchorId="7EAE9F37">
          <v:shape id="_x0000_i1028" type="#_x0000_t75" alt="" style="width:2.35pt;height:2.35pt;mso-width-percent:0;mso-height-percent:0;mso-width-percent:0;mso-height-percent:0" o:ole="">
            <v:imagedata r:id="rId17" o:title=""/>
          </v:shape>
          <o:OLEObject Type="Embed" ProgID="ChemDraw.Document.6.0" ShapeID="_x0000_i1028" DrawAspect="Content" ObjectID="_1686056272" r:id="rId18"/>
        </w:object>
      </w:r>
      <w:r w:rsidRPr="00D32DA4">
        <w:rPr>
          <w:noProof/>
        </w:rPr>
        <w:object w:dxaOrig="7934" w:dyaOrig="18230" w14:anchorId="67B5A708">
          <v:shape id="_x0000_i1027" type="#_x0000_t75" alt="" style="width:215.4pt;height:495.15pt;mso-width-percent:0;mso-height-percent:0;mso-width-percent:0;mso-height-percent:0" o:ole="">
            <v:imagedata r:id="rId19" o:title=""/>
          </v:shape>
          <o:OLEObject Type="Embed" ProgID="ChemDraw.Document.6.0" ShapeID="_x0000_i1027" DrawAspect="Content" ObjectID="_1686056273" r:id="rId20"/>
        </w:object>
      </w:r>
    </w:p>
    <w:p w14:paraId="0451755C" w14:textId="37218CDE" w:rsidR="00756EBC" w:rsidRDefault="00F4199B" w:rsidP="00756EBC">
      <w:pPr>
        <w:rPr>
          <w:rFonts w:ascii="Arno Pro" w:hAnsi="Arno Pro"/>
          <w:sz w:val="19"/>
          <w:szCs w:val="19"/>
          <w:vertAlign w:val="superscript"/>
          <w:lang w:val="en-GB"/>
        </w:rPr>
      </w:pPr>
      <w:r w:rsidRPr="00D32DA4">
        <w:rPr>
          <w:sz w:val="19"/>
          <w:szCs w:val="19"/>
          <w:lang w:val="en-GB"/>
        </w:rPr>
        <w:t>Applying the Senge nickel</w:t>
      </w:r>
      <w:r w:rsidRPr="00187EB3">
        <w:rPr>
          <w:sz w:val="19"/>
          <w:szCs w:val="19"/>
          <w:lang w:val="en-GB"/>
        </w:rPr>
        <w:t xml:space="preserve"> </w:t>
      </w:r>
      <w:r w:rsidRPr="00D32DA4">
        <w:rPr>
          <w:sz w:val="19"/>
          <w:szCs w:val="19"/>
          <w:lang w:val="en-GB"/>
        </w:rPr>
        <w:t>catalysed</w:t>
      </w:r>
      <w:r w:rsidRPr="00F26721" w:rsidDel="00EC36D5">
        <w:rPr>
          <w:b/>
          <w:sz w:val="19"/>
          <w:szCs w:val="19"/>
        </w:rPr>
        <w:t xml:space="preserve"> </w:t>
      </w:r>
      <w:r w:rsidRPr="00D32DA4">
        <w:rPr>
          <w:rFonts w:ascii="Arno Pro" w:hAnsi="Arno Pro"/>
          <w:sz w:val="19"/>
          <w:szCs w:val="19"/>
          <w:lang w:val="en-GB"/>
        </w:rPr>
        <w:t>decarboxylative procedure</w:t>
      </w:r>
      <w:r>
        <w:rPr>
          <w:rFonts w:ascii="Arno Pro" w:hAnsi="Arno Pro"/>
          <w:sz w:val="19"/>
          <w:szCs w:val="19"/>
          <w:lang w:val="en-GB"/>
        </w:rPr>
        <w:t xml:space="preserve"> without further optimization</w:t>
      </w:r>
      <w:r w:rsidRPr="00D32DA4">
        <w:rPr>
          <w:rFonts w:ascii="Arno Pro" w:hAnsi="Arno Pro"/>
          <w:sz w:val="19"/>
          <w:szCs w:val="19"/>
          <w:lang w:val="en-GB"/>
        </w:rPr>
        <w:t xml:space="preserve">, </w:t>
      </w:r>
      <w:r w:rsidRPr="00D32DA4">
        <w:rPr>
          <w:rFonts w:ascii="Arno Pro" w:hAnsi="Arno Pro"/>
          <w:i/>
          <w:sz w:val="19"/>
          <w:szCs w:val="19"/>
          <w:lang w:val="en-GB"/>
        </w:rPr>
        <w:t>ortho</w:t>
      </w:r>
      <w:r w:rsidRPr="00D32DA4">
        <w:rPr>
          <w:rFonts w:ascii="Arno Pro" w:hAnsi="Arno Pro"/>
          <w:sz w:val="19"/>
          <w:szCs w:val="19"/>
          <w:lang w:val="en-GB"/>
        </w:rPr>
        <w:t xml:space="preserve">–phenyl </w:t>
      </w:r>
      <w:proofErr w:type="spellStart"/>
      <w:r w:rsidRPr="00D32DA4">
        <w:rPr>
          <w:rFonts w:ascii="Arno Pro" w:hAnsi="Arno Pro"/>
          <w:sz w:val="19"/>
          <w:szCs w:val="19"/>
          <w:lang w:val="en-GB"/>
        </w:rPr>
        <w:t>cubane</w:t>
      </w:r>
      <w:proofErr w:type="spellEnd"/>
      <w:r w:rsidRPr="00D32DA4">
        <w:rPr>
          <w:rFonts w:ascii="Arno Pro" w:hAnsi="Arno Pro"/>
          <w:sz w:val="19"/>
          <w:szCs w:val="19"/>
          <w:lang w:val="en-GB"/>
        </w:rPr>
        <w:t xml:space="preserve"> diester </w:t>
      </w:r>
      <w:r w:rsidRPr="00D32DA4">
        <w:rPr>
          <w:rFonts w:ascii="Arno Pro" w:hAnsi="Arno Pro"/>
          <w:b/>
          <w:sz w:val="19"/>
          <w:szCs w:val="19"/>
          <w:lang w:val="en-GB"/>
        </w:rPr>
        <w:t>20</w:t>
      </w:r>
      <w:r w:rsidRPr="00D32DA4">
        <w:rPr>
          <w:rFonts w:ascii="Arno Pro" w:hAnsi="Arno Pro"/>
          <w:sz w:val="19"/>
          <w:szCs w:val="19"/>
          <w:lang w:val="en-GB"/>
        </w:rPr>
        <w:t xml:space="preserve"> was obtained </w:t>
      </w:r>
      <w:r w:rsidR="00756EBC" w:rsidRPr="00D32DA4">
        <w:rPr>
          <w:rFonts w:ascii="Arno Pro" w:hAnsi="Arno Pro"/>
          <w:sz w:val="19"/>
          <w:szCs w:val="19"/>
          <w:lang w:val="en-GB"/>
        </w:rPr>
        <w:t>in 32% yield</w:t>
      </w:r>
      <w:r w:rsidR="00756EBC">
        <w:rPr>
          <w:rFonts w:ascii="Arno Pro" w:hAnsi="Arno Pro"/>
          <w:sz w:val="19"/>
          <w:szCs w:val="19"/>
          <w:lang w:val="en-GB"/>
        </w:rPr>
        <w:t xml:space="preserve"> from </w:t>
      </w:r>
      <w:r w:rsidR="00756EBC">
        <w:rPr>
          <w:rFonts w:ascii="Arno Pro" w:hAnsi="Arno Pro"/>
          <w:b/>
          <w:bCs/>
          <w:sz w:val="19"/>
          <w:szCs w:val="19"/>
          <w:lang w:val="en-GB"/>
        </w:rPr>
        <w:t>7</w:t>
      </w:r>
      <w:r w:rsidR="00756EBC" w:rsidRPr="00D32DA4">
        <w:rPr>
          <w:rFonts w:ascii="Arno Pro" w:hAnsi="Arno Pro"/>
          <w:sz w:val="19"/>
          <w:szCs w:val="19"/>
          <w:lang w:val="en-GB"/>
        </w:rPr>
        <w:t xml:space="preserve"> in the presence of four equivalents of phenyl zincate chloride.</w:t>
      </w:r>
      <w:r w:rsidR="00756EBC" w:rsidRPr="00D32DA4">
        <w:rPr>
          <w:rFonts w:ascii="Arno Pro" w:hAnsi="Arno Pro"/>
          <w:sz w:val="19"/>
          <w:szCs w:val="19"/>
          <w:vertAlign w:val="superscript"/>
          <w:lang w:val="en-GB"/>
        </w:rPr>
        <w:t>19</w:t>
      </w:r>
      <w:r w:rsidR="00756EBC" w:rsidRPr="00D32DA4">
        <w:rPr>
          <w:rFonts w:ascii="Arno Pro" w:hAnsi="Arno Pro"/>
          <w:sz w:val="19"/>
          <w:szCs w:val="19"/>
          <w:lang w:val="en-GB"/>
        </w:rPr>
        <w:t xml:space="preserve"> Similarly, Giese–type reaction using benzyl acrylate as Michael acceptor gave </w:t>
      </w:r>
      <w:r w:rsidR="00756EBC" w:rsidRPr="00D32DA4">
        <w:rPr>
          <w:rFonts w:ascii="Arno Pro" w:hAnsi="Arno Pro"/>
          <w:b/>
          <w:sz w:val="19"/>
          <w:szCs w:val="19"/>
          <w:lang w:val="en-GB"/>
        </w:rPr>
        <w:t>21</w:t>
      </w:r>
      <w:r w:rsidR="00756EBC" w:rsidRPr="00D32DA4">
        <w:rPr>
          <w:rFonts w:ascii="Arno Pro" w:hAnsi="Arno Pro"/>
          <w:sz w:val="19"/>
          <w:szCs w:val="19"/>
          <w:lang w:val="en-GB"/>
        </w:rPr>
        <w:t xml:space="preserve"> in </w:t>
      </w:r>
      <w:r w:rsidR="00756EBC">
        <w:rPr>
          <w:rFonts w:ascii="Arno Pro" w:hAnsi="Arno Pro"/>
          <w:sz w:val="19"/>
          <w:szCs w:val="19"/>
          <w:lang w:val="en-GB"/>
        </w:rPr>
        <w:t>20</w:t>
      </w:r>
      <w:r w:rsidR="00756EBC" w:rsidRPr="00D32DA4">
        <w:rPr>
          <w:rFonts w:ascii="Arno Pro" w:hAnsi="Arno Pro"/>
          <w:sz w:val="19"/>
          <w:szCs w:val="19"/>
          <w:lang w:val="en-GB"/>
        </w:rPr>
        <w:t>% isolated yield.</w:t>
      </w:r>
      <w:r w:rsidR="00756EBC" w:rsidRPr="00D32DA4">
        <w:rPr>
          <w:rFonts w:ascii="Arno Pro" w:hAnsi="Arno Pro"/>
          <w:sz w:val="19"/>
          <w:szCs w:val="19"/>
          <w:vertAlign w:val="superscript"/>
          <w:lang w:val="en-GB"/>
        </w:rPr>
        <w:t>2</w:t>
      </w:r>
      <w:r w:rsidR="00756EBC">
        <w:rPr>
          <w:rFonts w:ascii="Arno Pro" w:hAnsi="Arno Pro"/>
          <w:sz w:val="19"/>
          <w:szCs w:val="19"/>
          <w:vertAlign w:val="superscript"/>
          <w:lang w:val="en-GB"/>
        </w:rPr>
        <w:t>7</w:t>
      </w:r>
    </w:p>
    <w:p w14:paraId="7AFC9761" w14:textId="77777777" w:rsidR="00EC36D5" w:rsidRPr="00753F89" w:rsidRDefault="00EC36D5" w:rsidP="00EC36D5">
      <w:pPr>
        <w:pStyle w:val="VCSchemeTitle"/>
        <w:rPr>
          <w:i/>
        </w:rPr>
      </w:pPr>
      <w:r w:rsidRPr="00753F89">
        <w:t>Scheme 2.</w:t>
      </w:r>
      <w:r>
        <w:rPr>
          <w:i/>
        </w:rPr>
        <w:t xml:space="preserve"> </w:t>
      </w:r>
      <w:r w:rsidRPr="00F26721">
        <w:rPr>
          <w:b w:val="0"/>
        </w:rPr>
        <w:t>Nickel–</w:t>
      </w:r>
      <w:proofErr w:type="spellStart"/>
      <w:r w:rsidRPr="00F26721">
        <w:rPr>
          <w:b w:val="0"/>
        </w:rPr>
        <w:t>catalysed</w:t>
      </w:r>
      <w:proofErr w:type="spellEnd"/>
      <w:r w:rsidRPr="00F26721">
        <w:rPr>
          <w:b w:val="0"/>
        </w:rPr>
        <w:t xml:space="preserve"> </w:t>
      </w:r>
      <w:r w:rsidRPr="00F26721">
        <w:rPr>
          <w:b w:val="0"/>
          <w:i/>
        </w:rPr>
        <w:t>ortho</w:t>
      </w:r>
      <w:r w:rsidRPr="00F26721">
        <w:rPr>
          <w:b w:val="0"/>
        </w:rPr>
        <w:t>–functional</w:t>
      </w:r>
      <w:r>
        <w:rPr>
          <w:b w:val="0"/>
        </w:rPr>
        <w:t>iza</w:t>
      </w:r>
      <w:r w:rsidRPr="00F26721">
        <w:rPr>
          <w:b w:val="0"/>
        </w:rPr>
        <w:t>tion of RAE 1,2,4–</w:t>
      </w:r>
      <w:proofErr w:type="spellStart"/>
      <w:r w:rsidRPr="00F26721">
        <w:rPr>
          <w:b w:val="0"/>
        </w:rPr>
        <w:t>cubane</w:t>
      </w:r>
      <w:proofErr w:type="spellEnd"/>
      <w:r w:rsidRPr="00F26721">
        <w:rPr>
          <w:b w:val="0"/>
        </w:rPr>
        <w:t xml:space="preserve"> diester </w:t>
      </w:r>
      <w:r w:rsidRPr="00F26721">
        <w:t>7</w:t>
      </w:r>
      <w:r w:rsidRPr="00F26721">
        <w:rPr>
          <w:b w:val="0"/>
        </w:rPr>
        <w:t>.</w:t>
      </w:r>
    </w:p>
    <w:p w14:paraId="7CD3A624" w14:textId="09020176" w:rsidR="00033242" w:rsidRPr="00D32DA4" w:rsidRDefault="00BF5350" w:rsidP="00B93F6B">
      <w:pPr>
        <w:pStyle w:val="VCSchemeTitle"/>
        <w:keepNext/>
        <w:jc w:val="center"/>
      </w:pPr>
      <w:r>
        <w:rPr>
          <w:noProof/>
        </w:rPr>
        <w:object w:dxaOrig="7978" w:dyaOrig="6389" w14:anchorId="68DEFFB8">
          <v:shape id="_x0000_i1026" type="#_x0000_t75" alt="" style="width:215.4pt;height:174.1pt;mso-width-percent:0;mso-height-percent:0;mso-width-percent:0;mso-height-percent:0" o:ole="">
            <v:imagedata r:id="rId21" o:title=""/>
          </v:shape>
          <o:OLEObject Type="Embed" ProgID="ChemDraw.Document.6.0" ShapeID="_x0000_i1026" DrawAspect="Content" ObjectID="_1686056274" r:id="rId22"/>
        </w:object>
      </w:r>
      <w:r w:rsidRPr="00D32DA4">
        <w:rPr>
          <w:rFonts w:ascii="Times New Roman" w:hAnsi="Times New Roman"/>
          <w:noProof/>
        </w:rPr>
        <w:object w:dxaOrig="72" w:dyaOrig="72" w14:anchorId="02461DB3">
          <v:shape id="_x0000_i1025" type="#_x0000_t75" alt="" style="width:2.35pt;height:2.35pt;mso-width-percent:0;mso-height-percent:0;mso-width-percent:0;mso-height-percent:0" o:ole="">
            <v:imagedata r:id="rId23" o:title=""/>
          </v:shape>
          <o:OLEObject Type="Embed" ProgID="ChemDraw.Document.6.0" ShapeID="_x0000_i1025" DrawAspect="Content" ObjectID="_1686056275" r:id="rId24"/>
        </w:object>
      </w:r>
    </w:p>
    <w:p w14:paraId="50E2195B" w14:textId="3F55CAA8" w:rsidR="005032D0" w:rsidRDefault="005032D0" w:rsidP="005032D0">
      <w:pPr>
        <w:rPr>
          <w:rFonts w:ascii="Arno Pro" w:hAnsi="Arno Pro"/>
          <w:sz w:val="19"/>
          <w:szCs w:val="19"/>
        </w:rPr>
      </w:pPr>
      <w:r w:rsidRPr="00D32DA4">
        <w:rPr>
          <w:rFonts w:ascii="Arno Pro" w:hAnsi="Arno Pro"/>
          <w:sz w:val="19"/>
          <w:szCs w:val="19"/>
        </w:rPr>
        <w:t>The presence of the substituent at the 2–position leads to a differentiation of the two ester groups. Selective ester hydrolysis will allow fully differentiated functionalization</w:t>
      </w:r>
      <w:r w:rsidR="001A2F02">
        <w:rPr>
          <w:rFonts w:ascii="Arno Pro" w:hAnsi="Arno Pro"/>
          <w:sz w:val="19"/>
          <w:szCs w:val="19"/>
        </w:rPr>
        <w:t>,</w:t>
      </w:r>
      <w:r w:rsidR="00CA06ED" w:rsidRPr="00D32DA4">
        <w:rPr>
          <w:rFonts w:ascii="Arno Pro" w:hAnsi="Arno Pro"/>
          <w:sz w:val="19"/>
          <w:szCs w:val="19"/>
        </w:rPr>
        <w:fldChar w:fldCharType="begin" w:fldLock="1"/>
      </w:r>
      <w:r w:rsidR="00CA06ED" w:rsidRPr="00D32DA4">
        <w:rPr>
          <w:rFonts w:ascii="Arno Pro" w:hAnsi="Arno Pro"/>
          <w:sz w:val="19"/>
          <w:szCs w:val="19"/>
        </w:rPr>
        <w:instrText>ADDIN CSL_CITATION {"citationItems":[{"id":"ITEM-1","itemData":{"DOI":"10.1016/S0040-4039(00)71268-8","ISSN":"00404039","author":[{"dropping-particle":"","family":"Castaldi","given":"Graziano","non-dropping-particle":"","parse-names":false,"suffix":""},{"dropping-particle":"","family":"Colombo","given":"Rosalba","non-dropping-particle":"","parse-names":false,"suffix":""},{"dropping-particle":"","family":"Allegrini","given":"Pietro","non-dropping-particle":"","parse-names":false,"suffix":""}],"container-title":"Tetrahedron Letters","id":"ITEM-1","issue":"19","issued":{"date-parts":[["1991","5"]]},"page":"2173-2176","title":"A convenient synthetic route to 1,2,4-tri and 1,3-disubstituted cubanes","type":"article-journal","volume":"32"},"uris":["http://www.mendeley.com/documents/?uuid=231b452d-20b9-4b53-b6de-28a18ffa0a7d"]}],"mendeley":{"formattedCitation":"&lt;sup&gt;3&lt;/sup&gt;","plainTextFormattedCitation":"3"},"properties":{"noteIndex":0},"schema":"https://github.com/citation-style-language/schema/raw/master/csl-citation.json"}</w:instrText>
      </w:r>
      <w:r w:rsidR="00CA06ED" w:rsidRPr="00D32DA4">
        <w:rPr>
          <w:rFonts w:ascii="Arno Pro" w:hAnsi="Arno Pro"/>
          <w:sz w:val="19"/>
          <w:szCs w:val="19"/>
        </w:rPr>
        <w:fldChar w:fldCharType="separate"/>
      </w:r>
      <w:r w:rsidR="00CA06ED" w:rsidRPr="00D32DA4">
        <w:rPr>
          <w:rFonts w:ascii="Arno Pro" w:hAnsi="Arno Pro"/>
          <w:noProof/>
          <w:sz w:val="19"/>
          <w:szCs w:val="19"/>
          <w:vertAlign w:val="superscript"/>
        </w:rPr>
        <w:t>3</w:t>
      </w:r>
      <w:r w:rsidR="00CA06ED" w:rsidRPr="00D32DA4">
        <w:rPr>
          <w:rFonts w:ascii="Arno Pro" w:hAnsi="Arno Pro"/>
          <w:sz w:val="19"/>
          <w:szCs w:val="19"/>
        </w:rPr>
        <w:fldChar w:fldCharType="end"/>
      </w:r>
      <w:r w:rsidRPr="00D32DA4">
        <w:rPr>
          <w:rFonts w:ascii="Arno Pro" w:hAnsi="Arno Pro"/>
          <w:sz w:val="19"/>
          <w:szCs w:val="19"/>
        </w:rPr>
        <w:t xml:space="preserve"> and</w:t>
      </w:r>
      <w:r w:rsidR="00756EBC" w:rsidRPr="00756EBC">
        <w:rPr>
          <w:rFonts w:ascii="Arno Pro" w:hAnsi="Arno Pro"/>
          <w:sz w:val="19"/>
          <w:szCs w:val="19"/>
        </w:rPr>
        <w:t xml:space="preserve"> </w:t>
      </w:r>
      <w:r w:rsidR="00756EBC">
        <w:rPr>
          <w:rFonts w:ascii="Arno Pro" w:hAnsi="Arno Pro"/>
          <w:sz w:val="19"/>
          <w:szCs w:val="19"/>
        </w:rPr>
        <w:t>can be used to further functionalize this position or</w:t>
      </w:r>
      <w:r w:rsidRPr="00D32DA4">
        <w:rPr>
          <w:rFonts w:ascii="Arno Pro" w:hAnsi="Arno Pro"/>
          <w:sz w:val="19"/>
          <w:szCs w:val="19"/>
        </w:rPr>
        <w:t xml:space="preserve">, through decarboxylation, give access to 1,2– or 1,3–substituted cubane derivatives. Selective hydrolysis of the least hindered ester group was achieved: starting with </w:t>
      </w:r>
      <w:r w:rsidRPr="00D32DA4">
        <w:rPr>
          <w:rFonts w:ascii="Arno Pro" w:hAnsi="Arno Pro"/>
          <w:b/>
          <w:sz w:val="19"/>
          <w:szCs w:val="19"/>
        </w:rPr>
        <w:t>13</w:t>
      </w:r>
      <w:r w:rsidRPr="00D32DA4">
        <w:rPr>
          <w:rFonts w:ascii="Arno Pro" w:hAnsi="Arno Pro"/>
          <w:sz w:val="19"/>
          <w:szCs w:val="19"/>
        </w:rPr>
        <w:t xml:space="preserve">, saponification with one equivalent of sodium hydroxide led to the isolation of the corresponding carboxylic acid </w:t>
      </w:r>
      <w:r w:rsidRPr="00D32DA4">
        <w:rPr>
          <w:rFonts w:ascii="Arno Pro" w:hAnsi="Arno Pro"/>
          <w:b/>
          <w:sz w:val="19"/>
          <w:szCs w:val="19"/>
        </w:rPr>
        <w:t>22</w:t>
      </w:r>
      <w:r w:rsidR="00E6319E" w:rsidRPr="00D32DA4">
        <w:rPr>
          <w:rFonts w:ascii="Arno Pro" w:hAnsi="Arno Pro"/>
          <w:sz w:val="19"/>
          <w:szCs w:val="19"/>
        </w:rPr>
        <w:t xml:space="preserve"> in 84% yield in a 10</w:t>
      </w:r>
      <w:r w:rsidRPr="00D32DA4">
        <w:rPr>
          <w:rFonts w:ascii="Arno Pro" w:hAnsi="Arno Pro"/>
          <w:sz w:val="19"/>
          <w:szCs w:val="19"/>
        </w:rPr>
        <w:t>:1 ratio (</w:t>
      </w:r>
      <w:r w:rsidRPr="00D32DA4">
        <w:rPr>
          <w:rFonts w:ascii="Arno Pro" w:hAnsi="Arno Pro"/>
          <w:sz w:val="19"/>
          <w:szCs w:val="19"/>
          <w:vertAlign w:val="superscript"/>
        </w:rPr>
        <w:t>1</w:t>
      </w:r>
      <w:r w:rsidRPr="00D32DA4">
        <w:rPr>
          <w:rFonts w:ascii="Arno Pro" w:hAnsi="Arno Pro"/>
          <w:sz w:val="19"/>
          <w:szCs w:val="19"/>
        </w:rPr>
        <w:t xml:space="preserve">H NMR analysis) of the regiosiomers (Scheme 3). Saponification of </w:t>
      </w:r>
      <w:r w:rsidRPr="00D32DA4">
        <w:rPr>
          <w:rFonts w:ascii="Arno Pro" w:hAnsi="Arno Pro"/>
          <w:b/>
          <w:sz w:val="19"/>
          <w:szCs w:val="19"/>
        </w:rPr>
        <w:t>15</w:t>
      </w:r>
      <w:r w:rsidRPr="00D32DA4">
        <w:rPr>
          <w:rFonts w:ascii="Arno Pro" w:hAnsi="Arno Pro"/>
          <w:sz w:val="19"/>
          <w:szCs w:val="19"/>
        </w:rPr>
        <w:t xml:space="preserve"> enabled isolation of </w:t>
      </w:r>
      <w:r w:rsidRPr="00D32DA4">
        <w:rPr>
          <w:rFonts w:ascii="Arno Pro" w:hAnsi="Arno Pro"/>
          <w:b/>
          <w:sz w:val="19"/>
          <w:szCs w:val="19"/>
        </w:rPr>
        <w:t>23</w:t>
      </w:r>
      <w:r w:rsidRPr="00D32DA4">
        <w:rPr>
          <w:rFonts w:ascii="Arno Pro" w:hAnsi="Arno Pro"/>
          <w:sz w:val="19"/>
          <w:szCs w:val="19"/>
        </w:rPr>
        <w:t xml:space="preserve"> with complete regioselectivity (</w:t>
      </w:r>
      <w:r w:rsidRPr="00D32DA4">
        <w:rPr>
          <w:rFonts w:ascii="Arno Pro" w:hAnsi="Arno Pro"/>
          <w:sz w:val="19"/>
          <w:szCs w:val="19"/>
          <w:vertAlign w:val="superscript"/>
        </w:rPr>
        <w:t>1</w:t>
      </w:r>
      <w:r w:rsidRPr="00D32DA4">
        <w:rPr>
          <w:rFonts w:ascii="Arno Pro" w:hAnsi="Arno Pro"/>
          <w:sz w:val="19"/>
          <w:szCs w:val="19"/>
        </w:rPr>
        <w:t>H NMR analysis) in 74% isolated yield.</w:t>
      </w:r>
    </w:p>
    <w:p w14:paraId="62716F6A" w14:textId="58D2B214" w:rsidR="00EC36D5" w:rsidRPr="00F26721" w:rsidRDefault="00EC36D5" w:rsidP="00EC36D5">
      <w:pPr>
        <w:pStyle w:val="Caption"/>
        <w:rPr>
          <w:rFonts w:ascii="Arno Pro" w:hAnsi="Arno Pro"/>
          <w:sz w:val="19"/>
          <w:szCs w:val="19"/>
        </w:rPr>
      </w:pPr>
      <w:r w:rsidRPr="00F26721">
        <w:rPr>
          <w:rFonts w:ascii="Arno Pro" w:hAnsi="Arno Pro" w:cs="Times"/>
          <w:b/>
          <w:i w:val="0"/>
          <w:color w:val="auto"/>
          <w:sz w:val="19"/>
          <w:szCs w:val="19"/>
        </w:rPr>
        <w:t xml:space="preserve">Scheme 3. </w:t>
      </w:r>
      <w:r w:rsidRPr="00F26721">
        <w:rPr>
          <w:rFonts w:ascii="Arno Pro" w:hAnsi="Arno Pro" w:cs="Times"/>
          <w:i w:val="0"/>
          <w:color w:val="auto"/>
          <w:sz w:val="19"/>
          <w:szCs w:val="19"/>
        </w:rPr>
        <w:t>Regios</w:t>
      </w:r>
      <w:r>
        <w:rPr>
          <w:rFonts w:ascii="Arno Pro" w:hAnsi="Arno Pro" w:cs="Times"/>
          <w:i w:val="0"/>
          <w:color w:val="auto"/>
          <w:sz w:val="19"/>
          <w:szCs w:val="19"/>
        </w:rPr>
        <w:t>e</w:t>
      </w:r>
      <w:r w:rsidRPr="00F26721">
        <w:rPr>
          <w:rFonts w:ascii="Arno Pro" w:hAnsi="Arno Pro" w:cs="Times"/>
          <w:i w:val="0"/>
          <w:color w:val="auto"/>
          <w:sz w:val="19"/>
          <w:szCs w:val="19"/>
        </w:rPr>
        <w:t>lective saponification</w:t>
      </w:r>
      <w:r w:rsidR="0060086B">
        <w:rPr>
          <w:rFonts w:ascii="Arno Pro" w:hAnsi="Arno Pro" w:cs="Times"/>
          <w:i w:val="0"/>
          <w:color w:val="auto"/>
          <w:sz w:val="19"/>
          <w:szCs w:val="19"/>
        </w:rPr>
        <w:t>.</w:t>
      </w:r>
    </w:p>
    <w:p w14:paraId="2D75E329" w14:textId="26067F36" w:rsidR="00CF629F" w:rsidRPr="00D32DA4" w:rsidRDefault="0060086B" w:rsidP="00CF629F">
      <w:pPr>
        <w:keepNext/>
        <w:jc w:val="center"/>
      </w:pPr>
      <w:r w:rsidRPr="0060086B">
        <w:rPr>
          <w:noProof/>
        </w:rPr>
        <w:drawing>
          <wp:inline distT="0" distB="0" distL="0" distR="0" wp14:anchorId="39F3E386" wp14:editId="672EF1B8">
            <wp:extent cx="2098800" cy="1670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8800" cy="1670400"/>
                    </a:xfrm>
                    <a:prstGeom prst="rect">
                      <a:avLst/>
                    </a:prstGeom>
                  </pic:spPr>
                </pic:pic>
              </a:graphicData>
            </a:graphic>
          </wp:inline>
        </w:drawing>
      </w:r>
    </w:p>
    <w:p w14:paraId="3E6B08B1" w14:textId="061820FE" w:rsidR="001479EB" w:rsidRPr="003E5435" w:rsidRDefault="001479EB" w:rsidP="007B7D72">
      <w:pPr>
        <w:rPr>
          <w:rFonts w:ascii="Arno Pro" w:hAnsi="Arno Pro"/>
          <w:sz w:val="19"/>
          <w:szCs w:val="19"/>
          <w:vertAlign w:val="superscript"/>
        </w:rPr>
      </w:pPr>
      <w:r w:rsidRPr="00D32DA4">
        <w:rPr>
          <w:rFonts w:ascii="Arno Pro" w:hAnsi="Arno Pro"/>
          <w:sz w:val="19"/>
          <w:szCs w:val="19"/>
        </w:rPr>
        <w:t xml:space="preserve">In conclusion, we have successfully developed a </w:t>
      </w:r>
      <w:r w:rsidR="007817EC">
        <w:rPr>
          <w:rFonts w:ascii="Arno Pro" w:hAnsi="Arno Pro"/>
          <w:sz w:val="19"/>
          <w:szCs w:val="19"/>
        </w:rPr>
        <w:t>modified</w:t>
      </w:r>
      <w:r w:rsidRPr="00D32DA4">
        <w:rPr>
          <w:rFonts w:ascii="Arno Pro" w:hAnsi="Arno Pro"/>
          <w:sz w:val="19"/>
          <w:szCs w:val="19"/>
        </w:rPr>
        <w:t xml:space="preserve"> protocol for the radical</w:t>
      </w:r>
      <w:r w:rsidR="004C4DEB" w:rsidRPr="00D32DA4">
        <w:rPr>
          <w:rFonts w:ascii="Arno Pro" w:hAnsi="Arno Pro"/>
          <w:sz w:val="19"/>
          <w:szCs w:val="19"/>
        </w:rPr>
        <w:t>–</w:t>
      </w:r>
      <w:r w:rsidR="00D24368" w:rsidRPr="00D32DA4">
        <w:rPr>
          <w:rFonts w:ascii="Arno Pro" w:hAnsi="Arno Pro"/>
          <w:sz w:val="19"/>
          <w:szCs w:val="19"/>
        </w:rPr>
        <w:t xml:space="preserve">mediated </w:t>
      </w:r>
      <w:r w:rsidRPr="00D32DA4">
        <w:rPr>
          <w:rFonts w:ascii="Arno Pro" w:hAnsi="Arno Pro"/>
          <w:sz w:val="19"/>
          <w:szCs w:val="19"/>
        </w:rPr>
        <w:t xml:space="preserve">C–H chlorocarbonylation of dimethyl 1,4–cubanedicarboxylate </w:t>
      </w:r>
      <w:r w:rsidRPr="00D32DA4">
        <w:rPr>
          <w:rFonts w:ascii="Arno Pro" w:hAnsi="Arno Pro"/>
          <w:b/>
          <w:sz w:val="19"/>
          <w:szCs w:val="19"/>
        </w:rPr>
        <w:t>1</w:t>
      </w:r>
      <w:r w:rsidRPr="00D32DA4">
        <w:rPr>
          <w:rFonts w:ascii="Arno Pro" w:hAnsi="Arno Pro"/>
          <w:sz w:val="19"/>
          <w:szCs w:val="19"/>
        </w:rPr>
        <w:t xml:space="preserve"> using oxalyl chloride under light irradiation. Key improvements include the use of an adequate emission low–powered UV source, the use of </w:t>
      </w:r>
      <w:r w:rsidR="00323737" w:rsidRPr="00D32DA4">
        <w:rPr>
          <w:rFonts w:ascii="Arno Pro" w:hAnsi="Arno Pro"/>
          <w:sz w:val="19"/>
          <w:szCs w:val="19"/>
        </w:rPr>
        <w:t xml:space="preserve">a recirculating </w:t>
      </w:r>
      <w:r w:rsidRPr="00D32DA4">
        <w:rPr>
          <w:rFonts w:ascii="Arno Pro" w:hAnsi="Arno Pro"/>
          <w:sz w:val="19"/>
          <w:szCs w:val="19"/>
        </w:rPr>
        <w:t xml:space="preserve">microreactor </w:t>
      </w:r>
      <w:r w:rsidR="00323737" w:rsidRPr="00D32DA4">
        <w:rPr>
          <w:rFonts w:ascii="Arno Pro" w:hAnsi="Arno Pro"/>
          <w:sz w:val="19"/>
          <w:szCs w:val="19"/>
        </w:rPr>
        <w:t xml:space="preserve">to enable </w:t>
      </w:r>
      <w:r w:rsidR="00176B73" w:rsidRPr="00D32DA4">
        <w:rPr>
          <w:rFonts w:ascii="Arno Pro" w:hAnsi="Arno Pro"/>
          <w:sz w:val="19"/>
          <w:szCs w:val="19"/>
        </w:rPr>
        <w:t>continuous</w:t>
      </w:r>
      <w:r w:rsidR="00176B73" w:rsidRPr="00D32DA4">
        <w:rPr>
          <w:rFonts w:ascii="Arno Pro" w:hAnsi="Arno Pro"/>
          <w:sz w:val="19"/>
        </w:rPr>
        <w:t>–</w:t>
      </w:r>
      <w:r w:rsidR="00684BC2" w:rsidRPr="00D32DA4">
        <w:rPr>
          <w:rFonts w:ascii="Arno Pro" w:hAnsi="Arno Pro"/>
          <w:sz w:val="19"/>
          <w:szCs w:val="19"/>
        </w:rPr>
        <w:t xml:space="preserve">flow </w:t>
      </w:r>
      <w:r w:rsidRPr="00D32DA4">
        <w:rPr>
          <w:rFonts w:ascii="Arno Pro" w:hAnsi="Arno Pro"/>
          <w:sz w:val="19"/>
          <w:szCs w:val="19"/>
        </w:rPr>
        <w:t>conditions</w:t>
      </w:r>
      <w:r w:rsidR="00684BC2" w:rsidRPr="00D32DA4">
        <w:rPr>
          <w:rFonts w:ascii="Arno Pro" w:hAnsi="Arno Pro"/>
          <w:sz w:val="19"/>
          <w:szCs w:val="19"/>
        </w:rPr>
        <w:t xml:space="preserve"> despite excessive gas format</w:t>
      </w:r>
      <w:r w:rsidR="00176B73" w:rsidRPr="00D32DA4">
        <w:rPr>
          <w:rFonts w:ascii="Arno Pro" w:hAnsi="Arno Pro"/>
          <w:sz w:val="19"/>
          <w:szCs w:val="19"/>
        </w:rPr>
        <w:t>i</w:t>
      </w:r>
      <w:r w:rsidR="00684BC2" w:rsidRPr="00D32DA4">
        <w:rPr>
          <w:rFonts w:ascii="Arno Pro" w:hAnsi="Arno Pro"/>
          <w:sz w:val="19"/>
          <w:szCs w:val="19"/>
        </w:rPr>
        <w:t>on</w:t>
      </w:r>
      <w:r w:rsidRPr="00D32DA4">
        <w:rPr>
          <w:rFonts w:ascii="Arno Pro" w:hAnsi="Arno Pro"/>
          <w:sz w:val="19"/>
          <w:szCs w:val="19"/>
        </w:rPr>
        <w:t xml:space="preserve">, and the significant reduction </w:t>
      </w:r>
      <w:r w:rsidR="00684BC2" w:rsidRPr="00D32DA4">
        <w:rPr>
          <w:rFonts w:ascii="Arno Pro" w:hAnsi="Arno Pro"/>
          <w:sz w:val="19"/>
          <w:szCs w:val="19"/>
        </w:rPr>
        <w:t xml:space="preserve">in excess of </w:t>
      </w:r>
      <w:r w:rsidRPr="00D32DA4">
        <w:rPr>
          <w:rFonts w:ascii="Arno Pro" w:hAnsi="Arno Pro"/>
          <w:sz w:val="19"/>
          <w:szCs w:val="19"/>
        </w:rPr>
        <w:t xml:space="preserve">oxalyl chloride </w:t>
      </w:r>
      <w:r w:rsidR="00684BC2" w:rsidRPr="00D32DA4">
        <w:rPr>
          <w:rFonts w:ascii="Arno Pro" w:hAnsi="Arno Pro"/>
          <w:sz w:val="19"/>
          <w:szCs w:val="19"/>
        </w:rPr>
        <w:t xml:space="preserve">by using </w:t>
      </w:r>
      <w:r w:rsidRPr="00D32DA4">
        <w:rPr>
          <w:rFonts w:ascii="Arno Pro" w:hAnsi="Arno Pro"/>
          <w:sz w:val="19"/>
          <w:szCs w:val="19"/>
        </w:rPr>
        <w:t xml:space="preserve">a solvent, leading to a safe and accessible platform. This allows for convenient installation of the chlorocarbonyl group, and through its hydrolysis, of the versatile carboxylic acid group, </w:t>
      </w:r>
      <w:r w:rsidR="00D24368" w:rsidRPr="00D32DA4">
        <w:rPr>
          <w:rFonts w:ascii="Arno Pro" w:hAnsi="Arno Pro"/>
          <w:sz w:val="19"/>
          <w:szCs w:val="19"/>
        </w:rPr>
        <w:t xml:space="preserve">both of </w:t>
      </w:r>
      <w:r w:rsidRPr="00D32DA4">
        <w:rPr>
          <w:rFonts w:ascii="Arno Pro" w:hAnsi="Arno Pro"/>
          <w:sz w:val="19"/>
          <w:szCs w:val="19"/>
        </w:rPr>
        <w:t>which utility was exemplified by</w:t>
      </w:r>
      <w:r w:rsidR="00D24368" w:rsidRPr="00D32DA4">
        <w:rPr>
          <w:rFonts w:ascii="Arno Pro" w:hAnsi="Arno Pro"/>
          <w:sz w:val="19"/>
          <w:szCs w:val="19"/>
        </w:rPr>
        <w:t xml:space="preserve"> ester and amide for</w:t>
      </w:r>
      <w:r w:rsidR="004C4DEB" w:rsidRPr="00D32DA4">
        <w:rPr>
          <w:rFonts w:ascii="Arno Pro" w:hAnsi="Arno Pro"/>
          <w:sz w:val="19"/>
          <w:szCs w:val="19"/>
        </w:rPr>
        <w:t>m</w:t>
      </w:r>
      <w:r w:rsidR="00D24368" w:rsidRPr="00D32DA4">
        <w:rPr>
          <w:rFonts w:ascii="Arno Pro" w:hAnsi="Arno Pro"/>
          <w:sz w:val="19"/>
          <w:szCs w:val="19"/>
        </w:rPr>
        <w:t>ations and by</w:t>
      </w:r>
      <w:r w:rsidRPr="00D32DA4">
        <w:rPr>
          <w:rFonts w:ascii="Arno Pro" w:hAnsi="Arno Pro"/>
          <w:sz w:val="19"/>
          <w:szCs w:val="19"/>
        </w:rPr>
        <w:t xml:space="preserve"> </w:t>
      </w:r>
      <w:r w:rsidRPr="00D32DA4">
        <w:rPr>
          <w:rFonts w:ascii="Arno Pro" w:hAnsi="Arno Pro"/>
          <w:i/>
          <w:sz w:val="19"/>
          <w:szCs w:val="19"/>
        </w:rPr>
        <w:t>ortho</w:t>
      </w:r>
      <w:r w:rsidRPr="00D32DA4">
        <w:rPr>
          <w:rFonts w:ascii="Arno Pro" w:hAnsi="Arno Pro"/>
          <w:sz w:val="19"/>
          <w:szCs w:val="19"/>
        </w:rPr>
        <w:t xml:space="preserve">–arylation and alkylation via nickel catalysis, showing their potential for the synthesis of diverse 1,2,4–trisubstituted </w:t>
      </w:r>
      <w:proofErr w:type="spellStart"/>
      <w:r w:rsidRPr="00D32DA4">
        <w:rPr>
          <w:rFonts w:ascii="Arno Pro" w:hAnsi="Arno Pro"/>
          <w:sz w:val="19"/>
          <w:szCs w:val="19"/>
        </w:rPr>
        <w:t>cubanes</w:t>
      </w:r>
      <w:proofErr w:type="spellEnd"/>
      <w:r w:rsidR="00116FC2">
        <w:rPr>
          <w:rFonts w:ascii="Arno Pro" w:hAnsi="Arno Pro"/>
          <w:sz w:val="19"/>
          <w:szCs w:val="19"/>
        </w:rPr>
        <w:t>, and</w:t>
      </w:r>
      <w:r w:rsidRPr="00D32DA4">
        <w:rPr>
          <w:rFonts w:ascii="Arno Pro" w:hAnsi="Arno Pro"/>
          <w:sz w:val="19"/>
          <w:szCs w:val="19"/>
        </w:rPr>
        <w:t xml:space="preserve"> </w:t>
      </w:r>
      <w:r w:rsidR="00F545B7">
        <w:rPr>
          <w:rFonts w:ascii="Arno Pro" w:hAnsi="Arno Pro"/>
          <w:sz w:val="19"/>
          <w:szCs w:val="19"/>
        </w:rPr>
        <w:t xml:space="preserve">by extension, for </w:t>
      </w:r>
      <w:proofErr w:type="spellStart"/>
      <w:r w:rsidR="00F545B7">
        <w:rPr>
          <w:rFonts w:ascii="Arno Pro" w:hAnsi="Arno Pro"/>
          <w:sz w:val="19"/>
          <w:szCs w:val="19"/>
        </w:rPr>
        <w:t>cubane</w:t>
      </w:r>
      <w:proofErr w:type="spellEnd"/>
      <w:r w:rsidR="00291508" w:rsidRPr="00D32DA4">
        <w:rPr>
          <w:rFonts w:ascii="Arno Pro" w:hAnsi="Arno Pro"/>
          <w:sz w:val="19"/>
          <w:szCs w:val="19"/>
        </w:rPr>
        <w:t>–</w:t>
      </w:r>
      <w:r w:rsidR="00F545B7">
        <w:rPr>
          <w:rFonts w:ascii="Arno Pro" w:hAnsi="Arno Pro"/>
          <w:sz w:val="19"/>
          <w:szCs w:val="19"/>
        </w:rPr>
        <w:t>derived derivatives such as cyclooctatetraenes</w:t>
      </w:r>
      <w:r w:rsidR="00684BC2" w:rsidRPr="00D32DA4">
        <w:rPr>
          <w:rFonts w:ascii="Arno Pro" w:hAnsi="Arno Pro"/>
          <w:sz w:val="19"/>
          <w:szCs w:val="19"/>
        </w:rPr>
        <w:t>.</w:t>
      </w:r>
      <w:r w:rsidR="003E5435" w:rsidRPr="00116FC2">
        <w:rPr>
          <w:rFonts w:ascii="Arno Pro" w:hAnsi="Arno Pro"/>
          <w:sz w:val="19"/>
          <w:szCs w:val="19"/>
          <w:vertAlign w:val="superscript"/>
        </w:rPr>
        <w:t>28</w:t>
      </w:r>
      <w:r w:rsidR="00116FC2" w:rsidRPr="00116FC2">
        <w:rPr>
          <w:rFonts w:ascii="Arno Pro" w:hAnsi="Arno Pro"/>
          <w:sz w:val="19"/>
          <w:szCs w:val="19"/>
        </w:rPr>
        <w:t xml:space="preserve"> </w:t>
      </w:r>
      <w:r w:rsidR="00116FC2" w:rsidRPr="00D32DA4">
        <w:rPr>
          <w:rFonts w:ascii="Arno Pro" w:hAnsi="Arno Pro"/>
          <w:sz w:val="19"/>
          <w:szCs w:val="19"/>
        </w:rPr>
        <w:t xml:space="preserve">In addition, regioselective ester hydrolysis to access fully differentiated trisubstituted </w:t>
      </w:r>
      <w:proofErr w:type="spellStart"/>
      <w:r w:rsidR="00116FC2" w:rsidRPr="00D32DA4">
        <w:rPr>
          <w:rFonts w:ascii="Arno Pro" w:hAnsi="Arno Pro"/>
          <w:sz w:val="19"/>
          <w:szCs w:val="19"/>
        </w:rPr>
        <w:t>cubane</w:t>
      </w:r>
      <w:proofErr w:type="spellEnd"/>
      <w:r w:rsidR="00116FC2" w:rsidRPr="00D32DA4">
        <w:rPr>
          <w:rFonts w:ascii="Arno Pro" w:hAnsi="Arno Pro"/>
          <w:sz w:val="19"/>
          <w:szCs w:val="19"/>
        </w:rPr>
        <w:t xml:space="preserve"> derivatives is demonstrated</w:t>
      </w:r>
      <w:r w:rsidR="00116FC2">
        <w:rPr>
          <w:rFonts w:ascii="Arno Pro" w:hAnsi="Arno Pro"/>
          <w:sz w:val="19"/>
          <w:szCs w:val="19"/>
        </w:rPr>
        <w:t>.</w:t>
      </w:r>
    </w:p>
    <w:p w14:paraId="2E2D7AEE" w14:textId="77777777" w:rsidR="00A71C00" w:rsidRPr="00D32DA4" w:rsidRDefault="00157E12" w:rsidP="00157E12">
      <w:pPr>
        <w:pStyle w:val="TESupportingInfoTitle"/>
        <w:rPr>
          <w:rFonts w:ascii="Times New Roman" w:hAnsi="Times New Roman"/>
        </w:rPr>
      </w:pPr>
      <w:r w:rsidRPr="00D32DA4">
        <w:rPr>
          <w:rFonts w:ascii="Times New Roman" w:hAnsi="Times New Roman"/>
        </w:rPr>
        <w:t>ASSOCIATED CONTENT</w:t>
      </w:r>
      <w:r w:rsidR="00A66EDD" w:rsidRPr="00D32DA4">
        <w:rPr>
          <w:rFonts w:ascii="Times New Roman" w:hAnsi="Times New Roman"/>
        </w:rPr>
        <w:t xml:space="preserve"> </w:t>
      </w:r>
    </w:p>
    <w:p w14:paraId="21D1C1B2" w14:textId="77865F9A" w:rsidR="00A66EDD" w:rsidRPr="00D32DA4" w:rsidRDefault="00157E12" w:rsidP="00157E12">
      <w:pPr>
        <w:pStyle w:val="TESupportingInformation"/>
        <w:rPr>
          <w:rFonts w:ascii="Times New Roman" w:hAnsi="Times New Roman"/>
        </w:rPr>
      </w:pPr>
      <w:r w:rsidRPr="00D32DA4">
        <w:rPr>
          <w:rFonts w:ascii="Times New Roman" w:hAnsi="Times New Roman"/>
          <w:b/>
        </w:rPr>
        <w:t>Supporting Information</w:t>
      </w:r>
      <w:r w:rsidRPr="00D32DA4">
        <w:rPr>
          <w:rFonts w:ascii="Times New Roman" w:hAnsi="Times New Roman"/>
        </w:rPr>
        <w:t xml:space="preserve">. </w:t>
      </w:r>
      <w:r w:rsidR="00743190">
        <w:rPr>
          <w:rFonts w:ascii="Times New Roman" w:hAnsi="Times New Roman"/>
        </w:rPr>
        <w:t>Experimental procedures</w:t>
      </w:r>
      <w:r w:rsidR="00A145D4">
        <w:rPr>
          <w:rFonts w:ascii="Times New Roman" w:hAnsi="Times New Roman"/>
        </w:rPr>
        <w:t xml:space="preserve"> and compound characterization</w:t>
      </w:r>
      <w:r w:rsidR="00743190">
        <w:rPr>
          <w:rFonts w:ascii="Times New Roman" w:hAnsi="Times New Roman"/>
        </w:rPr>
        <w:t xml:space="preserve">, </w:t>
      </w:r>
      <w:r w:rsidR="00CD66EA">
        <w:rPr>
          <w:rFonts w:ascii="Times New Roman" w:hAnsi="Times New Roman"/>
        </w:rPr>
        <w:t>instructions for instrument set</w:t>
      </w:r>
      <w:r w:rsidR="00CD66EA" w:rsidRPr="00D32DA4">
        <w:rPr>
          <w:sz w:val="19"/>
          <w:szCs w:val="19"/>
        </w:rPr>
        <w:t>–</w:t>
      </w:r>
      <w:r w:rsidR="00743190">
        <w:rPr>
          <w:rFonts w:ascii="Times New Roman" w:hAnsi="Times New Roman"/>
        </w:rPr>
        <w:t>up, copies of NMR spectra, X</w:t>
      </w:r>
      <w:r w:rsidR="00CD66EA" w:rsidRPr="00D32DA4">
        <w:rPr>
          <w:sz w:val="19"/>
          <w:szCs w:val="19"/>
        </w:rPr>
        <w:t>–</w:t>
      </w:r>
      <w:r w:rsidR="00743190">
        <w:rPr>
          <w:rFonts w:ascii="Times New Roman" w:hAnsi="Times New Roman"/>
        </w:rPr>
        <w:t xml:space="preserve">ray crystallographic data. </w:t>
      </w:r>
      <w:r w:rsidR="003E5207" w:rsidRPr="00D32DA4">
        <w:rPr>
          <w:rFonts w:ascii="Times New Roman" w:hAnsi="Times New Roman"/>
        </w:rPr>
        <w:t>This material is available free of charge via the Internet at http://pubs.acs.org</w:t>
      </w:r>
      <w:r w:rsidR="00A66EDD" w:rsidRPr="00D32DA4">
        <w:rPr>
          <w:rFonts w:ascii="Times New Roman" w:hAnsi="Times New Roman"/>
        </w:rPr>
        <w:t xml:space="preserve">. </w:t>
      </w:r>
    </w:p>
    <w:p w14:paraId="07009D37" w14:textId="77777777" w:rsidR="007331FF" w:rsidRPr="00D32DA4" w:rsidRDefault="007331FF" w:rsidP="00835CBD">
      <w:pPr>
        <w:pStyle w:val="AuthorInformationTitle"/>
        <w:rPr>
          <w:rFonts w:ascii="Times New Roman" w:hAnsi="Times New Roman"/>
        </w:rPr>
      </w:pPr>
      <w:r w:rsidRPr="00D32DA4">
        <w:rPr>
          <w:rFonts w:ascii="Times New Roman" w:hAnsi="Times New Roman"/>
        </w:rPr>
        <w:t>A</w:t>
      </w:r>
      <w:r w:rsidR="00835CBD" w:rsidRPr="00D32DA4">
        <w:rPr>
          <w:rFonts w:ascii="Times New Roman" w:hAnsi="Times New Roman"/>
        </w:rPr>
        <w:t>UTHOR INFORMATION</w:t>
      </w:r>
    </w:p>
    <w:p w14:paraId="3D9BE866" w14:textId="77777777" w:rsidR="00E75388" w:rsidRPr="00D32DA4" w:rsidRDefault="00101D1F" w:rsidP="005D2065">
      <w:pPr>
        <w:pStyle w:val="FAAuthorInfoSubtitle"/>
        <w:rPr>
          <w:rFonts w:ascii="Times New Roman" w:hAnsi="Times New Roman"/>
        </w:rPr>
      </w:pPr>
      <w:r w:rsidRPr="00D32DA4">
        <w:rPr>
          <w:rFonts w:ascii="Times New Roman" w:hAnsi="Times New Roman"/>
        </w:rPr>
        <w:t>Corresponding Author</w:t>
      </w:r>
    </w:p>
    <w:p w14:paraId="212F6B58" w14:textId="128B2B2A" w:rsidR="007331FF" w:rsidRPr="00D32DA4" w:rsidRDefault="005327A4" w:rsidP="00A36D1A">
      <w:pPr>
        <w:pStyle w:val="StyleFACorrespondingAuthorFootnote7pt"/>
      </w:pPr>
      <w:r w:rsidRPr="00D32DA4">
        <w:t xml:space="preserve">* </w:t>
      </w:r>
      <w:r w:rsidR="001667D9" w:rsidRPr="00D32DA4">
        <w:t>Bruno.linclau@soton.ac.uk</w:t>
      </w:r>
      <w:r w:rsidR="003E5207" w:rsidRPr="00D32DA4">
        <w:t>.</w:t>
      </w:r>
    </w:p>
    <w:p w14:paraId="72261B49" w14:textId="77777777" w:rsidR="005327A4" w:rsidRPr="00D32DA4" w:rsidRDefault="008D567C" w:rsidP="005D2065">
      <w:pPr>
        <w:pStyle w:val="FAAuthorInfoSubtitle"/>
        <w:rPr>
          <w:rFonts w:ascii="Times New Roman" w:hAnsi="Times New Roman"/>
        </w:rPr>
      </w:pPr>
      <w:r w:rsidRPr="00D32DA4">
        <w:rPr>
          <w:rFonts w:ascii="Times New Roman" w:hAnsi="Times New Roman"/>
        </w:rPr>
        <w:t>Author Contributions</w:t>
      </w:r>
    </w:p>
    <w:p w14:paraId="3AF1C2DF" w14:textId="65BE813E" w:rsidR="005327A4" w:rsidRPr="00D32DA4" w:rsidRDefault="008D567C" w:rsidP="00A36D1A">
      <w:pPr>
        <w:pStyle w:val="StyleFACorrespondingAuthorFootnote7pt"/>
      </w:pPr>
      <w:r w:rsidRPr="00D32DA4">
        <w:t>All authors have given approval to the final version of the manuscript</w:t>
      </w:r>
      <w:r w:rsidR="001667D9" w:rsidRPr="00D32DA4">
        <w:t>.</w:t>
      </w:r>
    </w:p>
    <w:p w14:paraId="38F5AF1A" w14:textId="73D6FC16" w:rsidR="00140F54" w:rsidRPr="00D32DA4" w:rsidRDefault="00140F54" w:rsidP="00140F54">
      <w:pPr>
        <w:pStyle w:val="FAAuthorInfoSubtitle"/>
        <w:rPr>
          <w:rFonts w:ascii="Times New Roman" w:hAnsi="Times New Roman"/>
        </w:rPr>
      </w:pPr>
      <w:r w:rsidRPr="00D32DA4">
        <w:rPr>
          <w:rFonts w:ascii="Times New Roman" w:hAnsi="Times New Roman"/>
        </w:rPr>
        <w:t>Note</w:t>
      </w:r>
      <w:r w:rsidR="00D80019" w:rsidRPr="00D32DA4">
        <w:rPr>
          <w:rFonts w:ascii="Times New Roman" w:hAnsi="Times New Roman"/>
        </w:rPr>
        <w:t>s</w:t>
      </w:r>
    </w:p>
    <w:p w14:paraId="444B44A6" w14:textId="5E6B5BF9" w:rsidR="00140F54" w:rsidRPr="00D32DA4" w:rsidRDefault="00140F54" w:rsidP="00A36D1A">
      <w:pPr>
        <w:pStyle w:val="StyleFACorrespondingAuthorFootnote7pt"/>
      </w:pPr>
      <w:r w:rsidRPr="00D32DA4">
        <w:t>The authors declare no co</w:t>
      </w:r>
      <w:r w:rsidR="007346BF">
        <w:t>m</w:t>
      </w:r>
      <w:r w:rsidRPr="00D32DA4">
        <w:t xml:space="preserve">peting financial interest. </w:t>
      </w:r>
    </w:p>
    <w:p w14:paraId="4924E96F" w14:textId="77777777" w:rsidR="007331FF" w:rsidRPr="00D32DA4" w:rsidRDefault="007331FF" w:rsidP="007331FF">
      <w:pPr>
        <w:pStyle w:val="TDAckTitle"/>
        <w:rPr>
          <w:rFonts w:ascii="Times New Roman" w:hAnsi="Times New Roman"/>
        </w:rPr>
      </w:pPr>
      <w:r w:rsidRPr="00D32DA4">
        <w:rPr>
          <w:rFonts w:ascii="Times New Roman" w:hAnsi="Times New Roman"/>
        </w:rPr>
        <w:t xml:space="preserve">ACKNOWLEDGMENT </w:t>
      </w:r>
    </w:p>
    <w:p w14:paraId="242960BE" w14:textId="66B663AC" w:rsidR="00140F54" w:rsidRPr="00D32DA4" w:rsidRDefault="00140F54" w:rsidP="00A36D1A">
      <w:pPr>
        <w:pStyle w:val="StyleFACorrespondingAuthorFootnote7pt"/>
      </w:pPr>
      <w:r w:rsidRPr="00D32DA4">
        <w:t>The authors acknowledge financial support from the ERDF (LabFact: InterReg V project 121)</w:t>
      </w:r>
      <w:r w:rsidR="0060086B">
        <w:t>,</w:t>
      </w:r>
      <w:r w:rsidRPr="00D32DA4">
        <w:t xml:space="preserve"> </w:t>
      </w:r>
      <w:r w:rsidR="003E215B">
        <w:t xml:space="preserve">and </w:t>
      </w:r>
      <w:r w:rsidR="0060086B">
        <w:t>EPSRC</w:t>
      </w:r>
      <w:r w:rsidRPr="00D32DA4">
        <w:t xml:space="preserve"> (core capability EP/K039466/1).</w:t>
      </w:r>
      <w:r w:rsidR="0039425A">
        <w:t xml:space="preserve"> KK thanks NZP for funding</w:t>
      </w:r>
      <w:r w:rsidR="0088052E">
        <w:t xml:space="preserve"> and is grateful for a Denis Henry </w:t>
      </w:r>
      <w:proofErr w:type="spellStart"/>
      <w:r w:rsidR="0088052E">
        <w:t>Desty</w:t>
      </w:r>
      <w:proofErr w:type="spellEnd"/>
      <w:r w:rsidR="0088052E">
        <w:t xml:space="preserve"> PhD Scholarship</w:t>
      </w:r>
      <w:r w:rsidR="0039425A">
        <w:t>.</w:t>
      </w:r>
    </w:p>
    <w:p w14:paraId="5276D034" w14:textId="6BB392A9" w:rsidR="00101D1F" w:rsidRPr="00D32DA4" w:rsidRDefault="00101D1F" w:rsidP="00101D1F">
      <w:pPr>
        <w:pStyle w:val="TDAckTitle"/>
        <w:rPr>
          <w:rFonts w:ascii="Times New Roman" w:hAnsi="Times New Roman"/>
        </w:rPr>
      </w:pPr>
      <w:r w:rsidRPr="00D32DA4">
        <w:rPr>
          <w:rFonts w:ascii="Times New Roman" w:hAnsi="Times New Roman"/>
        </w:rPr>
        <w:t>REFERENCES</w:t>
      </w:r>
    </w:p>
    <w:p w14:paraId="3263D860" w14:textId="5C17DBC3" w:rsidR="00D8663A" w:rsidRPr="003D3D85" w:rsidRDefault="003D3D85" w:rsidP="003D3D85">
      <w:pPr>
        <w:pStyle w:val="TFReferencesSection"/>
      </w:pPr>
      <w:r w:rsidRPr="003D3D85">
        <w:t>(1</w:t>
      </w:r>
      <w:r>
        <w:t xml:space="preserve">) </w:t>
      </w:r>
      <w:r w:rsidR="004C0CB0" w:rsidRPr="003D3D85">
        <w:t xml:space="preserve">Lovering, F.; Bikker, J.; Humblet, C. Escape from Flatland: Increasing Saturation as an Approach to Improving Clinical Success. </w:t>
      </w:r>
      <w:r w:rsidR="004C0CB0" w:rsidRPr="003D3D85">
        <w:rPr>
          <w:i/>
        </w:rPr>
        <w:t>J. Med. Chem.</w:t>
      </w:r>
      <w:r w:rsidR="004C0CB0" w:rsidRPr="003D3D85">
        <w:t xml:space="preserve"> </w:t>
      </w:r>
      <w:r w:rsidR="004C0CB0" w:rsidRPr="003D3D85">
        <w:rPr>
          <w:b/>
        </w:rPr>
        <w:t>2009</w:t>
      </w:r>
      <w:r w:rsidR="004C0CB0" w:rsidRPr="003D3D85">
        <w:t>, 52 (21), 6752–6756.</w:t>
      </w:r>
      <w:r w:rsidR="002029F8" w:rsidRPr="003D3D85">
        <w:t xml:space="preserve"> </w:t>
      </w:r>
    </w:p>
    <w:p w14:paraId="2F4964FA" w14:textId="43E328CA" w:rsidR="004C0CB0" w:rsidRPr="003D3D85" w:rsidRDefault="003D3D85" w:rsidP="003D3D85">
      <w:pPr>
        <w:pStyle w:val="TFReferencesSection"/>
      </w:pPr>
      <w:r>
        <w:t xml:space="preserve">(2) </w:t>
      </w:r>
      <w:r w:rsidR="0040755D">
        <w:t xml:space="preserve">(a) </w:t>
      </w:r>
      <w:proofErr w:type="spellStart"/>
      <w:r w:rsidR="004C0CB0" w:rsidRPr="003D3D85">
        <w:t>Lovering</w:t>
      </w:r>
      <w:proofErr w:type="spellEnd"/>
      <w:r w:rsidR="004C0CB0" w:rsidRPr="003D3D85">
        <w:t xml:space="preserve">, F. Escape from Flatland 2: Complexity and Promiscuity. </w:t>
      </w:r>
      <w:r w:rsidR="003C4C99" w:rsidRPr="00B42648">
        <w:rPr>
          <w:i/>
        </w:rPr>
        <w:t>MedChemC</w:t>
      </w:r>
      <w:r w:rsidR="004C0CB0" w:rsidRPr="00B42648">
        <w:rPr>
          <w:i/>
        </w:rPr>
        <w:t>omm</w:t>
      </w:r>
      <w:r w:rsidR="004C0CB0" w:rsidRPr="003D3D85">
        <w:t xml:space="preserve"> </w:t>
      </w:r>
      <w:r w:rsidR="004C0CB0" w:rsidRPr="00B42648">
        <w:rPr>
          <w:b/>
        </w:rPr>
        <w:t>2013</w:t>
      </w:r>
      <w:r w:rsidR="004C0CB0" w:rsidRPr="003D3D85">
        <w:t>, 4 (3), 515–519.</w:t>
      </w:r>
      <w:r w:rsidR="0040755D">
        <w:t xml:space="preserve"> (b) </w:t>
      </w:r>
      <w:r w:rsidR="003E5435" w:rsidRPr="0040755D">
        <w:t xml:space="preserve">Stockdale, T. P.; Williams, C. M. Pharmaceuticals That Contain Polycyclic Hydrocarbon Scaffolds. </w:t>
      </w:r>
      <w:r w:rsidR="003E5435" w:rsidRPr="0040755D">
        <w:rPr>
          <w:i/>
          <w:iCs/>
        </w:rPr>
        <w:t>Chem. Soc. Rev.</w:t>
      </w:r>
      <w:r w:rsidR="003E5435" w:rsidRPr="0040755D">
        <w:t xml:space="preserve"> </w:t>
      </w:r>
      <w:r w:rsidR="003E5435" w:rsidRPr="0040755D">
        <w:rPr>
          <w:b/>
          <w:bCs/>
        </w:rPr>
        <w:t>2015</w:t>
      </w:r>
      <w:r w:rsidR="003E5435" w:rsidRPr="0040755D">
        <w:t xml:space="preserve">, </w:t>
      </w:r>
      <w:r w:rsidR="003E5435" w:rsidRPr="0040755D">
        <w:rPr>
          <w:i/>
          <w:iCs/>
        </w:rPr>
        <w:t>44</w:t>
      </w:r>
      <w:r w:rsidR="003E5435" w:rsidRPr="0040755D">
        <w:t xml:space="preserve"> (21), 7737–7763.</w:t>
      </w:r>
    </w:p>
    <w:p w14:paraId="3AB78F17" w14:textId="3FB3F9D3" w:rsidR="00ED4DFB" w:rsidRPr="003D3D85" w:rsidRDefault="003D3D85" w:rsidP="003D3D85">
      <w:pPr>
        <w:pStyle w:val="TFReferencesSection"/>
      </w:pPr>
      <w:r>
        <w:t xml:space="preserve">(3) </w:t>
      </w:r>
      <w:r w:rsidR="00ED4DFB" w:rsidRPr="003D3D85">
        <w:t xml:space="preserve">Hung, A. W.; Ramek, A.; Wang, Y.; Kaya, T.; Wilson, J. A.; Clemons, P. A.; Young, D. W. Route to Three-Dimensional Fragments Using Diversity-Oriented Synthesis. </w:t>
      </w:r>
      <w:r w:rsidR="00ED4DFB" w:rsidRPr="003D3D85">
        <w:rPr>
          <w:i/>
        </w:rPr>
        <w:t>Proc. Natl. Acad. Sci.</w:t>
      </w:r>
      <w:r w:rsidR="00ED4DFB" w:rsidRPr="003D3D85">
        <w:t xml:space="preserve"> </w:t>
      </w:r>
      <w:r w:rsidR="00ED4DFB" w:rsidRPr="003D3D85">
        <w:rPr>
          <w:b/>
        </w:rPr>
        <w:t>2011</w:t>
      </w:r>
      <w:r w:rsidR="00ED4DFB" w:rsidRPr="003D3D85">
        <w:t>, 108 (17), 6799–6804.</w:t>
      </w:r>
    </w:p>
    <w:p w14:paraId="2B704734" w14:textId="2A660B8F" w:rsidR="00ED4DFB" w:rsidRPr="003D3D85" w:rsidRDefault="003D3D85" w:rsidP="003D3D85">
      <w:pPr>
        <w:pStyle w:val="TFReferencesSection"/>
      </w:pPr>
      <w:r>
        <w:t xml:space="preserve">(4) </w:t>
      </w:r>
      <w:r w:rsidR="00ED4DFB" w:rsidRPr="003D3D85">
        <w:t xml:space="preserve">Chalmers, B. A.; Xing, H.; Houston, S.; Clark, C.; Ghassabian, S.; Kuo, A.; Cao, B.; Reitsma, A.; Murray, C.-E. P.; Stok, J. E.; et al. Validating Eaton’s Hypothesis: Cubane as a Benzene Bioisostere. </w:t>
      </w:r>
      <w:r w:rsidR="00ED4DFB" w:rsidRPr="00B42648">
        <w:rPr>
          <w:i/>
        </w:rPr>
        <w:t>Angew. Chem. Int. Ed.</w:t>
      </w:r>
      <w:r w:rsidR="00ED4DFB" w:rsidRPr="003D3D85">
        <w:t xml:space="preserve"> </w:t>
      </w:r>
      <w:r w:rsidR="00ED4DFB" w:rsidRPr="00B42648">
        <w:rPr>
          <w:b/>
        </w:rPr>
        <w:t>2016</w:t>
      </w:r>
      <w:r w:rsidR="00ED4DFB" w:rsidRPr="003D3D85">
        <w:t>, 55 (11), 3580–3585.</w:t>
      </w:r>
    </w:p>
    <w:p w14:paraId="0BCF31CF" w14:textId="15DE41CA" w:rsidR="00ED4DFB" w:rsidRPr="003D3D85" w:rsidRDefault="003D3D85" w:rsidP="003D3D85">
      <w:pPr>
        <w:pStyle w:val="TFReferencesSection"/>
      </w:pPr>
      <w:r>
        <w:t xml:space="preserve">(5) </w:t>
      </w:r>
      <w:r w:rsidR="00ED4DFB" w:rsidRPr="003D3D85">
        <w:t xml:space="preserve">Mykhailiuk, P. K. Saturated Bioisosteres of Benzene: Where to Go Next? </w:t>
      </w:r>
      <w:r w:rsidR="00ED4DFB" w:rsidRPr="00B42648">
        <w:rPr>
          <w:i/>
        </w:rPr>
        <w:t>Org. Biomol. Chem.</w:t>
      </w:r>
      <w:r w:rsidR="00ED4DFB" w:rsidRPr="003D3D85">
        <w:t xml:space="preserve"> </w:t>
      </w:r>
      <w:r w:rsidR="00ED4DFB" w:rsidRPr="00B42648">
        <w:rPr>
          <w:b/>
        </w:rPr>
        <w:t>2019</w:t>
      </w:r>
      <w:r w:rsidR="00ED4DFB" w:rsidRPr="003D3D85">
        <w:t>, 17 (11), 2839–2849.</w:t>
      </w:r>
    </w:p>
    <w:p w14:paraId="7D9DD19A" w14:textId="05A0DD2A" w:rsidR="00ED4DFB" w:rsidRPr="003D3D85" w:rsidRDefault="003D3D85" w:rsidP="003D3D85">
      <w:pPr>
        <w:pStyle w:val="TFReferencesSection"/>
      </w:pPr>
      <w:r>
        <w:t xml:space="preserve">(6) </w:t>
      </w:r>
      <w:r w:rsidR="00ED4DFB" w:rsidRPr="003D3D85">
        <w:t xml:space="preserve">Reekie, T. A.; Williams, C. M.; Rendina, L. M.; Kassiou, M. Cubanes in Medicinal Chemistry. </w:t>
      </w:r>
      <w:r w:rsidR="00ED4DFB" w:rsidRPr="00B42648">
        <w:rPr>
          <w:i/>
        </w:rPr>
        <w:t>J. Med. Chem.</w:t>
      </w:r>
      <w:r w:rsidR="00ED4DFB" w:rsidRPr="003D3D85">
        <w:t xml:space="preserve"> </w:t>
      </w:r>
      <w:r w:rsidR="00ED4DFB" w:rsidRPr="00B42648">
        <w:rPr>
          <w:b/>
        </w:rPr>
        <w:t>2019</w:t>
      </w:r>
      <w:r w:rsidR="00ED4DFB" w:rsidRPr="003D3D85">
        <w:t>, 62 (3), 1078–1095.</w:t>
      </w:r>
    </w:p>
    <w:p w14:paraId="0931E26B" w14:textId="1CD0EF03" w:rsidR="00ED4DFB" w:rsidRPr="003D3D85" w:rsidRDefault="003D3D85" w:rsidP="003D3D85">
      <w:pPr>
        <w:pStyle w:val="TFReferencesSection"/>
      </w:pPr>
      <w:r>
        <w:rPr>
          <w:noProof/>
          <w:szCs w:val="24"/>
        </w:rPr>
        <w:t xml:space="preserve">(7) </w:t>
      </w:r>
      <w:r w:rsidR="003C4C99" w:rsidRPr="003D3D85">
        <w:rPr>
          <w:noProof/>
          <w:szCs w:val="24"/>
        </w:rPr>
        <w:t xml:space="preserve">Morrison, C. N.; Prosser, K. E.; Stokes, R. W.; Cordes, A.; Metzler-Nolte, N.; Cohen, S. M. Expanding Medicinal Chemistry into 3D Space: Metallofragments as 3D Scaffolds for Fragment-Based Drug Discovery. </w:t>
      </w:r>
      <w:r w:rsidR="003C4C99" w:rsidRPr="00B42648">
        <w:rPr>
          <w:i/>
          <w:noProof/>
          <w:szCs w:val="24"/>
        </w:rPr>
        <w:t>Chem. Sci.</w:t>
      </w:r>
      <w:r w:rsidR="003C4C99" w:rsidRPr="003D3D85">
        <w:rPr>
          <w:noProof/>
          <w:szCs w:val="24"/>
        </w:rPr>
        <w:t xml:space="preserve"> </w:t>
      </w:r>
      <w:r w:rsidR="003C4C99" w:rsidRPr="00B42648">
        <w:rPr>
          <w:b/>
          <w:noProof/>
          <w:szCs w:val="24"/>
        </w:rPr>
        <w:t>2020</w:t>
      </w:r>
      <w:r w:rsidR="003C4C99" w:rsidRPr="003D3D85">
        <w:rPr>
          <w:noProof/>
          <w:szCs w:val="24"/>
        </w:rPr>
        <w:t>, 11 (5), 1216–1225.</w:t>
      </w:r>
    </w:p>
    <w:p w14:paraId="652C3DB3" w14:textId="29585157" w:rsidR="005341F9" w:rsidRPr="003D3D85" w:rsidRDefault="003D3D85" w:rsidP="003D3D85">
      <w:pPr>
        <w:pStyle w:val="TFReferencesSection"/>
      </w:pPr>
      <w:r>
        <w:t xml:space="preserve">(8) </w:t>
      </w:r>
      <w:r w:rsidR="00761D56" w:rsidRPr="003D3D85">
        <w:t xml:space="preserve">Eaton, P. E.; Castaldi, G. Systematic Substitution on the Cubane Nucleus. Amide Activation for Metalation of “Saturated” Systems. </w:t>
      </w:r>
      <w:r w:rsidR="00761D56" w:rsidRPr="00B42648">
        <w:rPr>
          <w:i/>
        </w:rPr>
        <w:t>J. Am. Chem. Soc.</w:t>
      </w:r>
      <w:r w:rsidR="00761D56" w:rsidRPr="003D3D85">
        <w:t xml:space="preserve"> </w:t>
      </w:r>
      <w:r w:rsidR="00761D56" w:rsidRPr="00B42648">
        <w:rPr>
          <w:b/>
        </w:rPr>
        <w:t>1985</w:t>
      </w:r>
      <w:r w:rsidR="00761D56" w:rsidRPr="003D3D85">
        <w:t>, 107 (3), 724–726.</w:t>
      </w:r>
    </w:p>
    <w:p w14:paraId="493A85ED" w14:textId="705DD7F1" w:rsidR="00F60DA7" w:rsidRPr="003D3D85" w:rsidRDefault="003D3D85" w:rsidP="003D3D85">
      <w:pPr>
        <w:pStyle w:val="TFReferencesSection"/>
      </w:pPr>
      <w:r>
        <w:t xml:space="preserve">(9) </w:t>
      </w:r>
      <w:r w:rsidR="005341F9" w:rsidRPr="003D3D85">
        <w:t>(a) Eaton, P. E.; Cunkle, G. T.; Marchioro, G.; Martin, R. M. Reverse Transmetalation: A Strategy for Obtaining Certain Otherwise</w:t>
      </w:r>
      <w:r w:rsidR="00934E5D">
        <w:t>ize</w:t>
      </w:r>
      <w:r w:rsidR="005341F9" w:rsidRPr="003D3D85">
        <w:t xml:space="preserve"> Difficultly Accessible Organometallics. </w:t>
      </w:r>
      <w:r w:rsidR="005341F9" w:rsidRPr="00B42648">
        <w:rPr>
          <w:i/>
        </w:rPr>
        <w:t>J. Am. Chem. Soc</w:t>
      </w:r>
      <w:r w:rsidR="005341F9" w:rsidRPr="003D3D85">
        <w:t xml:space="preserve">. </w:t>
      </w:r>
      <w:r w:rsidR="005341F9" w:rsidRPr="00B42648">
        <w:rPr>
          <w:b/>
        </w:rPr>
        <w:t>1987</w:t>
      </w:r>
      <w:r w:rsidR="005341F9" w:rsidRPr="003D3D85">
        <w:t xml:space="preserve">, 109 (3), 948–949. (b) Eaton, P. E.; Lee, C. H.; Xiong, Y. Magnesium Amide Bases and Amido-Grignards. 1. Ortho Magnesiation. </w:t>
      </w:r>
      <w:r w:rsidR="005341F9" w:rsidRPr="00B42648">
        <w:rPr>
          <w:i/>
        </w:rPr>
        <w:t>J. Am. Chem.</w:t>
      </w:r>
      <w:r w:rsidR="005341F9" w:rsidRPr="003D3D85">
        <w:t xml:space="preserve"> </w:t>
      </w:r>
      <w:r w:rsidR="005341F9" w:rsidRPr="00B42648">
        <w:rPr>
          <w:i/>
        </w:rPr>
        <w:t>Soc</w:t>
      </w:r>
      <w:r w:rsidR="005341F9" w:rsidRPr="003D3D85">
        <w:t xml:space="preserve">. </w:t>
      </w:r>
      <w:r w:rsidR="005341F9" w:rsidRPr="00B42648">
        <w:rPr>
          <w:b/>
        </w:rPr>
        <w:t>1989</w:t>
      </w:r>
      <w:r w:rsidR="005341F9" w:rsidRPr="003D3D85">
        <w:t xml:space="preserve">, 111 (20), 8016–8018. (c) Eaton, P. E.; Tsanaktsidis, J. The Reactions of 1,4-Dihalocubanes with Organolithiums. The Case for 1,4-Cubadiyl. </w:t>
      </w:r>
      <w:r w:rsidR="005341F9" w:rsidRPr="00B42648">
        <w:rPr>
          <w:i/>
        </w:rPr>
        <w:t>J. Am. Chem. Soc.</w:t>
      </w:r>
      <w:r w:rsidR="005341F9" w:rsidRPr="003D3D85">
        <w:t xml:space="preserve"> </w:t>
      </w:r>
      <w:r w:rsidR="005341F9" w:rsidRPr="00B42648">
        <w:rPr>
          <w:b/>
        </w:rPr>
        <w:t>1990</w:t>
      </w:r>
      <w:r w:rsidR="005341F9" w:rsidRPr="003D3D85">
        <w:t xml:space="preserve">, 112 (2), 876–878. (d) Castaldi, G.; Colombo, R.; Allegrini, P. A Convenient Synthetic Route to 1,2,4-Tri and 1,3-Disubstituted Cubanes. </w:t>
      </w:r>
      <w:r w:rsidR="005341F9" w:rsidRPr="00B42648">
        <w:rPr>
          <w:i/>
        </w:rPr>
        <w:t>Tetrahedron Lett.</w:t>
      </w:r>
      <w:r w:rsidR="005341F9" w:rsidRPr="003D3D85">
        <w:t xml:space="preserve"> </w:t>
      </w:r>
      <w:r w:rsidR="005341F9" w:rsidRPr="00B42648">
        <w:rPr>
          <w:b/>
        </w:rPr>
        <w:t>1991</w:t>
      </w:r>
      <w:r w:rsidR="005341F9" w:rsidRPr="003D3D85">
        <w:t xml:space="preserve">, 32 (19), 2173–2176. (e) Eaton, P. E.; Xiong, Y.; Zhou, J. P. Systematic Substitution on the Cubane Nucleus: Steric and Electronic Effects. </w:t>
      </w:r>
      <w:r w:rsidR="005341F9" w:rsidRPr="00B42648">
        <w:rPr>
          <w:i/>
        </w:rPr>
        <w:t>J. Org. Chem.</w:t>
      </w:r>
      <w:r w:rsidR="005341F9" w:rsidRPr="003D3D85">
        <w:t xml:space="preserve"> </w:t>
      </w:r>
      <w:r w:rsidR="005341F9" w:rsidRPr="00B42648">
        <w:rPr>
          <w:b/>
        </w:rPr>
        <w:t>1992</w:t>
      </w:r>
      <w:r w:rsidR="005341F9" w:rsidRPr="003D3D85">
        <w:t xml:space="preserve">, 57 (15), 4277–4281. (f) Eaton, P. E.; Xiong, Y.; Gilardi, R. Systematic Substitution on the Cubane Nucleus. Synthesis and Properties of 1,3,5-Trinitrocubane and 1,3,5,7-Tetranitrocubane. </w:t>
      </w:r>
      <w:r w:rsidR="005341F9" w:rsidRPr="00B42648">
        <w:rPr>
          <w:i/>
        </w:rPr>
        <w:t>J. Am. Chem. Soc.</w:t>
      </w:r>
      <w:r w:rsidR="005341F9" w:rsidRPr="003D3D85">
        <w:t xml:space="preserve"> </w:t>
      </w:r>
      <w:r w:rsidR="005341F9" w:rsidRPr="00B42648">
        <w:rPr>
          <w:b/>
        </w:rPr>
        <w:t>1993</w:t>
      </w:r>
      <w:r w:rsidR="005341F9" w:rsidRPr="003D3D85">
        <w:t>, 115 (22), 10195–10202.</w:t>
      </w:r>
    </w:p>
    <w:p w14:paraId="2201DA40" w14:textId="47E2CA78" w:rsidR="00943ECE" w:rsidRPr="003D3D85" w:rsidRDefault="003D3D85" w:rsidP="003D3D85">
      <w:pPr>
        <w:pStyle w:val="TFReferencesSection"/>
      </w:pPr>
      <w:r>
        <w:t xml:space="preserve">(10) </w:t>
      </w:r>
      <w:r w:rsidR="00943ECE" w:rsidRPr="003D3D85">
        <w:t xml:space="preserve">(a) </w:t>
      </w:r>
      <w:r w:rsidR="005341F9" w:rsidRPr="003D3D85">
        <w:t xml:space="preserve">Bashir-Hashemi, A. New Developments in Cubane Chemistry: Phenylcubanes. </w:t>
      </w:r>
      <w:r w:rsidR="005341F9" w:rsidRPr="00B42648">
        <w:rPr>
          <w:i/>
        </w:rPr>
        <w:t>J. Am. Chem. Soc.</w:t>
      </w:r>
      <w:r w:rsidR="005341F9" w:rsidRPr="003D3D85">
        <w:t xml:space="preserve"> </w:t>
      </w:r>
      <w:r w:rsidR="005341F9" w:rsidRPr="00B42648">
        <w:rPr>
          <w:b/>
        </w:rPr>
        <w:t>1988</w:t>
      </w:r>
      <w:r w:rsidR="005341F9" w:rsidRPr="003D3D85">
        <w:t>, 110 (21), 7234–7235.</w:t>
      </w:r>
      <w:r w:rsidR="00943ECE" w:rsidRPr="003D3D85">
        <w:t xml:space="preserve"> </w:t>
      </w:r>
      <w:r w:rsidR="00943ECE" w:rsidRPr="003D3D85">
        <w:lastRenderedPageBreak/>
        <w:t xml:space="preserve">(b) Kato, Y.; Williams, C. M.; Uchiyama, M.; Matsubara, S. A Protocol for an Iodine-Metal Exchange Reaction on Cubane Using Lithium Organozincates. </w:t>
      </w:r>
      <w:r w:rsidR="00943ECE" w:rsidRPr="00B42648">
        <w:rPr>
          <w:i/>
        </w:rPr>
        <w:t>Org. Lett.</w:t>
      </w:r>
      <w:r w:rsidR="00943ECE" w:rsidRPr="003D3D85">
        <w:t xml:space="preserve"> </w:t>
      </w:r>
      <w:r w:rsidR="00943ECE" w:rsidRPr="00B42648">
        <w:rPr>
          <w:b/>
        </w:rPr>
        <w:t>2019</w:t>
      </w:r>
      <w:r w:rsidR="00943ECE" w:rsidRPr="003D3D85">
        <w:t xml:space="preserve">, 21 (2), 473–475. (c) Okude, R.; Mori, G.; Yagi, A.; Itami, K. Programmable Synthesis of Multiply Arylated Cubanes through C–H Metalation and Arylation. </w:t>
      </w:r>
      <w:r w:rsidR="00943ECE" w:rsidRPr="00B42648">
        <w:rPr>
          <w:i/>
        </w:rPr>
        <w:t>Chem. Sci.</w:t>
      </w:r>
      <w:r w:rsidR="00943ECE" w:rsidRPr="003D3D85">
        <w:t xml:space="preserve"> </w:t>
      </w:r>
      <w:r w:rsidR="00943ECE" w:rsidRPr="00B42648">
        <w:rPr>
          <w:b/>
        </w:rPr>
        <w:t>2020</w:t>
      </w:r>
      <w:r w:rsidR="00943ECE" w:rsidRPr="003D3D85">
        <w:t xml:space="preserve">, 11 (29), 7672–7675. (d) Yoshino, N.; Kato, Y.; Mabit, T.; Nagata, Y.; Williams, C. M.; Harada, M.; Muranaka, A.; Uchiyama, M.; Matsubara, S. Cubane Chirality via Substitution of a “Hidden” Regular Tetrahedron. </w:t>
      </w:r>
      <w:r w:rsidR="00943ECE" w:rsidRPr="00B42648">
        <w:rPr>
          <w:i/>
        </w:rPr>
        <w:t>Org. Lett.</w:t>
      </w:r>
      <w:r w:rsidR="00943ECE" w:rsidRPr="003D3D85">
        <w:t xml:space="preserve"> </w:t>
      </w:r>
      <w:r w:rsidR="00943ECE" w:rsidRPr="00B42648">
        <w:rPr>
          <w:b/>
        </w:rPr>
        <w:t>2020</w:t>
      </w:r>
      <w:r w:rsidR="00943ECE" w:rsidRPr="003D3D85">
        <w:t>, 22 (11), 4083–4087.</w:t>
      </w:r>
    </w:p>
    <w:p w14:paraId="3918A7E9" w14:textId="21DB2EE4" w:rsidR="00916AB4" w:rsidRPr="003D3D85" w:rsidRDefault="003D3D85" w:rsidP="003D3D85">
      <w:pPr>
        <w:pStyle w:val="TFReferencesSection"/>
      </w:pPr>
      <w:r>
        <w:rPr>
          <w:noProof/>
          <w:szCs w:val="24"/>
        </w:rPr>
        <w:t xml:space="preserve">(11) </w:t>
      </w:r>
      <w:r w:rsidR="007428D9">
        <w:rPr>
          <w:noProof/>
          <w:szCs w:val="24"/>
        </w:rPr>
        <w:t xml:space="preserve">(a) </w:t>
      </w:r>
      <w:r w:rsidR="00916AB4" w:rsidRPr="003D3D85">
        <w:rPr>
          <w:noProof/>
          <w:szCs w:val="24"/>
        </w:rPr>
        <w:t xml:space="preserve">White, M. C. Adding Aliphatic C-H Bond Oxidations to Synthesis. </w:t>
      </w:r>
      <w:r w:rsidR="00916AB4" w:rsidRPr="00B42648">
        <w:rPr>
          <w:i/>
          <w:noProof/>
          <w:szCs w:val="24"/>
        </w:rPr>
        <w:t>Science</w:t>
      </w:r>
      <w:r w:rsidR="00916AB4" w:rsidRPr="003D3D85">
        <w:rPr>
          <w:noProof/>
          <w:szCs w:val="24"/>
        </w:rPr>
        <w:t xml:space="preserve"> </w:t>
      </w:r>
      <w:r w:rsidR="00916AB4" w:rsidRPr="00B42648">
        <w:rPr>
          <w:b/>
          <w:noProof/>
          <w:szCs w:val="24"/>
        </w:rPr>
        <w:t>2012</w:t>
      </w:r>
      <w:r w:rsidR="00916AB4" w:rsidRPr="003D3D85">
        <w:rPr>
          <w:noProof/>
          <w:szCs w:val="24"/>
        </w:rPr>
        <w:t>, 335 (6070), 807–809.</w:t>
      </w:r>
      <w:r w:rsidR="003E5435" w:rsidRPr="003E5435">
        <w:rPr>
          <w:noProof/>
          <w:szCs w:val="24"/>
        </w:rPr>
        <w:t xml:space="preserve"> </w:t>
      </w:r>
      <w:r w:rsidR="003E5435">
        <w:rPr>
          <w:noProof/>
          <w:szCs w:val="24"/>
        </w:rPr>
        <w:t xml:space="preserve">(b) </w:t>
      </w:r>
      <w:r w:rsidR="003E5435" w:rsidRPr="007428D9">
        <w:rPr>
          <w:noProof/>
          <w:szCs w:val="24"/>
        </w:rPr>
        <w:t xml:space="preserve">Houston, S. D.; Chalmers, B. A.; Savage, G. P.; Williams, C. M. </w:t>
      </w:r>
      <w:r w:rsidR="003E5435">
        <w:rPr>
          <w:noProof/>
          <w:szCs w:val="24"/>
        </w:rPr>
        <w:t>Enantioselective Synthesis of (</w:t>
      </w:r>
      <w:r w:rsidR="003E5435" w:rsidRPr="007428D9">
        <w:rPr>
          <w:i/>
          <w:noProof/>
          <w:szCs w:val="24"/>
        </w:rPr>
        <w:t>R</w:t>
      </w:r>
      <w:r w:rsidR="003E5435" w:rsidRPr="007428D9">
        <w:rPr>
          <w:noProof/>
          <w:szCs w:val="24"/>
        </w:rPr>
        <w:t xml:space="preserve">)-2-Cubylglycine Including Unprecedented Rhodium Mediated C–H Insertion of Cubane. </w:t>
      </w:r>
      <w:r w:rsidR="003E5435" w:rsidRPr="007428D9">
        <w:rPr>
          <w:i/>
          <w:iCs/>
          <w:noProof/>
          <w:szCs w:val="24"/>
        </w:rPr>
        <w:t>Org. Biomol. Chem.</w:t>
      </w:r>
      <w:r w:rsidR="003E5435" w:rsidRPr="007428D9">
        <w:rPr>
          <w:noProof/>
          <w:szCs w:val="24"/>
        </w:rPr>
        <w:t xml:space="preserve"> </w:t>
      </w:r>
      <w:r w:rsidR="003E5435" w:rsidRPr="007428D9">
        <w:rPr>
          <w:b/>
          <w:bCs/>
          <w:noProof/>
          <w:szCs w:val="24"/>
        </w:rPr>
        <w:t>2019</w:t>
      </w:r>
      <w:r w:rsidR="003E5435" w:rsidRPr="007428D9">
        <w:rPr>
          <w:noProof/>
          <w:szCs w:val="24"/>
        </w:rPr>
        <w:t xml:space="preserve">, </w:t>
      </w:r>
      <w:r w:rsidR="003E5435" w:rsidRPr="007428D9">
        <w:rPr>
          <w:i/>
          <w:iCs/>
          <w:noProof/>
          <w:szCs w:val="24"/>
        </w:rPr>
        <w:t>17</w:t>
      </w:r>
      <w:r w:rsidR="003E5435" w:rsidRPr="007428D9">
        <w:rPr>
          <w:noProof/>
          <w:szCs w:val="24"/>
        </w:rPr>
        <w:t xml:space="preserve"> (5), 1067–1070.</w:t>
      </w:r>
      <w:r w:rsidR="003E5435">
        <w:rPr>
          <w:noProof/>
          <w:szCs w:val="24"/>
        </w:rPr>
        <w:t xml:space="preserve"> (c) </w:t>
      </w:r>
      <w:r w:rsidR="003E5435" w:rsidRPr="00E7610B">
        <w:rPr>
          <w:noProof/>
          <w:szCs w:val="24"/>
        </w:rPr>
        <w:t xml:space="preserve">Grover, N.; Senge, M. O. Synthetic Advances in the C–H </w:t>
      </w:r>
      <w:r w:rsidR="003E5435" w:rsidRPr="00E7610B">
        <w:rPr>
          <w:noProof/>
          <w:szCs w:val="17"/>
        </w:rPr>
        <w:t xml:space="preserve">Activation of Rigid Scaffold Molecules. </w:t>
      </w:r>
      <w:r w:rsidR="003E5435" w:rsidRPr="00E7610B">
        <w:rPr>
          <w:i/>
          <w:iCs/>
          <w:noProof/>
          <w:szCs w:val="17"/>
        </w:rPr>
        <w:t>Synthesis</w:t>
      </w:r>
      <w:r w:rsidR="003E5435" w:rsidRPr="00E7610B">
        <w:rPr>
          <w:noProof/>
          <w:szCs w:val="17"/>
        </w:rPr>
        <w:t xml:space="preserve"> </w:t>
      </w:r>
      <w:r w:rsidR="003E5435" w:rsidRPr="00E7610B">
        <w:rPr>
          <w:b/>
          <w:bCs/>
          <w:noProof/>
          <w:szCs w:val="17"/>
        </w:rPr>
        <w:t>2020</w:t>
      </w:r>
      <w:r w:rsidR="003E5435" w:rsidRPr="00E7610B">
        <w:rPr>
          <w:noProof/>
          <w:szCs w:val="17"/>
        </w:rPr>
        <w:t xml:space="preserve">, </w:t>
      </w:r>
      <w:r w:rsidR="003E5435" w:rsidRPr="00E7610B">
        <w:rPr>
          <w:i/>
          <w:iCs/>
          <w:noProof/>
          <w:szCs w:val="17"/>
        </w:rPr>
        <w:t>52</w:t>
      </w:r>
      <w:r w:rsidR="003E5435" w:rsidRPr="00E7610B">
        <w:rPr>
          <w:noProof/>
          <w:szCs w:val="17"/>
        </w:rPr>
        <w:t xml:space="preserve"> (22), 3295–3325.</w:t>
      </w:r>
      <w:r w:rsidR="00E7610B">
        <w:rPr>
          <w:rFonts w:ascii="Times New Roman" w:hAnsi="Times New Roman"/>
          <w:noProof/>
          <w:sz w:val="16"/>
          <w:szCs w:val="24"/>
        </w:rPr>
        <w:t xml:space="preserve">  </w:t>
      </w:r>
    </w:p>
    <w:p w14:paraId="0F96A88F" w14:textId="620AE6FF" w:rsidR="00916AB4" w:rsidRPr="003D3D85" w:rsidRDefault="003D3D85" w:rsidP="003D3D85">
      <w:pPr>
        <w:pStyle w:val="TFReferencesSection"/>
      </w:pPr>
      <w:r>
        <w:t xml:space="preserve">(12) </w:t>
      </w:r>
      <w:r w:rsidR="00916AB4" w:rsidRPr="003D3D85">
        <w:t xml:space="preserve">(a) Newhouse, T.; Baran, P. S. If C-H Bonds Could Talk: Selective C-H Bond Oxidation. </w:t>
      </w:r>
      <w:r w:rsidR="00916AB4" w:rsidRPr="00F26721">
        <w:rPr>
          <w:i/>
        </w:rPr>
        <w:t xml:space="preserve">Angew. Chem. Int. Ed. </w:t>
      </w:r>
      <w:r w:rsidR="00916AB4" w:rsidRPr="00F26721">
        <w:rPr>
          <w:b/>
        </w:rPr>
        <w:t>2011</w:t>
      </w:r>
      <w:r w:rsidR="00916AB4" w:rsidRPr="003D3D85">
        <w:t xml:space="preserve">, 50 (15), 3362–3374. (b) Xue, X.-S.; Ji, P.; Zhou, B.; Cheng, J.-P. The Essential Role of Bond Energetics in C–H Activation/Functionalization. </w:t>
      </w:r>
      <w:r w:rsidR="00916AB4" w:rsidRPr="00B42648">
        <w:rPr>
          <w:i/>
        </w:rPr>
        <w:t xml:space="preserve">Chem. Rev. </w:t>
      </w:r>
      <w:r w:rsidR="00916AB4" w:rsidRPr="00B42648">
        <w:rPr>
          <w:b/>
        </w:rPr>
        <w:t>2017</w:t>
      </w:r>
      <w:r w:rsidR="00916AB4" w:rsidRPr="003D3D85">
        <w:t xml:space="preserve">, 117 (13), 8622–8648. </w:t>
      </w:r>
    </w:p>
    <w:p w14:paraId="4E9C0161" w14:textId="29DBBE9A" w:rsidR="00916AB4" w:rsidRPr="003D3D85" w:rsidRDefault="003D3D85" w:rsidP="003D3D85">
      <w:pPr>
        <w:pStyle w:val="TFReferencesSection"/>
      </w:pPr>
      <w:r>
        <w:t xml:space="preserve">(13) </w:t>
      </w:r>
      <w:r w:rsidR="00916AB4" w:rsidRPr="003D3D85">
        <w:t xml:space="preserve">Agapito, F.; Santos, R. C.; Borges Dos Santos, R. M.; Martinho Simões, J. A. The Thermochemistry of Cubane 50 Years after Its Synthesis: A High-Level Theoretical Study of Cubane and Its Derivatives. </w:t>
      </w:r>
      <w:r w:rsidR="00916AB4" w:rsidRPr="00B42648">
        <w:rPr>
          <w:i/>
        </w:rPr>
        <w:t>J. Phys. Chem. A</w:t>
      </w:r>
      <w:r w:rsidR="00916AB4" w:rsidRPr="003D3D85">
        <w:t xml:space="preserve"> </w:t>
      </w:r>
      <w:r w:rsidR="00916AB4" w:rsidRPr="00B42648">
        <w:rPr>
          <w:b/>
        </w:rPr>
        <w:t>2015</w:t>
      </w:r>
      <w:r w:rsidR="00916AB4" w:rsidRPr="003D3D85">
        <w:t>, 119 (12), 2998–3007.</w:t>
      </w:r>
    </w:p>
    <w:p w14:paraId="43544E06" w14:textId="1D939766" w:rsidR="008F242A" w:rsidRPr="003D3D85" w:rsidRDefault="003D3D85" w:rsidP="003D3D85">
      <w:pPr>
        <w:pStyle w:val="TFReferencesSection"/>
      </w:pPr>
      <w:r>
        <w:t xml:space="preserve">(14) </w:t>
      </w:r>
      <w:r w:rsidR="008F242A" w:rsidRPr="003D3D85">
        <w:t xml:space="preserve">Della, E. W.; Head, N. J.; Mallon, P.; Walton, J. C. Homolytic Reactions of Cubanes. Generation and Characterization of Cubyl and Cubylcarbinyl Radicals. </w:t>
      </w:r>
      <w:r w:rsidR="008F242A" w:rsidRPr="00B42648">
        <w:rPr>
          <w:i/>
        </w:rPr>
        <w:t>J. Am. Chem. Soc.</w:t>
      </w:r>
      <w:r w:rsidR="008F242A" w:rsidRPr="003D3D85">
        <w:t xml:space="preserve"> </w:t>
      </w:r>
      <w:r w:rsidR="008F242A" w:rsidRPr="00B42648">
        <w:rPr>
          <w:b/>
        </w:rPr>
        <w:t>1992</w:t>
      </w:r>
      <w:r w:rsidR="008F242A" w:rsidRPr="00B42648">
        <w:t>,</w:t>
      </w:r>
      <w:r w:rsidR="008F242A" w:rsidRPr="003D3D85">
        <w:t xml:space="preserve"> 114 (27), 10730–10738.</w:t>
      </w:r>
    </w:p>
    <w:p w14:paraId="5BF4129A" w14:textId="3A31C015" w:rsidR="008F242A" w:rsidRPr="003D3D85" w:rsidRDefault="003D3D85" w:rsidP="003D3D85">
      <w:pPr>
        <w:pStyle w:val="TFReferencesSection"/>
      </w:pPr>
      <w:r>
        <w:t xml:space="preserve">(15) </w:t>
      </w:r>
      <w:r w:rsidR="008F242A" w:rsidRPr="003D3D85">
        <w:t xml:space="preserve">Kharasch, M. S.; Brown, H. C. Carboxylation. I. The Photochemical and Peroxide-Catalyzed Reactions of Oxalyl Chloride with Paraffin Hydrocarbons. </w:t>
      </w:r>
      <w:r w:rsidR="008F242A" w:rsidRPr="00B42648">
        <w:rPr>
          <w:i/>
        </w:rPr>
        <w:t>J. Am. Chem. Soc.</w:t>
      </w:r>
      <w:r w:rsidR="008F242A" w:rsidRPr="003D3D85">
        <w:t xml:space="preserve"> </w:t>
      </w:r>
      <w:r w:rsidR="008F242A" w:rsidRPr="00B42648">
        <w:rPr>
          <w:b/>
        </w:rPr>
        <w:t>1942</w:t>
      </w:r>
      <w:r w:rsidR="008F242A" w:rsidRPr="003D3D85">
        <w:t xml:space="preserve">, 64 (2), 329–333. </w:t>
      </w:r>
    </w:p>
    <w:p w14:paraId="3072ED2F" w14:textId="77326C26" w:rsidR="008F242A" w:rsidRPr="003D3D85" w:rsidRDefault="003D3D85" w:rsidP="003D3D85">
      <w:pPr>
        <w:pStyle w:val="TFReferencesSection"/>
      </w:pPr>
      <w:r>
        <w:t xml:space="preserve">(16) </w:t>
      </w:r>
      <w:r w:rsidR="008F242A" w:rsidRPr="003D3D85">
        <w:t xml:space="preserve">(a) Bashir‐Hashemi, A. Photochemical Carboxylation of Cubanes. </w:t>
      </w:r>
      <w:r w:rsidR="008F242A" w:rsidRPr="00B42648">
        <w:rPr>
          <w:i/>
        </w:rPr>
        <w:t>Angew. Chemie Int. Ed.</w:t>
      </w:r>
      <w:r w:rsidR="008F242A" w:rsidRPr="003D3D85">
        <w:t xml:space="preserve"> </w:t>
      </w:r>
      <w:r w:rsidR="008F242A" w:rsidRPr="00B42648">
        <w:rPr>
          <w:b/>
        </w:rPr>
        <w:t>1993</w:t>
      </w:r>
      <w:r w:rsidR="008F242A" w:rsidRPr="003D3D85">
        <w:t xml:space="preserve">, 32 (4), 612–613. (b) Bashir-Hashemi, A.; Li, J.; Gelber, N.; Ammon, H. Photochemical Functionalization of Cubanes. </w:t>
      </w:r>
      <w:r w:rsidR="008F242A" w:rsidRPr="00B42648">
        <w:rPr>
          <w:i/>
        </w:rPr>
        <w:t>J. Org. Chem.</w:t>
      </w:r>
      <w:r w:rsidR="008F242A" w:rsidRPr="003D3D85">
        <w:t xml:space="preserve"> </w:t>
      </w:r>
      <w:r w:rsidR="008F242A" w:rsidRPr="00B42648">
        <w:rPr>
          <w:b/>
        </w:rPr>
        <w:t>1995</w:t>
      </w:r>
      <w:r w:rsidR="008F242A" w:rsidRPr="003D3D85">
        <w:t>, 60 (3), 698–702.</w:t>
      </w:r>
    </w:p>
    <w:p w14:paraId="30E6C54E" w14:textId="6A83FE07" w:rsidR="008F242A" w:rsidRPr="003D3D85" w:rsidRDefault="00B42648" w:rsidP="003D3D85">
      <w:pPr>
        <w:pStyle w:val="TFReferencesSection"/>
      </w:pPr>
      <w:r>
        <w:t>(17</w:t>
      </w:r>
      <w:r w:rsidR="003D3D85">
        <w:t xml:space="preserve">) </w:t>
      </w:r>
      <w:r w:rsidR="008F242A" w:rsidRPr="003D3D85">
        <w:t xml:space="preserve">Irngartinger, H.; Strack, S. Electron Density Distribution in a 1,2-Difluorinated Cubane Derivative. </w:t>
      </w:r>
      <w:r w:rsidR="008F242A" w:rsidRPr="00B42648">
        <w:rPr>
          <w:i/>
        </w:rPr>
        <w:t>J. Am. Chem. Soc.</w:t>
      </w:r>
      <w:r w:rsidR="008F242A" w:rsidRPr="003D3D85">
        <w:t xml:space="preserve"> </w:t>
      </w:r>
      <w:r w:rsidR="008F242A" w:rsidRPr="00B42648">
        <w:rPr>
          <w:b/>
        </w:rPr>
        <w:t>1998</w:t>
      </w:r>
      <w:r w:rsidR="008F242A" w:rsidRPr="003D3D85">
        <w:t>, 120 (23), 5818–5819.</w:t>
      </w:r>
    </w:p>
    <w:p w14:paraId="12B4D2C3" w14:textId="4FC25829" w:rsidR="00D8588F" w:rsidRPr="003D3D85" w:rsidRDefault="00B42648" w:rsidP="003D3D85">
      <w:pPr>
        <w:pStyle w:val="TFReferencesSection"/>
      </w:pPr>
      <w:r>
        <w:t>(18</w:t>
      </w:r>
      <w:r w:rsidR="003D3D85">
        <w:t xml:space="preserve">) </w:t>
      </w:r>
      <w:r w:rsidR="00D8588F" w:rsidRPr="003D3D85">
        <w:t xml:space="preserve">Choi, G.; Lee, G. S.; Park, B.; Kim, D.; Hong, S. H. Direct C(Sp 3 )−H Trifluoromethylation of Unactivated Alkanes Enabled by Multifunctional Trifluoromethyl Copper Complexes. </w:t>
      </w:r>
      <w:r w:rsidR="00D8588F" w:rsidRPr="00B42648">
        <w:rPr>
          <w:i/>
        </w:rPr>
        <w:t>Angew. Chem. Int. Ed.</w:t>
      </w:r>
      <w:r w:rsidR="00D8588F" w:rsidRPr="003D3D85">
        <w:t xml:space="preserve"> </w:t>
      </w:r>
      <w:r w:rsidR="00D8588F" w:rsidRPr="00B42648">
        <w:rPr>
          <w:b/>
        </w:rPr>
        <w:t>2021</w:t>
      </w:r>
      <w:r w:rsidR="00D8588F" w:rsidRPr="003D3D85">
        <w:t>, 60 (10), 5467–5474.</w:t>
      </w:r>
    </w:p>
    <w:p w14:paraId="1D2CEC57" w14:textId="07B9804C" w:rsidR="008360FC" w:rsidRPr="003D3D85" w:rsidRDefault="003D3D85" w:rsidP="003D3D85">
      <w:pPr>
        <w:pStyle w:val="TFReferencesSection"/>
      </w:pPr>
      <w:r>
        <w:t>(1</w:t>
      </w:r>
      <w:r w:rsidR="00B42648">
        <w:t>9</w:t>
      </w:r>
      <w:r>
        <w:t xml:space="preserve">) </w:t>
      </w:r>
      <w:r w:rsidR="008360FC" w:rsidRPr="003D3D85">
        <w:t xml:space="preserve">(a) Gianatassio, R.; Kawamura, S.; Eprile, C. L.; Foo, K.; Ge, J.; Burns, A. C.; Collins, M. R.; Baran, P. S. Simple Sulfinate Synthesis Enables C–H Trifluoromethylcyclopropanation. </w:t>
      </w:r>
      <w:r w:rsidR="008360FC" w:rsidRPr="00B42648">
        <w:rPr>
          <w:i/>
        </w:rPr>
        <w:t>Angew. Chem. Int. Ed.</w:t>
      </w:r>
      <w:r w:rsidR="008360FC" w:rsidRPr="003D3D85">
        <w:t xml:space="preserve"> </w:t>
      </w:r>
      <w:r w:rsidR="008360FC" w:rsidRPr="00B42648">
        <w:rPr>
          <w:b/>
        </w:rPr>
        <w:t>2014</w:t>
      </w:r>
      <w:r w:rsidR="008360FC" w:rsidRPr="003D3D85">
        <w:t xml:space="preserve">, 53 (37), 9851–9855. (b) Toriyama, F.; Cornella, J.; Wimmer, L.; Chen, T. G.; Dixon, D. D.; Creech, G.; Baran, P. S. Redox-Active Esters in Fe-Catalyzed C-C Coupling. </w:t>
      </w:r>
      <w:r w:rsidR="008360FC" w:rsidRPr="00B42648">
        <w:rPr>
          <w:i/>
        </w:rPr>
        <w:t>J. Am. Chem. Soc.</w:t>
      </w:r>
      <w:r w:rsidR="008360FC" w:rsidRPr="003D3D85">
        <w:t xml:space="preserve"> </w:t>
      </w:r>
      <w:r w:rsidR="008360FC" w:rsidRPr="00B42648">
        <w:rPr>
          <w:b/>
        </w:rPr>
        <w:t>2016</w:t>
      </w:r>
      <w:r w:rsidR="008360FC" w:rsidRPr="003D3D85">
        <w:t xml:space="preserve">, 138 (35), 11132–11135. (c) Bernhard, S. S. R.; Locke, G. M.; Plunkett, S.; Meindl, A.; Flanagan, K. J.; Senge, M. O. Cubane Cross-Coupling and Cubane–Porphyrin Arrays. </w:t>
      </w:r>
      <w:r w:rsidR="008360FC" w:rsidRPr="00B42648">
        <w:rPr>
          <w:i/>
        </w:rPr>
        <w:t xml:space="preserve">Chem. - A Eur. J. </w:t>
      </w:r>
      <w:r w:rsidR="008360FC" w:rsidRPr="00B42648">
        <w:rPr>
          <w:b/>
        </w:rPr>
        <w:t>2018</w:t>
      </w:r>
      <w:r w:rsidR="008360FC" w:rsidRPr="003D3D85">
        <w:t xml:space="preserve">, 24 (5), 1026–1030. (d) </w:t>
      </w:r>
      <w:r w:rsidR="00441D13" w:rsidRPr="003D3D85">
        <w:t xml:space="preserve">Collin, D. E.; Folgueiras‐Amador, A. A.; Pletcher, D.; Light, M. E.; Linclau, B.; Brown, R. C. D. Cubane Electrochemistry: Direct Conversion of Cubane Carboxylic Acids to Alkoxy Cubanes Using the Hofer–Moest Reaction under Flow Conditions. </w:t>
      </w:r>
      <w:r w:rsidR="00441D13" w:rsidRPr="00B42648">
        <w:rPr>
          <w:i/>
        </w:rPr>
        <w:t>Chem. – A Eur. J.</w:t>
      </w:r>
      <w:r w:rsidR="00441D13" w:rsidRPr="003D3D85">
        <w:t xml:space="preserve"> </w:t>
      </w:r>
      <w:r w:rsidR="00441D13" w:rsidRPr="00B42648">
        <w:rPr>
          <w:b/>
        </w:rPr>
        <w:t>2020</w:t>
      </w:r>
      <w:r w:rsidR="00441D13" w:rsidRPr="003D3D85">
        <w:t>, 26 (2), 374–378.</w:t>
      </w:r>
    </w:p>
    <w:p w14:paraId="69497457" w14:textId="2B515571" w:rsidR="008A4934" w:rsidRPr="003D3D85" w:rsidRDefault="00B42648" w:rsidP="003D3D85">
      <w:pPr>
        <w:pStyle w:val="TFReferencesSection"/>
      </w:pPr>
      <w:r>
        <w:t>(20</w:t>
      </w:r>
      <w:r w:rsidR="003D3D85">
        <w:t xml:space="preserve">) </w:t>
      </w:r>
      <w:r w:rsidR="00481ECD" w:rsidRPr="003D3D85">
        <w:t xml:space="preserve">(a) Masuda, Y.; Ishida, N.; Murakami, M. Light-Driven Carboxylation of </w:t>
      </w:r>
      <w:r w:rsidR="00481ECD" w:rsidRPr="00B42648">
        <w:rPr>
          <w:i/>
        </w:rPr>
        <w:t>o</w:t>
      </w:r>
      <w:r w:rsidR="00481ECD" w:rsidRPr="003D3D85">
        <w:t>-Alkylphenyl Ketones with CO</w:t>
      </w:r>
      <w:r w:rsidR="00481ECD" w:rsidRPr="00B42648">
        <w:rPr>
          <w:vertAlign w:val="subscript"/>
        </w:rPr>
        <w:t>2</w:t>
      </w:r>
      <w:r w:rsidR="00481ECD" w:rsidRPr="003D3D85">
        <w:t xml:space="preserve">. </w:t>
      </w:r>
      <w:r w:rsidR="00481ECD" w:rsidRPr="00B42648">
        <w:rPr>
          <w:i/>
        </w:rPr>
        <w:t xml:space="preserve">J. Am. Chem. Soc. </w:t>
      </w:r>
      <w:r w:rsidR="00481ECD" w:rsidRPr="00B42648">
        <w:rPr>
          <w:b/>
        </w:rPr>
        <w:t>2015</w:t>
      </w:r>
      <w:r w:rsidR="00481ECD" w:rsidRPr="003D3D85">
        <w:t xml:space="preserve">, 137 (44), 14063–14066. (b) Seo, H.; Katcher, M. H.; Jamison, T. F. Photoredox Activation of Carbon Dioxide for Amino Acid Synthesis in Continuous Flow. </w:t>
      </w:r>
      <w:r w:rsidR="00481ECD" w:rsidRPr="00B42648">
        <w:rPr>
          <w:i/>
        </w:rPr>
        <w:t>Nat. Chem.</w:t>
      </w:r>
      <w:r w:rsidR="00481ECD" w:rsidRPr="003D3D85">
        <w:t xml:space="preserve"> </w:t>
      </w:r>
      <w:r w:rsidR="00481ECD" w:rsidRPr="00B42648">
        <w:rPr>
          <w:b/>
        </w:rPr>
        <w:t>2017</w:t>
      </w:r>
      <w:r w:rsidR="00481ECD" w:rsidRPr="003D3D85">
        <w:t>, 9 (5), 453–456.</w:t>
      </w:r>
      <w:r w:rsidR="008A4934" w:rsidRPr="003D3D85">
        <w:t xml:space="preserve"> (c)</w:t>
      </w:r>
      <w:r w:rsidR="00481ECD" w:rsidRPr="003D3D85">
        <w:t xml:space="preserve"> </w:t>
      </w:r>
      <w:r w:rsidR="008A4934" w:rsidRPr="003D3D85">
        <w:t xml:space="preserve">Ishida, N.; </w:t>
      </w:r>
      <w:r w:rsidR="008A4934" w:rsidRPr="003D3D85">
        <w:t>Masuda, Y.; Imamura, Y.; Yamazaki, K.; Murakami, M. Carboxylation of Benzylic and Aliphatic C-H Bonds with CO</w:t>
      </w:r>
      <w:r w:rsidR="008A4934" w:rsidRPr="00B42648">
        <w:rPr>
          <w:vertAlign w:val="subscript"/>
        </w:rPr>
        <w:t>2</w:t>
      </w:r>
      <w:r w:rsidR="008A4934" w:rsidRPr="003D3D85">
        <w:t xml:space="preserve"> Induced by Light/Ketone/Nickel. </w:t>
      </w:r>
      <w:r w:rsidR="008A4934" w:rsidRPr="00B42648">
        <w:rPr>
          <w:i/>
        </w:rPr>
        <w:t>J. Am. Chem. Soc.</w:t>
      </w:r>
      <w:r w:rsidR="008A4934" w:rsidRPr="003D3D85">
        <w:t xml:space="preserve"> </w:t>
      </w:r>
      <w:r w:rsidR="008A4934" w:rsidRPr="00B42648">
        <w:rPr>
          <w:b/>
        </w:rPr>
        <w:t>2020</w:t>
      </w:r>
      <w:r w:rsidR="008A4934" w:rsidRPr="003D3D85">
        <w:t xml:space="preserve">, 141 (50), 19611–19615. </w:t>
      </w:r>
    </w:p>
    <w:p w14:paraId="597FFBCA" w14:textId="1CF66F51" w:rsidR="00441D13" w:rsidRPr="003D3D85" w:rsidRDefault="00B42648" w:rsidP="003D3D85">
      <w:pPr>
        <w:pStyle w:val="TFReferencesSection"/>
      </w:pPr>
      <w:r>
        <w:t>(21</w:t>
      </w:r>
      <w:r w:rsidR="003D3D85">
        <w:t xml:space="preserve">) </w:t>
      </w:r>
      <w:r w:rsidR="00CD4C29" w:rsidRPr="003D3D85">
        <w:t xml:space="preserve">(a) Carell, T.; Wintner, E. A.; Bashir-Hashemi, A.; Rebek, J. A Novel Procedure for the Synthesis of Libraries Containing Small Organic Molecules. </w:t>
      </w:r>
      <w:r w:rsidR="00CD4C29" w:rsidRPr="00B42648">
        <w:rPr>
          <w:i/>
        </w:rPr>
        <w:t>Angew. Chemie Int. Ed. English</w:t>
      </w:r>
      <w:r w:rsidR="00CD4C29" w:rsidRPr="003D3D85">
        <w:t xml:space="preserve"> </w:t>
      </w:r>
      <w:r w:rsidR="00CD4C29" w:rsidRPr="00B42648">
        <w:rPr>
          <w:b/>
        </w:rPr>
        <w:t>1994</w:t>
      </w:r>
      <w:r w:rsidR="00CD4C29" w:rsidRPr="003D3D85">
        <w:t xml:space="preserve">, 33 (20), 2059–2061. (b) Carell, T.; Wintner, E. A.; Sutherland, A. J.; Rebek, J.; Dunayevskiy, Y. M.; Vouros, P. New Promise in Combinatorial Chemistry: Synthesis, Characterization, and Screening of Small-Molecule Libraries in Solution. </w:t>
      </w:r>
      <w:r w:rsidR="00CD4C29" w:rsidRPr="00B42648">
        <w:rPr>
          <w:i/>
        </w:rPr>
        <w:t>Chem. Biol.</w:t>
      </w:r>
      <w:r w:rsidR="00CD4C29" w:rsidRPr="003D3D85">
        <w:t xml:space="preserve"> </w:t>
      </w:r>
      <w:r w:rsidR="00CD4C29" w:rsidRPr="00B42648">
        <w:rPr>
          <w:b/>
        </w:rPr>
        <w:t>1995</w:t>
      </w:r>
      <w:r w:rsidR="00CD4C29" w:rsidRPr="003D3D85">
        <w:t>, 2 (3), 171–183.</w:t>
      </w:r>
      <w:r w:rsidR="00481ECD" w:rsidRPr="003D3D85">
        <w:t xml:space="preserve"> (c) Michigami, K.; Mita, T.; Sato, Y. Cobalt-Catalyzed Allylic C(Sp</w:t>
      </w:r>
      <w:r w:rsidR="00481ECD" w:rsidRPr="00B42648">
        <w:rPr>
          <w:vertAlign w:val="superscript"/>
        </w:rPr>
        <w:t>3</w:t>
      </w:r>
      <w:r w:rsidR="00481ECD" w:rsidRPr="003D3D85">
        <w:t>)-H Carboxylation with CO</w:t>
      </w:r>
      <w:r w:rsidR="00481ECD" w:rsidRPr="00B42648">
        <w:rPr>
          <w:vertAlign w:val="subscript"/>
        </w:rPr>
        <w:t>2</w:t>
      </w:r>
      <w:r w:rsidR="00481ECD" w:rsidRPr="003D3D85">
        <w:t xml:space="preserve">. </w:t>
      </w:r>
      <w:r w:rsidR="00481ECD" w:rsidRPr="00B42648">
        <w:rPr>
          <w:i/>
        </w:rPr>
        <w:t>J. Am. Chem. Soc.</w:t>
      </w:r>
      <w:r w:rsidR="00481ECD" w:rsidRPr="003D3D85">
        <w:t xml:space="preserve"> </w:t>
      </w:r>
      <w:r w:rsidR="00481ECD" w:rsidRPr="00B42648">
        <w:rPr>
          <w:b/>
        </w:rPr>
        <w:t>2017</w:t>
      </w:r>
      <w:r w:rsidR="00481ECD" w:rsidRPr="003D3D85">
        <w:t xml:space="preserve">, 139 (17), 6094–6097. </w:t>
      </w:r>
      <w:r w:rsidR="00872EC0">
        <w:t xml:space="preserve">(d) </w:t>
      </w:r>
      <w:r w:rsidR="00481ECD" w:rsidRPr="003D3D85">
        <w:t xml:space="preserve">Meng, Q. Y.; Schirmer, T. E.; Berger, A. L.; Donabauer, K.; König, B. Photocarboxylation of Benzylic C-H Bonds. </w:t>
      </w:r>
      <w:r w:rsidR="00481ECD" w:rsidRPr="00D41346">
        <w:rPr>
          <w:i/>
        </w:rPr>
        <w:t>J. Am. Chem. Soc.</w:t>
      </w:r>
      <w:r w:rsidR="00481ECD" w:rsidRPr="003D3D85">
        <w:t xml:space="preserve"> </w:t>
      </w:r>
      <w:r w:rsidR="00481ECD" w:rsidRPr="00D41346">
        <w:rPr>
          <w:b/>
        </w:rPr>
        <w:t>2019</w:t>
      </w:r>
      <w:r w:rsidR="00481ECD" w:rsidRPr="003D3D85">
        <w:t>, 141 (29), 11393–11397</w:t>
      </w:r>
      <w:r w:rsidR="008E04DF" w:rsidRPr="003D3D85">
        <w:t>.</w:t>
      </w:r>
    </w:p>
    <w:p w14:paraId="78BE8C37" w14:textId="4187F075" w:rsidR="00117F64" w:rsidRPr="003D3D85" w:rsidRDefault="00B42648" w:rsidP="003D3D85">
      <w:pPr>
        <w:pStyle w:val="TFReferencesSection"/>
      </w:pPr>
      <w:r>
        <w:t>(22</w:t>
      </w:r>
      <w:r w:rsidR="003D3D85">
        <w:t xml:space="preserve">) </w:t>
      </w:r>
      <w:r w:rsidR="008E04DF" w:rsidRPr="003D3D85">
        <w:t>(a) Shields, B. J.; Doyle, A. G. Direct C(Sp</w:t>
      </w:r>
      <w:r w:rsidR="008E04DF" w:rsidRPr="00D41346">
        <w:rPr>
          <w:vertAlign w:val="superscript"/>
        </w:rPr>
        <w:t>3</w:t>
      </w:r>
      <w:r w:rsidR="008E04DF" w:rsidRPr="003D3D85">
        <w:t xml:space="preserve">)-H Cross Coupling Enabled by Catalytic Generation of Chlorine Radicals. </w:t>
      </w:r>
      <w:r w:rsidR="008E04DF" w:rsidRPr="00D41346">
        <w:rPr>
          <w:i/>
        </w:rPr>
        <w:t>J. Am. Chem. Soc.</w:t>
      </w:r>
      <w:r w:rsidR="008E04DF" w:rsidRPr="003D3D85">
        <w:t xml:space="preserve"> </w:t>
      </w:r>
      <w:r w:rsidR="008E04DF" w:rsidRPr="00D41346">
        <w:rPr>
          <w:b/>
        </w:rPr>
        <w:t>2016</w:t>
      </w:r>
      <w:r w:rsidR="008E04DF" w:rsidRPr="003D3D85">
        <w:t xml:space="preserve">, 138 (39), 12719–12722. (b) Xu, P.; Chen, P.; Xu, H. Scalable Photoelectrochemical Dehydrogenative Cross‐Coupling of Heteroarenes with Aliphatic C−H Bonds. </w:t>
      </w:r>
      <w:r w:rsidR="008E04DF" w:rsidRPr="00D41346">
        <w:rPr>
          <w:i/>
        </w:rPr>
        <w:t>Angew. Chem. Int. Ed.</w:t>
      </w:r>
      <w:r w:rsidR="008E04DF" w:rsidRPr="003D3D85">
        <w:t xml:space="preserve"> </w:t>
      </w:r>
      <w:r w:rsidR="008E04DF" w:rsidRPr="00D41346">
        <w:rPr>
          <w:b/>
        </w:rPr>
        <w:t>2020</w:t>
      </w:r>
      <w:r w:rsidR="008E04DF" w:rsidRPr="003D3D85">
        <w:t>, 59 (34), 14275–14280.</w:t>
      </w:r>
      <w:r w:rsidR="00117F64" w:rsidRPr="003D3D85">
        <w:t xml:space="preserve"> </w:t>
      </w:r>
    </w:p>
    <w:p w14:paraId="721D6339" w14:textId="4137E632" w:rsidR="00CD62E6" w:rsidRPr="003D3D85" w:rsidRDefault="00B42648" w:rsidP="003D3D85">
      <w:pPr>
        <w:pStyle w:val="TFReferencesSection"/>
      </w:pPr>
      <w:r>
        <w:t>(23</w:t>
      </w:r>
      <w:r w:rsidR="003D3D85">
        <w:t xml:space="preserve">) </w:t>
      </w:r>
      <w:r w:rsidR="00CD62E6" w:rsidRPr="003D3D85">
        <w:t xml:space="preserve">(a) Baklanov, A. V.; Krasnoperov, L. N. Oxalyl Chloride - A Clean Source of Chlorine Atoms for Kinetic Studies. </w:t>
      </w:r>
      <w:r w:rsidR="00CD62E6" w:rsidRPr="008A2DD1">
        <w:rPr>
          <w:i/>
        </w:rPr>
        <w:t>J. Phys. Chem. A</w:t>
      </w:r>
      <w:r w:rsidR="00CD62E6" w:rsidRPr="003D3D85">
        <w:t xml:space="preserve"> </w:t>
      </w:r>
      <w:r w:rsidR="00CD62E6" w:rsidRPr="008A2DD1">
        <w:rPr>
          <w:b/>
        </w:rPr>
        <w:t>2001</w:t>
      </w:r>
      <w:r w:rsidR="00CD62E6" w:rsidRPr="003D3D85">
        <w:t>, 105 (1), 97–103. (b) Ghosh, B.; Papanastasiou, D. K.; Burkholder, J. B. Oxalyl Chloride, ClC(O)C(O)Cl: UV/Vis Spectrum and Cl Atom Photolysis Quantum Yields at 193, 248, and 351 Nm</w:t>
      </w:r>
      <w:r w:rsidR="00CD62E6" w:rsidRPr="00D41346">
        <w:rPr>
          <w:i/>
        </w:rPr>
        <w:t>. J. Chem. Phys.</w:t>
      </w:r>
      <w:r w:rsidR="00CD62E6" w:rsidRPr="003D3D85">
        <w:t xml:space="preserve"> </w:t>
      </w:r>
      <w:r w:rsidR="00CD62E6" w:rsidRPr="00D41346">
        <w:rPr>
          <w:b/>
        </w:rPr>
        <w:t>2012</w:t>
      </w:r>
      <w:r w:rsidR="00CD62E6" w:rsidRPr="003D3D85">
        <w:t>, 137 (16), 164315.</w:t>
      </w:r>
    </w:p>
    <w:p w14:paraId="21D5BCCF" w14:textId="2FE5B6C8" w:rsidR="008C5833" w:rsidRPr="003D3D85" w:rsidRDefault="00B42648" w:rsidP="003D3D85">
      <w:pPr>
        <w:pStyle w:val="TFReferencesSection"/>
      </w:pPr>
      <w:r>
        <w:t>(24</w:t>
      </w:r>
      <w:r w:rsidR="003D3D85">
        <w:t xml:space="preserve">) </w:t>
      </w:r>
      <w:r w:rsidR="00117F64" w:rsidRPr="003D3D85">
        <w:t xml:space="preserve">(a) Harrowven, D. C.; Mohamed, M.; Gonçalves, T. P.; Whitby, R. J.; Bolien, D.; Sneddon, H. F. An Efficient Flow-Photochemical Synthesis of 5H-Furanones Leads to an Understanding of Torquoselectivity in Cyclobutenone Rearrangements. </w:t>
      </w:r>
      <w:r w:rsidR="00117F64" w:rsidRPr="008A2DD1">
        <w:rPr>
          <w:i/>
        </w:rPr>
        <w:t>Angew. Chem. Int. Ed.</w:t>
      </w:r>
      <w:r w:rsidR="00117F64" w:rsidRPr="003D3D85">
        <w:t xml:space="preserve"> </w:t>
      </w:r>
      <w:r w:rsidR="00117F64" w:rsidRPr="008A2DD1">
        <w:rPr>
          <w:b/>
        </w:rPr>
        <w:t>2012</w:t>
      </w:r>
      <w:r w:rsidR="00117F64" w:rsidRPr="003D3D85">
        <w:t xml:space="preserve">, 51 (18), 4405–4408. (b) Collin, D. E.; Jackman, E. H.; Jouandon, N.; Sun, W.; Light, M. E.; Harrowven, D. C.; Linclau, B. Decagram Synthesis of Dimethyl 1,4-Cubanedicarboxylate Using Continuous-Flow Photochemistry. </w:t>
      </w:r>
      <w:r w:rsidR="00117F64" w:rsidRPr="008A2DD1">
        <w:rPr>
          <w:i/>
        </w:rPr>
        <w:t xml:space="preserve">Synthesis </w:t>
      </w:r>
      <w:r w:rsidR="00117F64" w:rsidRPr="003D3D85">
        <w:t xml:space="preserve">(Stuttg). </w:t>
      </w:r>
      <w:r w:rsidR="00117F64" w:rsidRPr="008A2DD1">
        <w:rPr>
          <w:b/>
        </w:rPr>
        <w:t>2021</w:t>
      </w:r>
      <w:r w:rsidR="00117F64" w:rsidRPr="003D3D85">
        <w:t>, 53 (07), 1307–1314.</w:t>
      </w:r>
      <w:r w:rsidR="000D5835" w:rsidRPr="003D3D85">
        <w:t xml:space="preserve"> </w:t>
      </w:r>
    </w:p>
    <w:p w14:paraId="65A9A02C" w14:textId="44423B71" w:rsidR="00905F79" w:rsidRPr="00905F79" w:rsidRDefault="00B42648" w:rsidP="00905F79">
      <w:pPr>
        <w:pStyle w:val="TFReferencesSection"/>
      </w:pPr>
      <w:r>
        <w:t>(25</w:t>
      </w:r>
      <w:r w:rsidR="003D3D85">
        <w:t xml:space="preserve">) </w:t>
      </w:r>
      <w:r w:rsidR="008C5833" w:rsidRPr="003D3D85">
        <w:t xml:space="preserve">(a) Knowles, J. P.; Elliott, L. D.; Booker-Milburn, K. I. Flow Photochemistry: Old Light through New Windows. </w:t>
      </w:r>
      <w:r w:rsidR="008C5833" w:rsidRPr="008A2DD1">
        <w:rPr>
          <w:i/>
        </w:rPr>
        <w:t>Beilstein J. Org. Chem.</w:t>
      </w:r>
      <w:r w:rsidR="008C5833" w:rsidRPr="003D3D85">
        <w:t xml:space="preserve"> </w:t>
      </w:r>
      <w:r w:rsidR="008C5833" w:rsidRPr="008A2DD1">
        <w:rPr>
          <w:b/>
        </w:rPr>
        <w:t>2012</w:t>
      </w:r>
      <w:r w:rsidR="008C5833" w:rsidRPr="003D3D85">
        <w:t xml:space="preserve">, 8, 2025–2052. (b) </w:t>
      </w:r>
      <w:r w:rsidR="003B53AD" w:rsidRPr="003D3D85">
        <w:t>Su, Y.; Straathof, N. J. W.; Hessel, V.; Noël, T. Photochemical Transformations Accelerated in Continuous-Flow Reactors: Basic Concepts and Applications</w:t>
      </w:r>
      <w:r w:rsidR="003B53AD" w:rsidRPr="008A2DD1">
        <w:rPr>
          <w:i/>
        </w:rPr>
        <w:t>. Chem. - A Eur. J.</w:t>
      </w:r>
      <w:r w:rsidR="003B53AD" w:rsidRPr="003D3D85">
        <w:t xml:space="preserve"> </w:t>
      </w:r>
      <w:r w:rsidR="003B53AD" w:rsidRPr="008A2DD1">
        <w:rPr>
          <w:b/>
        </w:rPr>
        <w:t>2014</w:t>
      </w:r>
      <w:r w:rsidR="003B53AD" w:rsidRPr="003D3D85">
        <w:t xml:space="preserve">, 20 (34), 10562–10589. </w:t>
      </w:r>
      <w:r w:rsidR="008C5833" w:rsidRPr="003D3D85">
        <w:t xml:space="preserve">(c) </w:t>
      </w:r>
      <w:r w:rsidR="003B53AD" w:rsidRPr="003D3D85">
        <w:t xml:space="preserve">Cambié, D.; Bottecchia, C.; Straathof, N. J. W.; Hessel, V.; Noël, T. Applications of Continuous-Flow Photochemistry in Organic Synthesis, Material Science, and Water Treatment. </w:t>
      </w:r>
      <w:r w:rsidR="003B53AD" w:rsidRPr="008A2DD1">
        <w:rPr>
          <w:i/>
        </w:rPr>
        <w:t>Chem. Rev.</w:t>
      </w:r>
      <w:r w:rsidR="003B53AD" w:rsidRPr="003D3D85">
        <w:t xml:space="preserve"> </w:t>
      </w:r>
      <w:r w:rsidR="003B53AD" w:rsidRPr="008A2DD1">
        <w:rPr>
          <w:b/>
        </w:rPr>
        <w:t>2016</w:t>
      </w:r>
      <w:r w:rsidR="003B53AD" w:rsidRPr="003D3D85">
        <w:t>, 116 (17), 10276–10341.</w:t>
      </w:r>
    </w:p>
    <w:p w14:paraId="6A6B82D8" w14:textId="3C0D86CB" w:rsidR="00117F64" w:rsidRPr="003D3D85" w:rsidRDefault="003D3D85" w:rsidP="003D3D85">
      <w:pPr>
        <w:pStyle w:val="TFReferencesSection"/>
      </w:pPr>
      <w:r>
        <w:t>(2</w:t>
      </w:r>
      <w:r w:rsidR="00B42648">
        <w:t>6</w:t>
      </w:r>
      <w:r>
        <w:t xml:space="preserve">) </w:t>
      </w:r>
      <w:r w:rsidR="000D5835" w:rsidRPr="003D3D85">
        <w:t xml:space="preserve">Qin, T.; Cornella, J.; Li, C.; Malins, L. R.; Edwards, J. T.; Kawamura, S.; Maxwell, B. D.; Eastgate, M. D.; Baran, P. S. A General Alkyl-Alkyl Cross-Coupling Enabled by Redox-Active Esters and Alkylzinc Reagents. </w:t>
      </w:r>
      <w:r w:rsidR="000D5835" w:rsidRPr="008A2DD1">
        <w:rPr>
          <w:i/>
        </w:rPr>
        <w:t>Science</w:t>
      </w:r>
      <w:r w:rsidR="000D5835" w:rsidRPr="003D3D85">
        <w:t xml:space="preserve"> </w:t>
      </w:r>
      <w:r w:rsidR="000D5835" w:rsidRPr="008A2DD1">
        <w:rPr>
          <w:b/>
        </w:rPr>
        <w:t>2016</w:t>
      </w:r>
      <w:r w:rsidR="000D5835" w:rsidRPr="003D3D85">
        <w:t>, 352 (6287), 801–805.</w:t>
      </w:r>
    </w:p>
    <w:p w14:paraId="3A4B5270" w14:textId="77777777" w:rsidR="00905F79" w:rsidRDefault="00B42648" w:rsidP="00905F79">
      <w:pPr>
        <w:pStyle w:val="TFReferencesSection"/>
      </w:pPr>
      <w:r>
        <w:t xml:space="preserve">(27) </w:t>
      </w:r>
      <w:r w:rsidR="000D5835" w:rsidRPr="003D3D85">
        <w:t xml:space="preserve">Qin, T.; Malins, L. R.; Edwards, J. T.; Merchant, R. R.; Novak, A. J. E.; Zhong, J. Z.; Mills, R. B.; Yan, M.; Yuan, C.; Eastgate, M. D.; et al. Nickel-Catalyzed Barton Decarboxylation and Giese Reactions: A Practical Take on Classic Transforms. </w:t>
      </w:r>
      <w:r w:rsidR="000D5835" w:rsidRPr="008A2DD1">
        <w:rPr>
          <w:i/>
        </w:rPr>
        <w:t>Angew. Chem. Int. Ed.</w:t>
      </w:r>
      <w:r w:rsidR="000D5835" w:rsidRPr="003D3D85">
        <w:t xml:space="preserve"> </w:t>
      </w:r>
      <w:r w:rsidR="000D5835" w:rsidRPr="008A2DD1">
        <w:rPr>
          <w:b/>
        </w:rPr>
        <w:t>2017</w:t>
      </w:r>
      <w:r w:rsidR="000D5835" w:rsidRPr="003D3D85">
        <w:t>, 56 (1), 260–265.</w:t>
      </w:r>
    </w:p>
    <w:p w14:paraId="50C77AB1" w14:textId="0681E9AF" w:rsidR="00DD29EF" w:rsidRPr="00E673BD" w:rsidRDefault="003E5435" w:rsidP="00FD4E4D">
      <w:pPr>
        <w:pStyle w:val="TFReferencesSection"/>
        <w:rPr>
          <w:rFonts w:ascii="Times New Roman" w:hAnsi="Times New Roman"/>
        </w:rPr>
        <w:sectPr w:rsidR="00DD29EF" w:rsidRPr="00E673BD" w:rsidSect="007428D9">
          <w:type w:val="continuous"/>
          <w:pgSz w:w="12240" w:h="15840"/>
          <w:pgMar w:top="720" w:right="1094" w:bottom="720" w:left="1094" w:header="720" w:footer="720" w:gutter="0"/>
          <w:cols w:num="2" w:space="461"/>
          <w:docGrid w:linePitch="326"/>
        </w:sectPr>
      </w:pPr>
      <w:r>
        <w:rPr>
          <w:noProof/>
          <w:szCs w:val="17"/>
        </w:rPr>
        <w:t xml:space="preserve">(28) (a) </w:t>
      </w:r>
      <w:r w:rsidRPr="00550AF4">
        <w:rPr>
          <w:noProof/>
          <w:szCs w:val="17"/>
        </w:rPr>
        <w:t xml:space="preserve">Xing, H.; Houston, S. D.; Chen, X.; Ghassabian, S.; Fahrenhorst‐Jones, T.; Kuo, A.; Murray, C. P.; Conn, K.; Jaeschke, K. N.; Jin, D.; et al. Cyclooctatetraene: A Bioactive Cubane Paradigm Complement. </w:t>
      </w:r>
      <w:r w:rsidRPr="00550AF4">
        <w:rPr>
          <w:i/>
          <w:iCs/>
          <w:noProof/>
          <w:szCs w:val="17"/>
        </w:rPr>
        <w:t>Chem. – A Eur. J.</w:t>
      </w:r>
      <w:r w:rsidRPr="00550AF4">
        <w:rPr>
          <w:noProof/>
          <w:szCs w:val="17"/>
        </w:rPr>
        <w:t xml:space="preserve"> </w:t>
      </w:r>
      <w:r w:rsidRPr="00550AF4">
        <w:rPr>
          <w:b/>
          <w:bCs/>
          <w:noProof/>
          <w:szCs w:val="17"/>
        </w:rPr>
        <w:t>2019</w:t>
      </w:r>
      <w:r w:rsidRPr="00550AF4">
        <w:rPr>
          <w:noProof/>
          <w:szCs w:val="17"/>
        </w:rPr>
        <w:t xml:space="preserve">, </w:t>
      </w:r>
      <w:r w:rsidRPr="00550AF4">
        <w:rPr>
          <w:i/>
          <w:iCs/>
          <w:noProof/>
          <w:szCs w:val="17"/>
        </w:rPr>
        <w:t>25</w:t>
      </w:r>
      <w:r w:rsidRPr="00550AF4">
        <w:rPr>
          <w:noProof/>
          <w:szCs w:val="17"/>
        </w:rPr>
        <w:t xml:space="preserve"> (11), 2729–2734. (b) Houston, S. D.; Fahrenhorst-Jones, T.; Xing, H.; Chalmers, B. A.; Sykes, M. L.; Stok, J. E.; Farfan Soto, C.; Burns, J. M.; Bernhardt, P. V.; De Voss, J. J.; et al. The Cubane Paradigm in Bioactive Molecule</w:t>
      </w:r>
      <w:r>
        <w:rPr>
          <w:noProof/>
          <w:szCs w:val="17"/>
        </w:rPr>
        <w:t xml:space="preserve"> </w:t>
      </w:r>
      <w:r w:rsidRPr="00550AF4">
        <w:rPr>
          <w:noProof/>
          <w:szCs w:val="17"/>
        </w:rPr>
        <w:t xml:space="preserve">Discovery: Further Scope, Limitations and the Cyclooctatetraene Complement. </w:t>
      </w:r>
      <w:r w:rsidRPr="00550AF4">
        <w:rPr>
          <w:i/>
          <w:iCs/>
          <w:noProof/>
          <w:szCs w:val="17"/>
        </w:rPr>
        <w:t>Org. Biomol. Chem.</w:t>
      </w:r>
      <w:r w:rsidRPr="00550AF4">
        <w:rPr>
          <w:noProof/>
          <w:szCs w:val="17"/>
        </w:rPr>
        <w:t xml:space="preserve"> </w:t>
      </w:r>
      <w:r w:rsidRPr="00550AF4">
        <w:rPr>
          <w:b/>
          <w:bCs/>
          <w:noProof/>
          <w:szCs w:val="17"/>
        </w:rPr>
        <w:t>2019</w:t>
      </w:r>
      <w:r w:rsidRPr="00550AF4">
        <w:rPr>
          <w:noProof/>
          <w:szCs w:val="17"/>
        </w:rPr>
        <w:t xml:space="preserve">, </w:t>
      </w:r>
      <w:r w:rsidRPr="00550AF4">
        <w:rPr>
          <w:i/>
          <w:iCs/>
          <w:noProof/>
          <w:szCs w:val="17"/>
        </w:rPr>
        <w:t>17</w:t>
      </w:r>
      <w:r w:rsidRPr="00550AF4">
        <w:rPr>
          <w:noProof/>
          <w:szCs w:val="17"/>
        </w:rPr>
        <w:t xml:space="preserve"> (28), 6790–6798.</w:t>
      </w:r>
    </w:p>
    <w:p w14:paraId="0FBAB84A" w14:textId="77777777" w:rsidR="00A66EDD" w:rsidRDefault="00A66EDD" w:rsidP="007428D9">
      <w:pPr>
        <w:pStyle w:val="SNSynopsisTOC"/>
        <w:rPr>
          <w:rFonts w:ascii="Times New Roman" w:hAnsi="Times New Roman"/>
        </w:rPr>
      </w:pPr>
    </w:p>
    <w:sectPr w:rsidR="00A66EDD" w:rsidSect="00161178">
      <w:headerReference w:type="even" r:id="rId26"/>
      <w:footerReference w:type="even" r:id="rId27"/>
      <w:footerReference w:type="default" r:id="rId28"/>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D25A5" w14:textId="77777777" w:rsidR="00BF5350" w:rsidRDefault="00BF5350">
      <w:r>
        <w:separator/>
      </w:r>
    </w:p>
    <w:p w14:paraId="7B99F81D" w14:textId="77777777" w:rsidR="00BF5350" w:rsidRDefault="00BF5350"/>
  </w:endnote>
  <w:endnote w:type="continuationSeparator" w:id="0">
    <w:p w14:paraId="44060E75" w14:textId="77777777" w:rsidR="00BF5350" w:rsidRDefault="00BF5350">
      <w:r>
        <w:continuationSeparator/>
      </w:r>
    </w:p>
    <w:p w14:paraId="3765811C" w14:textId="77777777" w:rsidR="00BF5350" w:rsidRDefault="00BF5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95B92D2F-4F5D-F140-8BCB-901A68A1F587}"/>
    <w:embedBold r:id="rId2" w:fontKey="{B01D4036-B160-7646-A7C8-678F7078D65E}"/>
    <w:embedItalic r:id="rId3" w:fontKey="{381C8EA4-4491-5746-A9BA-A6AC3C0626E5}"/>
    <w:embedBoldItalic r:id="rId4" w:fontKey="{3128A50A-3983-AF46-9428-D035E9632BC4}"/>
  </w:font>
  <w:font w:name="New York">
    <w:altName w:val="Times New Roman"/>
    <w:panose1 w:val="020B0604020202020204"/>
    <w:charset w:val="00"/>
    <w:family w:val="roman"/>
    <w:pitch w:val="variable"/>
    <w:sig w:usb0="00000003" w:usb1="00000000" w:usb2="00000000" w:usb3="00000000" w:csb0="00000001" w:csb1="00000000"/>
  </w:font>
  <w:font w:name="Times">
    <w:altName w:val="﷽﷽﷽﷽﷽﷽฽"/>
    <w:panose1 w:val="00000500000000020000"/>
    <w:charset w:val="00"/>
    <w:family w:val="auto"/>
    <w:pitch w:val="variable"/>
    <w:sig w:usb0="E00002FF" w:usb1="5000205A" w:usb2="00000000" w:usb3="00000000" w:csb0="0000019F" w:csb1="00000000"/>
  </w:font>
  <w:font w:name="Myriad Pro Light">
    <w:altName w:val="Corbel"/>
    <w:panose1 w:val="020B0604020202020204"/>
    <w:charset w:val="00"/>
    <w:family w:val="swiss"/>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29E64" w14:textId="77777777" w:rsidR="007F459D" w:rsidRDefault="007F459D">
    <w:pPr>
      <w:framePr w:wrap="around" w:vAnchor="text" w:hAnchor="margin" w:xAlign="right" w:y="1"/>
      <w:rPr>
        <w:rStyle w:val="PageNumber"/>
      </w:rPr>
    </w:pPr>
    <w:r>
      <w:rPr>
        <w:rStyle w:val="PageNumber"/>
      </w:rPr>
      <w:t xml:space="preserve">PAGE  </w:t>
    </w:r>
    <w:r>
      <w:rPr>
        <w:rStyle w:val="PageNumber"/>
        <w:noProof/>
      </w:rPr>
      <w:t>2</w:t>
    </w:r>
  </w:p>
  <w:p w14:paraId="4A5322EA" w14:textId="77777777" w:rsidR="007F459D" w:rsidRDefault="007F459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E247C" w14:textId="77777777" w:rsidR="007F459D" w:rsidRDefault="007F459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CE465" w14:textId="77777777" w:rsidR="007F459D" w:rsidRDefault="007F45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32BED9" w14:textId="77777777" w:rsidR="007F459D" w:rsidRDefault="007F459D">
    <w:pPr>
      <w:pStyle w:val="Footer"/>
      <w:ind w:right="360"/>
    </w:pPr>
  </w:p>
  <w:p w14:paraId="74D06199" w14:textId="77777777" w:rsidR="007F459D" w:rsidRDefault="007F459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39E7B" w14:textId="3E8C4F33" w:rsidR="007F459D" w:rsidRDefault="007F45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610B">
      <w:rPr>
        <w:rStyle w:val="PageNumber"/>
        <w:noProof/>
      </w:rPr>
      <w:t>6</w:t>
    </w:r>
    <w:r>
      <w:rPr>
        <w:rStyle w:val="PageNumber"/>
      </w:rPr>
      <w:fldChar w:fldCharType="end"/>
    </w:r>
  </w:p>
  <w:p w14:paraId="6F739A97" w14:textId="77777777" w:rsidR="007F459D" w:rsidRDefault="007F459D">
    <w:pPr>
      <w:pStyle w:val="Footer"/>
      <w:ind w:right="360"/>
    </w:pPr>
  </w:p>
  <w:p w14:paraId="40FE7EC1" w14:textId="77777777" w:rsidR="007F459D" w:rsidRDefault="007F45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296D2" w14:textId="77777777" w:rsidR="00BF5350" w:rsidRDefault="00BF5350">
      <w:r>
        <w:separator/>
      </w:r>
    </w:p>
    <w:p w14:paraId="47A0E795" w14:textId="77777777" w:rsidR="00BF5350" w:rsidRDefault="00BF5350"/>
  </w:footnote>
  <w:footnote w:type="continuationSeparator" w:id="0">
    <w:p w14:paraId="0E76CB91" w14:textId="77777777" w:rsidR="00BF5350" w:rsidRDefault="00BF5350">
      <w:r>
        <w:continuationSeparator/>
      </w:r>
    </w:p>
    <w:p w14:paraId="7E6C23B6" w14:textId="77777777" w:rsidR="00BF5350" w:rsidRDefault="00BF53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23774" w14:textId="77777777" w:rsidR="007F459D" w:rsidRDefault="007F45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B179C"/>
    <w:multiLevelType w:val="hybridMultilevel"/>
    <w:tmpl w:val="902C9520"/>
    <w:lvl w:ilvl="0" w:tplc="63A65C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9" w15:restartNumberingAfterBreak="0">
    <w:nsid w:val="500E6A76"/>
    <w:multiLevelType w:val="hybridMultilevel"/>
    <w:tmpl w:val="A3BA946E"/>
    <w:lvl w:ilvl="0" w:tplc="2A960D04">
      <w:start w:val="1"/>
      <w:numFmt w:val="decimal"/>
      <w:lvlText w:val="(%1)"/>
      <w:lvlJc w:val="left"/>
      <w:pPr>
        <w:ind w:left="547" w:hanging="36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10" w15:restartNumberingAfterBreak="0">
    <w:nsid w:val="5CF619E6"/>
    <w:multiLevelType w:val="hybridMultilevel"/>
    <w:tmpl w:val="DB7A8992"/>
    <w:lvl w:ilvl="0" w:tplc="BCB054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 w:numId="8">
    <w:abstractNumId w:val="10"/>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093"/>
    <w:rsid w:val="00001370"/>
    <w:rsid w:val="00002FB7"/>
    <w:rsid w:val="000045F4"/>
    <w:rsid w:val="00010413"/>
    <w:rsid w:val="000105FA"/>
    <w:rsid w:val="00014131"/>
    <w:rsid w:val="0001625E"/>
    <w:rsid w:val="000201D0"/>
    <w:rsid w:val="00020D61"/>
    <w:rsid w:val="00024464"/>
    <w:rsid w:val="000245FA"/>
    <w:rsid w:val="0003046A"/>
    <w:rsid w:val="00031CEA"/>
    <w:rsid w:val="00033242"/>
    <w:rsid w:val="00034B3C"/>
    <w:rsid w:val="0003731D"/>
    <w:rsid w:val="0004450B"/>
    <w:rsid w:val="00052952"/>
    <w:rsid w:val="00052D56"/>
    <w:rsid w:val="00056E03"/>
    <w:rsid w:val="00057CFA"/>
    <w:rsid w:val="00063884"/>
    <w:rsid w:val="0006445A"/>
    <w:rsid w:val="00065FE7"/>
    <w:rsid w:val="00067577"/>
    <w:rsid w:val="00067999"/>
    <w:rsid w:val="00072E5F"/>
    <w:rsid w:val="00081E4D"/>
    <w:rsid w:val="00083899"/>
    <w:rsid w:val="000848F2"/>
    <w:rsid w:val="0008490F"/>
    <w:rsid w:val="00084940"/>
    <w:rsid w:val="00087D67"/>
    <w:rsid w:val="000902D7"/>
    <w:rsid w:val="00090783"/>
    <w:rsid w:val="0009094C"/>
    <w:rsid w:val="000921EB"/>
    <w:rsid w:val="00094129"/>
    <w:rsid w:val="000A1E31"/>
    <w:rsid w:val="000A21B0"/>
    <w:rsid w:val="000A65BB"/>
    <w:rsid w:val="000A7646"/>
    <w:rsid w:val="000A7BFD"/>
    <w:rsid w:val="000B0326"/>
    <w:rsid w:val="000B054F"/>
    <w:rsid w:val="000B64B5"/>
    <w:rsid w:val="000C0685"/>
    <w:rsid w:val="000C090E"/>
    <w:rsid w:val="000C0B73"/>
    <w:rsid w:val="000C0C7B"/>
    <w:rsid w:val="000C4EAD"/>
    <w:rsid w:val="000D0209"/>
    <w:rsid w:val="000D1244"/>
    <w:rsid w:val="000D1614"/>
    <w:rsid w:val="000D2C6A"/>
    <w:rsid w:val="000D2D84"/>
    <w:rsid w:val="000D3176"/>
    <w:rsid w:val="000D5835"/>
    <w:rsid w:val="000D6ED1"/>
    <w:rsid w:val="000D7E33"/>
    <w:rsid w:val="000E0694"/>
    <w:rsid w:val="000E23E8"/>
    <w:rsid w:val="000E5A97"/>
    <w:rsid w:val="000E619C"/>
    <w:rsid w:val="000E75E3"/>
    <w:rsid w:val="000F356C"/>
    <w:rsid w:val="000F4E86"/>
    <w:rsid w:val="000F54FB"/>
    <w:rsid w:val="00101D1F"/>
    <w:rsid w:val="001025FB"/>
    <w:rsid w:val="001042AF"/>
    <w:rsid w:val="00106137"/>
    <w:rsid w:val="0011129D"/>
    <w:rsid w:val="0011249B"/>
    <w:rsid w:val="00114074"/>
    <w:rsid w:val="00116FC2"/>
    <w:rsid w:val="00117BA9"/>
    <w:rsid w:val="00117F64"/>
    <w:rsid w:val="001228C7"/>
    <w:rsid w:val="00122F4D"/>
    <w:rsid w:val="001273A2"/>
    <w:rsid w:val="00131486"/>
    <w:rsid w:val="001325E1"/>
    <w:rsid w:val="00134680"/>
    <w:rsid w:val="001350A1"/>
    <w:rsid w:val="001379DD"/>
    <w:rsid w:val="0014098B"/>
    <w:rsid w:val="00140F54"/>
    <w:rsid w:val="00141659"/>
    <w:rsid w:val="001422F0"/>
    <w:rsid w:val="001436A7"/>
    <w:rsid w:val="001479EB"/>
    <w:rsid w:val="00150A29"/>
    <w:rsid w:val="0015109A"/>
    <w:rsid w:val="00154939"/>
    <w:rsid w:val="00157E12"/>
    <w:rsid w:val="00160C5F"/>
    <w:rsid w:val="00161178"/>
    <w:rsid w:val="001667D9"/>
    <w:rsid w:val="00172C95"/>
    <w:rsid w:val="001736A7"/>
    <w:rsid w:val="00176B73"/>
    <w:rsid w:val="00176D09"/>
    <w:rsid w:val="00177E58"/>
    <w:rsid w:val="00180F8C"/>
    <w:rsid w:val="00183196"/>
    <w:rsid w:val="001846C1"/>
    <w:rsid w:val="00187EB3"/>
    <w:rsid w:val="00190520"/>
    <w:rsid w:val="00191CA5"/>
    <w:rsid w:val="00195C4B"/>
    <w:rsid w:val="001967D6"/>
    <w:rsid w:val="00197981"/>
    <w:rsid w:val="001A2F02"/>
    <w:rsid w:val="001A5EB0"/>
    <w:rsid w:val="001A7B85"/>
    <w:rsid w:val="001B026B"/>
    <w:rsid w:val="001B25B2"/>
    <w:rsid w:val="001B25D9"/>
    <w:rsid w:val="001B2E94"/>
    <w:rsid w:val="001B3F03"/>
    <w:rsid w:val="001B4352"/>
    <w:rsid w:val="001B7E9A"/>
    <w:rsid w:val="001C2627"/>
    <w:rsid w:val="001C3DBF"/>
    <w:rsid w:val="001D5E7D"/>
    <w:rsid w:val="001E2454"/>
    <w:rsid w:val="001E451C"/>
    <w:rsid w:val="001E48A1"/>
    <w:rsid w:val="001E5EE2"/>
    <w:rsid w:val="001E7B10"/>
    <w:rsid w:val="001F3E90"/>
    <w:rsid w:val="001F5AA3"/>
    <w:rsid w:val="00201EFD"/>
    <w:rsid w:val="002029F8"/>
    <w:rsid w:val="002031A2"/>
    <w:rsid w:val="00206AC6"/>
    <w:rsid w:val="00210A2A"/>
    <w:rsid w:val="0021379B"/>
    <w:rsid w:val="002168A1"/>
    <w:rsid w:val="002170E6"/>
    <w:rsid w:val="00217498"/>
    <w:rsid w:val="00220DBE"/>
    <w:rsid w:val="00220ECC"/>
    <w:rsid w:val="00223DB4"/>
    <w:rsid w:val="002251B3"/>
    <w:rsid w:val="002265AE"/>
    <w:rsid w:val="0023294C"/>
    <w:rsid w:val="00235AE2"/>
    <w:rsid w:val="002373E3"/>
    <w:rsid w:val="00242AFF"/>
    <w:rsid w:val="0024409A"/>
    <w:rsid w:val="00245977"/>
    <w:rsid w:val="00245CD4"/>
    <w:rsid w:val="00250E3E"/>
    <w:rsid w:val="00254394"/>
    <w:rsid w:val="00260BB3"/>
    <w:rsid w:val="002677EB"/>
    <w:rsid w:val="00270154"/>
    <w:rsid w:val="00270713"/>
    <w:rsid w:val="002723D1"/>
    <w:rsid w:val="00272682"/>
    <w:rsid w:val="002729FB"/>
    <w:rsid w:val="00273ACF"/>
    <w:rsid w:val="002769B7"/>
    <w:rsid w:val="0028062A"/>
    <w:rsid w:val="0028070C"/>
    <w:rsid w:val="00281973"/>
    <w:rsid w:val="00281B41"/>
    <w:rsid w:val="00281DD7"/>
    <w:rsid w:val="002821D4"/>
    <w:rsid w:val="002834DB"/>
    <w:rsid w:val="00285AAD"/>
    <w:rsid w:val="00286D40"/>
    <w:rsid w:val="00287921"/>
    <w:rsid w:val="002906A3"/>
    <w:rsid w:val="00291508"/>
    <w:rsid w:val="002A492D"/>
    <w:rsid w:val="002A49D5"/>
    <w:rsid w:val="002A6D47"/>
    <w:rsid w:val="002A7098"/>
    <w:rsid w:val="002A7C69"/>
    <w:rsid w:val="002A7D96"/>
    <w:rsid w:val="002B0E00"/>
    <w:rsid w:val="002B4130"/>
    <w:rsid w:val="002B5D8D"/>
    <w:rsid w:val="002B6A19"/>
    <w:rsid w:val="002B7275"/>
    <w:rsid w:val="002B7EF5"/>
    <w:rsid w:val="002C05F7"/>
    <w:rsid w:val="002C27B3"/>
    <w:rsid w:val="002C3431"/>
    <w:rsid w:val="002C457A"/>
    <w:rsid w:val="002C4BBD"/>
    <w:rsid w:val="002C7551"/>
    <w:rsid w:val="002D05B3"/>
    <w:rsid w:val="002D09A8"/>
    <w:rsid w:val="002D0B8E"/>
    <w:rsid w:val="002D1A6E"/>
    <w:rsid w:val="002D3471"/>
    <w:rsid w:val="002E17CF"/>
    <w:rsid w:val="002E2F4B"/>
    <w:rsid w:val="002E3956"/>
    <w:rsid w:val="002E6564"/>
    <w:rsid w:val="002F0217"/>
    <w:rsid w:val="002F1599"/>
    <w:rsid w:val="002F22FA"/>
    <w:rsid w:val="002F2419"/>
    <w:rsid w:val="002F2876"/>
    <w:rsid w:val="002F5106"/>
    <w:rsid w:val="002F52DB"/>
    <w:rsid w:val="00302C51"/>
    <w:rsid w:val="00306CDB"/>
    <w:rsid w:val="0031056F"/>
    <w:rsid w:val="00310911"/>
    <w:rsid w:val="00312F37"/>
    <w:rsid w:val="00315487"/>
    <w:rsid w:val="00320122"/>
    <w:rsid w:val="00321384"/>
    <w:rsid w:val="003217CF"/>
    <w:rsid w:val="003230CD"/>
    <w:rsid w:val="00323737"/>
    <w:rsid w:val="00325365"/>
    <w:rsid w:val="0032583D"/>
    <w:rsid w:val="003329FF"/>
    <w:rsid w:val="003369B1"/>
    <w:rsid w:val="00343F31"/>
    <w:rsid w:val="00344CA4"/>
    <w:rsid w:val="003472E3"/>
    <w:rsid w:val="0035002E"/>
    <w:rsid w:val="00350956"/>
    <w:rsid w:val="003514F9"/>
    <w:rsid w:val="003528C7"/>
    <w:rsid w:val="00352FCF"/>
    <w:rsid w:val="00353604"/>
    <w:rsid w:val="003547B0"/>
    <w:rsid w:val="00357396"/>
    <w:rsid w:val="0036126E"/>
    <w:rsid w:val="00363541"/>
    <w:rsid w:val="00364B33"/>
    <w:rsid w:val="00365A4D"/>
    <w:rsid w:val="00366E22"/>
    <w:rsid w:val="003679A1"/>
    <w:rsid w:val="003725B2"/>
    <w:rsid w:val="00372960"/>
    <w:rsid w:val="00372AE8"/>
    <w:rsid w:val="003743E5"/>
    <w:rsid w:val="003802A7"/>
    <w:rsid w:val="0038045F"/>
    <w:rsid w:val="00387CFF"/>
    <w:rsid w:val="0039120B"/>
    <w:rsid w:val="00391FC7"/>
    <w:rsid w:val="00393F8D"/>
    <w:rsid w:val="0039425A"/>
    <w:rsid w:val="003A0F5F"/>
    <w:rsid w:val="003A23D8"/>
    <w:rsid w:val="003A579B"/>
    <w:rsid w:val="003A57F4"/>
    <w:rsid w:val="003A702D"/>
    <w:rsid w:val="003B25D9"/>
    <w:rsid w:val="003B4AF3"/>
    <w:rsid w:val="003B4DFE"/>
    <w:rsid w:val="003B5052"/>
    <w:rsid w:val="003B53AD"/>
    <w:rsid w:val="003C0D64"/>
    <w:rsid w:val="003C2BE3"/>
    <w:rsid w:val="003C333C"/>
    <w:rsid w:val="003C35E4"/>
    <w:rsid w:val="003C4C07"/>
    <w:rsid w:val="003C4C99"/>
    <w:rsid w:val="003C5BA7"/>
    <w:rsid w:val="003C60B1"/>
    <w:rsid w:val="003D112C"/>
    <w:rsid w:val="003D3431"/>
    <w:rsid w:val="003D3D85"/>
    <w:rsid w:val="003D467E"/>
    <w:rsid w:val="003D505A"/>
    <w:rsid w:val="003D6C36"/>
    <w:rsid w:val="003D7093"/>
    <w:rsid w:val="003E215B"/>
    <w:rsid w:val="003E3030"/>
    <w:rsid w:val="003E4228"/>
    <w:rsid w:val="003E5207"/>
    <w:rsid w:val="003E5435"/>
    <w:rsid w:val="003E5DF6"/>
    <w:rsid w:val="003E73B9"/>
    <w:rsid w:val="003E7D8B"/>
    <w:rsid w:val="003F33D7"/>
    <w:rsid w:val="003F529A"/>
    <w:rsid w:val="003F794B"/>
    <w:rsid w:val="00400736"/>
    <w:rsid w:val="00400849"/>
    <w:rsid w:val="00400FEC"/>
    <w:rsid w:val="00404145"/>
    <w:rsid w:val="0040579C"/>
    <w:rsid w:val="00405D92"/>
    <w:rsid w:val="004060AE"/>
    <w:rsid w:val="0040755D"/>
    <w:rsid w:val="004104D1"/>
    <w:rsid w:val="0041079D"/>
    <w:rsid w:val="00411002"/>
    <w:rsid w:val="004135BA"/>
    <w:rsid w:val="00422950"/>
    <w:rsid w:val="00423C72"/>
    <w:rsid w:val="004244F2"/>
    <w:rsid w:val="0042470E"/>
    <w:rsid w:val="00427112"/>
    <w:rsid w:val="00430254"/>
    <w:rsid w:val="00430420"/>
    <w:rsid w:val="00430741"/>
    <w:rsid w:val="00432C29"/>
    <w:rsid w:val="00433A72"/>
    <w:rsid w:val="004353C2"/>
    <w:rsid w:val="00437180"/>
    <w:rsid w:val="00437F33"/>
    <w:rsid w:val="00441D13"/>
    <w:rsid w:val="0044374C"/>
    <w:rsid w:val="0044604C"/>
    <w:rsid w:val="00451684"/>
    <w:rsid w:val="004564CF"/>
    <w:rsid w:val="0046025F"/>
    <w:rsid w:val="00460D2A"/>
    <w:rsid w:val="004666C6"/>
    <w:rsid w:val="00466E55"/>
    <w:rsid w:val="00471384"/>
    <w:rsid w:val="0047236A"/>
    <w:rsid w:val="00472F7C"/>
    <w:rsid w:val="00477584"/>
    <w:rsid w:val="0048143F"/>
    <w:rsid w:val="0048197B"/>
    <w:rsid w:val="00481ECD"/>
    <w:rsid w:val="004879CE"/>
    <w:rsid w:val="004908B3"/>
    <w:rsid w:val="00493D74"/>
    <w:rsid w:val="0049449E"/>
    <w:rsid w:val="00496496"/>
    <w:rsid w:val="00496B72"/>
    <w:rsid w:val="004A0115"/>
    <w:rsid w:val="004A111E"/>
    <w:rsid w:val="004A32BC"/>
    <w:rsid w:val="004A3735"/>
    <w:rsid w:val="004A742B"/>
    <w:rsid w:val="004B128B"/>
    <w:rsid w:val="004B3344"/>
    <w:rsid w:val="004B3853"/>
    <w:rsid w:val="004B4215"/>
    <w:rsid w:val="004B6590"/>
    <w:rsid w:val="004B6B35"/>
    <w:rsid w:val="004B763C"/>
    <w:rsid w:val="004B7AA0"/>
    <w:rsid w:val="004C0CB0"/>
    <w:rsid w:val="004C1DDA"/>
    <w:rsid w:val="004C4DEB"/>
    <w:rsid w:val="004C62DF"/>
    <w:rsid w:val="004C6416"/>
    <w:rsid w:val="004C7F37"/>
    <w:rsid w:val="004D0046"/>
    <w:rsid w:val="004D0B59"/>
    <w:rsid w:val="004D2D4B"/>
    <w:rsid w:val="004D31CF"/>
    <w:rsid w:val="004D5462"/>
    <w:rsid w:val="004D7150"/>
    <w:rsid w:val="004D73A2"/>
    <w:rsid w:val="004E35E0"/>
    <w:rsid w:val="004E461C"/>
    <w:rsid w:val="004E62C6"/>
    <w:rsid w:val="004F20F3"/>
    <w:rsid w:val="004F4851"/>
    <w:rsid w:val="005032D0"/>
    <w:rsid w:val="005041CD"/>
    <w:rsid w:val="00504522"/>
    <w:rsid w:val="005107DE"/>
    <w:rsid w:val="00510EB2"/>
    <w:rsid w:val="005117CC"/>
    <w:rsid w:val="00513BDF"/>
    <w:rsid w:val="005141D4"/>
    <w:rsid w:val="00516A0A"/>
    <w:rsid w:val="005234E7"/>
    <w:rsid w:val="005247D9"/>
    <w:rsid w:val="005253B0"/>
    <w:rsid w:val="005307A9"/>
    <w:rsid w:val="005327A4"/>
    <w:rsid w:val="005329C7"/>
    <w:rsid w:val="00533D2D"/>
    <w:rsid w:val="00533EFF"/>
    <w:rsid w:val="005341F9"/>
    <w:rsid w:val="00535F39"/>
    <w:rsid w:val="0054003D"/>
    <w:rsid w:val="005429E0"/>
    <w:rsid w:val="00543F81"/>
    <w:rsid w:val="00544EDE"/>
    <w:rsid w:val="005460ED"/>
    <w:rsid w:val="00547331"/>
    <w:rsid w:val="00550AF4"/>
    <w:rsid w:val="00551789"/>
    <w:rsid w:val="0055190A"/>
    <w:rsid w:val="00552A07"/>
    <w:rsid w:val="00552D57"/>
    <w:rsid w:val="00555B52"/>
    <w:rsid w:val="00556213"/>
    <w:rsid w:val="00557DD9"/>
    <w:rsid w:val="005620E5"/>
    <w:rsid w:val="00562216"/>
    <w:rsid w:val="0056298C"/>
    <w:rsid w:val="00562D2D"/>
    <w:rsid w:val="00563DF7"/>
    <w:rsid w:val="00573881"/>
    <w:rsid w:val="005754B8"/>
    <w:rsid w:val="00575965"/>
    <w:rsid w:val="00576D08"/>
    <w:rsid w:val="00580A7F"/>
    <w:rsid w:val="005864EA"/>
    <w:rsid w:val="00586ACF"/>
    <w:rsid w:val="00590E40"/>
    <w:rsid w:val="00591919"/>
    <w:rsid w:val="00591A57"/>
    <w:rsid w:val="00591B52"/>
    <w:rsid w:val="00591FDB"/>
    <w:rsid w:val="0059535F"/>
    <w:rsid w:val="0059675D"/>
    <w:rsid w:val="005B40B0"/>
    <w:rsid w:val="005B45A5"/>
    <w:rsid w:val="005B57D6"/>
    <w:rsid w:val="005C111E"/>
    <w:rsid w:val="005C2B42"/>
    <w:rsid w:val="005C59C9"/>
    <w:rsid w:val="005D0C10"/>
    <w:rsid w:val="005D2065"/>
    <w:rsid w:val="005D2C2D"/>
    <w:rsid w:val="005D4F8D"/>
    <w:rsid w:val="005D6E49"/>
    <w:rsid w:val="005D707E"/>
    <w:rsid w:val="005D7B51"/>
    <w:rsid w:val="005E0AA9"/>
    <w:rsid w:val="005E5115"/>
    <w:rsid w:val="005F4903"/>
    <w:rsid w:val="005F5A47"/>
    <w:rsid w:val="005F5C5C"/>
    <w:rsid w:val="005F5DFA"/>
    <w:rsid w:val="0060086B"/>
    <w:rsid w:val="00601696"/>
    <w:rsid w:val="00604C6F"/>
    <w:rsid w:val="00604E00"/>
    <w:rsid w:val="00604F23"/>
    <w:rsid w:val="00605A05"/>
    <w:rsid w:val="006060FC"/>
    <w:rsid w:val="00607C50"/>
    <w:rsid w:val="00614F2E"/>
    <w:rsid w:val="00616D68"/>
    <w:rsid w:val="006170F7"/>
    <w:rsid w:val="006215D3"/>
    <w:rsid w:val="00621625"/>
    <w:rsid w:val="00621ACA"/>
    <w:rsid w:val="00622090"/>
    <w:rsid w:val="0062431E"/>
    <w:rsid w:val="00626B87"/>
    <w:rsid w:val="00627718"/>
    <w:rsid w:val="00630240"/>
    <w:rsid w:val="00630D36"/>
    <w:rsid w:val="00631B3F"/>
    <w:rsid w:val="00631E32"/>
    <w:rsid w:val="0063480A"/>
    <w:rsid w:val="00640C25"/>
    <w:rsid w:val="0064353C"/>
    <w:rsid w:val="00645A9C"/>
    <w:rsid w:val="00646356"/>
    <w:rsid w:val="00650146"/>
    <w:rsid w:val="00650338"/>
    <w:rsid w:val="006532A9"/>
    <w:rsid w:val="00655122"/>
    <w:rsid w:val="00655DD0"/>
    <w:rsid w:val="00656B5B"/>
    <w:rsid w:val="00657F1B"/>
    <w:rsid w:val="00662B1F"/>
    <w:rsid w:val="00664F12"/>
    <w:rsid w:val="00670956"/>
    <w:rsid w:val="006726CC"/>
    <w:rsid w:val="00672B5D"/>
    <w:rsid w:val="00675EFF"/>
    <w:rsid w:val="00681FD4"/>
    <w:rsid w:val="006827B7"/>
    <w:rsid w:val="00682BB7"/>
    <w:rsid w:val="00684BC2"/>
    <w:rsid w:val="00685C14"/>
    <w:rsid w:val="00686F9A"/>
    <w:rsid w:val="0069182E"/>
    <w:rsid w:val="00694694"/>
    <w:rsid w:val="00694D93"/>
    <w:rsid w:val="00695412"/>
    <w:rsid w:val="006956D6"/>
    <w:rsid w:val="006A0D74"/>
    <w:rsid w:val="006A141D"/>
    <w:rsid w:val="006A35C4"/>
    <w:rsid w:val="006A3745"/>
    <w:rsid w:val="006B0D47"/>
    <w:rsid w:val="006B22DA"/>
    <w:rsid w:val="006B2581"/>
    <w:rsid w:val="006C0D54"/>
    <w:rsid w:val="006C5E19"/>
    <w:rsid w:val="006C6C8C"/>
    <w:rsid w:val="006D1AA8"/>
    <w:rsid w:val="006D77BA"/>
    <w:rsid w:val="006D7F31"/>
    <w:rsid w:val="006E01EA"/>
    <w:rsid w:val="006E0F0F"/>
    <w:rsid w:val="006E29DD"/>
    <w:rsid w:val="006E4AA3"/>
    <w:rsid w:val="006E6BC5"/>
    <w:rsid w:val="006F268D"/>
    <w:rsid w:val="006F4BAB"/>
    <w:rsid w:val="006F4D72"/>
    <w:rsid w:val="006F50C7"/>
    <w:rsid w:val="006F6E20"/>
    <w:rsid w:val="00700613"/>
    <w:rsid w:val="007009DA"/>
    <w:rsid w:val="00700EDE"/>
    <w:rsid w:val="0070186E"/>
    <w:rsid w:val="00705213"/>
    <w:rsid w:val="00706162"/>
    <w:rsid w:val="007112F2"/>
    <w:rsid w:val="0071182A"/>
    <w:rsid w:val="007130C0"/>
    <w:rsid w:val="0071698B"/>
    <w:rsid w:val="007179F0"/>
    <w:rsid w:val="00720EAB"/>
    <w:rsid w:val="007211D6"/>
    <w:rsid w:val="00722AB0"/>
    <w:rsid w:val="00724447"/>
    <w:rsid w:val="00724721"/>
    <w:rsid w:val="0072541B"/>
    <w:rsid w:val="00725E67"/>
    <w:rsid w:val="00732231"/>
    <w:rsid w:val="00732ACC"/>
    <w:rsid w:val="007331FF"/>
    <w:rsid w:val="007334B9"/>
    <w:rsid w:val="007346BF"/>
    <w:rsid w:val="007353C4"/>
    <w:rsid w:val="007357ED"/>
    <w:rsid w:val="00740E5C"/>
    <w:rsid w:val="007428D9"/>
    <w:rsid w:val="00743190"/>
    <w:rsid w:val="007432D0"/>
    <w:rsid w:val="0074386F"/>
    <w:rsid w:val="00744E91"/>
    <w:rsid w:val="00745210"/>
    <w:rsid w:val="00745627"/>
    <w:rsid w:val="00745858"/>
    <w:rsid w:val="00746387"/>
    <w:rsid w:val="007514F2"/>
    <w:rsid w:val="0075177C"/>
    <w:rsid w:val="007521C0"/>
    <w:rsid w:val="007521C7"/>
    <w:rsid w:val="00752FAB"/>
    <w:rsid w:val="00753F89"/>
    <w:rsid w:val="00754736"/>
    <w:rsid w:val="007553E2"/>
    <w:rsid w:val="00756EBC"/>
    <w:rsid w:val="00760510"/>
    <w:rsid w:val="00761D56"/>
    <w:rsid w:val="00762214"/>
    <w:rsid w:val="00762850"/>
    <w:rsid w:val="007629D3"/>
    <w:rsid w:val="00764999"/>
    <w:rsid w:val="007726A9"/>
    <w:rsid w:val="00775F91"/>
    <w:rsid w:val="007817EC"/>
    <w:rsid w:val="0078315C"/>
    <w:rsid w:val="0079090E"/>
    <w:rsid w:val="00791753"/>
    <w:rsid w:val="007964B6"/>
    <w:rsid w:val="007A51DA"/>
    <w:rsid w:val="007A75E4"/>
    <w:rsid w:val="007B0E8A"/>
    <w:rsid w:val="007B15CB"/>
    <w:rsid w:val="007B22CC"/>
    <w:rsid w:val="007B47FE"/>
    <w:rsid w:val="007B4E5A"/>
    <w:rsid w:val="007B531D"/>
    <w:rsid w:val="007B7D72"/>
    <w:rsid w:val="007C1383"/>
    <w:rsid w:val="007C4971"/>
    <w:rsid w:val="007C59C5"/>
    <w:rsid w:val="007C6938"/>
    <w:rsid w:val="007C70D2"/>
    <w:rsid w:val="007C72AE"/>
    <w:rsid w:val="007D0490"/>
    <w:rsid w:val="007D124E"/>
    <w:rsid w:val="007D1DA7"/>
    <w:rsid w:val="007D4866"/>
    <w:rsid w:val="007D5305"/>
    <w:rsid w:val="007D7304"/>
    <w:rsid w:val="007E0DB1"/>
    <w:rsid w:val="007E12A3"/>
    <w:rsid w:val="007E19EA"/>
    <w:rsid w:val="007E4CFA"/>
    <w:rsid w:val="007E50F0"/>
    <w:rsid w:val="007E5C1E"/>
    <w:rsid w:val="007F0134"/>
    <w:rsid w:val="007F3FDD"/>
    <w:rsid w:val="007F459D"/>
    <w:rsid w:val="007F5056"/>
    <w:rsid w:val="007F55D5"/>
    <w:rsid w:val="007F6792"/>
    <w:rsid w:val="007F6977"/>
    <w:rsid w:val="007F7E63"/>
    <w:rsid w:val="00801328"/>
    <w:rsid w:val="00803489"/>
    <w:rsid w:val="0080433C"/>
    <w:rsid w:val="0081028F"/>
    <w:rsid w:val="00811E2E"/>
    <w:rsid w:val="00811F74"/>
    <w:rsid w:val="00811FB0"/>
    <w:rsid w:val="008128A7"/>
    <w:rsid w:val="00814BE4"/>
    <w:rsid w:val="008176B8"/>
    <w:rsid w:val="00817E41"/>
    <w:rsid w:val="00821341"/>
    <w:rsid w:val="008214C6"/>
    <w:rsid w:val="00823527"/>
    <w:rsid w:val="008257DA"/>
    <w:rsid w:val="00826354"/>
    <w:rsid w:val="00833C77"/>
    <w:rsid w:val="00834895"/>
    <w:rsid w:val="008348A2"/>
    <w:rsid w:val="00835C95"/>
    <w:rsid w:val="00835CBD"/>
    <w:rsid w:val="008360FC"/>
    <w:rsid w:val="008379B0"/>
    <w:rsid w:val="008401F5"/>
    <w:rsid w:val="00840937"/>
    <w:rsid w:val="00844CFB"/>
    <w:rsid w:val="00846C18"/>
    <w:rsid w:val="0085081D"/>
    <w:rsid w:val="008513C3"/>
    <w:rsid w:val="00855197"/>
    <w:rsid w:val="0085567A"/>
    <w:rsid w:val="008623C2"/>
    <w:rsid w:val="00863143"/>
    <w:rsid w:val="0086424E"/>
    <w:rsid w:val="00865479"/>
    <w:rsid w:val="008655C0"/>
    <w:rsid w:val="00867FA6"/>
    <w:rsid w:val="0087100C"/>
    <w:rsid w:val="0087259C"/>
    <w:rsid w:val="00872A03"/>
    <w:rsid w:val="00872EC0"/>
    <w:rsid w:val="00874C2B"/>
    <w:rsid w:val="00877C22"/>
    <w:rsid w:val="0088052E"/>
    <w:rsid w:val="00881ACB"/>
    <w:rsid w:val="008832B4"/>
    <w:rsid w:val="00885140"/>
    <w:rsid w:val="0088598D"/>
    <w:rsid w:val="00885D2C"/>
    <w:rsid w:val="0088733C"/>
    <w:rsid w:val="00895508"/>
    <w:rsid w:val="008957C0"/>
    <w:rsid w:val="00895F7D"/>
    <w:rsid w:val="008972E6"/>
    <w:rsid w:val="008A0FDF"/>
    <w:rsid w:val="008A2DD1"/>
    <w:rsid w:val="008A432C"/>
    <w:rsid w:val="008A4574"/>
    <w:rsid w:val="008A4934"/>
    <w:rsid w:val="008A4A40"/>
    <w:rsid w:val="008B00E8"/>
    <w:rsid w:val="008B0713"/>
    <w:rsid w:val="008B138D"/>
    <w:rsid w:val="008B3498"/>
    <w:rsid w:val="008B5053"/>
    <w:rsid w:val="008B5B0C"/>
    <w:rsid w:val="008C14A8"/>
    <w:rsid w:val="008C4E7B"/>
    <w:rsid w:val="008C5833"/>
    <w:rsid w:val="008C6F29"/>
    <w:rsid w:val="008D2025"/>
    <w:rsid w:val="008D2DFE"/>
    <w:rsid w:val="008D3A9B"/>
    <w:rsid w:val="008D3D15"/>
    <w:rsid w:val="008D567C"/>
    <w:rsid w:val="008D62C5"/>
    <w:rsid w:val="008D7185"/>
    <w:rsid w:val="008E04DF"/>
    <w:rsid w:val="008E0B09"/>
    <w:rsid w:val="008E353E"/>
    <w:rsid w:val="008E3C99"/>
    <w:rsid w:val="008E50E1"/>
    <w:rsid w:val="008E668A"/>
    <w:rsid w:val="008F2299"/>
    <w:rsid w:val="008F242A"/>
    <w:rsid w:val="008F4829"/>
    <w:rsid w:val="008F4BF0"/>
    <w:rsid w:val="0090024E"/>
    <w:rsid w:val="00900B15"/>
    <w:rsid w:val="00902EFA"/>
    <w:rsid w:val="00903939"/>
    <w:rsid w:val="00905EF3"/>
    <w:rsid w:val="00905F79"/>
    <w:rsid w:val="009062A9"/>
    <w:rsid w:val="00906510"/>
    <w:rsid w:val="00911A0D"/>
    <w:rsid w:val="00914B2B"/>
    <w:rsid w:val="00915F6D"/>
    <w:rsid w:val="009164E6"/>
    <w:rsid w:val="00916AB4"/>
    <w:rsid w:val="00916FFF"/>
    <w:rsid w:val="0092037A"/>
    <w:rsid w:val="00921B32"/>
    <w:rsid w:val="009246AD"/>
    <w:rsid w:val="009262AC"/>
    <w:rsid w:val="00927CDC"/>
    <w:rsid w:val="009334D8"/>
    <w:rsid w:val="00934258"/>
    <w:rsid w:val="00934E5D"/>
    <w:rsid w:val="00936802"/>
    <w:rsid w:val="009375B8"/>
    <w:rsid w:val="00941C64"/>
    <w:rsid w:val="00943ECE"/>
    <w:rsid w:val="0094531D"/>
    <w:rsid w:val="00946B66"/>
    <w:rsid w:val="00946BF1"/>
    <w:rsid w:val="009502FD"/>
    <w:rsid w:val="00951D8D"/>
    <w:rsid w:val="00951F5C"/>
    <w:rsid w:val="00953B44"/>
    <w:rsid w:val="00954ABD"/>
    <w:rsid w:val="00954CCB"/>
    <w:rsid w:val="00954F75"/>
    <w:rsid w:val="009556CA"/>
    <w:rsid w:val="00957C0B"/>
    <w:rsid w:val="00960CAA"/>
    <w:rsid w:val="009618B9"/>
    <w:rsid w:val="009632C3"/>
    <w:rsid w:val="00967927"/>
    <w:rsid w:val="00970EAE"/>
    <w:rsid w:val="00971697"/>
    <w:rsid w:val="0097170B"/>
    <w:rsid w:val="00974C98"/>
    <w:rsid w:val="00977EF4"/>
    <w:rsid w:val="00982973"/>
    <w:rsid w:val="0098381B"/>
    <w:rsid w:val="0098450D"/>
    <w:rsid w:val="00984790"/>
    <w:rsid w:val="00984F9E"/>
    <w:rsid w:val="0098587A"/>
    <w:rsid w:val="00993316"/>
    <w:rsid w:val="00996DE2"/>
    <w:rsid w:val="009A0806"/>
    <w:rsid w:val="009A247F"/>
    <w:rsid w:val="009B09EA"/>
    <w:rsid w:val="009B2627"/>
    <w:rsid w:val="009B3948"/>
    <w:rsid w:val="009B5AA3"/>
    <w:rsid w:val="009B6A7C"/>
    <w:rsid w:val="009B6CFF"/>
    <w:rsid w:val="009B79FF"/>
    <w:rsid w:val="009B7D26"/>
    <w:rsid w:val="009C364C"/>
    <w:rsid w:val="009C39BE"/>
    <w:rsid w:val="009C4165"/>
    <w:rsid w:val="009D0C28"/>
    <w:rsid w:val="009D48EB"/>
    <w:rsid w:val="009D54F0"/>
    <w:rsid w:val="009D6903"/>
    <w:rsid w:val="009E733C"/>
    <w:rsid w:val="009F7658"/>
    <w:rsid w:val="00A00307"/>
    <w:rsid w:val="00A01CB2"/>
    <w:rsid w:val="00A0242A"/>
    <w:rsid w:val="00A02C5B"/>
    <w:rsid w:val="00A02D62"/>
    <w:rsid w:val="00A0481B"/>
    <w:rsid w:val="00A050C5"/>
    <w:rsid w:val="00A06498"/>
    <w:rsid w:val="00A10D48"/>
    <w:rsid w:val="00A11F1B"/>
    <w:rsid w:val="00A145D4"/>
    <w:rsid w:val="00A16335"/>
    <w:rsid w:val="00A20089"/>
    <w:rsid w:val="00A219C1"/>
    <w:rsid w:val="00A21FC2"/>
    <w:rsid w:val="00A25C1B"/>
    <w:rsid w:val="00A26978"/>
    <w:rsid w:val="00A269C9"/>
    <w:rsid w:val="00A34CE3"/>
    <w:rsid w:val="00A369ED"/>
    <w:rsid w:val="00A36D1A"/>
    <w:rsid w:val="00A4070B"/>
    <w:rsid w:val="00A444E1"/>
    <w:rsid w:val="00A45DBF"/>
    <w:rsid w:val="00A460B5"/>
    <w:rsid w:val="00A46C91"/>
    <w:rsid w:val="00A47E25"/>
    <w:rsid w:val="00A54EE2"/>
    <w:rsid w:val="00A56A9D"/>
    <w:rsid w:val="00A66999"/>
    <w:rsid w:val="00A66EDD"/>
    <w:rsid w:val="00A67DC9"/>
    <w:rsid w:val="00A71C00"/>
    <w:rsid w:val="00A725CB"/>
    <w:rsid w:val="00A775AB"/>
    <w:rsid w:val="00A77E50"/>
    <w:rsid w:val="00A83008"/>
    <w:rsid w:val="00A858DA"/>
    <w:rsid w:val="00A86F38"/>
    <w:rsid w:val="00A8747D"/>
    <w:rsid w:val="00A9161D"/>
    <w:rsid w:val="00A91E4B"/>
    <w:rsid w:val="00A953CB"/>
    <w:rsid w:val="00A967E9"/>
    <w:rsid w:val="00A97C6A"/>
    <w:rsid w:val="00AA0F93"/>
    <w:rsid w:val="00AA47FF"/>
    <w:rsid w:val="00AA6A56"/>
    <w:rsid w:val="00AA7E60"/>
    <w:rsid w:val="00AB3D47"/>
    <w:rsid w:val="00AC1839"/>
    <w:rsid w:val="00AC48A9"/>
    <w:rsid w:val="00AC5F97"/>
    <w:rsid w:val="00AC6438"/>
    <w:rsid w:val="00AD1656"/>
    <w:rsid w:val="00AD304A"/>
    <w:rsid w:val="00AD57EF"/>
    <w:rsid w:val="00AD5BEF"/>
    <w:rsid w:val="00AE31C8"/>
    <w:rsid w:val="00AE4B97"/>
    <w:rsid w:val="00AE4C22"/>
    <w:rsid w:val="00AE7697"/>
    <w:rsid w:val="00AF0662"/>
    <w:rsid w:val="00AF0F60"/>
    <w:rsid w:val="00AF1765"/>
    <w:rsid w:val="00AF2AD1"/>
    <w:rsid w:val="00AF2D52"/>
    <w:rsid w:val="00AF51FA"/>
    <w:rsid w:val="00AF6234"/>
    <w:rsid w:val="00B04EA0"/>
    <w:rsid w:val="00B10801"/>
    <w:rsid w:val="00B12B0E"/>
    <w:rsid w:val="00B1632E"/>
    <w:rsid w:val="00B203C1"/>
    <w:rsid w:val="00B25ECD"/>
    <w:rsid w:val="00B26640"/>
    <w:rsid w:val="00B304FE"/>
    <w:rsid w:val="00B31EFF"/>
    <w:rsid w:val="00B333B4"/>
    <w:rsid w:val="00B34386"/>
    <w:rsid w:val="00B3447C"/>
    <w:rsid w:val="00B352BC"/>
    <w:rsid w:val="00B36EB0"/>
    <w:rsid w:val="00B4114B"/>
    <w:rsid w:val="00B42648"/>
    <w:rsid w:val="00B427AC"/>
    <w:rsid w:val="00B42C29"/>
    <w:rsid w:val="00B4579A"/>
    <w:rsid w:val="00B4654F"/>
    <w:rsid w:val="00B4666F"/>
    <w:rsid w:val="00B46893"/>
    <w:rsid w:val="00B5017E"/>
    <w:rsid w:val="00B506DD"/>
    <w:rsid w:val="00B508CB"/>
    <w:rsid w:val="00B51C8A"/>
    <w:rsid w:val="00B51E13"/>
    <w:rsid w:val="00B52B61"/>
    <w:rsid w:val="00B5437B"/>
    <w:rsid w:val="00B563D9"/>
    <w:rsid w:val="00B56A1C"/>
    <w:rsid w:val="00B57206"/>
    <w:rsid w:val="00B624F9"/>
    <w:rsid w:val="00B67A1C"/>
    <w:rsid w:val="00B67CE4"/>
    <w:rsid w:val="00B71491"/>
    <w:rsid w:val="00B715AA"/>
    <w:rsid w:val="00B7618D"/>
    <w:rsid w:val="00B769E8"/>
    <w:rsid w:val="00B778FF"/>
    <w:rsid w:val="00B815D5"/>
    <w:rsid w:val="00B82297"/>
    <w:rsid w:val="00B8487F"/>
    <w:rsid w:val="00B85C58"/>
    <w:rsid w:val="00B875D7"/>
    <w:rsid w:val="00B93BD4"/>
    <w:rsid w:val="00B93F6B"/>
    <w:rsid w:val="00B96730"/>
    <w:rsid w:val="00B97259"/>
    <w:rsid w:val="00B97430"/>
    <w:rsid w:val="00B97BD5"/>
    <w:rsid w:val="00BA0390"/>
    <w:rsid w:val="00BA1370"/>
    <w:rsid w:val="00BA15DE"/>
    <w:rsid w:val="00BA4364"/>
    <w:rsid w:val="00BA51B5"/>
    <w:rsid w:val="00BA7047"/>
    <w:rsid w:val="00BB07FC"/>
    <w:rsid w:val="00BB1134"/>
    <w:rsid w:val="00BB3D02"/>
    <w:rsid w:val="00BC3E2A"/>
    <w:rsid w:val="00BC4956"/>
    <w:rsid w:val="00BC572B"/>
    <w:rsid w:val="00BC5B46"/>
    <w:rsid w:val="00BC6F65"/>
    <w:rsid w:val="00BC73DA"/>
    <w:rsid w:val="00BD0668"/>
    <w:rsid w:val="00BD15A3"/>
    <w:rsid w:val="00BD4ECC"/>
    <w:rsid w:val="00BD5122"/>
    <w:rsid w:val="00BD62D3"/>
    <w:rsid w:val="00BE46DE"/>
    <w:rsid w:val="00BE47E3"/>
    <w:rsid w:val="00BE4974"/>
    <w:rsid w:val="00BE533F"/>
    <w:rsid w:val="00BE679C"/>
    <w:rsid w:val="00BE7D53"/>
    <w:rsid w:val="00BF1BF2"/>
    <w:rsid w:val="00BF277E"/>
    <w:rsid w:val="00BF30CA"/>
    <w:rsid w:val="00BF3C26"/>
    <w:rsid w:val="00BF5350"/>
    <w:rsid w:val="00C04888"/>
    <w:rsid w:val="00C0507A"/>
    <w:rsid w:val="00C0582F"/>
    <w:rsid w:val="00C06CFC"/>
    <w:rsid w:val="00C06FB7"/>
    <w:rsid w:val="00C13797"/>
    <w:rsid w:val="00C14939"/>
    <w:rsid w:val="00C168F2"/>
    <w:rsid w:val="00C25A0B"/>
    <w:rsid w:val="00C30403"/>
    <w:rsid w:val="00C30851"/>
    <w:rsid w:val="00C345FE"/>
    <w:rsid w:val="00C349BB"/>
    <w:rsid w:val="00C37257"/>
    <w:rsid w:val="00C41846"/>
    <w:rsid w:val="00C43E93"/>
    <w:rsid w:val="00C45E7B"/>
    <w:rsid w:val="00C509C7"/>
    <w:rsid w:val="00C511F1"/>
    <w:rsid w:val="00C51967"/>
    <w:rsid w:val="00C521E3"/>
    <w:rsid w:val="00C530DD"/>
    <w:rsid w:val="00C54617"/>
    <w:rsid w:val="00C55D98"/>
    <w:rsid w:val="00C5629A"/>
    <w:rsid w:val="00C600AA"/>
    <w:rsid w:val="00C6067F"/>
    <w:rsid w:val="00C63067"/>
    <w:rsid w:val="00C66971"/>
    <w:rsid w:val="00C67972"/>
    <w:rsid w:val="00C72D78"/>
    <w:rsid w:val="00C739F8"/>
    <w:rsid w:val="00C74006"/>
    <w:rsid w:val="00C748A5"/>
    <w:rsid w:val="00C76E2E"/>
    <w:rsid w:val="00C77856"/>
    <w:rsid w:val="00C845B4"/>
    <w:rsid w:val="00C84894"/>
    <w:rsid w:val="00C9140C"/>
    <w:rsid w:val="00C927E4"/>
    <w:rsid w:val="00C96B75"/>
    <w:rsid w:val="00CA06ED"/>
    <w:rsid w:val="00CA15CA"/>
    <w:rsid w:val="00CA2A43"/>
    <w:rsid w:val="00CA3082"/>
    <w:rsid w:val="00CB4E85"/>
    <w:rsid w:val="00CB56ED"/>
    <w:rsid w:val="00CC3DE1"/>
    <w:rsid w:val="00CC4491"/>
    <w:rsid w:val="00CC49A0"/>
    <w:rsid w:val="00CC4E0F"/>
    <w:rsid w:val="00CC6321"/>
    <w:rsid w:val="00CC788A"/>
    <w:rsid w:val="00CD129E"/>
    <w:rsid w:val="00CD1405"/>
    <w:rsid w:val="00CD17B5"/>
    <w:rsid w:val="00CD39F7"/>
    <w:rsid w:val="00CD4C29"/>
    <w:rsid w:val="00CD62E6"/>
    <w:rsid w:val="00CD66EA"/>
    <w:rsid w:val="00CE1C3F"/>
    <w:rsid w:val="00CE1F97"/>
    <w:rsid w:val="00CE25EC"/>
    <w:rsid w:val="00CE3317"/>
    <w:rsid w:val="00CF2E88"/>
    <w:rsid w:val="00CF43B7"/>
    <w:rsid w:val="00CF6150"/>
    <w:rsid w:val="00CF629F"/>
    <w:rsid w:val="00CF6513"/>
    <w:rsid w:val="00D0095A"/>
    <w:rsid w:val="00D0114F"/>
    <w:rsid w:val="00D02826"/>
    <w:rsid w:val="00D041C4"/>
    <w:rsid w:val="00D05058"/>
    <w:rsid w:val="00D0596F"/>
    <w:rsid w:val="00D062D6"/>
    <w:rsid w:val="00D06467"/>
    <w:rsid w:val="00D06D7C"/>
    <w:rsid w:val="00D125E2"/>
    <w:rsid w:val="00D1328B"/>
    <w:rsid w:val="00D13B1B"/>
    <w:rsid w:val="00D14386"/>
    <w:rsid w:val="00D20CBC"/>
    <w:rsid w:val="00D21009"/>
    <w:rsid w:val="00D24368"/>
    <w:rsid w:val="00D25460"/>
    <w:rsid w:val="00D25C57"/>
    <w:rsid w:val="00D30FD9"/>
    <w:rsid w:val="00D32DA4"/>
    <w:rsid w:val="00D32FEB"/>
    <w:rsid w:val="00D35F12"/>
    <w:rsid w:val="00D36215"/>
    <w:rsid w:val="00D36AC0"/>
    <w:rsid w:val="00D410FF"/>
    <w:rsid w:val="00D41346"/>
    <w:rsid w:val="00D41706"/>
    <w:rsid w:val="00D421FF"/>
    <w:rsid w:val="00D42B8B"/>
    <w:rsid w:val="00D4650E"/>
    <w:rsid w:val="00D46874"/>
    <w:rsid w:val="00D47C8A"/>
    <w:rsid w:val="00D502D9"/>
    <w:rsid w:val="00D518B8"/>
    <w:rsid w:val="00D52CA5"/>
    <w:rsid w:val="00D56561"/>
    <w:rsid w:val="00D571AE"/>
    <w:rsid w:val="00D61DBF"/>
    <w:rsid w:val="00D64F53"/>
    <w:rsid w:val="00D66756"/>
    <w:rsid w:val="00D67737"/>
    <w:rsid w:val="00D7342D"/>
    <w:rsid w:val="00D80019"/>
    <w:rsid w:val="00D803BB"/>
    <w:rsid w:val="00D81E40"/>
    <w:rsid w:val="00D8588F"/>
    <w:rsid w:val="00D8663A"/>
    <w:rsid w:val="00D86677"/>
    <w:rsid w:val="00D878F4"/>
    <w:rsid w:val="00D90CC3"/>
    <w:rsid w:val="00D928D2"/>
    <w:rsid w:val="00D9328F"/>
    <w:rsid w:val="00D93861"/>
    <w:rsid w:val="00D94BBD"/>
    <w:rsid w:val="00D9505F"/>
    <w:rsid w:val="00DA319A"/>
    <w:rsid w:val="00DA32D1"/>
    <w:rsid w:val="00DA4D3C"/>
    <w:rsid w:val="00DA549E"/>
    <w:rsid w:val="00DA6311"/>
    <w:rsid w:val="00DA6F36"/>
    <w:rsid w:val="00DB1E78"/>
    <w:rsid w:val="00DB272D"/>
    <w:rsid w:val="00DB476E"/>
    <w:rsid w:val="00DB77A0"/>
    <w:rsid w:val="00DC4CB7"/>
    <w:rsid w:val="00DC4E0E"/>
    <w:rsid w:val="00DC762E"/>
    <w:rsid w:val="00DD1EEC"/>
    <w:rsid w:val="00DD29EF"/>
    <w:rsid w:val="00DD591C"/>
    <w:rsid w:val="00DD72A8"/>
    <w:rsid w:val="00DE14F6"/>
    <w:rsid w:val="00DE21CB"/>
    <w:rsid w:val="00DE3596"/>
    <w:rsid w:val="00DE4EEA"/>
    <w:rsid w:val="00DE78D2"/>
    <w:rsid w:val="00DF48CB"/>
    <w:rsid w:val="00DF553B"/>
    <w:rsid w:val="00DF59F4"/>
    <w:rsid w:val="00DF683D"/>
    <w:rsid w:val="00DF7188"/>
    <w:rsid w:val="00E02BA7"/>
    <w:rsid w:val="00E04B53"/>
    <w:rsid w:val="00E074F2"/>
    <w:rsid w:val="00E12479"/>
    <w:rsid w:val="00E126FC"/>
    <w:rsid w:val="00E1410B"/>
    <w:rsid w:val="00E21F6D"/>
    <w:rsid w:val="00E2340D"/>
    <w:rsid w:val="00E2638D"/>
    <w:rsid w:val="00E32A18"/>
    <w:rsid w:val="00E36D81"/>
    <w:rsid w:val="00E379D6"/>
    <w:rsid w:val="00E41C3E"/>
    <w:rsid w:val="00E43650"/>
    <w:rsid w:val="00E44588"/>
    <w:rsid w:val="00E44E01"/>
    <w:rsid w:val="00E46962"/>
    <w:rsid w:val="00E46BD3"/>
    <w:rsid w:val="00E50BEB"/>
    <w:rsid w:val="00E50F1F"/>
    <w:rsid w:val="00E52AEA"/>
    <w:rsid w:val="00E56C67"/>
    <w:rsid w:val="00E57968"/>
    <w:rsid w:val="00E607AE"/>
    <w:rsid w:val="00E610B2"/>
    <w:rsid w:val="00E61C23"/>
    <w:rsid w:val="00E61D71"/>
    <w:rsid w:val="00E6319E"/>
    <w:rsid w:val="00E653F2"/>
    <w:rsid w:val="00E65825"/>
    <w:rsid w:val="00E673BD"/>
    <w:rsid w:val="00E700C6"/>
    <w:rsid w:val="00E75388"/>
    <w:rsid w:val="00E754B8"/>
    <w:rsid w:val="00E7610B"/>
    <w:rsid w:val="00E82D49"/>
    <w:rsid w:val="00E83003"/>
    <w:rsid w:val="00E84CB9"/>
    <w:rsid w:val="00E8637E"/>
    <w:rsid w:val="00E910DC"/>
    <w:rsid w:val="00E96302"/>
    <w:rsid w:val="00EA1974"/>
    <w:rsid w:val="00EA282F"/>
    <w:rsid w:val="00EA525C"/>
    <w:rsid w:val="00EA52F0"/>
    <w:rsid w:val="00EA546D"/>
    <w:rsid w:val="00EA61FA"/>
    <w:rsid w:val="00EA6263"/>
    <w:rsid w:val="00EA7B95"/>
    <w:rsid w:val="00EB2840"/>
    <w:rsid w:val="00EB41F4"/>
    <w:rsid w:val="00EB511F"/>
    <w:rsid w:val="00EB7FE8"/>
    <w:rsid w:val="00EC00D5"/>
    <w:rsid w:val="00EC036C"/>
    <w:rsid w:val="00EC0E4E"/>
    <w:rsid w:val="00EC36D5"/>
    <w:rsid w:val="00ED4995"/>
    <w:rsid w:val="00ED4DFB"/>
    <w:rsid w:val="00ED5341"/>
    <w:rsid w:val="00ED5D05"/>
    <w:rsid w:val="00ED6D02"/>
    <w:rsid w:val="00EE0318"/>
    <w:rsid w:val="00EE1CA6"/>
    <w:rsid w:val="00EE241E"/>
    <w:rsid w:val="00EF5946"/>
    <w:rsid w:val="00EF6377"/>
    <w:rsid w:val="00EF7139"/>
    <w:rsid w:val="00EF78BB"/>
    <w:rsid w:val="00F0228F"/>
    <w:rsid w:val="00F103D7"/>
    <w:rsid w:val="00F10E56"/>
    <w:rsid w:val="00F10FDC"/>
    <w:rsid w:val="00F20964"/>
    <w:rsid w:val="00F20E61"/>
    <w:rsid w:val="00F249DD"/>
    <w:rsid w:val="00F26721"/>
    <w:rsid w:val="00F334DE"/>
    <w:rsid w:val="00F35A5C"/>
    <w:rsid w:val="00F40A06"/>
    <w:rsid w:val="00F4199B"/>
    <w:rsid w:val="00F52B60"/>
    <w:rsid w:val="00F5421E"/>
    <w:rsid w:val="00F545B7"/>
    <w:rsid w:val="00F561DD"/>
    <w:rsid w:val="00F60DA7"/>
    <w:rsid w:val="00F67041"/>
    <w:rsid w:val="00F6757B"/>
    <w:rsid w:val="00F7043F"/>
    <w:rsid w:val="00F72E1A"/>
    <w:rsid w:val="00F7660C"/>
    <w:rsid w:val="00F772FE"/>
    <w:rsid w:val="00F7798A"/>
    <w:rsid w:val="00F80669"/>
    <w:rsid w:val="00F817D8"/>
    <w:rsid w:val="00F8230C"/>
    <w:rsid w:val="00F824F5"/>
    <w:rsid w:val="00F8537A"/>
    <w:rsid w:val="00F96397"/>
    <w:rsid w:val="00F965E7"/>
    <w:rsid w:val="00F97782"/>
    <w:rsid w:val="00FA0012"/>
    <w:rsid w:val="00FA076F"/>
    <w:rsid w:val="00FA0C2C"/>
    <w:rsid w:val="00FA0DEC"/>
    <w:rsid w:val="00FA2A99"/>
    <w:rsid w:val="00FB2856"/>
    <w:rsid w:val="00FB322E"/>
    <w:rsid w:val="00FB47A7"/>
    <w:rsid w:val="00FB4AA2"/>
    <w:rsid w:val="00FB6344"/>
    <w:rsid w:val="00FB7735"/>
    <w:rsid w:val="00FB7CE1"/>
    <w:rsid w:val="00FC1818"/>
    <w:rsid w:val="00FC23FF"/>
    <w:rsid w:val="00FC3655"/>
    <w:rsid w:val="00FC43A0"/>
    <w:rsid w:val="00FC745E"/>
    <w:rsid w:val="00FD20CB"/>
    <w:rsid w:val="00FD4113"/>
    <w:rsid w:val="00FD4E4D"/>
    <w:rsid w:val="00FD4F58"/>
    <w:rsid w:val="00FD547E"/>
    <w:rsid w:val="00FD7718"/>
    <w:rsid w:val="00FD774A"/>
    <w:rsid w:val="00FE0C38"/>
    <w:rsid w:val="00FE10C0"/>
    <w:rsid w:val="00FE1DDC"/>
    <w:rsid w:val="00FE5AF8"/>
    <w:rsid w:val="00FE7B0B"/>
    <w:rsid w:val="00FF052D"/>
    <w:rsid w:val="00FF05DA"/>
    <w:rsid w:val="00FF21C3"/>
    <w:rsid w:val="00FF5372"/>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729AF"/>
  <w15:docId w15:val="{8DCD786F-04A2-44A0-A032-C934D1ED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5435"/>
    <w:pPr>
      <w:spacing w:after="200"/>
      <w:jc w:val="both"/>
    </w:pPr>
    <w:rPr>
      <w:rFonts w:ascii="Times" w:hAnsi="Times"/>
      <w:sz w:val="24"/>
    </w:rPr>
  </w:style>
  <w:style w:type="paragraph" w:styleId="Heading1">
    <w:name w:val="heading 1"/>
    <w:basedOn w:val="Normal"/>
    <w:next w:val="Normal"/>
    <w:qFormat/>
    <w:rsid w:val="003E5435"/>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3E5435"/>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3E5435"/>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E5435"/>
    <w:rPr>
      <w:color w:val="800080"/>
      <w:u w:val="single"/>
    </w:rPr>
  </w:style>
  <w:style w:type="paragraph" w:styleId="BodyText">
    <w:name w:val="Body Text"/>
    <w:basedOn w:val="Normal"/>
    <w:rsid w:val="003E5435"/>
    <w:pPr>
      <w:jc w:val="center"/>
    </w:pPr>
    <w:rPr>
      <w:b/>
      <w:sz w:val="40"/>
    </w:rPr>
  </w:style>
  <w:style w:type="paragraph" w:styleId="FootnoteText">
    <w:name w:val="footnote text"/>
    <w:basedOn w:val="Normal"/>
    <w:next w:val="TFReferencesSection"/>
    <w:semiHidden/>
    <w:rsid w:val="003E5435"/>
  </w:style>
  <w:style w:type="paragraph" w:customStyle="1" w:styleId="TFReferencesSection">
    <w:name w:val="TF_References_Section"/>
    <w:basedOn w:val="Normal"/>
    <w:next w:val="Normal"/>
    <w:autoRedefine/>
    <w:rsid w:val="003E5435"/>
    <w:pPr>
      <w:spacing w:after="0"/>
      <w:ind w:firstLine="187"/>
    </w:pPr>
    <w:rPr>
      <w:rFonts w:ascii="Arno Pro" w:hAnsi="Arno Pro"/>
      <w:kern w:val="19"/>
      <w:sz w:val="17"/>
      <w:szCs w:val="14"/>
    </w:rPr>
  </w:style>
  <w:style w:type="paragraph" w:customStyle="1" w:styleId="TAMainText">
    <w:name w:val="TA_Main_Text"/>
    <w:basedOn w:val="Normal"/>
    <w:autoRedefine/>
    <w:rsid w:val="004B763C"/>
    <w:pPr>
      <w:spacing w:after="60"/>
    </w:pPr>
    <w:rPr>
      <w:rFonts w:ascii="Arno Pro" w:hAnsi="Arno Pro"/>
      <w:kern w:val="21"/>
      <w:sz w:val="19"/>
    </w:rPr>
  </w:style>
  <w:style w:type="paragraph" w:customStyle="1" w:styleId="BATitle">
    <w:name w:val="BA_Title"/>
    <w:basedOn w:val="Normal"/>
    <w:next w:val="BBAuthorName"/>
    <w:autoRedefine/>
    <w:rsid w:val="003E5435"/>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3E5435"/>
    <w:pPr>
      <w:spacing w:after="180"/>
      <w:jc w:val="left"/>
    </w:pPr>
    <w:rPr>
      <w:rFonts w:ascii="Arno Pro" w:hAnsi="Arno Pro"/>
      <w:kern w:val="26"/>
    </w:rPr>
  </w:style>
  <w:style w:type="paragraph" w:customStyle="1" w:styleId="BCAuthorAddress">
    <w:name w:val="BC_Author_Address"/>
    <w:basedOn w:val="Normal"/>
    <w:next w:val="BIEmailAddress"/>
    <w:autoRedefine/>
    <w:rsid w:val="003E5435"/>
    <w:pPr>
      <w:spacing w:after="60"/>
      <w:jc w:val="left"/>
    </w:pPr>
    <w:rPr>
      <w:rFonts w:ascii="Arno Pro" w:hAnsi="Arno Pro"/>
      <w:kern w:val="22"/>
      <w:sz w:val="20"/>
    </w:rPr>
  </w:style>
  <w:style w:type="paragraph" w:customStyle="1" w:styleId="BIEmailAddress">
    <w:name w:val="BI_Email_Address"/>
    <w:basedOn w:val="Normal"/>
    <w:next w:val="AIReceivedDate"/>
    <w:autoRedefine/>
    <w:rsid w:val="003E5435"/>
    <w:pPr>
      <w:spacing w:after="100"/>
      <w:jc w:val="left"/>
    </w:pPr>
    <w:rPr>
      <w:rFonts w:ascii="Arno Pro" w:hAnsi="Arno Pro"/>
      <w:sz w:val="18"/>
    </w:rPr>
  </w:style>
  <w:style w:type="paragraph" w:customStyle="1" w:styleId="AIReceivedDate">
    <w:name w:val="AI_Received_Date"/>
    <w:basedOn w:val="Normal"/>
    <w:next w:val="Normal"/>
    <w:autoRedefine/>
    <w:rsid w:val="003E5435"/>
    <w:pPr>
      <w:spacing w:after="100"/>
      <w:jc w:val="left"/>
    </w:pPr>
    <w:rPr>
      <w:rFonts w:ascii="Arno Pro" w:hAnsi="Arno Pro"/>
      <w:sz w:val="18"/>
    </w:rPr>
  </w:style>
  <w:style w:type="paragraph" w:customStyle="1" w:styleId="BDAbstract">
    <w:name w:val="BD_Abstract"/>
    <w:basedOn w:val="Normal"/>
    <w:next w:val="TAMainText"/>
    <w:link w:val="BDAbstractChar"/>
    <w:autoRedefine/>
    <w:rsid w:val="003E5435"/>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3E5435"/>
    <w:pPr>
      <w:spacing w:after="0"/>
    </w:pPr>
    <w:rPr>
      <w:rFonts w:ascii="Arno Pro" w:hAnsi="Arno Pro"/>
      <w:kern w:val="20"/>
      <w:sz w:val="18"/>
    </w:rPr>
  </w:style>
  <w:style w:type="paragraph" w:customStyle="1" w:styleId="TESupportingInformation">
    <w:name w:val="TE_Supporting_Information"/>
    <w:basedOn w:val="Normal"/>
    <w:next w:val="Normal"/>
    <w:autoRedefine/>
    <w:rsid w:val="003E5435"/>
    <w:pPr>
      <w:spacing w:after="0"/>
    </w:pPr>
    <w:rPr>
      <w:rFonts w:ascii="Arno Pro" w:hAnsi="Arno Pro"/>
      <w:kern w:val="20"/>
      <w:sz w:val="18"/>
    </w:rPr>
  </w:style>
  <w:style w:type="paragraph" w:customStyle="1" w:styleId="VCSchemeTitle">
    <w:name w:val="VC_Scheme_Title"/>
    <w:basedOn w:val="Normal"/>
    <w:next w:val="Normal"/>
    <w:autoRedefine/>
    <w:rsid w:val="003E5435"/>
    <w:pPr>
      <w:spacing w:after="180"/>
    </w:pPr>
    <w:rPr>
      <w:rFonts w:ascii="Arno Pro" w:hAnsi="Arno Pro"/>
      <w:b/>
      <w:kern w:val="21"/>
      <w:sz w:val="19"/>
    </w:rPr>
  </w:style>
  <w:style w:type="paragraph" w:customStyle="1" w:styleId="VDTableTitle">
    <w:name w:val="VD_Table_Title"/>
    <w:basedOn w:val="Normal"/>
    <w:next w:val="Normal"/>
    <w:autoRedefine/>
    <w:rsid w:val="003E5435"/>
    <w:pPr>
      <w:spacing w:after="180"/>
    </w:pPr>
    <w:rPr>
      <w:rFonts w:ascii="Arno Pro" w:hAnsi="Arno Pro"/>
      <w:b/>
      <w:kern w:val="21"/>
      <w:sz w:val="19"/>
      <w:szCs w:val="19"/>
    </w:rPr>
  </w:style>
  <w:style w:type="paragraph" w:customStyle="1" w:styleId="VAFigureCaption">
    <w:name w:val="VA_Figure_Caption"/>
    <w:basedOn w:val="Normal"/>
    <w:next w:val="Normal"/>
    <w:autoRedefine/>
    <w:rsid w:val="003E5435"/>
    <w:pPr>
      <w:spacing w:before="200" w:after="120"/>
    </w:pPr>
    <w:rPr>
      <w:rFonts w:ascii="Arno Pro" w:hAnsi="Arno Pro"/>
      <w:kern w:val="20"/>
      <w:sz w:val="18"/>
    </w:rPr>
  </w:style>
  <w:style w:type="paragraph" w:customStyle="1" w:styleId="VBChartTitle">
    <w:name w:val="VB_Chart_Title"/>
    <w:basedOn w:val="Normal"/>
    <w:next w:val="Normal"/>
    <w:autoRedefine/>
    <w:rsid w:val="003E5435"/>
    <w:pPr>
      <w:spacing w:after="180"/>
    </w:pPr>
    <w:rPr>
      <w:rFonts w:ascii="Arno Pro" w:hAnsi="Arno Pro"/>
      <w:b/>
      <w:kern w:val="21"/>
      <w:sz w:val="19"/>
    </w:rPr>
  </w:style>
  <w:style w:type="paragraph" w:customStyle="1" w:styleId="FETableFootnote">
    <w:name w:val="FE_Table_Footnote"/>
    <w:basedOn w:val="Normal"/>
    <w:next w:val="Normal"/>
    <w:autoRedefine/>
    <w:rsid w:val="003E5435"/>
    <w:pPr>
      <w:spacing w:before="60" w:after="120"/>
      <w:ind w:firstLine="187"/>
    </w:pPr>
    <w:rPr>
      <w:rFonts w:ascii="Arno Pro" w:hAnsi="Arno Pro"/>
      <w:sz w:val="18"/>
    </w:rPr>
  </w:style>
  <w:style w:type="paragraph" w:customStyle="1" w:styleId="FCChartFootnote">
    <w:name w:val="FC_Chart_Footnote"/>
    <w:basedOn w:val="Normal"/>
    <w:next w:val="Normal"/>
    <w:autoRedefine/>
    <w:rsid w:val="003E5435"/>
    <w:pPr>
      <w:spacing w:before="60" w:after="120"/>
      <w:ind w:firstLine="187"/>
    </w:pPr>
    <w:rPr>
      <w:rFonts w:ascii="Arno Pro" w:hAnsi="Arno Pro"/>
      <w:sz w:val="18"/>
    </w:rPr>
  </w:style>
  <w:style w:type="paragraph" w:customStyle="1" w:styleId="FDSchemeFootnote">
    <w:name w:val="FD_Scheme_Footnote"/>
    <w:basedOn w:val="Normal"/>
    <w:next w:val="Normal"/>
    <w:autoRedefine/>
    <w:rsid w:val="003E5435"/>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3E5435"/>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3E5435"/>
    <w:pPr>
      <w:spacing w:after="0"/>
      <w:jc w:val="left"/>
    </w:pPr>
    <w:rPr>
      <w:rFonts w:ascii="Arno Pro" w:hAnsi="Arno Pro"/>
      <w:kern w:val="20"/>
      <w:sz w:val="18"/>
    </w:rPr>
  </w:style>
  <w:style w:type="paragraph" w:customStyle="1" w:styleId="BEAuthorBiography">
    <w:name w:val="BE_Author_Biography"/>
    <w:basedOn w:val="Normal"/>
    <w:autoRedefine/>
    <w:rsid w:val="003E5435"/>
    <w:rPr>
      <w:rFonts w:ascii="Arno Pro" w:hAnsi="Arno Pro"/>
      <w:sz w:val="22"/>
    </w:rPr>
  </w:style>
  <w:style w:type="paragraph" w:customStyle="1" w:styleId="StyleBIEmailAddress95pt">
    <w:name w:val="Style BI_Email_Address + 9.5 pt"/>
    <w:basedOn w:val="BIEmailAddress"/>
    <w:rsid w:val="003E5435"/>
    <w:pPr>
      <w:spacing w:after="60"/>
    </w:pPr>
    <w:rPr>
      <w:sz w:val="19"/>
    </w:rPr>
  </w:style>
  <w:style w:type="paragraph" w:customStyle="1" w:styleId="SNSynopsisTOC">
    <w:name w:val="SN_Synopsis_TOC"/>
    <w:basedOn w:val="Normal"/>
    <w:next w:val="Normal"/>
    <w:autoRedefine/>
    <w:rsid w:val="003E5435"/>
    <w:pPr>
      <w:spacing w:after="60"/>
    </w:pPr>
    <w:rPr>
      <w:rFonts w:ascii="Arno Pro" w:hAnsi="Arno Pro"/>
      <w:kern w:val="22"/>
      <w:sz w:val="20"/>
    </w:rPr>
  </w:style>
  <w:style w:type="character" w:styleId="Hyperlink">
    <w:name w:val="Hyperlink"/>
    <w:rsid w:val="003E5435"/>
    <w:rPr>
      <w:color w:val="0000FF"/>
      <w:u w:val="single"/>
    </w:rPr>
  </w:style>
  <w:style w:type="paragraph" w:styleId="Footer">
    <w:name w:val="footer"/>
    <w:basedOn w:val="Normal"/>
    <w:rsid w:val="003E5435"/>
    <w:pPr>
      <w:tabs>
        <w:tab w:val="center" w:pos="4320"/>
        <w:tab w:val="right" w:pos="8640"/>
      </w:tabs>
    </w:pPr>
  </w:style>
  <w:style w:type="paragraph" w:customStyle="1" w:styleId="BGKeywords">
    <w:name w:val="BG_Keywords"/>
    <w:basedOn w:val="Normal"/>
    <w:next w:val="BHBriefs"/>
    <w:autoRedefine/>
    <w:rsid w:val="003E5435"/>
    <w:pPr>
      <w:spacing w:after="220"/>
      <w:jc w:val="left"/>
    </w:pPr>
    <w:rPr>
      <w:rFonts w:ascii="Arno Pro" w:hAnsi="Arno Pro"/>
      <w:i/>
      <w:kern w:val="22"/>
      <w:sz w:val="20"/>
    </w:rPr>
  </w:style>
  <w:style w:type="paragraph" w:customStyle="1" w:styleId="BHBriefs">
    <w:name w:val="BH_Briefs"/>
    <w:basedOn w:val="Normal"/>
    <w:next w:val="BDAbstract"/>
    <w:autoRedefine/>
    <w:rsid w:val="003E5435"/>
    <w:pPr>
      <w:spacing w:before="180" w:after="60"/>
      <w:jc w:val="left"/>
    </w:pPr>
    <w:rPr>
      <w:rFonts w:ascii="Arno Pro" w:hAnsi="Arno Pro"/>
      <w:kern w:val="22"/>
      <w:sz w:val="20"/>
    </w:rPr>
  </w:style>
  <w:style w:type="character" w:styleId="PageNumber">
    <w:name w:val="page number"/>
    <w:basedOn w:val="DefaultParagraphFont"/>
    <w:rsid w:val="003E5435"/>
  </w:style>
  <w:style w:type="paragraph" w:styleId="BalloonText">
    <w:name w:val="Balloon Text"/>
    <w:basedOn w:val="Normal"/>
    <w:semiHidden/>
    <w:rsid w:val="003E5435"/>
    <w:rPr>
      <w:rFonts w:ascii="Tahoma" w:hAnsi="Tahoma" w:cs="Tahoma"/>
      <w:sz w:val="16"/>
      <w:szCs w:val="16"/>
    </w:rPr>
  </w:style>
  <w:style w:type="character" w:styleId="EndnoteReference">
    <w:name w:val="endnote reference"/>
    <w:semiHidden/>
    <w:rsid w:val="003E5435"/>
    <w:rPr>
      <w:rFonts w:ascii="Times" w:hAnsi="Times"/>
      <w:sz w:val="18"/>
      <w:vertAlign w:val="superscript"/>
    </w:rPr>
  </w:style>
  <w:style w:type="paragraph" w:customStyle="1" w:styleId="StyleTCTableBodyBold">
    <w:name w:val="Style TC_Table_Body + Bold"/>
    <w:basedOn w:val="TCTableBody"/>
    <w:link w:val="StyleTCTableBodyBoldChar"/>
    <w:rsid w:val="003E5435"/>
    <w:rPr>
      <w:b/>
      <w:bCs/>
      <w:kern w:val="22"/>
      <w:sz w:val="15"/>
    </w:rPr>
  </w:style>
  <w:style w:type="character" w:customStyle="1" w:styleId="StyleFACorrespondingAuthorFootnote7ptChar">
    <w:name w:val="Style FA_Corresponding_Author_Footnote + 7 pt Char"/>
    <w:link w:val="StyleFACorrespondingAuthorFootnote7pt"/>
    <w:rsid w:val="003E5435"/>
    <w:rPr>
      <w:rFonts w:ascii="Arno Pro" w:hAnsi="Arno Pro"/>
      <w:kern w:val="20"/>
      <w:sz w:val="18"/>
    </w:rPr>
  </w:style>
  <w:style w:type="paragraph" w:customStyle="1" w:styleId="BDAbstractTitle">
    <w:name w:val="BD_Abstract_Title"/>
    <w:basedOn w:val="BDAbstract"/>
    <w:link w:val="BDAbstractTitleChar"/>
    <w:rsid w:val="003E5435"/>
    <w:rPr>
      <w:b/>
    </w:rPr>
  </w:style>
  <w:style w:type="character" w:customStyle="1" w:styleId="BDAbstractChar">
    <w:name w:val="BD_Abstract Char"/>
    <w:link w:val="BDAbstract"/>
    <w:rsid w:val="003E5435"/>
    <w:rPr>
      <w:rFonts w:ascii="Arno Pro" w:hAnsi="Arno Pro"/>
      <w:kern w:val="21"/>
      <w:sz w:val="19"/>
    </w:rPr>
  </w:style>
  <w:style w:type="character" w:customStyle="1" w:styleId="BDAbstractTitleChar">
    <w:name w:val="BD_Abstract_Title Char"/>
    <w:link w:val="BDAbstractTitle"/>
    <w:rsid w:val="003E5435"/>
    <w:rPr>
      <w:rFonts w:ascii="Arno Pro" w:hAnsi="Arno Pro"/>
      <w:b/>
      <w:kern w:val="21"/>
      <w:sz w:val="19"/>
    </w:rPr>
  </w:style>
  <w:style w:type="paragraph" w:customStyle="1" w:styleId="TDAckTitle">
    <w:name w:val="TD_Ack_Title"/>
    <w:basedOn w:val="TDAcknowledgments"/>
    <w:link w:val="TDAckTitleChar"/>
    <w:rsid w:val="003E5435"/>
    <w:pPr>
      <w:spacing w:before="180" w:after="60"/>
    </w:pPr>
    <w:rPr>
      <w:rFonts w:ascii="Myriad Pro Light" w:hAnsi="Myriad Pro Light"/>
      <w:b/>
      <w:kern w:val="23"/>
      <w:sz w:val="21"/>
    </w:rPr>
  </w:style>
  <w:style w:type="character" w:customStyle="1" w:styleId="TDAcknowledgmentsChar">
    <w:name w:val="TD_Acknowledgments Char"/>
    <w:link w:val="TDAcknowledgments"/>
    <w:rsid w:val="003E5435"/>
    <w:rPr>
      <w:rFonts w:ascii="Arno Pro" w:hAnsi="Arno Pro"/>
      <w:kern w:val="20"/>
      <w:sz w:val="18"/>
    </w:rPr>
  </w:style>
  <w:style w:type="character" w:customStyle="1" w:styleId="TDAckTitleChar">
    <w:name w:val="TD_Ack_Title Char"/>
    <w:link w:val="TDAckTitle"/>
    <w:rsid w:val="003E5435"/>
    <w:rPr>
      <w:rFonts w:ascii="Myriad Pro Light" w:hAnsi="Myriad Pro Light"/>
      <w:b/>
      <w:kern w:val="23"/>
      <w:sz w:val="21"/>
    </w:rPr>
  </w:style>
  <w:style w:type="paragraph" w:customStyle="1" w:styleId="TESupportingInfoTitle">
    <w:name w:val="TE_Supporting_Info_Title"/>
    <w:basedOn w:val="TESupportingInformation"/>
    <w:autoRedefine/>
    <w:rsid w:val="003E5435"/>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3E5435"/>
  </w:style>
  <w:style w:type="paragraph" w:customStyle="1" w:styleId="FAAuthorInfoSubtitle">
    <w:name w:val="FA_Author_Info_Subtitle"/>
    <w:basedOn w:val="Normal"/>
    <w:link w:val="FAAuthorInfoSubtitleChar"/>
    <w:autoRedefine/>
    <w:rsid w:val="003E5435"/>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3E5435"/>
    <w:rPr>
      <w:rFonts w:ascii="Myriad Pro Light" w:hAnsi="Myriad Pro Light"/>
      <w:b/>
      <w:kern w:val="21"/>
      <w:sz w:val="19"/>
      <w:szCs w:val="14"/>
    </w:rPr>
  </w:style>
  <w:style w:type="character" w:customStyle="1" w:styleId="TCTableBodyChar">
    <w:name w:val="TC_Table_Body Char"/>
    <w:link w:val="TCTableBody"/>
    <w:rsid w:val="003E5435"/>
    <w:rPr>
      <w:rFonts w:ascii="Arno Pro" w:hAnsi="Arno Pro"/>
      <w:kern w:val="20"/>
      <w:sz w:val="18"/>
    </w:rPr>
  </w:style>
  <w:style w:type="character" w:customStyle="1" w:styleId="StyleTCTableBodyBoldChar">
    <w:name w:val="Style TC_Table_Body + Bold Char"/>
    <w:link w:val="StyleTCTableBodyBold"/>
    <w:rsid w:val="003E5435"/>
    <w:rPr>
      <w:rFonts w:ascii="Arno Pro" w:hAnsi="Arno Pro"/>
      <w:b/>
      <w:bCs/>
      <w:kern w:val="22"/>
      <w:sz w:val="15"/>
    </w:rPr>
  </w:style>
  <w:style w:type="table" w:styleId="ListTable6Colourful">
    <w:name w:val="List Table 6 Colorful"/>
    <w:basedOn w:val="TableNormal"/>
    <w:uiPriority w:val="51"/>
    <w:rsid w:val="0060169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nhideWhenUsed/>
    <w:qFormat/>
    <w:rsid w:val="00640C25"/>
    <w:rPr>
      <w:i/>
      <w:iCs/>
      <w:color w:val="1F497D" w:themeColor="text2"/>
      <w:sz w:val="18"/>
      <w:szCs w:val="18"/>
    </w:rPr>
  </w:style>
  <w:style w:type="paragraph" w:styleId="Header">
    <w:name w:val="header"/>
    <w:basedOn w:val="Normal"/>
    <w:link w:val="HeaderChar"/>
    <w:unhideWhenUsed/>
    <w:rsid w:val="00A0481B"/>
    <w:pPr>
      <w:tabs>
        <w:tab w:val="center" w:pos="4513"/>
        <w:tab w:val="right" w:pos="9026"/>
      </w:tabs>
      <w:spacing w:after="0"/>
    </w:pPr>
  </w:style>
  <w:style w:type="character" w:customStyle="1" w:styleId="HeaderChar">
    <w:name w:val="Header Char"/>
    <w:basedOn w:val="DefaultParagraphFont"/>
    <w:link w:val="Header"/>
    <w:rsid w:val="00A0481B"/>
    <w:rPr>
      <w:rFonts w:ascii="Times" w:hAnsi="Times"/>
      <w:sz w:val="24"/>
    </w:rPr>
  </w:style>
  <w:style w:type="character" w:customStyle="1" w:styleId="ncl">
    <w:name w:val="_ncl"/>
    <w:basedOn w:val="DefaultParagraphFont"/>
    <w:rsid w:val="009E733C"/>
  </w:style>
  <w:style w:type="character" w:styleId="CommentReference">
    <w:name w:val="annotation reference"/>
    <w:basedOn w:val="DefaultParagraphFont"/>
    <w:semiHidden/>
    <w:unhideWhenUsed/>
    <w:rsid w:val="005F5A47"/>
    <w:rPr>
      <w:sz w:val="16"/>
      <w:szCs w:val="16"/>
    </w:rPr>
  </w:style>
  <w:style w:type="paragraph" w:styleId="CommentText">
    <w:name w:val="annotation text"/>
    <w:basedOn w:val="Normal"/>
    <w:link w:val="CommentTextChar"/>
    <w:semiHidden/>
    <w:unhideWhenUsed/>
    <w:rsid w:val="005F5A47"/>
    <w:rPr>
      <w:sz w:val="20"/>
    </w:rPr>
  </w:style>
  <w:style w:type="character" w:customStyle="1" w:styleId="CommentTextChar">
    <w:name w:val="Comment Text Char"/>
    <w:basedOn w:val="DefaultParagraphFont"/>
    <w:link w:val="CommentText"/>
    <w:semiHidden/>
    <w:rsid w:val="005F5A47"/>
    <w:rPr>
      <w:rFonts w:ascii="Times" w:hAnsi="Times"/>
    </w:rPr>
  </w:style>
  <w:style w:type="paragraph" w:styleId="CommentSubject">
    <w:name w:val="annotation subject"/>
    <w:basedOn w:val="CommentText"/>
    <w:next w:val="CommentText"/>
    <w:link w:val="CommentSubjectChar"/>
    <w:semiHidden/>
    <w:unhideWhenUsed/>
    <w:rsid w:val="005F5A47"/>
    <w:rPr>
      <w:b/>
      <w:bCs/>
    </w:rPr>
  </w:style>
  <w:style w:type="character" w:customStyle="1" w:styleId="CommentSubjectChar">
    <w:name w:val="Comment Subject Char"/>
    <w:basedOn w:val="CommentTextChar"/>
    <w:link w:val="CommentSubject"/>
    <w:semiHidden/>
    <w:rsid w:val="005F5A47"/>
    <w:rPr>
      <w:rFonts w:ascii="Times" w:hAnsi="Times"/>
      <w:b/>
      <w:bCs/>
    </w:rPr>
  </w:style>
  <w:style w:type="paragraph" w:styleId="ListParagraph">
    <w:name w:val="List Paragraph"/>
    <w:basedOn w:val="Normal"/>
    <w:uiPriority w:val="34"/>
    <w:qFormat/>
    <w:rsid w:val="00F60DA7"/>
    <w:pPr>
      <w:ind w:left="720"/>
      <w:contextualSpacing/>
    </w:pPr>
  </w:style>
  <w:style w:type="paragraph" w:customStyle="1" w:styleId="SectionContent">
    <w:name w:val="Section_Content"/>
    <w:basedOn w:val="Normal"/>
    <w:next w:val="Normal"/>
    <w:autoRedefine/>
    <w:rsid w:val="003E5435"/>
    <w:pPr>
      <w:spacing w:after="0"/>
    </w:pPr>
    <w:rPr>
      <w:rFonts w:ascii="Arno Pro" w:hAnsi="Arno Pro"/>
      <w:kern w:val="20"/>
      <w:sz w:val="18"/>
    </w:rPr>
  </w:style>
  <w:style w:type="paragraph" w:customStyle="1" w:styleId="TESectionHeading">
    <w:name w:val="TE_Section_Heading"/>
    <w:basedOn w:val="TESupportingInfoTitle"/>
    <w:qFormat/>
    <w:rsid w:val="003E5435"/>
  </w:style>
  <w:style w:type="character" w:styleId="LineNumber">
    <w:name w:val="line number"/>
    <w:basedOn w:val="DefaultParagraphFont"/>
    <w:semiHidden/>
    <w:unhideWhenUsed/>
    <w:rsid w:val="00742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56396">
      <w:bodyDiv w:val="1"/>
      <w:marLeft w:val="0"/>
      <w:marRight w:val="0"/>
      <w:marTop w:val="0"/>
      <w:marBottom w:val="0"/>
      <w:divBdr>
        <w:top w:val="none" w:sz="0" w:space="0" w:color="auto"/>
        <w:left w:val="none" w:sz="0" w:space="0" w:color="auto"/>
        <w:bottom w:val="none" w:sz="0" w:space="0" w:color="auto"/>
        <w:right w:val="none" w:sz="0" w:space="0" w:color="auto"/>
      </w:divBdr>
    </w:div>
    <w:div w:id="195196648">
      <w:bodyDiv w:val="1"/>
      <w:marLeft w:val="0"/>
      <w:marRight w:val="0"/>
      <w:marTop w:val="0"/>
      <w:marBottom w:val="0"/>
      <w:divBdr>
        <w:top w:val="none" w:sz="0" w:space="0" w:color="auto"/>
        <w:left w:val="none" w:sz="0" w:space="0" w:color="auto"/>
        <w:bottom w:val="none" w:sz="0" w:space="0" w:color="auto"/>
        <w:right w:val="none" w:sz="0" w:space="0" w:color="auto"/>
      </w:divBdr>
      <w:divsChild>
        <w:div w:id="1820029826">
          <w:marLeft w:val="0"/>
          <w:marRight w:val="0"/>
          <w:marTop w:val="0"/>
          <w:marBottom w:val="0"/>
          <w:divBdr>
            <w:top w:val="none" w:sz="0" w:space="0" w:color="auto"/>
            <w:left w:val="none" w:sz="0" w:space="0" w:color="auto"/>
            <w:bottom w:val="none" w:sz="0" w:space="0" w:color="auto"/>
            <w:right w:val="none" w:sz="0" w:space="0" w:color="auto"/>
          </w:divBdr>
        </w:div>
        <w:div w:id="1511875981">
          <w:marLeft w:val="0"/>
          <w:marRight w:val="0"/>
          <w:marTop w:val="0"/>
          <w:marBottom w:val="0"/>
          <w:divBdr>
            <w:top w:val="none" w:sz="0" w:space="0" w:color="auto"/>
            <w:left w:val="none" w:sz="0" w:space="0" w:color="auto"/>
            <w:bottom w:val="none" w:sz="0" w:space="0" w:color="auto"/>
            <w:right w:val="none" w:sz="0" w:space="0" w:color="auto"/>
          </w:divBdr>
        </w:div>
      </w:divsChild>
    </w:div>
    <w:div w:id="227614316">
      <w:bodyDiv w:val="1"/>
      <w:marLeft w:val="0"/>
      <w:marRight w:val="0"/>
      <w:marTop w:val="0"/>
      <w:marBottom w:val="0"/>
      <w:divBdr>
        <w:top w:val="none" w:sz="0" w:space="0" w:color="auto"/>
        <w:left w:val="none" w:sz="0" w:space="0" w:color="auto"/>
        <w:bottom w:val="none" w:sz="0" w:space="0" w:color="auto"/>
        <w:right w:val="none" w:sz="0" w:space="0" w:color="auto"/>
      </w:divBdr>
      <w:divsChild>
        <w:div w:id="526063874">
          <w:marLeft w:val="0"/>
          <w:marRight w:val="0"/>
          <w:marTop w:val="0"/>
          <w:marBottom w:val="0"/>
          <w:divBdr>
            <w:top w:val="none" w:sz="0" w:space="0" w:color="auto"/>
            <w:left w:val="none" w:sz="0" w:space="0" w:color="auto"/>
            <w:bottom w:val="none" w:sz="0" w:space="0" w:color="auto"/>
            <w:right w:val="none" w:sz="0" w:space="0" w:color="auto"/>
          </w:divBdr>
        </w:div>
        <w:div w:id="1017390211">
          <w:marLeft w:val="0"/>
          <w:marRight w:val="0"/>
          <w:marTop w:val="0"/>
          <w:marBottom w:val="0"/>
          <w:divBdr>
            <w:top w:val="none" w:sz="0" w:space="0" w:color="auto"/>
            <w:left w:val="none" w:sz="0" w:space="0" w:color="auto"/>
            <w:bottom w:val="none" w:sz="0" w:space="0" w:color="auto"/>
            <w:right w:val="none" w:sz="0" w:space="0" w:color="auto"/>
          </w:divBdr>
        </w:div>
        <w:div w:id="1264875282">
          <w:marLeft w:val="0"/>
          <w:marRight w:val="0"/>
          <w:marTop w:val="0"/>
          <w:marBottom w:val="0"/>
          <w:divBdr>
            <w:top w:val="none" w:sz="0" w:space="0" w:color="auto"/>
            <w:left w:val="none" w:sz="0" w:space="0" w:color="auto"/>
            <w:bottom w:val="none" w:sz="0" w:space="0" w:color="auto"/>
            <w:right w:val="none" w:sz="0" w:space="0" w:color="auto"/>
          </w:divBdr>
        </w:div>
        <w:div w:id="2035105938">
          <w:marLeft w:val="0"/>
          <w:marRight w:val="0"/>
          <w:marTop w:val="0"/>
          <w:marBottom w:val="0"/>
          <w:divBdr>
            <w:top w:val="none" w:sz="0" w:space="0" w:color="auto"/>
            <w:left w:val="none" w:sz="0" w:space="0" w:color="auto"/>
            <w:bottom w:val="none" w:sz="0" w:space="0" w:color="auto"/>
            <w:right w:val="none" w:sz="0" w:space="0" w:color="auto"/>
          </w:divBdr>
        </w:div>
      </w:divsChild>
    </w:div>
    <w:div w:id="293952853">
      <w:bodyDiv w:val="1"/>
      <w:marLeft w:val="0"/>
      <w:marRight w:val="0"/>
      <w:marTop w:val="0"/>
      <w:marBottom w:val="0"/>
      <w:divBdr>
        <w:top w:val="none" w:sz="0" w:space="0" w:color="auto"/>
        <w:left w:val="none" w:sz="0" w:space="0" w:color="auto"/>
        <w:bottom w:val="none" w:sz="0" w:space="0" w:color="auto"/>
        <w:right w:val="none" w:sz="0" w:space="0" w:color="auto"/>
      </w:divBdr>
      <w:divsChild>
        <w:div w:id="1279949323">
          <w:marLeft w:val="0"/>
          <w:marRight w:val="0"/>
          <w:marTop w:val="0"/>
          <w:marBottom w:val="0"/>
          <w:divBdr>
            <w:top w:val="none" w:sz="0" w:space="0" w:color="auto"/>
            <w:left w:val="none" w:sz="0" w:space="0" w:color="auto"/>
            <w:bottom w:val="none" w:sz="0" w:space="0" w:color="auto"/>
            <w:right w:val="none" w:sz="0" w:space="0" w:color="auto"/>
          </w:divBdr>
        </w:div>
        <w:div w:id="851575442">
          <w:marLeft w:val="0"/>
          <w:marRight w:val="0"/>
          <w:marTop w:val="0"/>
          <w:marBottom w:val="0"/>
          <w:divBdr>
            <w:top w:val="none" w:sz="0" w:space="0" w:color="auto"/>
            <w:left w:val="none" w:sz="0" w:space="0" w:color="auto"/>
            <w:bottom w:val="none" w:sz="0" w:space="0" w:color="auto"/>
            <w:right w:val="none" w:sz="0" w:space="0" w:color="auto"/>
          </w:divBdr>
        </w:div>
      </w:divsChild>
    </w:div>
    <w:div w:id="456221383">
      <w:bodyDiv w:val="1"/>
      <w:marLeft w:val="0"/>
      <w:marRight w:val="0"/>
      <w:marTop w:val="0"/>
      <w:marBottom w:val="0"/>
      <w:divBdr>
        <w:top w:val="none" w:sz="0" w:space="0" w:color="auto"/>
        <w:left w:val="none" w:sz="0" w:space="0" w:color="auto"/>
        <w:bottom w:val="none" w:sz="0" w:space="0" w:color="auto"/>
        <w:right w:val="none" w:sz="0" w:space="0" w:color="auto"/>
      </w:divBdr>
      <w:divsChild>
        <w:div w:id="1331833875">
          <w:marLeft w:val="0"/>
          <w:marRight w:val="0"/>
          <w:marTop w:val="0"/>
          <w:marBottom w:val="0"/>
          <w:divBdr>
            <w:top w:val="none" w:sz="0" w:space="0" w:color="auto"/>
            <w:left w:val="none" w:sz="0" w:space="0" w:color="auto"/>
            <w:bottom w:val="none" w:sz="0" w:space="0" w:color="auto"/>
            <w:right w:val="none" w:sz="0" w:space="0" w:color="auto"/>
          </w:divBdr>
        </w:div>
        <w:div w:id="1992783020">
          <w:marLeft w:val="0"/>
          <w:marRight w:val="0"/>
          <w:marTop w:val="0"/>
          <w:marBottom w:val="0"/>
          <w:divBdr>
            <w:top w:val="none" w:sz="0" w:space="0" w:color="auto"/>
            <w:left w:val="none" w:sz="0" w:space="0" w:color="auto"/>
            <w:bottom w:val="none" w:sz="0" w:space="0" w:color="auto"/>
            <w:right w:val="none" w:sz="0" w:space="0" w:color="auto"/>
          </w:divBdr>
        </w:div>
      </w:divsChild>
    </w:div>
    <w:div w:id="477185318">
      <w:bodyDiv w:val="1"/>
      <w:marLeft w:val="0"/>
      <w:marRight w:val="0"/>
      <w:marTop w:val="0"/>
      <w:marBottom w:val="0"/>
      <w:divBdr>
        <w:top w:val="none" w:sz="0" w:space="0" w:color="auto"/>
        <w:left w:val="none" w:sz="0" w:space="0" w:color="auto"/>
        <w:bottom w:val="none" w:sz="0" w:space="0" w:color="auto"/>
        <w:right w:val="none" w:sz="0" w:space="0" w:color="auto"/>
      </w:divBdr>
      <w:divsChild>
        <w:div w:id="1167601048">
          <w:marLeft w:val="0"/>
          <w:marRight w:val="0"/>
          <w:marTop w:val="0"/>
          <w:marBottom w:val="0"/>
          <w:divBdr>
            <w:top w:val="none" w:sz="0" w:space="0" w:color="auto"/>
            <w:left w:val="none" w:sz="0" w:space="0" w:color="auto"/>
            <w:bottom w:val="none" w:sz="0" w:space="0" w:color="auto"/>
            <w:right w:val="none" w:sz="0" w:space="0" w:color="auto"/>
          </w:divBdr>
        </w:div>
        <w:div w:id="953824928">
          <w:marLeft w:val="0"/>
          <w:marRight w:val="0"/>
          <w:marTop w:val="0"/>
          <w:marBottom w:val="0"/>
          <w:divBdr>
            <w:top w:val="none" w:sz="0" w:space="0" w:color="auto"/>
            <w:left w:val="none" w:sz="0" w:space="0" w:color="auto"/>
            <w:bottom w:val="none" w:sz="0" w:space="0" w:color="auto"/>
            <w:right w:val="none" w:sz="0" w:space="0" w:color="auto"/>
          </w:divBdr>
        </w:div>
        <w:div w:id="1040127265">
          <w:marLeft w:val="0"/>
          <w:marRight w:val="0"/>
          <w:marTop w:val="0"/>
          <w:marBottom w:val="0"/>
          <w:divBdr>
            <w:top w:val="none" w:sz="0" w:space="0" w:color="auto"/>
            <w:left w:val="none" w:sz="0" w:space="0" w:color="auto"/>
            <w:bottom w:val="none" w:sz="0" w:space="0" w:color="auto"/>
            <w:right w:val="none" w:sz="0" w:space="0" w:color="auto"/>
          </w:divBdr>
        </w:div>
      </w:divsChild>
    </w:div>
    <w:div w:id="512500917">
      <w:bodyDiv w:val="1"/>
      <w:marLeft w:val="0"/>
      <w:marRight w:val="0"/>
      <w:marTop w:val="0"/>
      <w:marBottom w:val="0"/>
      <w:divBdr>
        <w:top w:val="none" w:sz="0" w:space="0" w:color="auto"/>
        <w:left w:val="none" w:sz="0" w:space="0" w:color="auto"/>
        <w:bottom w:val="none" w:sz="0" w:space="0" w:color="auto"/>
        <w:right w:val="none" w:sz="0" w:space="0" w:color="auto"/>
      </w:divBdr>
    </w:div>
    <w:div w:id="748886826">
      <w:bodyDiv w:val="1"/>
      <w:marLeft w:val="0"/>
      <w:marRight w:val="0"/>
      <w:marTop w:val="0"/>
      <w:marBottom w:val="0"/>
      <w:divBdr>
        <w:top w:val="none" w:sz="0" w:space="0" w:color="auto"/>
        <w:left w:val="none" w:sz="0" w:space="0" w:color="auto"/>
        <w:bottom w:val="none" w:sz="0" w:space="0" w:color="auto"/>
        <w:right w:val="none" w:sz="0" w:space="0" w:color="auto"/>
      </w:divBdr>
      <w:divsChild>
        <w:div w:id="494031983">
          <w:marLeft w:val="0"/>
          <w:marRight w:val="0"/>
          <w:marTop w:val="0"/>
          <w:marBottom w:val="0"/>
          <w:divBdr>
            <w:top w:val="none" w:sz="0" w:space="0" w:color="auto"/>
            <w:left w:val="none" w:sz="0" w:space="0" w:color="auto"/>
            <w:bottom w:val="none" w:sz="0" w:space="0" w:color="auto"/>
            <w:right w:val="none" w:sz="0" w:space="0" w:color="auto"/>
          </w:divBdr>
        </w:div>
        <w:div w:id="1405297097">
          <w:marLeft w:val="0"/>
          <w:marRight w:val="0"/>
          <w:marTop w:val="0"/>
          <w:marBottom w:val="0"/>
          <w:divBdr>
            <w:top w:val="none" w:sz="0" w:space="0" w:color="auto"/>
            <w:left w:val="none" w:sz="0" w:space="0" w:color="auto"/>
            <w:bottom w:val="none" w:sz="0" w:space="0" w:color="auto"/>
            <w:right w:val="none" w:sz="0" w:space="0" w:color="auto"/>
          </w:divBdr>
        </w:div>
      </w:divsChild>
    </w:div>
    <w:div w:id="761026951">
      <w:bodyDiv w:val="1"/>
      <w:marLeft w:val="0"/>
      <w:marRight w:val="0"/>
      <w:marTop w:val="0"/>
      <w:marBottom w:val="0"/>
      <w:divBdr>
        <w:top w:val="none" w:sz="0" w:space="0" w:color="auto"/>
        <w:left w:val="none" w:sz="0" w:space="0" w:color="auto"/>
        <w:bottom w:val="none" w:sz="0" w:space="0" w:color="auto"/>
        <w:right w:val="none" w:sz="0" w:space="0" w:color="auto"/>
      </w:divBdr>
      <w:divsChild>
        <w:div w:id="154078798">
          <w:marLeft w:val="0"/>
          <w:marRight w:val="0"/>
          <w:marTop w:val="0"/>
          <w:marBottom w:val="0"/>
          <w:divBdr>
            <w:top w:val="none" w:sz="0" w:space="0" w:color="auto"/>
            <w:left w:val="none" w:sz="0" w:space="0" w:color="auto"/>
            <w:bottom w:val="none" w:sz="0" w:space="0" w:color="auto"/>
            <w:right w:val="none" w:sz="0" w:space="0" w:color="auto"/>
          </w:divBdr>
        </w:div>
        <w:div w:id="1260061851">
          <w:marLeft w:val="0"/>
          <w:marRight w:val="0"/>
          <w:marTop w:val="0"/>
          <w:marBottom w:val="0"/>
          <w:divBdr>
            <w:top w:val="none" w:sz="0" w:space="0" w:color="auto"/>
            <w:left w:val="none" w:sz="0" w:space="0" w:color="auto"/>
            <w:bottom w:val="none" w:sz="0" w:space="0" w:color="auto"/>
            <w:right w:val="none" w:sz="0" w:space="0" w:color="auto"/>
          </w:divBdr>
        </w:div>
        <w:div w:id="865169720">
          <w:marLeft w:val="0"/>
          <w:marRight w:val="0"/>
          <w:marTop w:val="0"/>
          <w:marBottom w:val="0"/>
          <w:divBdr>
            <w:top w:val="none" w:sz="0" w:space="0" w:color="auto"/>
            <w:left w:val="none" w:sz="0" w:space="0" w:color="auto"/>
            <w:bottom w:val="none" w:sz="0" w:space="0" w:color="auto"/>
            <w:right w:val="none" w:sz="0" w:space="0" w:color="auto"/>
          </w:divBdr>
        </w:div>
        <w:div w:id="139613558">
          <w:marLeft w:val="0"/>
          <w:marRight w:val="0"/>
          <w:marTop w:val="0"/>
          <w:marBottom w:val="0"/>
          <w:divBdr>
            <w:top w:val="none" w:sz="0" w:space="0" w:color="auto"/>
            <w:left w:val="none" w:sz="0" w:space="0" w:color="auto"/>
            <w:bottom w:val="none" w:sz="0" w:space="0" w:color="auto"/>
            <w:right w:val="none" w:sz="0" w:space="0" w:color="auto"/>
          </w:divBdr>
        </w:div>
      </w:divsChild>
    </w:div>
    <w:div w:id="801927722">
      <w:bodyDiv w:val="1"/>
      <w:marLeft w:val="0"/>
      <w:marRight w:val="0"/>
      <w:marTop w:val="0"/>
      <w:marBottom w:val="0"/>
      <w:divBdr>
        <w:top w:val="none" w:sz="0" w:space="0" w:color="auto"/>
        <w:left w:val="none" w:sz="0" w:space="0" w:color="auto"/>
        <w:bottom w:val="none" w:sz="0" w:space="0" w:color="auto"/>
        <w:right w:val="none" w:sz="0" w:space="0" w:color="auto"/>
      </w:divBdr>
    </w:div>
    <w:div w:id="1345748292">
      <w:bodyDiv w:val="1"/>
      <w:marLeft w:val="0"/>
      <w:marRight w:val="0"/>
      <w:marTop w:val="0"/>
      <w:marBottom w:val="0"/>
      <w:divBdr>
        <w:top w:val="none" w:sz="0" w:space="0" w:color="auto"/>
        <w:left w:val="none" w:sz="0" w:space="0" w:color="auto"/>
        <w:bottom w:val="none" w:sz="0" w:space="0" w:color="auto"/>
        <w:right w:val="none" w:sz="0" w:space="0" w:color="auto"/>
      </w:divBdr>
    </w:div>
    <w:div w:id="1497649467">
      <w:bodyDiv w:val="1"/>
      <w:marLeft w:val="0"/>
      <w:marRight w:val="0"/>
      <w:marTop w:val="0"/>
      <w:marBottom w:val="0"/>
      <w:divBdr>
        <w:top w:val="none" w:sz="0" w:space="0" w:color="auto"/>
        <w:left w:val="none" w:sz="0" w:space="0" w:color="auto"/>
        <w:bottom w:val="none" w:sz="0" w:space="0" w:color="auto"/>
        <w:right w:val="none" w:sz="0" w:space="0" w:color="auto"/>
      </w:divBdr>
    </w:div>
    <w:div w:id="1500805329">
      <w:bodyDiv w:val="1"/>
      <w:marLeft w:val="0"/>
      <w:marRight w:val="0"/>
      <w:marTop w:val="0"/>
      <w:marBottom w:val="0"/>
      <w:divBdr>
        <w:top w:val="none" w:sz="0" w:space="0" w:color="auto"/>
        <w:left w:val="none" w:sz="0" w:space="0" w:color="auto"/>
        <w:bottom w:val="none" w:sz="0" w:space="0" w:color="auto"/>
        <w:right w:val="none" w:sz="0" w:space="0" w:color="auto"/>
      </w:divBdr>
      <w:divsChild>
        <w:div w:id="644510447">
          <w:marLeft w:val="0"/>
          <w:marRight w:val="0"/>
          <w:marTop w:val="0"/>
          <w:marBottom w:val="0"/>
          <w:divBdr>
            <w:top w:val="none" w:sz="0" w:space="0" w:color="auto"/>
            <w:left w:val="none" w:sz="0" w:space="0" w:color="auto"/>
            <w:bottom w:val="none" w:sz="0" w:space="0" w:color="auto"/>
            <w:right w:val="none" w:sz="0" w:space="0" w:color="auto"/>
          </w:divBdr>
        </w:div>
        <w:div w:id="1828940740">
          <w:marLeft w:val="0"/>
          <w:marRight w:val="0"/>
          <w:marTop w:val="0"/>
          <w:marBottom w:val="0"/>
          <w:divBdr>
            <w:top w:val="none" w:sz="0" w:space="0" w:color="auto"/>
            <w:left w:val="none" w:sz="0" w:space="0" w:color="auto"/>
            <w:bottom w:val="none" w:sz="0" w:space="0" w:color="auto"/>
            <w:right w:val="none" w:sz="0" w:space="0" w:color="auto"/>
          </w:divBdr>
        </w:div>
        <w:div w:id="1709799968">
          <w:marLeft w:val="0"/>
          <w:marRight w:val="0"/>
          <w:marTop w:val="0"/>
          <w:marBottom w:val="0"/>
          <w:divBdr>
            <w:top w:val="none" w:sz="0" w:space="0" w:color="auto"/>
            <w:left w:val="none" w:sz="0" w:space="0" w:color="auto"/>
            <w:bottom w:val="none" w:sz="0" w:space="0" w:color="auto"/>
            <w:right w:val="none" w:sz="0" w:space="0" w:color="auto"/>
          </w:divBdr>
        </w:div>
      </w:divsChild>
    </w:div>
    <w:div w:id="1506095157">
      <w:bodyDiv w:val="1"/>
      <w:marLeft w:val="0"/>
      <w:marRight w:val="0"/>
      <w:marTop w:val="0"/>
      <w:marBottom w:val="0"/>
      <w:divBdr>
        <w:top w:val="none" w:sz="0" w:space="0" w:color="auto"/>
        <w:left w:val="none" w:sz="0" w:space="0" w:color="auto"/>
        <w:bottom w:val="none" w:sz="0" w:space="0" w:color="auto"/>
        <w:right w:val="none" w:sz="0" w:space="0" w:color="auto"/>
      </w:divBdr>
      <w:divsChild>
        <w:div w:id="271479201">
          <w:marLeft w:val="0"/>
          <w:marRight w:val="0"/>
          <w:marTop w:val="0"/>
          <w:marBottom w:val="0"/>
          <w:divBdr>
            <w:top w:val="none" w:sz="0" w:space="0" w:color="auto"/>
            <w:left w:val="none" w:sz="0" w:space="0" w:color="auto"/>
            <w:bottom w:val="none" w:sz="0" w:space="0" w:color="auto"/>
            <w:right w:val="none" w:sz="0" w:space="0" w:color="auto"/>
          </w:divBdr>
        </w:div>
        <w:div w:id="1171679278">
          <w:marLeft w:val="0"/>
          <w:marRight w:val="0"/>
          <w:marTop w:val="0"/>
          <w:marBottom w:val="0"/>
          <w:divBdr>
            <w:top w:val="none" w:sz="0" w:space="0" w:color="auto"/>
            <w:left w:val="none" w:sz="0" w:space="0" w:color="auto"/>
            <w:bottom w:val="none" w:sz="0" w:space="0" w:color="auto"/>
            <w:right w:val="none" w:sz="0" w:space="0" w:color="auto"/>
          </w:divBdr>
        </w:div>
      </w:divsChild>
    </w:div>
    <w:div w:id="1701738383">
      <w:bodyDiv w:val="1"/>
      <w:marLeft w:val="0"/>
      <w:marRight w:val="0"/>
      <w:marTop w:val="0"/>
      <w:marBottom w:val="0"/>
      <w:divBdr>
        <w:top w:val="none" w:sz="0" w:space="0" w:color="auto"/>
        <w:left w:val="none" w:sz="0" w:space="0" w:color="auto"/>
        <w:bottom w:val="none" w:sz="0" w:space="0" w:color="auto"/>
        <w:right w:val="none" w:sz="0" w:space="0" w:color="auto"/>
      </w:divBdr>
      <w:divsChild>
        <w:div w:id="1404718215">
          <w:marLeft w:val="0"/>
          <w:marRight w:val="0"/>
          <w:marTop w:val="0"/>
          <w:marBottom w:val="0"/>
          <w:divBdr>
            <w:top w:val="none" w:sz="0" w:space="0" w:color="auto"/>
            <w:left w:val="none" w:sz="0" w:space="0" w:color="auto"/>
            <w:bottom w:val="none" w:sz="0" w:space="0" w:color="auto"/>
            <w:right w:val="none" w:sz="0" w:space="0" w:color="auto"/>
          </w:divBdr>
        </w:div>
        <w:div w:id="1444883201">
          <w:marLeft w:val="0"/>
          <w:marRight w:val="0"/>
          <w:marTop w:val="0"/>
          <w:marBottom w:val="0"/>
          <w:divBdr>
            <w:top w:val="none" w:sz="0" w:space="0" w:color="auto"/>
            <w:left w:val="none" w:sz="0" w:space="0" w:color="auto"/>
            <w:bottom w:val="none" w:sz="0" w:space="0" w:color="auto"/>
            <w:right w:val="none" w:sz="0" w:space="0" w:color="auto"/>
          </w:divBdr>
        </w:div>
        <w:div w:id="1527017866">
          <w:marLeft w:val="0"/>
          <w:marRight w:val="0"/>
          <w:marTop w:val="0"/>
          <w:marBottom w:val="0"/>
          <w:divBdr>
            <w:top w:val="none" w:sz="0" w:space="0" w:color="auto"/>
            <w:left w:val="none" w:sz="0" w:space="0" w:color="auto"/>
            <w:bottom w:val="none" w:sz="0" w:space="0" w:color="auto"/>
            <w:right w:val="none" w:sz="0" w:space="0" w:color="auto"/>
          </w:divBdr>
        </w:div>
        <w:div w:id="2048262840">
          <w:marLeft w:val="0"/>
          <w:marRight w:val="0"/>
          <w:marTop w:val="0"/>
          <w:marBottom w:val="0"/>
          <w:divBdr>
            <w:top w:val="none" w:sz="0" w:space="0" w:color="auto"/>
            <w:left w:val="none" w:sz="0" w:space="0" w:color="auto"/>
            <w:bottom w:val="none" w:sz="0" w:space="0" w:color="auto"/>
            <w:right w:val="none" w:sz="0" w:space="0" w:color="auto"/>
          </w:divBdr>
        </w:div>
      </w:divsChild>
    </w:div>
    <w:div w:id="1711294678">
      <w:bodyDiv w:val="1"/>
      <w:marLeft w:val="0"/>
      <w:marRight w:val="0"/>
      <w:marTop w:val="0"/>
      <w:marBottom w:val="0"/>
      <w:divBdr>
        <w:top w:val="none" w:sz="0" w:space="0" w:color="auto"/>
        <w:left w:val="none" w:sz="0" w:space="0" w:color="auto"/>
        <w:bottom w:val="none" w:sz="0" w:space="0" w:color="auto"/>
        <w:right w:val="none" w:sz="0" w:space="0" w:color="auto"/>
      </w:divBdr>
      <w:divsChild>
        <w:div w:id="1919050895">
          <w:marLeft w:val="0"/>
          <w:marRight w:val="0"/>
          <w:marTop w:val="0"/>
          <w:marBottom w:val="0"/>
          <w:divBdr>
            <w:top w:val="none" w:sz="0" w:space="0" w:color="auto"/>
            <w:left w:val="none" w:sz="0" w:space="0" w:color="auto"/>
            <w:bottom w:val="none" w:sz="0" w:space="0" w:color="auto"/>
            <w:right w:val="none" w:sz="0" w:space="0" w:color="auto"/>
          </w:divBdr>
        </w:div>
        <w:div w:id="1703940143">
          <w:marLeft w:val="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45380031">
      <w:bodyDiv w:val="1"/>
      <w:marLeft w:val="0"/>
      <w:marRight w:val="0"/>
      <w:marTop w:val="0"/>
      <w:marBottom w:val="0"/>
      <w:divBdr>
        <w:top w:val="none" w:sz="0" w:space="0" w:color="auto"/>
        <w:left w:val="none" w:sz="0" w:space="0" w:color="auto"/>
        <w:bottom w:val="none" w:sz="0" w:space="0" w:color="auto"/>
        <w:right w:val="none" w:sz="0" w:space="0" w:color="auto"/>
      </w:divBdr>
      <w:divsChild>
        <w:div w:id="2008819621">
          <w:marLeft w:val="0"/>
          <w:marRight w:val="0"/>
          <w:marTop w:val="0"/>
          <w:marBottom w:val="0"/>
          <w:divBdr>
            <w:top w:val="none" w:sz="0" w:space="0" w:color="auto"/>
            <w:left w:val="none" w:sz="0" w:space="0" w:color="auto"/>
            <w:bottom w:val="none" w:sz="0" w:space="0" w:color="auto"/>
            <w:right w:val="none" w:sz="0" w:space="0" w:color="auto"/>
          </w:divBdr>
        </w:div>
        <w:div w:id="1872179787">
          <w:marLeft w:val="0"/>
          <w:marRight w:val="0"/>
          <w:marTop w:val="0"/>
          <w:marBottom w:val="0"/>
          <w:divBdr>
            <w:top w:val="none" w:sz="0" w:space="0" w:color="auto"/>
            <w:left w:val="none" w:sz="0" w:space="0" w:color="auto"/>
            <w:bottom w:val="none" w:sz="0" w:space="0" w:color="auto"/>
            <w:right w:val="none" w:sz="0" w:space="0" w:color="auto"/>
          </w:divBdr>
        </w:div>
        <w:div w:id="22488993">
          <w:marLeft w:val="0"/>
          <w:marRight w:val="0"/>
          <w:marTop w:val="0"/>
          <w:marBottom w:val="0"/>
          <w:divBdr>
            <w:top w:val="none" w:sz="0" w:space="0" w:color="auto"/>
            <w:left w:val="none" w:sz="0" w:space="0" w:color="auto"/>
            <w:bottom w:val="none" w:sz="0" w:space="0" w:color="auto"/>
            <w:right w:val="none" w:sz="0" w:space="0" w:color="auto"/>
          </w:divBdr>
        </w:div>
        <w:div w:id="1574390602">
          <w:marLeft w:val="0"/>
          <w:marRight w:val="0"/>
          <w:marTop w:val="0"/>
          <w:marBottom w:val="0"/>
          <w:divBdr>
            <w:top w:val="none" w:sz="0" w:space="0" w:color="auto"/>
            <w:left w:val="none" w:sz="0" w:space="0" w:color="auto"/>
            <w:bottom w:val="none" w:sz="0" w:space="0" w:color="auto"/>
            <w:right w:val="none" w:sz="0" w:space="0" w:color="auto"/>
          </w:divBdr>
        </w:div>
      </w:divsChild>
    </w:div>
    <w:div w:id="2090499423">
      <w:bodyDiv w:val="1"/>
      <w:marLeft w:val="0"/>
      <w:marRight w:val="0"/>
      <w:marTop w:val="0"/>
      <w:marBottom w:val="0"/>
      <w:divBdr>
        <w:top w:val="none" w:sz="0" w:space="0" w:color="auto"/>
        <w:left w:val="none" w:sz="0" w:space="0" w:color="auto"/>
        <w:bottom w:val="none" w:sz="0" w:space="0" w:color="auto"/>
        <w:right w:val="none" w:sz="0" w:space="0" w:color="auto"/>
      </w:divBdr>
    </w:div>
    <w:div w:id="209481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ilestore.soton.ac.uk\users\dec1g17\mydesktop\PhD%20Thesis\Publication\1,2,4-Cubanes\New%20Version\Organic%20Letters%20Template\acs_template_msw2010_ol_pc%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800F39E7-E80B-4C73-B350-1B6B83D9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filestore.soton.ac.uk\users\dec1g17\mydesktop\PhD Thesis\Publication\1,2,4-Cubanes\New Version\Organic Letters Template\acs_template_msw2010_ol_pc (2).dotx</Template>
  <TotalTime>0</TotalTime>
  <Pages>5</Pages>
  <Words>4496</Words>
  <Characters>25629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30065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Collin D.E.</dc:creator>
  <cp:keywords/>
  <dc:description/>
  <cp:lastModifiedBy>Bruno Linclau</cp:lastModifiedBy>
  <cp:revision>2</cp:revision>
  <cp:lastPrinted>2021-06-08T09:45:00Z</cp:lastPrinted>
  <dcterms:created xsi:type="dcterms:W3CDTF">2021-06-24T14:57:00Z</dcterms:created>
  <dcterms:modified xsi:type="dcterms:W3CDTF">2021-06-24T14:57:00Z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http://www.zotero.org/styles/journal-of-the-american-chemical-society</vt:lpwstr>
  </property>
  <property fmtid="{D5CDD505-2E9C-101B-9397-08002B2CF9AE}" pid="23" name="Mendeley Document_1">
    <vt:lpwstr>True</vt:lpwstr>
  </property>
  <property fmtid="{D5CDD505-2E9C-101B-9397-08002B2CF9AE}" pid="24" name="Mendeley Unique User Id_1">
    <vt:lpwstr>093386f8-e760-3b1e-a162-3dede675f71d</vt:lpwstr>
  </property>
  <property fmtid="{D5CDD505-2E9C-101B-9397-08002B2CF9AE}" pid="25" name="_DocHome">
    <vt:i4>-1882330826</vt:i4>
  </property>
</Properties>
</file>