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46F0A" w14:textId="644C36C2" w:rsidR="009B2B62" w:rsidRPr="002961C2" w:rsidRDefault="001F5D10" w:rsidP="009B2B62">
      <w:pPr>
        <w:spacing w:line="360" w:lineRule="auto"/>
        <w:rPr>
          <w:b/>
          <w:sz w:val="24"/>
        </w:rPr>
      </w:pPr>
      <w:r w:rsidRPr="002961C2">
        <w:rPr>
          <w:b/>
          <w:sz w:val="24"/>
        </w:rPr>
        <w:t>Shorter leukocyte telomere length</w:t>
      </w:r>
      <w:r w:rsidR="009B2B62" w:rsidRPr="002961C2">
        <w:rPr>
          <w:b/>
          <w:sz w:val="24"/>
        </w:rPr>
        <w:t xml:space="preserve"> is associated </w:t>
      </w:r>
      <w:r w:rsidR="00DE75A2" w:rsidRPr="002961C2">
        <w:rPr>
          <w:b/>
          <w:sz w:val="24"/>
        </w:rPr>
        <w:t xml:space="preserve">with </w:t>
      </w:r>
      <w:r w:rsidR="00860617" w:rsidRPr="002961C2">
        <w:rPr>
          <w:b/>
          <w:sz w:val="24"/>
        </w:rPr>
        <w:t xml:space="preserve">adverse </w:t>
      </w:r>
      <w:r w:rsidR="009B2B62" w:rsidRPr="002961C2">
        <w:rPr>
          <w:b/>
          <w:sz w:val="24"/>
        </w:rPr>
        <w:t>COVI</w:t>
      </w:r>
      <w:r w:rsidR="00050C3C" w:rsidRPr="002961C2">
        <w:rPr>
          <w:b/>
          <w:sz w:val="24"/>
        </w:rPr>
        <w:t>D-19 outcome</w:t>
      </w:r>
      <w:r w:rsidR="006F2B9E" w:rsidRPr="002961C2">
        <w:rPr>
          <w:b/>
          <w:sz w:val="24"/>
        </w:rPr>
        <w:t>s</w:t>
      </w:r>
      <w:r w:rsidR="00050C3C" w:rsidRPr="002961C2">
        <w:rPr>
          <w:b/>
          <w:sz w:val="24"/>
        </w:rPr>
        <w:t xml:space="preserve">: </w:t>
      </w:r>
      <w:r w:rsidR="00EA0B30" w:rsidRPr="002961C2">
        <w:rPr>
          <w:b/>
          <w:sz w:val="24"/>
        </w:rPr>
        <w:t xml:space="preserve">A cohort study in </w:t>
      </w:r>
      <w:r w:rsidR="009B2B62" w:rsidRPr="002961C2">
        <w:rPr>
          <w:b/>
          <w:sz w:val="24"/>
        </w:rPr>
        <w:t>UK Biobank</w:t>
      </w:r>
      <w:r w:rsidR="00EA0B30" w:rsidRPr="002961C2">
        <w:rPr>
          <w:b/>
          <w:sz w:val="24"/>
        </w:rPr>
        <w:t xml:space="preserve"> </w:t>
      </w:r>
    </w:p>
    <w:p w14:paraId="0E94D47D" w14:textId="73F9498B" w:rsidR="003A560A" w:rsidRDefault="003A560A" w:rsidP="003A560A">
      <w:pPr>
        <w:spacing w:line="360" w:lineRule="auto"/>
        <w:rPr>
          <w:sz w:val="24"/>
          <w:vertAlign w:val="superscript"/>
        </w:rPr>
      </w:pPr>
      <w:r w:rsidRPr="002961C2">
        <w:rPr>
          <w:sz w:val="24"/>
        </w:rPr>
        <w:t>Qingning Wang</w:t>
      </w:r>
      <w:r w:rsidR="009727A4" w:rsidRPr="002961C2">
        <w:rPr>
          <w:sz w:val="24"/>
        </w:rPr>
        <w:t>, PhD,</w:t>
      </w:r>
      <w:r w:rsidRPr="002961C2">
        <w:rPr>
          <w:sz w:val="24"/>
          <w:vertAlign w:val="superscript"/>
        </w:rPr>
        <w:t>1,2</w:t>
      </w:r>
      <w:r w:rsidRPr="002961C2">
        <w:rPr>
          <w:sz w:val="24"/>
        </w:rPr>
        <w:t xml:space="preserve">, </w:t>
      </w:r>
      <w:r w:rsidR="00A22A2D" w:rsidRPr="002961C2">
        <w:rPr>
          <w:sz w:val="24"/>
        </w:rPr>
        <w:t>Veryan Codd</w:t>
      </w:r>
      <w:r w:rsidR="009727A4" w:rsidRPr="002961C2">
        <w:rPr>
          <w:sz w:val="24"/>
        </w:rPr>
        <w:t>, PhD,</w:t>
      </w:r>
      <w:r w:rsidR="00A22A2D" w:rsidRPr="002961C2">
        <w:rPr>
          <w:sz w:val="24"/>
          <w:vertAlign w:val="superscript"/>
        </w:rPr>
        <w:t>1,2</w:t>
      </w:r>
      <w:r w:rsidRPr="002961C2">
        <w:rPr>
          <w:sz w:val="24"/>
        </w:rPr>
        <w:t>, Zahra Raisi-Estabragh</w:t>
      </w:r>
      <w:r w:rsidR="00203CCB" w:rsidRPr="002961C2">
        <w:rPr>
          <w:sz w:val="24"/>
        </w:rPr>
        <w:t>,</w:t>
      </w:r>
      <w:r w:rsidR="006473D6" w:rsidRPr="002961C2">
        <w:rPr>
          <w:sz w:val="24"/>
        </w:rPr>
        <w:t xml:space="preserve"> MD</w:t>
      </w:r>
      <w:r w:rsidR="00203CCB" w:rsidRPr="002961C2">
        <w:rPr>
          <w:sz w:val="24"/>
        </w:rPr>
        <w:t>,</w:t>
      </w:r>
      <w:r w:rsidRPr="002961C2">
        <w:rPr>
          <w:sz w:val="24"/>
          <w:vertAlign w:val="superscript"/>
        </w:rPr>
        <w:t>3,4</w:t>
      </w:r>
      <w:r w:rsidRPr="002961C2">
        <w:rPr>
          <w:sz w:val="24"/>
        </w:rPr>
        <w:t xml:space="preserve">, Crispin </w:t>
      </w:r>
      <w:r w:rsidRPr="003A560A">
        <w:rPr>
          <w:sz w:val="24"/>
        </w:rPr>
        <w:t>Musicha</w:t>
      </w:r>
      <w:r w:rsidR="009727A4">
        <w:rPr>
          <w:sz w:val="24"/>
        </w:rPr>
        <w:t>, PhD,</w:t>
      </w:r>
      <w:r w:rsidR="009727A4" w:rsidRPr="003A560A">
        <w:rPr>
          <w:sz w:val="24"/>
          <w:vertAlign w:val="superscript"/>
        </w:rPr>
        <w:t>1</w:t>
      </w:r>
      <w:r w:rsidRPr="003A560A">
        <w:rPr>
          <w:sz w:val="24"/>
          <w:vertAlign w:val="superscript"/>
        </w:rPr>
        <w:t>1,2</w:t>
      </w:r>
      <w:r w:rsidRPr="003A560A">
        <w:rPr>
          <w:sz w:val="24"/>
        </w:rPr>
        <w:t>, Vasiliki Bountziouka</w:t>
      </w:r>
      <w:r w:rsidR="009727A4">
        <w:rPr>
          <w:sz w:val="24"/>
        </w:rPr>
        <w:t>, PhD,</w:t>
      </w:r>
      <w:r w:rsidR="009727A4" w:rsidRPr="003A560A">
        <w:rPr>
          <w:sz w:val="24"/>
          <w:vertAlign w:val="superscript"/>
        </w:rPr>
        <w:t>1</w:t>
      </w:r>
      <w:r w:rsidRPr="003A560A">
        <w:rPr>
          <w:sz w:val="24"/>
          <w:vertAlign w:val="superscript"/>
        </w:rPr>
        <w:t>1,2</w:t>
      </w:r>
      <w:r w:rsidRPr="003A560A">
        <w:rPr>
          <w:sz w:val="24"/>
        </w:rPr>
        <w:t>, Stephen Kaptoge</w:t>
      </w:r>
      <w:r w:rsidR="009727A4">
        <w:rPr>
          <w:sz w:val="24"/>
        </w:rPr>
        <w:t>, PhD,</w:t>
      </w:r>
      <w:r w:rsidR="009727A4" w:rsidRPr="003A560A">
        <w:rPr>
          <w:sz w:val="24"/>
          <w:vertAlign w:val="superscript"/>
        </w:rPr>
        <w:t>1</w:t>
      </w:r>
      <w:r w:rsidRPr="003A560A">
        <w:rPr>
          <w:sz w:val="24"/>
          <w:vertAlign w:val="superscript"/>
        </w:rPr>
        <w:t>5,6</w:t>
      </w:r>
      <w:r>
        <w:rPr>
          <w:sz w:val="24"/>
          <w:vertAlign w:val="superscript"/>
        </w:rPr>
        <w:t>,7</w:t>
      </w:r>
      <w:r w:rsidRPr="003A560A">
        <w:rPr>
          <w:sz w:val="24"/>
        </w:rPr>
        <w:t>, Elias Allara</w:t>
      </w:r>
      <w:r w:rsidR="00203CCB">
        <w:rPr>
          <w:sz w:val="24"/>
        </w:rPr>
        <w:t>,</w:t>
      </w:r>
      <w:r w:rsidR="00EA6A95">
        <w:rPr>
          <w:sz w:val="24"/>
        </w:rPr>
        <w:t>MD</w:t>
      </w:r>
      <w:r w:rsidR="00203CCB">
        <w:rPr>
          <w:sz w:val="24"/>
        </w:rPr>
        <w:t>,</w:t>
      </w:r>
      <w:r w:rsidRPr="003A560A">
        <w:rPr>
          <w:sz w:val="24"/>
          <w:vertAlign w:val="superscript"/>
        </w:rPr>
        <w:t>5</w:t>
      </w:r>
      <w:r>
        <w:rPr>
          <w:sz w:val="24"/>
          <w:vertAlign w:val="superscript"/>
        </w:rPr>
        <w:t>,6</w:t>
      </w:r>
      <w:r w:rsidRPr="003A560A">
        <w:rPr>
          <w:sz w:val="24"/>
        </w:rPr>
        <w:t>, Emanuele Di Angelantonio</w:t>
      </w:r>
      <w:r w:rsidR="009727A4">
        <w:rPr>
          <w:sz w:val="24"/>
        </w:rPr>
        <w:t>, MD,</w:t>
      </w:r>
      <w:r w:rsidRPr="003A560A">
        <w:rPr>
          <w:sz w:val="24"/>
          <w:vertAlign w:val="superscript"/>
        </w:rPr>
        <w:t>5,6</w:t>
      </w:r>
      <w:r>
        <w:rPr>
          <w:sz w:val="24"/>
          <w:vertAlign w:val="superscript"/>
        </w:rPr>
        <w:t>,7,8</w:t>
      </w:r>
      <w:r w:rsidRPr="003A560A">
        <w:rPr>
          <w:sz w:val="24"/>
        </w:rPr>
        <w:t>, Adam S. Butterworth</w:t>
      </w:r>
      <w:r w:rsidR="009727A4">
        <w:rPr>
          <w:sz w:val="24"/>
        </w:rPr>
        <w:t>, PhD,</w:t>
      </w:r>
      <w:r w:rsidRPr="003A560A">
        <w:rPr>
          <w:sz w:val="24"/>
          <w:vertAlign w:val="superscript"/>
        </w:rPr>
        <w:t>5,6</w:t>
      </w:r>
      <w:r>
        <w:rPr>
          <w:sz w:val="24"/>
          <w:vertAlign w:val="superscript"/>
        </w:rPr>
        <w:t>,7,8</w:t>
      </w:r>
      <w:r w:rsidRPr="003A560A">
        <w:rPr>
          <w:sz w:val="24"/>
        </w:rPr>
        <w:t>, Angela M. Wood</w:t>
      </w:r>
      <w:r w:rsidR="009727A4">
        <w:rPr>
          <w:sz w:val="24"/>
        </w:rPr>
        <w:t>, PhD,</w:t>
      </w:r>
      <w:r w:rsidRPr="003A560A">
        <w:rPr>
          <w:sz w:val="24"/>
          <w:vertAlign w:val="superscript"/>
        </w:rPr>
        <w:t>5,6</w:t>
      </w:r>
      <w:r>
        <w:rPr>
          <w:sz w:val="24"/>
          <w:vertAlign w:val="superscript"/>
        </w:rPr>
        <w:t>,7,8,9,10</w:t>
      </w:r>
      <w:r>
        <w:rPr>
          <w:sz w:val="24"/>
        </w:rPr>
        <w:t>,</w:t>
      </w:r>
      <w:r w:rsidRPr="003A560A">
        <w:rPr>
          <w:sz w:val="24"/>
        </w:rPr>
        <w:t xml:space="preserve"> </w:t>
      </w:r>
      <w:r w:rsidR="005D6C36" w:rsidRPr="003A560A">
        <w:rPr>
          <w:sz w:val="24"/>
        </w:rPr>
        <w:t>John R. Thompson</w:t>
      </w:r>
      <w:r w:rsidR="009727A4">
        <w:rPr>
          <w:sz w:val="24"/>
        </w:rPr>
        <w:t>, PhD,</w:t>
      </w:r>
      <w:r w:rsidR="005D6C36" w:rsidRPr="0056232F">
        <w:rPr>
          <w:sz w:val="24"/>
          <w:vertAlign w:val="superscript"/>
        </w:rPr>
        <w:t>1</w:t>
      </w:r>
      <w:r w:rsidR="005D6C36">
        <w:rPr>
          <w:sz w:val="24"/>
          <w:vertAlign w:val="superscript"/>
        </w:rPr>
        <w:t>1</w:t>
      </w:r>
      <w:r w:rsidR="005D6C36">
        <w:rPr>
          <w:sz w:val="24"/>
        </w:rPr>
        <w:t xml:space="preserve">, </w:t>
      </w:r>
      <w:r w:rsidRPr="003A560A">
        <w:rPr>
          <w:sz w:val="24"/>
        </w:rPr>
        <w:t xml:space="preserve">Steffen E, </w:t>
      </w:r>
      <w:r w:rsidRPr="00EA6A95">
        <w:rPr>
          <w:sz w:val="24"/>
        </w:rPr>
        <w:t>Petersen</w:t>
      </w:r>
      <w:r w:rsidR="009727A4" w:rsidRPr="00EA6A95">
        <w:rPr>
          <w:sz w:val="24"/>
        </w:rPr>
        <w:t>, MD,</w:t>
      </w:r>
      <w:r w:rsidRPr="00EA6A95">
        <w:rPr>
          <w:sz w:val="24"/>
          <w:vertAlign w:val="superscript"/>
        </w:rPr>
        <w:t>3,4</w:t>
      </w:r>
      <w:r w:rsidRPr="00EA6A95">
        <w:rPr>
          <w:sz w:val="24"/>
        </w:rPr>
        <w:t>, Nicholas C. Harvey</w:t>
      </w:r>
      <w:r w:rsidR="00203CCB" w:rsidRPr="00EA6A95">
        <w:rPr>
          <w:sz w:val="24"/>
        </w:rPr>
        <w:t>,</w:t>
      </w:r>
      <w:r w:rsidR="006473D6" w:rsidRPr="00EA6A95">
        <w:rPr>
          <w:sz w:val="24"/>
        </w:rPr>
        <w:t xml:space="preserve"> PhD</w:t>
      </w:r>
      <w:r w:rsidR="00203CCB" w:rsidRPr="00EA6A95">
        <w:rPr>
          <w:sz w:val="24"/>
        </w:rPr>
        <w:t>,</w:t>
      </w:r>
      <w:r w:rsidR="005D6C36" w:rsidRPr="00EA6A95">
        <w:rPr>
          <w:sz w:val="24"/>
          <w:vertAlign w:val="superscript"/>
        </w:rPr>
        <w:t>12,13</w:t>
      </w:r>
      <w:r w:rsidRPr="00EA6A95">
        <w:rPr>
          <w:sz w:val="24"/>
        </w:rPr>
        <w:t xml:space="preserve">, </w:t>
      </w:r>
      <w:r w:rsidR="005D6C36" w:rsidRPr="00EA6A95">
        <w:rPr>
          <w:sz w:val="24"/>
        </w:rPr>
        <w:t>John N</w:t>
      </w:r>
      <w:r w:rsidR="006500B5" w:rsidRPr="00EA6A95">
        <w:rPr>
          <w:sz w:val="24"/>
        </w:rPr>
        <w:t>.</w:t>
      </w:r>
      <w:r w:rsidR="005D6C36" w:rsidRPr="00EA6A95">
        <w:rPr>
          <w:sz w:val="24"/>
        </w:rPr>
        <w:t xml:space="preserve"> Danesh</w:t>
      </w:r>
      <w:r w:rsidR="009727A4" w:rsidRPr="00EA6A95">
        <w:rPr>
          <w:sz w:val="24"/>
        </w:rPr>
        <w:t>, FMedSci,</w:t>
      </w:r>
      <w:r w:rsidR="005D6C36" w:rsidRPr="00EA6A95">
        <w:rPr>
          <w:sz w:val="24"/>
          <w:vertAlign w:val="superscript"/>
        </w:rPr>
        <w:t>5,6,7,8,14</w:t>
      </w:r>
      <w:r w:rsidR="005D6C36" w:rsidRPr="00EA6A95">
        <w:rPr>
          <w:sz w:val="24"/>
        </w:rPr>
        <w:t xml:space="preserve">, </w:t>
      </w:r>
      <w:r w:rsidRPr="00EA6A95">
        <w:rPr>
          <w:sz w:val="24"/>
        </w:rPr>
        <w:t>Nilesh J. Samani</w:t>
      </w:r>
      <w:r w:rsidR="00203CCB" w:rsidRPr="00EA6A95">
        <w:rPr>
          <w:sz w:val="24"/>
        </w:rPr>
        <w:t>,</w:t>
      </w:r>
      <w:r w:rsidR="001802B4" w:rsidRPr="00EA6A95">
        <w:rPr>
          <w:sz w:val="24"/>
        </w:rPr>
        <w:t>FMedSci</w:t>
      </w:r>
      <w:r w:rsidR="00203CCB" w:rsidRPr="00EA6A95">
        <w:rPr>
          <w:sz w:val="24"/>
        </w:rPr>
        <w:t>,</w:t>
      </w:r>
      <w:r w:rsidRPr="00EA6A95">
        <w:rPr>
          <w:sz w:val="24"/>
          <w:vertAlign w:val="superscript"/>
        </w:rPr>
        <w:t>1,2</w:t>
      </w:r>
      <w:r w:rsidRPr="00EA6A95">
        <w:rPr>
          <w:sz w:val="24"/>
        </w:rPr>
        <w:t xml:space="preserve">, </w:t>
      </w:r>
      <w:r w:rsidR="00553B75" w:rsidRPr="00EA6A95">
        <w:rPr>
          <w:sz w:val="24"/>
        </w:rPr>
        <w:t>Christopher P. Nelson</w:t>
      </w:r>
      <w:r w:rsidR="009727A4" w:rsidRPr="00EA6A95">
        <w:rPr>
          <w:sz w:val="24"/>
        </w:rPr>
        <w:t>, PhD</w:t>
      </w:r>
      <w:r w:rsidR="00553B75" w:rsidRPr="00EA6A95">
        <w:rPr>
          <w:sz w:val="24"/>
          <w:vertAlign w:val="superscript"/>
        </w:rPr>
        <w:t>1,2</w:t>
      </w:r>
      <w:r w:rsidR="00534046">
        <w:rPr>
          <w:sz w:val="24"/>
          <w:vertAlign w:val="superscript"/>
        </w:rPr>
        <w:t>,</w:t>
      </w:r>
      <w:r w:rsidR="00534046">
        <w:rPr>
          <w:rFonts w:cstheme="minorHAnsi"/>
          <w:sz w:val="24"/>
          <w:vertAlign w:val="superscript"/>
        </w:rPr>
        <w:t>†</w:t>
      </w:r>
      <w:bookmarkStart w:id="0" w:name="_GoBack"/>
      <w:bookmarkEnd w:id="0"/>
    </w:p>
    <w:p w14:paraId="7EA86AA4" w14:textId="77777777" w:rsidR="003A560A" w:rsidRDefault="003A560A" w:rsidP="003A560A">
      <w:pPr>
        <w:pStyle w:val="ListParagraph"/>
        <w:numPr>
          <w:ilvl w:val="0"/>
          <w:numId w:val="2"/>
        </w:numPr>
        <w:spacing w:line="360" w:lineRule="auto"/>
        <w:rPr>
          <w:sz w:val="24"/>
        </w:rPr>
      </w:pPr>
      <w:r w:rsidRPr="003A560A">
        <w:rPr>
          <w:sz w:val="24"/>
        </w:rPr>
        <w:t>Department of Cardiovascular Sciences, University of Leicester, Leicester, UK.</w:t>
      </w:r>
    </w:p>
    <w:p w14:paraId="1E100E5D" w14:textId="77777777" w:rsidR="003A560A" w:rsidRDefault="003A560A" w:rsidP="00A22A2D">
      <w:pPr>
        <w:pStyle w:val="ListParagraph"/>
        <w:numPr>
          <w:ilvl w:val="0"/>
          <w:numId w:val="2"/>
        </w:numPr>
        <w:spacing w:line="360" w:lineRule="auto"/>
        <w:rPr>
          <w:sz w:val="24"/>
        </w:rPr>
      </w:pPr>
      <w:r w:rsidRPr="003A560A">
        <w:rPr>
          <w:sz w:val="24"/>
        </w:rPr>
        <w:t>NIHR Leicester Biomedical Research Centre, Glenfield Hospital, Leicester, UK.</w:t>
      </w:r>
    </w:p>
    <w:p w14:paraId="6903D821" w14:textId="77777777" w:rsidR="003A560A" w:rsidRDefault="003A560A" w:rsidP="00A22A2D">
      <w:pPr>
        <w:pStyle w:val="ListParagraph"/>
        <w:numPr>
          <w:ilvl w:val="0"/>
          <w:numId w:val="2"/>
        </w:numPr>
        <w:spacing w:line="360" w:lineRule="auto"/>
        <w:rPr>
          <w:sz w:val="24"/>
        </w:rPr>
      </w:pPr>
      <w:r w:rsidRPr="003A560A">
        <w:rPr>
          <w:sz w:val="24"/>
        </w:rPr>
        <w:t xml:space="preserve">William Harvey Research Institute, NIHR Barts Biomedical Research Centre, Queen Mary University of London, Charterhouse Square, London, EC1M 6BQ, UK;  </w:t>
      </w:r>
    </w:p>
    <w:p w14:paraId="53875BBB" w14:textId="77777777" w:rsidR="00AF44E8" w:rsidRDefault="003A560A" w:rsidP="00A22A2D">
      <w:pPr>
        <w:pStyle w:val="ListParagraph"/>
        <w:numPr>
          <w:ilvl w:val="0"/>
          <w:numId w:val="2"/>
        </w:numPr>
        <w:spacing w:line="360" w:lineRule="auto"/>
        <w:rPr>
          <w:sz w:val="24"/>
        </w:rPr>
      </w:pPr>
      <w:r w:rsidRPr="003A560A">
        <w:rPr>
          <w:sz w:val="24"/>
        </w:rPr>
        <w:t>Barts Heart Centre, St Bartholomew’s Hospital, Barts Health NHS Trust, EC1A 7BE, London, UK</w:t>
      </w:r>
    </w:p>
    <w:p w14:paraId="0AD6E470" w14:textId="77777777" w:rsidR="003A560A" w:rsidRPr="003A560A" w:rsidRDefault="003A560A" w:rsidP="00A22A2D">
      <w:pPr>
        <w:pStyle w:val="ListParagraph"/>
        <w:numPr>
          <w:ilvl w:val="0"/>
          <w:numId w:val="2"/>
        </w:numPr>
        <w:spacing w:line="360" w:lineRule="auto"/>
        <w:rPr>
          <w:sz w:val="24"/>
        </w:rPr>
      </w:pPr>
      <w:r w:rsidRPr="003A560A">
        <w:rPr>
          <w:sz w:val="24"/>
        </w:rPr>
        <w:t>British Heart Foundation Cardiovascular Epidemiology Unit, Department of Public Health and</w:t>
      </w:r>
      <w:r>
        <w:rPr>
          <w:sz w:val="24"/>
        </w:rPr>
        <w:t xml:space="preserve"> </w:t>
      </w:r>
      <w:r w:rsidRPr="003A560A">
        <w:rPr>
          <w:sz w:val="24"/>
        </w:rPr>
        <w:t>Primary Care, University of Cambridge, Cambridge, UK.</w:t>
      </w:r>
    </w:p>
    <w:p w14:paraId="71064572" w14:textId="77777777" w:rsidR="003A560A" w:rsidRPr="003A560A" w:rsidRDefault="003A560A" w:rsidP="00A22A2D">
      <w:pPr>
        <w:pStyle w:val="ListParagraph"/>
        <w:numPr>
          <w:ilvl w:val="0"/>
          <w:numId w:val="2"/>
        </w:numPr>
        <w:spacing w:line="360" w:lineRule="auto"/>
        <w:rPr>
          <w:sz w:val="24"/>
        </w:rPr>
      </w:pPr>
      <w:r w:rsidRPr="003A560A">
        <w:rPr>
          <w:sz w:val="24"/>
        </w:rPr>
        <w:t>National Institute for Health Research Blood and Transplant Research Unit in Donor Health and</w:t>
      </w:r>
      <w:r>
        <w:rPr>
          <w:sz w:val="24"/>
        </w:rPr>
        <w:t xml:space="preserve"> </w:t>
      </w:r>
      <w:r w:rsidRPr="003A560A">
        <w:rPr>
          <w:sz w:val="24"/>
        </w:rPr>
        <w:t>Genomics, University of Cambridge, Cambridge, UK.</w:t>
      </w:r>
    </w:p>
    <w:p w14:paraId="18A31F6D" w14:textId="77777777" w:rsidR="003A560A" w:rsidRDefault="003A560A" w:rsidP="00A22A2D">
      <w:pPr>
        <w:pStyle w:val="ListParagraph"/>
        <w:numPr>
          <w:ilvl w:val="0"/>
          <w:numId w:val="2"/>
        </w:numPr>
        <w:spacing w:line="360" w:lineRule="auto"/>
        <w:rPr>
          <w:sz w:val="24"/>
        </w:rPr>
      </w:pPr>
      <w:r w:rsidRPr="003A560A">
        <w:rPr>
          <w:sz w:val="24"/>
        </w:rPr>
        <w:t>British Heart Foundation Centre of Research Excellence, University of Cambridge, Cambridge,UK.</w:t>
      </w:r>
    </w:p>
    <w:p w14:paraId="44F9598F" w14:textId="77777777" w:rsidR="003A560A" w:rsidRDefault="003A560A" w:rsidP="00A22A2D">
      <w:pPr>
        <w:pStyle w:val="ListParagraph"/>
        <w:numPr>
          <w:ilvl w:val="0"/>
          <w:numId w:val="2"/>
        </w:numPr>
        <w:spacing w:line="360" w:lineRule="auto"/>
        <w:rPr>
          <w:sz w:val="24"/>
        </w:rPr>
      </w:pPr>
      <w:r w:rsidRPr="003A560A">
        <w:rPr>
          <w:sz w:val="24"/>
        </w:rPr>
        <w:t>Health Data Research UK Cambridge, Wellcome Genome Campus and University of Cambridge,</w:t>
      </w:r>
      <w:r>
        <w:rPr>
          <w:sz w:val="24"/>
        </w:rPr>
        <w:t xml:space="preserve"> </w:t>
      </w:r>
      <w:r w:rsidR="005D6C36">
        <w:rPr>
          <w:sz w:val="24"/>
        </w:rPr>
        <w:t>Cambridge, UK</w:t>
      </w:r>
    </w:p>
    <w:p w14:paraId="2CEDAF4C" w14:textId="77777777" w:rsidR="003A560A" w:rsidRPr="003A560A" w:rsidRDefault="003A560A" w:rsidP="00A22A2D">
      <w:pPr>
        <w:pStyle w:val="ListParagraph"/>
        <w:numPr>
          <w:ilvl w:val="0"/>
          <w:numId w:val="2"/>
        </w:numPr>
        <w:spacing w:line="360" w:lineRule="auto"/>
        <w:rPr>
          <w:sz w:val="24"/>
        </w:rPr>
      </w:pPr>
      <w:r w:rsidRPr="003A560A">
        <w:rPr>
          <w:sz w:val="24"/>
        </w:rPr>
        <w:t>Medical Research Council Biostatistics Unit, Cambridge Institute of Public Health, University of</w:t>
      </w:r>
      <w:r>
        <w:rPr>
          <w:sz w:val="24"/>
        </w:rPr>
        <w:t xml:space="preserve"> </w:t>
      </w:r>
      <w:r w:rsidRPr="003A560A">
        <w:rPr>
          <w:sz w:val="24"/>
        </w:rPr>
        <w:t>Camb</w:t>
      </w:r>
      <w:r w:rsidR="005D6C36">
        <w:rPr>
          <w:sz w:val="24"/>
        </w:rPr>
        <w:t>ridge, Cambridge, UK</w:t>
      </w:r>
    </w:p>
    <w:p w14:paraId="356AC31D" w14:textId="77777777" w:rsidR="003A560A" w:rsidRDefault="003A560A" w:rsidP="003A560A">
      <w:pPr>
        <w:pStyle w:val="ListParagraph"/>
        <w:numPr>
          <w:ilvl w:val="0"/>
          <w:numId w:val="2"/>
        </w:numPr>
        <w:spacing w:line="360" w:lineRule="auto"/>
        <w:rPr>
          <w:sz w:val="24"/>
        </w:rPr>
      </w:pPr>
      <w:r w:rsidRPr="003A560A">
        <w:rPr>
          <w:sz w:val="24"/>
        </w:rPr>
        <w:t>The Alan Turing I</w:t>
      </w:r>
      <w:r w:rsidR="005D6C36">
        <w:rPr>
          <w:sz w:val="24"/>
        </w:rPr>
        <w:t>nstitute, London, UK</w:t>
      </w:r>
    </w:p>
    <w:p w14:paraId="5BCBF478" w14:textId="77777777" w:rsidR="005D6C36" w:rsidRDefault="005D6C36" w:rsidP="005D6C36">
      <w:pPr>
        <w:pStyle w:val="ListParagraph"/>
        <w:numPr>
          <w:ilvl w:val="0"/>
          <w:numId w:val="2"/>
        </w:numPr>
        <w:spacing w:line="360" w:lineRule="auto"/>
        <w:rPr>
          <w:sz w:val="24"/>
        </w:rPr>
      </w:pPr>
      <w:r w:rsidRPr="0056232F">
        <w:rPr>
          <w:sz w:val="24"/>
        </w:rPr>
        <w:t xml:space="preserve">Department of Health Sciences, </w:t>
      </w:r>
      <w:r>
        <w:rPr>
          <w:sz w:val="24"/>
        </w:rPr>
        <w:t>University of Leicester, UK</w:t>
      </w:r>
    </w:p>
    <w:p w14:paraId="3A6E7DA1" w14:textId="77777777" w:rsidR="005D6C36" w:rsidRDefault="005D6C36" w:rsidP="005D6C36">
      <w:pPr>
        <w:pStyle w:val="ListParagraph"/>
        <w:numPr>
          <w:ilvl w:val="0"/>
          <w:numId w:val="2"/>
        </w:numPr>
        <w:spacing w:line="360" w:lineRule="auto"/>
        <w:rPr>
          <w:sz w:val="24"/>
        </w:rPr>
      </w:pPr>
      <w:r w:rsidRPr="0056232F">
        <w:rPr>
          <w:sz w:val="24"/>
        </w:rPr>
        <w:t xml:space="preserve">MRC Lifecourse Epidemiology Unit, University of Southampton, Southampton, UK; </w:t>
      </w:r>
    </w:p>
    <w:p w14:paraId="3BD661C1" w14:textId="77777777" w:rsidR="005D6C36" w:rsidRDefault="005D6C36" w:rsidP="005D6C36">
      <w:pPr>
        <w:pStyle w:val="ListParagraph"/>
        <w:numPr>
          <w:ilvl w:val="0"/>
          <w:numId w:val="2"/>
        </w:numPr>
        <w:spacing w:line="360" w:lineRule="auto"/>
        <w:rPr>
          <w:sz w:val="24"/>
        </w:rPr>
      </w:pPr>
      <w:r w:rsidRPr="0056232F">
        <w:rPr>
          <w:sz w:val="24"/>
        </w:rPr>
        <w:t>NIHR Southampton Biomedical Research Centre, University of Southampton and University Hospital Southampton NHS F</w:t>
      </w:r>
      <w:r>
        <w:rPr>
          <w:sz w:val="24"/>
        </w:rPr>
        <w:t>oundation Trust, Southampton, UK</w:t>
      </w:r>
    </w:p>
    <w:p w14:paraId="2A7101E8" w14:textId="62805223" w:rsidR="0056232F" w:rsidRDefault="0056232F" w:rsidP="005D6C36">
      <w:pPr>
        <w:pStyle w:val="ListParagraph"/>
        <w:numPr>
          <w:ilvl w:val="0"/>
          <w:numId w:val="2"/>
        </w:numPr>
        <w:spacing w:line="360" w:lineRule="auto"/>
        <w:rPr>
          <w:sz w:val="24"/>
        </w:rPr>
      </w:pPr>
      <w:r w:rsidRPr="005D6C36">
        <w:rPr>
          <w:sz w:val="24"/>
        </w:rPr>
        <w:t>Department of Human Genetics, Wellcome Sanger Institute, Hinxton, United Kingdom</w:t>
      </w:r>
    </w:p>
    <w:p w14:paraId="6FDBEDDE" w14:textId="63BB5B77" w:rsidR="00534046" w:rsidRDefault="00534046" w:rsidP="00534046">
      <w:pPr>
        <w:pStyle w:val="ListParagraph"/>
        <w:numPr>
          <w:ilvl w:val="0"/>
          <w:numId w:val="5"/>
        </w:numPr>
        <w:spacing w:line="360" w:lineRule="auto"/>
        <w:rPr>
          <w:sz w:val="24"/>
        </w:rPr>
      </w:pPr>
      <w:r>
        <w:rPr>
          <w:sz w:val="24"/>
        </w:rPr>
        <w:t>Corresponding author</w:t>
      </w:r>
    </w:p>
    <w:p w14:paraId="310FB152" w14:textId="77777777" w:rsidR="00893B8F" w:rsidRPr="006D0470" w:rsidRDefault="00893B8F" w:rsidP="00893B8F">
      <w:pPr>
        <w:spacing w:line="360" w:lineRule="auto"/>
        <w:rPr>
          <w:b/>
          <w:sz w:val="24"/>
        </w:rPr>
      </w:pPr>
      <w:r w:rsidRPr="006D0470">
        <w:rPr>
          <w:b/>
          <w:sz w:val="24"/>
        </w:rPr>
        <w:lastRenderedPageBreak/>
        <w:t>Corresponding author</w:t>
      </w:r>
    </w:p>
    <w:p w14:paraId="3F0F4926" w14:textId="40A56F29" w:rsidR="00893B8F" w:rsidRDefault="00893B8F" w:rsidP="00893B8F">
      <w:pPr>
        <w:spacing w:line="360" w:lineRule="auto"/>
        <w:rPr>
          <w:sz w:val="24"/>
        </w:rPr>
      </w:pPr>
      <w:r>
        <w:rPr>
          <w:sz w:val="24"/>
        </w:rPr>
        <w:t xml:space="preserve">Christopher P. Nelson, </w:t>
      </w:r>
      <w:hyperlink r:id="rId8" w:history="1">
        <w:r w:rsidR="006D0470" w:rsidRPr="0044105F">
          <w:rPr>
            <w:rStyle w:val="Hyperlink"/>
            <w:sz w:val="24"/>
          </w:rPr>
          <w:t>chris.p.nelson@leicester.ac.uk</w:t>
        </w:r>
      </w:hyperlink>
      <w:r>
        <w:rPr>
          <w:sz w:val="24"/>
        </w:rPr>
        <w:t xml:space="preserve">, phone </w:t>
      </w:r>
      <w:r w:rsidR="006D0470" w:rsidRPr="006D0470">
        <w:rPr>
          <w:sz w:val="24"/>
        </w:rPr>
        <w:t>+44 (0)116 204 4745</w:t>
      </w:r>
      <w:r w:rsidR="006D0470">
        <w:rPr>
          <w:sz w:val="24"/>
        </w:rPr>
        <w:t xml:space="preserve">, address </w:t>
      </w:r>
      <w:r w:rsidR="006D0470" w:rsidRPr="003A560A">
        <w:rPr>
          <w:sz w:val="24"/>
        </w:rPr>
        <w:t>Department of Cardiovascular Sciences, University of Leicester,</w:t>
      </w:r>
      <w:r w:rsidR="006D0470">
        <w:rPr>
          <w:sz w:val="24"/>
        </w:rPr>
        <w:t xml:space="preserve"> </w:t>
      </w:r>
      <w:r w:rsidR="006D0470" w:rsidRPr="003A560A">
        <w:rPr>
          <w:sz w:val="24"/>
        </w:rPr>
        <w:t>Glenfield Hospital</w:t>
      </w:r>
      <w:r w:rsidR="006D0470">
        <w:rPr>
          <w:sz w:val="24"/>
        </w:rPr>
        <w:t>,</w:t>
      </w:r>
      <w:r w:rsidR="006D0470" w:rsidRPr="003A560A">
        <w:rPr>
          <w:sz w:val="24"/>
        </w:rPr>
        <w:t xml:space="preserve"> Leicester, UK</w:t>
      </w:r>
      <w:r w:rsidR="00A8529D">
        <w:rPr>
          <w:sz w:val="24"/>
        </w:rPr>
        <w:t xml:space="preserve"> </w:t>
      </w:r>
    </w:p>
    <w:p w14:paraId="07F037FD" w14:textId="58E0E06F" w:rsidR="00E939C8" w:rsidRDefault="00E939C8" w:rsidP="00893B8F">
      <w:pPr>
        <w:spacing w:line="360" w:lineRule="auto"/>
        <w:rPr>
          <w:b/>
          <w:sz w:val="24"/>
          <w:szCs w:val="24"/>
        </w:rPr>
      </w:pPr>
      <w:r w:rsidRPr="00E939C8">
        <w:rPr>
          <w:b/>
          <w:sz w:val="24"/>
          <w:szCs w:val="24"/>
        </w:rPr>
        <w:t>Abstract</w:t>
      </w:r>
      <w:r w:rsidR="00822953">
        <w:rPr>
          <w:b/>
          <w:sz w:val="24"/>
          <w:szCs w:val="24"/>
        </w:rPr>
        <w:t xml:space="preserve"> </w:t>
      </w:r>
      <w:r w:rsidR="00822953" w:rsidRPr="00E34E5E">
        <w:rPr>
          <w:sz w:val="24"/>
          <w:szCs w:val="24"/>
        </w:rPr>
        <w:t>(word count=</w:t>
      </w:r>
      <w:r w:rsidR="00ED3213">
        <w:rPr>
          <w:sz w:val="24"/>
          <w:szCs w:val="24"/>
        </w:rPr>
        <w:t>250</w:t>
      </w:r>
      <w:r w:rsidR="003E44D7">
        <w:rPr>
          <w:sz w:val="24"/>
          <w:szCs w:val="24"/>
        </w:rPr>
        <w:t>)</w:t>
      </w:r>
    </w:p>
    <w:p w14:paraId="25A08787" w14:textId="468186F0" w:rsidR="00E939C8" w:rsidRPr="002961C2" w:rsidRDefault="00E939C8" w:rsidP="00AD1953">
      <w:pPr>
        <w:spacing w:line="480" w:lineRule="auto"/>
        <w:rPr>
          <w:sz w:val="24"/>
          <w:szCs w:val="24"/>
          <w:shd w:val="clear" w:color="auto" w:fill="FFFFFF"/>
        </w:rPr>
      </w:pPr>
      <w:r w:rsidRPr="00C66A0B">
        <w:rPr>
          <w:b/>
          <w:sz w:val="24"/>
          <w:szCs w:val="24"/>
        </w:rPr>
        <w:t>Background</w:t>
      </w:r>
      <w:r w:rsidRPr="002961C2">
        <w:rPr>
          <w:b/>
          <w:sz w:val="24"/>
          <w:szCs w:val="24"/>
        </w:rPr>
        <w:t xml:space="preserve">: </w:t>
      </w:r>
      <w:r w:rsidR="00F876E6" w:rsidRPr="002961C2">
        <w:rPr>
          <w:sz w:val="24"/>
          <w:szCs w:val="24"/>
        </w:rPr>
        <w:t>Older</w:t>
      </w:r>
      <w:r w:rsidR="008A6B32" w:rsidRPr="002961C2">
        <w:rPr>
          <w:sz w:val="24"/>
          <w:szCs w:val="24"/>
        </w:rPr>
        <w:t xml:space="preserve"> a</w:t>
      </w:r>
      <w:r w:rsidRPr="002961C2">
        <w:rPr>
          <w:sz w:val="24"/>
          <w:szCs w:val="24"/>
        </w:rPr>
        <w:t xml:space="preserve">ge </w:t>
      </w:r>
      <w:r w:rsidR="00EE00F3" w:rsidRPr="002961C2">
        <w:rPr>
          <w:sz w:val="24"/>
          <w:szCs w:val="24"/>
        </w:rPr>
        <w:t>is</w:t>
      </w:r>
      <w:r w:rsidRPr="002961C2">
        <w:rPr>
          <w:sz w:val="24"/>
          <w:szCs w:val="24"/>
        </w:rPr>
        <w:t xml:space="preserve"> the most powerful risk factor for adverse coronavirus disease</w:t>
      </w:r>
      <w:r w:rsidR="000B6FE1" w:rsidRPr="002961C2">
        <w:rPr>
          <w:sz w:val="24"/>
          <w:szCs w:val="24"/>
        </w:rPr>
        <w:t>-</w:t>
      </w:r>
      <w:r w:rsidRPr="002961C2">
        <w:rPr>
          <w:sz w:val="24"/>
          <w:szCs w:val="24"/>
        </w:rPr>
        <w:t>19 (</w:t>
      </w:r>
      <w:r w:rsidRPr="002961C2">
        <w:rPr>
          <w:sz w:val="24"/>
          <w:szCs w:val="24"/>
          <w:shd w:val="clear" w:color="auto" w:fill="FFFFFF"/>
        </w:rPr>
        <w:t>COVID-19)</w:t>
      </w:r>
      <w:r w:rsidR="00632792" w:rsidRPr="002961C2">
        <w:rPr>
          <w:sz w:val="24"/>
          <w:szCs w:val="24"/>
          <w:shd w:val="clear" w:color="auto" w:fill="FFFFFF"/>
        </w:rPr>
        <w:t xml:space="preserve"> </w:t>
      </w:r>
      <w:r w:rsidR="003E44D7" w:rsidRPr="002961C2">
        <w:rPr>
          <w:sz w:val="24"/>
          <w:szCs w:val="24"/>
        </w:rPr>
        <w:t>outcomes</w:t>
      </w:r>
      <w:r w:rsidRPr="002961C2">
        <w:rPr>
          <w:sz w:val="24"/>
          <w:szCs w:val="24"/>
          <w:shd w:val="clear" w:color="auto" w:fill="FFFFFF"/>
        </w:rPr>
        <w:t xml:space="preserve">. </w:t>
      </w:r>
      <w:r w:rsidR="00C66A0B" w:rsidRPr="002961C2">
        <w:rPr>
          <w:sz w:val="24"/>
          <w:szCs w:val="24"/>
          <w:shd w:val="clear" w:color="auto" w:fill="FFFFFF"/>
        </w:rPr>
        <w:t>It is uncertain whether leucocyte telomere length (LTL), previously proposed as a marker of</w:t>
      </w:r>
      <w:r w:rsidR="003E44D7" w:rsidRPr="002961C2">
        <w:rPr>
          <w:sz w:val="24"/>
          <w:szCs w:val="24"/>
          <w:shd w:val="clear" w:color="auto" w:fill="FFFFFF"/>
        </w:rPr>
        <w:t xml:space="preserve"> </w:t>
      </w:r>
      <w:r w:rsidR="00AA0C73" w:rsidRPr="002961C2">
        <w:rPr>
          <w:sz w:val="24"/>
          <w:szCs w:val="24"/>
          <w:shd w:val="clear" w:color="auto" w:fill="FFFFFF"/>
        </w:rPr>
        <w:t>biological age</w:t>
      </w:r>
      <w:r w:rsidR="00C66A0B" w:rsidRPr="002961C2">
        <w:rPr>
          <w:sz w:val="24"/>
          <w:szCs w:val="24"/>
          <w:shd w:val="clear" w:color="auto" w:fill="FFFFFF"/>
        </w:rPr>
        <w:t>,</w:t>
      </w:r>
      <w:r w:rsidR="00AA0C73" w:rsidRPr="002961C2">
        <w:rPr>
          <w:sz w:val="24"/>
          <w:szCs w:val="24"/>
          <w:shd w:val="clear" w:color="auto" w:fill="FFFFFF"/>
        </w:rPr>
        <w:t xml:space="preserve"> </w:t>
      </w:r>
      <w:r w:rsidR="00632792" w:rsidRPr="002961C2">
        <w:rPr>
          <w:sz w:val="24"/>
          <w:szCs w:val="24"/>
          <w:shd w:val="clear" w:color="auto" w:fill="FFFFFF"/>
        </w:rPr>
        <w:t>is</w:t>
      </w:r>
      <w:r w:rsidRPr="002961C2">
        <w:rPr>
          <w:sz w:val="24"/>
          <w:szCs w:val="24"/>
          <w:shd w:val="clear" w:color="auto" w:fill="FFFFFF"/>
        </w:rPr>
        <w:t xml:space="preserve"> </w:t>
      </w:r>
      <w:r w:rsidR="00182B3F" w:rsidRPr="002961C2">
        <w:rPr>
          <w:sz w:val="24"/>
          <w:szCs w:val="24"/>
          <w:shd w:val="clear" w:color="auto" w:fill="FFFFFF"/>
        </w:rPr>
        <w:t xml:space="preserve">also </w:t>
      </w:r>
      <w:r w:rsidR="00AA0C73" w:rsidRPr="002961C2">
        <w:rPr>
          <w:sz w:val="24"/>
          <w:szCs w:val="24"/>
          <w:shd w:val="clear" w:color="auto" w:fill="FFFFFF"/>
        </w:rPr>
        <w:t>associated with</w:t>
      </w:r>
      <w:r w:rsidRPr="002961C2">
        <w:rPr>
          <w:sz w:val="24"/>
          <w:szCs w:val="24"/>
          <w:shd w:val="clear" w:color="auto" w:fill="FFFFFF"/>
        </w:rPr>
        <w:t xml:space="preserve"> </w:t>
      </w:r>
      <w:r w:rsidR="00EE00F3" w:rsidRPr="002961C2">
        <w:rPr>
          <w:sz w:val="24"/>
          <w:szCs w:val="24"/>
          <w:shd w:val="clear" w:color="auto" w:fill="FFFFFF"/>
        </w:rPr>
        <w:t xml:space="preserve">COVID-19 </w:t>
      </w:r>
      <w:r w:rsidR="00632792" w:rsidRPr="002961C2">
        <w:rPr>
          <w:sz w:val="24"/>
          <w:szCs w:val="24"/>
          <w:shd w:val="clear" w:color="auto" w:fill="FFFFFF"/>
        </w:rPr>
        <w:t>outcomes.</w:t>
      </w:r>
    </w:p>
    <w:p w14:paraId="1A7C1CBD" w14:textId="081B6C6E" w:rsidR="00E939C8" w:rsidRDefault="00632792" w:rsidP="00E34E5E">
      <w:pPr>
        <w:spacing w:line="480" w:lineRule="auto"/>
        <w:rPr>
          <w:color w:val="222222"/>
          <w:sz w:val="24"/>
          <w:szCs w:val="24"/>
          <w:shd w:val="clear" w:color="auto" w:fill="FFFFFF"/>
        </w:rPr>
      </w:pPr>
      <w:r w:rsidRPr="002961C2">
        <w:rPr>
          <w:b/>
          <w:sz w:val="24"/>
          <w:szCs w:val="24"/>
          <w:shd w:val="clear" w:color="auto" w:fill="FFFFFF"/>
        </w:rPr>
        <w:t>Methods:</w:t>
      </w:r>
      <w:r w:rsidRPr="002961C2">
        <w:rPr>
          <w:sz w:val="24"/>
          <w:szCs w:val="24"/>
          <w:shd w:val="clear" w:color="auto" w:fill="FFFFFF"/>
        </w:rPr>
        <w:t xml:space="preserve"> </w:t>
      </w:r>
      <w:r w:rsidR="00BA2542" w:rsidRPr="002961C2">
        <w:rPr>
          <w:sz w:val="24"/>
          <w:szCs w:val="24"/>
          <w:shd w:val="clear" w:color="auto" w:fill="FFFFFF"/>
        </w:rPr>
        <w:t>W</w:t>
      </w:r>
      <w:r w:rsidR="00A13278" w:rsidRPr="002961C2">
        <w:rPr>
          <w:sz w:val="24"/>
          <w:szCs w:val="24"/>
          <w:shd w:val="clear" w:color="auto" w:fill="FFFFFF"/>
        </w:rPr>
        <w:t xml:space="preserve">e associated </w:t>
      </w:r>
      <w:r w:rsidR="00A13278">
        <w:rPr>
          <w:color w:val="222222"/>
          <w:sz w:val="24"/>
          <w:szCs w:val="24"/>
          <w:shd w:val="clear" w:color="auto" w:fill="FFFFFF"/>
        </w:rPr>
        <w:t xml:space="preserve">LTL </w:t>
      </w:r>
      <w:r w:rsidR="009455B5">
        <w:rPr>
          <w:color w:val="222222"/>
          <w:sz w:val="24"/>
          <w:szCs w:val="24"/>
          <w:shd w:val="clear" w:color="auto" w:fill="FFFFFF"/>
        </w:rPr>
        <w:t xml:space="preserve">values </w:t>
      </w:r>
      <w:r w:rsidR="000C037D">
        <w:rPr>
          <w:color w:val="222222"/>
          <w:sz w:val="24"/>
          <w:szCs w:val="24"/>
          <w:shd w:val="clear" w:color="auto" w:fill="FFFFFF"/>
        </w:rPr>
        <w:t xml:space="preserve">obtained from participants </w:t>
      </w:r>
      <w:r w:rsidR="00390071">
        <w:rPr>
          <w:color w:val="222222"/>
          <w:sz w:val="24"/>
          <w:szCs w:val="24"/>
          <w:shd w:val="clear" w:color="auto" w:fill="FFFFFF"/>
        </w:rPr>
        <w:t xml:space="preserve">recruited </w:t>
      </w:r>
      <w:r w:rsidR="000C037D">
        <w:rPr>
          <w:color w:val="222222"/>
          <w:sz w:val="24"/>
          <w:szCs w:val="24"/>
          <w:shd w:val="clear" w:color="auto" w:fill="FFFFFF"/>
        </w:rPr>
        <w:t>in</w:t>
      </w:r>
      <w:r w:rsidR="00390071">
        <w:rPr>
          <w:color w:val="222222"/>
          <w:sz w:val="24"/>
          <w:szCs w:val="24"/>
          <w:shd w:val="clear" w:color="auto" w:fill="FFFFFF"/>
        </w:rPr>
        <w:t>to</w:t>
      </w:r>
      <w:r w:rsidR="000C037D">
        <w:rPr>
          <w:color w:val="222222"/>
          <w:sz w:val="24"/>
          <w:szCs w:val="24"/>
          <w:shd w:val="clear" w:color="auto" w:fill="FFFFFF"/>
        </w:rPr>
        <w:t xml:space="preserve"> UK Biobank (UKB) during 2006-2010 with</w:t>
      </w:r>
      <w:r w:rsidR="00A13278">
        <w:rPr>
          <w:color w:val="222222"/>
          <w:sz w:val="24"/>
          <w:szCs w:val="24"/>
          <w:shd w:val="clear" w:color="auto" w:fill="FFFFFF"/>
        </w:rPr>
        <w:t xml:space="preserve"> </w:t>
      </w:r>
      <w:r w:rsidR="00A061A8">
        <w:rPr>
          <w:color w:val="222222"/>
          <w:sz w:val="24"/>
          <w:szCs w:val="24"/>
          <w:shd w:val="clear" w:color="auto" w:fill="FFFFFF"/>
        </w:rPr>
        <w:t>adverse</w:t>
      </w:r>
      <w:r w:rsidR="00A13278">
        <w:rPr>
          <w:color w:val="222222"/>
          <w:sz w:val="24"/>
          <w:szCs w:val="24"/>
          <w:shd w:val="clear" w:color="auto" w:fill="FFFFFF"/>
        </w:rPr>
        <w:t xml:space="preserve"> COVID-19 outcomes</w:t>
      </w:r>
      <w:r w:rsidR="000C037D">
        <w:rPr>
          <w:color w:val="222222"/>
          <w:sz w:val="24"/>
          <w:szCs w:val="24"/>
          <w:shd w:val="clear" w:color="auto" w:fill="FFFFFF"/>
        </w:rPr>
        <w:t xml:space="preserve"> recorded by 30 November 2020</w:t>
      </w:r>
      <w:r w:rsidR="00A13278">
        <w:rPr>
          <w:color w:val="222222"/>
          <w:sz w:val="24"/>
          <w:szCs w:val="24"/>
          <w:shd w:val="clear" w:color="auto" w:fill="FFFFFF"/>
        </w:rPr>
        <w:t>, defined as a composite of</w:t>
      </w:r>
      <w:r w:rsidR="006500B5">
        <w:rPr>
          <w:color w:val="222222"/>
          <w:sz w:val="24"/>
          <w:szCs w:val="24"/>
          <w:shd w:val="clear" w:color="auto" w:fill="FFFFFF"/>
        </w:rPr>
        <w:t xml:space="preserve"> any of the following:</w:t>
      </w:r>
      <w:r w:rsidR="00733200">
        <w:rPr>
          <w:color w:val="222222"/>
          <w:sz w:val="24"/>
          <w:szCs w:val="24"/>
          <w:shd w:val="clear" w:color="auto" w:fill="FFFFFF"/>
        </w:rPr>
        <w:t xml:space="preserve"> </w:t>
      </w:r>
      <w:r w:rsidR="00A13278">
        <w:rPr>
          <w:color w:val="222222"/>
          <w:sz w:val="24"/>
          <w:szCs w:val="24"/>
          <w:shd w:val="clear" w:color="auto" w:fill="FFFFFF"/>
        </w:rPr>
        <w:t>hospital ad</w:t>
      </w:r>
      <w:r w:rsidR="00AC10EA">
        <w:rPr>
          <w:color w:val="222222"/>
          <w:sz w:val="24"/>
          <w:szCs w:val="24"/>
          <w:shd w:val="clear" w:color="auto" w:fill="FFFFFF"/>
        </w:rPr>
        <w:t xml:space="preserve">mission, need for critical care, </w:t>
      </w:r>
      <w:r w:rsidR="00A13278">
        <w:rPr>
          <w:color w:val="222222"/>
          <w:sz w:val="24"/>
          <w:szCs w:val="24"/>
          <w:shd w:val="clear" w:color="auto" w:fill="FFFFFF"/>
        </w:rPr>
        <w:t>respiratory support</w:t>
      </w:r>
      <w:r w:rsidR="00182B3F">
        <w:rPr>
          <w:color w:val="222222"/>
          <w:sz w:val="24"/>
          <w:szCs w:val="24"/>
          <w:shd w:val="clear" w:color="auto" w:fill="FFFFFF"/>
        </w:rPr>
        <w:t>,</w:t>
      </w:r>
      <w:r w:rsidR="00A13278">
        <w:rPr>
          <w:color w:val="222222"/>
          <w:sz w:val="24"/>
          <w:szCs w:val="24"/>
          <w:shd w:val="clear" w:color="auto" w:fill="FFFFFF"/>
        </w:rPr>
        <w:t xml:space="preserve"> </w:t>
      </w:r>
      <w:r w:rsidR="00733200">
        <w:rPr>
          <w:color w:val="222222"/>
          <w:sz w:val="24"/>
          <w:szCs w:val="24"/>
          <w:shd w:val="clear" w:color="auto" w:fill="FFFFFF"/>
        </w:rPr>
        <w:t>or</w:t>
      </w:r>
      <w:r w:rsidR="00A13278">
        <w:rPr>
          <w:color w:val="222222"/>
          <w:sz w:val="24"/>
          <w:szCs w:val="24"/>
          <w:shd w:val="clear" w:color="auto" w:fill="FFFFFF"/>
        </w:rPr>
        <w:t xml:space="preserve"> mortality.</w:t>
      </w:r>
      <w:r w:rsidR="00182B3F">
        <w:rPr>
          <w:color w:val="222222"/>
          <w:sz w:val="24"/>
          <w:szCs w:val="24"/>
          <w:shd w:val="clear" w:color="auto" w:fill="FFFFFF"/>
        </w:rPr>
        <w:t xml:space="preserve"> </w:t>
      </w:r>
      <w:r w:rsidR="009455B5">
        <w:rPr>
          <w:color w:val="222222"/>
          <w:sz w:val="24"/>
          <w:szCs w:val="24"/>
          <w:shd w:val="clear" w:color="auto" w:fill="FFFFFF"/>
        </w:rPr>
        <w:t>Using</w:t>
      </w:r>
      <w:r w:rsidR="0004758D">
        <w:rPr>
          <w:color w:val="222222"/>
          <w:sz w:val="24"/>
          <w:szCs w:val="24"/>
          <w:shd w:val="clear" w:color="auto" w:fill="FFFFFF"/>
        </w:rPr>
        <w:t xml:space="preserve"> </w:t>
      </w:r>
      <w:r w:rsidR="000C037D">
        <w:rPr>
          <w:color w:val="222222"/>
          <w:sz w:val="24"/>
          <w:szCs w:val="24"/>
          <w:shd w:val="clear" w:color="auto" w:fill="FFFFFF"/>
        </w:rPr>
        <w:t>information on 13</w:t>
      </w:r>
      <w:r w:rsidR="00573B47">
        <w:rPr>
          <w:color w:val="222222"/>
          <w:sz w:val="24"/>
          <w:szCs w:val="24"/>
          <w:shd w:val="clear" w:color="auto" w:fill="FFFFFF"/>
        </w:rPr>
        <w:t>0</w:t>
      </w:r>
      <w:r w:rsidR="000C037D">
        <w:rPr>
          <w:color w:val="222222"/>
          <w:sz w:val="24"/>
          <w:szCs w:val="24"/>
          <w:shd w:val="clear" w:color="auto" w:fill="FFFFFF"/>
        </w:rPr>
        <w:t xml:space="preserve"> </w:t>
      </w:r>
      <w:r w:rsidR="009455B5">
        <w:rPr>
          <w:color w:val="222222"/>
          <w:sz w:val="24"/>
          <w:szCs w:val="24"/>
          <w:shd w:val="clear" w:color="auto" w:fill="FFFFFF"/>
        </w:rPr>
        <w:t xml:space="preserve">LTL-associated </w:t>
      </w:r>
      <w:r w:rsidR="000C037D">
        <w:rPr>
          <w:color w:val="222222"/>
          <w:sz w:val="24"/>
          <w:szCs w:val="24"/>
          <w:shd w:val="clear" w:color="auto" w:fill="FFFFFF"/>
        </w:rPr>
        <w:t>genetic variants</w:t>
      </w:r>
      <w:r w:rsidR="009455B5">
        <w:rPr>
          <w:color w:val="222222"/>
          <w:sz w:val="24"/>
          <w:szCs w:val="24"/>
          <w:shd w:val="clear" w:color="auto" w:fill="FFFFFF"/>
        </w:rPr>
        <w:t xml:space="preserve">, we </w:t>
      </w:r>
      <w:r w:rsidR="00BA2542">
        <w:rPr>
          <w:color w:val="222222"/>
          <w:sz w:val="24"/>
          <w:szCs w:val="24"/>
          <w:shd w:val="clear" w:color="auto" w:fill="FFFFFF"/>
        </w:rPr>
        <w:t xml:space="preserve">conducted </w:t>
      </w:r>
      <w:r w:rsidR="00F35587">
        <w:rPr>
          <w:color w:val="222222"/>
          <w:sz w:val="24"/>
          <w:szCs w:val="24"/>
          <w:shd w:val="clear" w:color="auto" w:fill="FFFFFF"/>
        </w:rPr>
        <w:t xml:space="preserve">exploratory </w:t>
      </w:r>
      <w:r w:rsidR="00BD1235">
        <w:rPr>
          <w:color w:val="222222"/>
          <w:sz w:val="24"/>
          <w:szCs w:val="24"/>
          <w:shd w:val="clear" w:color="auto" w:fill="FFFFFF"/>
        </w:rPr>
        <w:t>Mendelian randomis</w:t>
      </w:r>
      <w:r w:rsidR="00BA2542">
        <w:rPr>
          <w:color w:val="222222"/>
          <w:sz w:val="24"/>
          <w:szCs w:val="24"/>
          <w:shd w:val="clear" w:color="auto" w:fill="FFFFFF"/>
        </w:rPr>
        <w:t xml:space="preserve">ation </w:t>
      </w:r>
      <w:r w:rsidR="00050C3C">
        <w:rPr>
          <w:color w:val="222222"/>
          <w:sz w:val="24"/>
          <w:szCs w:val="24"/>
          <w:shd w:val="clear" w:color="auto" w:fill="FFFFFF"/>
        </w:rPr>
        <w:t xml:space="preserve">(MR) </w:t>
      </w:r>
      <w:r w:rsidR="00BA2542">
        <w:rPr>
          <w:color w:val="222222"/>
          <w:sz w:val="24"/>
          <w:szCs w:val="24"/>
          <w:shd w:val="clear" w:color="auto" w:fill="FFFFFF"/>
        </w:rPr>
        <w:t>analyse</w:t>
      </w:r>
      <w:r w:rsidR="00BD1235">
        <w:rPr>
          <w:color w:val="222222"/>
          <w:sz w:val="24"/>
          <w:szCs w:val="24"/>
          <w:shd w:val="clear" w:color="auto" w:fill="FFFFFF"/>
        </w:rPr>
        <w:t xml:space="preserve">s </w:t>
      </w:r>
      <w:r w:rsidR="00390071">
        <w:rPr>
          <w:color w:val="222222"/>
          <w:sz w:val="24"/>
          <w:szCs w:val="24"/>
          <w:shd w:val="clear" w:color="auto" w:fill="FFFFFF"/>
        </w:rPr>
        <w:t xml:space="preserve">in UKB </w:t>
      </w:r>
      <w:r w:rsidR="00BD1235">
        <w:rPr>
          <w:color w:val="222222"/>
          <w:sz w:val="24"/>
          <w:szCs w:val="24"/>
          <w:shd w:val="clear" w:color="auto" w:fill="FFFFFF"/>
        </w:rPr>
        <w:t xml:space="preserve">to </w:t>
      </w:r>
      <w:r w:rsidR="009455B5">
        <w:rPr>
          <w:color w:val="222222"/>
          <w:sz w:val="24"/>
          <w:szCs w:val="24"/>
          <w:shd w:val="clear" w:color="auto" w:fill="FFFFFF"/>
        </w:rPr>
        <w:t xml:space="preserve">evaluate whether </w:t>
      </w:r>
      <w:r w:rsidR="00BD1235">
        <w:rPr>
          <w:color w:val="222222"/>
          <w:sz w:val="24"/>
          <w:szCs w:val="24"/>
          <w:shd w:val="clear" w:color="auto" w:fill="FFFFFF"/>
        </w:rPr>
        <w:t xml:space="preserve">observational </w:t>
      </w:r>
      <w:r w:rsidR="009455B5">
        <w:rPr>
          <w:color w:val="222222"/>
          <w:sz w:val="24"/>
          <w:szCs w:val="24"/>
          <w:shd w:val="clear" w:color="auto" w:fill="FFFFFF"/>
        </w:rPr>
        <w:t>associations</w:t>
      </w:r>
      <w:r w:rsidR="00221075">
        <w:rPr>
          <w:color w:val="222222"/>
          <w:sz w:val="24"/>
          <w:szCs w:val="24"/>
          <w:shd w:val="clear" w:color="auto" w:fill="FFFFFF"/>
        </w:rPr>
        <w:t xml:space="preserve"> might</w:t>
      </w:r>
      <w:r w:rsidR="009455B5">
        <w:rPr>
          <w:color w:val="222222"/>
          <w:sz w:val="24"/>
          <w:szCs w:val="24"/>
          <w:shd w:val="clear" w:color="auto" w:fill="FFFFFF"/>
        </w:rPr>
        <w:t xml:space="preserve"> reflect cause-and-</w:t>
      </w:r>
      <w:r w:rsidR="00192661">
        <w:rPr>
          <w:color w:val="222222"/>
          <w:sz w:val="24"/>
          <w:szCs w:val="24"/>
          <w:shd w:val="clear" w:color="auto" w:fill="FFFFFF"/>
        </w:rPr>
        <w:t xml:space="preserve">effect </w:t>
      </w:r>
      <w:r w:rsidR="009455B5">
        <w:rPr>
          <w:color w:val="222222"/>
          <w:sz w:val="24"/>
          <w:szCs w:val="24"/>
          <w:shd w:val="clear" w:color="auto" w:fill="FFFFFF"/>
        </w:rPr>
        <w:t>relationship</w:t>
      </w:r>
      <w:r w:rsidR="008A6B32">
        <w:rPr>
          <w:color w:val="222222"/>
          <w:sz w:val="24"/>
          <w:szCs w:val="24"/>
          <w:shd w:val="clear" w:color="auto" w:fill="FFFFFF"/>
        </w:rPr>
        <w:t>s</w:t>
      </w:r>
      <w:r w:rsidR="006759C8">
        <w:rPr>
          <w:color w:val="222222"/>
          <w:sz w:val="24"/>
          <w:szCs w:val="24"/>
          <w:shd w:val="clear" w:color="auto" w:fill="FFFFFF"/>
        </w:rPr>
        <w:t xml:space="preserve">. </w:t>
      </w:r>
    </w:p>
    <w:p w14:paraId="26673835" w14:textId="79CB867F" w:rsidR="006759C8" w:rsidRDefault="006759C8" w:rsidP="00AD1953">
      <w:pPr>
        <w:spacing w:line="480" w:lineRule="auto"/>
        <w:rPr>
          <w:color w:val="222222"/>
          <w:sz w:val="24"/>
          <w:szCs w:val="24"/>
          <w:shd w:val="clear" w:color="auto" w:fill="FFFFFF"/>
        </w:rPr>
      </w:pPr>
      <w:r w:rsidRPr="006759C8">
        <w:rPr>
          <w:b/>
          <w:color w:val="222222"/>
          <w:sz w:val="24"/>
          <w:szCs w:val="24"/>
          <w:shd w:val="clear" w:color="auto" w:fill="FFFFFF"/>
        </w:rPr>
        <w:t xml:space="preserve">Findings: </w:t>
      </w:r>
      <w:r w:rsidR="00457AD8" w:rsidRPr="00E717D3">
        <w:rPr>
          <w:color w:val="222222"/>
          <w:sz w:val="24"/>
          <w:szCs w:val="24"/>
          <w:shd w:val="clear" w:color="auto" w:fill="FFFFFF"/>
        </w:rPr>
        <w:t xml:space="preserve">Of </w:t>
      </w:r>
      <w:r>
        <w:rPr>
          <w:color w:val="222222"/>
          <w:sz w:val="24"/>
          <w:szCs w:val="24"/>
          <w:shd w:val="clear" w:color="auto" w:fill="FFFFFF"/>
        </w:rPr>
        <w:t xml:space="preserve">6,775 participants in UKB </w:t>
      </w:r>
      <w:r w:rsidR="00192661">
        <w:rPr>
          <w:color w:val="222222"/>
          <w:sz w:val="24"/>
          <w:szCs w:val="24"/>
          <w:shd w:val="clear" w:color="auto" w:fill="FFFFFF"/>
        </w:rPr>
        <w:t>who</w:t>
      </w:r>
      <w:r>
        <w:rPr>
          <w:color w:val="222222"/>
          <w:sz w:val="24"/>
          <w:szCs w:val="24"/>
          <w:shd w:val="clear" w:color="auto" w:fill="FFFFFF"/>
        </w:rPr>
        <w:t xml:space="preserve"> tested positive for infection with SARS-CoV-2 in the community</w:t>
      </w:r>
      <w:r w:rsidR="00221075">
        <w:rPr>
          <w:color w:val="222222"/>
          <w:sz w:val="24"/>
          <w:szCs w:val="24"/>
          <w:shd w:val="clear" w:color="auto" w:fill="FFFFFF"/>
        </w:rPr>
        <w:t>,</w:t>
      </w:r>
      <w:r>
        <w:rPr>
          <w:color w:val="222222"/>
          <w:sz w:val="24"/>
          <w:szCs w:val="24"/>
          <w:shd w:val="clear" w:color="auto" w:fill="FFFFFF"/>
        </w:rPr>
        <w:t xml:space="preserve"> </w:t>
      </w:r>
      <w:r w:rsidR="00087252">
        <w:rPr>
          <w:color w:val="222222"/>
          <w:sz w:val="24"/>
          <w:szCs w:val="24"/>
          <w:shd w:val="clear" w:color="auto" w:fill="FFFFFF"/>
        </w:rPr>
        <w:t xml:space="preserve">there were </w:t>
      </w:r>
      <w:r>
        <w:rPr>
          <w:color w:val="222222"/>
          <w:sz w:val="24"/>
          <w:szCs w:val="24"/>
          <w:shd w:val="clear" w:color="auto" w:fill="FFFFFF"/>
        </w:rPr>
        <w:t xml:space="preserve">914 (13.5%) </w:t>
      </w:r>
      <w:r w:rsidR="00AC10EA">
        <w:rPr>
          <w:color w:val="222222"/>
          <w:sz w:val="24"/>
          <w:szCs w:val="24"/>
          <w:shd w:val="clear" w:color="auto" w:fill="FFFFFF"/>
        </w:rPr>
        <w:t xml:space="preserve">with </w:t>
      </w:r>
      <w:r w:rsidR="00087252">
        <w:rPr>
          <w:color w:val="222222"/>
          <w:sz w:val="24"/>
          <w:szCs w:val="24"/>
          <w:shd w:val="clear" w:color="auto" w:fill="FFFFFF"/>
        </w:rPr>
        <w:t>adverse COVID-19 outcomes</w:t>
      </w:r>
      <w:r>
        <w:rPr>
          <w:color w:val="222222"/>
          <w:sz w:val="24"/>
          <w:szCs w:val="24"/>
          <w:shd w:val="clear" w:color="auto" w:fill="FFFFFF"/>
        </w:rPr>
        <w:t xml:space="preserve">. </w:t>
      </w:r>
      <w:r w:rsidR="008A6B32">
        <w:rPr>
          <w:color w:val="222222"/>
          <w:sz w:val="24"/>
          <w:szCs w:val="24"/>
          <w:shd w:val="clear" w:color="auto" w:fill="FFFFFF"/>
        </w:rPr>
        <w:t>The o</w:t>
      </w:r>
      <w:r w:rsidR="009455B5">
        <w:rPr>
          <w:color w:val="222222"/>
          <w:sz w:val="24"/>
          <w:szCs w:val="24"/>
          <w:shd w:val="clear" w:color="auto" w:fill="FFFFFF"/>
        </w:rPr>
        <w:t>dds ratio</w:t>
      </w:r>
      <w:r w:rsidR="006F3B33">
        <w:rPr>
          <w:color w:val="222222"/>
          <w:sz w:val="24"/>
          <w:szCs w:val="24"/>
          <w:shd w:val="clear" w:color="auto" w:fill="FFFFFF"/>
        </w:rPr>
        <w:t xml:space="preserve"> (OR)</w:t>
      </w:r>
      <w:r w:rsidR="009455B5">
        <w:rPr>
          <w:color w:val="222222"/>
          <w:sz w:val="24"/>
          <w:szCs w:val="24"/>
          <w:shd w:val="clear" w:color="auto" w:fill="FFFFFF"/>
        </w:rPr>
        <w:t xml:space="preserve"> </w:t>
      </w:r>
      <w:r w:rsidR="006F3B33">
        <w:rPr>
          <w:color w:val="222222"/>
          <w:sz w:val="24"/>
          <w:szCs w:val="24"/>
          <w:shd w:val="clear" w:color="auto" w:fill="FFFFFF"/>
        </w:rPr>
        <w:t xml:space="preserve">for </w:t>
      </w:r>
      <w:r w:rsidR="00A061A8">
        <w:rPr>
          <w:color w:val="222222"/>
          <w:sz w:val="24"/>
          <w:szCs w:val="24"/>
          <w:shd w:val="clear" w:color="auto" w:fill="FFFFFF"/>
        </w:rPr>
        <w:t>adverse</w:t>
      </w:r>
      <w:r w:rsidR="000376D9">
        <w:rPr>
          <w:color w:val="222222"/>
          <w:sz w:val="24"/>
          <w:szCs w:val="24"/>
          <w:shd w:val="clear" w:color="auto" w:fill="FFFFFF"/>
        </w:rPr>
        <w:t xml:space="preserve"> </w:t>
      </w:r>
      <w:r w:rsidR="003216B9">
        <w:rPr>
          <w:color w:val="222222"/>
          <w:sz w:val="24"/>
          <w:szCs w:val="24"/>
          <w:shd w:val="clear" w:color="auto" w:fill="FFFFFF"/>
        </w:rPr>
        <w:t>COVID-19</w:t>
      </w:r>
      <w:r w:rsidR="000B6FE1">
        <w:rPr>
          <w:color w:val="222222"/>
          <w:sz w:val="24"/>
          <w:szCs w:val="24"/>
          <w:shd w:val="clear" w:color="auto" w:fill="FFFFFF"/>
        </w:rPr>
        <w:t xml:space="preserve"> outcomes</w:t>
      </w:r>
      <w:r w:rsidR="006F3B33">
        <w:rPr>
          <w:color w:val="222222"/>
          <w:sz w:val="24"/>
          <w:szCs w:val="24"/>
          <w:shd w:val="clear" w:color="auto" w:fill="FFFFFF"/>
        </w:rPr>
        <w:t xml:space="preserve"> </w:t>
      </w:r>
      <w:r w:rsidR="009455B5">
        <w:rPr>
          <w:color w:val="222222"/>
          <w:sz w:val="24"/>
          <w:szCs w:val="24"/>
          <w:shd w:val="clear" w:color="auto" w:fill="FFFFFF"/>
        </w:rPr>
        <w:t>w</w:t>
      </w:r>
      <w:r w:rsidR="008A6B32">
        <w:rPr>
          <w:color w:val="222222"/>
          <w:sz w:val="24"/>
          <w:szCs w:val="24"/>
          <w:shd w:val="clear" w:color="auto" w:fill="FFFFFF"/>
        </w:rPr>
        <w:t>as</w:t>
      </w:r>
      <w:r w:rsidR="009455B5">
        <w:rPr>
          <w:color w:val="222222"/>
          <w:sz w:val="24"/>
          <w:szCs w:val="24"/>
          <w:shd w:val="clear" w:color="auto" w:fill="FFFFFF"/>
        </w:rPr>
        <w:t xml:space="preserve"> 1</w:t>
      </w:r>
      <w:r w:rsidR="005D2459">
        <w:rPr>
          <w:rFonts w:cstheme="minorHAnsi"/>
          <w:color w:val="222222"/>
          <w:sz w:val="24"/>
          <w:szCs w:val="24"/>
          <w:shd w:val="clear" w:color="auto" w:fill="FFFFFF"/>
        </w:rPr>
        <w:t>·</w:t>
      </w:r>
      <w:r w:rsidR="009455B5">
        <w:rPr>
          <w:color w:val="222222"/>
          <w:sz w:val="24"/>
          <w:szCs w:val="24"/>
          <w:shd w:val="clear" w:color="auto" w:fill="FFFFFF"/>
        </w:rPr>
        <w:t>1</w:t>
      </w:r>
      <w:r w:rsidR="00A22A2D">
        <w:rPr>
          <w:color w:val="222222"/>
          <w:sz w:val="24"/>
          <w:szCs w:val="24"/>
          <w:shd w:val="clear" w:color="auto" w:fill="FFFFFF"/>
        </w:rPr>
        <w:t>7</w:t>
      </w:r>
      <w:r w:rsidR="009455B5">
        <w:rPr>
          <w:color w:val="222222"/>
          <w:sz w:val="24"/>
          <w:szCs w:val="24"/>
          <w:shd w:val="clear" w:color="auto" w:fill="FFFFFF"/>
        </w:rPr>
        <w:t xml:space="preserve"> (95% CI 1</w:t>
      </w:r>
      <w:r w:rsidR="005D2459">
        <w:rPr>
          <w:rFonts w:cstheme="minorHAnsi"/>
          <w:color w:val="222222"/>
          <w:sz w:val="24"/>
          <w:szCs w:val="24"/>
          <w:shd w:val="clear" w:color="auto" w:fill="FFFFFF"/>
        </w:rPr>
        <w:t>·</w:t>
      </w:r>
      <w:r w:rsidR="009455B5">
        <w:rPr>
          <w:color w:val="222222"/>
          <w:sz w:val="24"/>
          <w:szCs w:val="24"/>
          <w:shd w:val="clear" w:color="auto" w:fill="FFFFFF"/>
        </w:rPr>
        <w:t>05-1</w:t>
      </w:r>
      <w:r w:rsidR="005D2459">
        <w:rPr>
          <w:rFonts w:cstheme="minorHAnsi"/>
          <w:color w:val="222222"/>
          <w:sz w:val="24"/>
          <w:szCs w:val="24"/>
          <w:shd w:val="clear" w:color="auto" w:fill="FFFFFF"/>
        </w:rPr>
        <w:t>·</w:t>
      </w:r>
      <w:r w:rsidR="009A280F">
        <w:rPr>
          <w:color w:val="222222"/>
          <w:sz w:val="24"/>
          <w:szCs w:val="24"/>
          <w:shd w:val="clear" w:color="auto" w:fill="FFFFFF"/>
        </w:rPr>
        <w:t>30</w:t>
      </w:r>
      <w:r w:rsidR="009455B5">
        <w:rPr>
          <w:color w:val="222222"/>
          <w:sz w:val="24"/>
          <w:szCs w:val="24"/>
          <w:shd w:val="clear" w:color="auto" w:fill="FFFFFF"/>
        </w:rPr>
        <w:t>; P=0</w:t>
      </w:r>
      <w:r w:rsidR="005D2459">
        <w:rPr>
          <w:rFonts w:cstheme="minorHAnsi"/>
          <w:color w:val="222222"/>
          <w:sz w:val="24"/>
          <w:szCs w:val="24"/>
          <w:shd w:val="clear" w:color="auto" w:fill="FFFFFF"/>
        </w:rPr>
        <w:t>·</w:t>
      </w:r>
      <w:r w:rsidR="009455B5">
        <w:rPr>
          <w:color w:val="222222"/>
          <w:sz w:val="24"/>
          <w:szCs w:val="24"/>
          <w:shd w:val="clear" w:color="auto" w:fill="FFFFFF"/>
        </w:rPr>
        <w:t>004) per 1-</w:t>
      </w:r>
      <w:r w:rsidR="00BA2542">
        <w:rPr>
          <w:color w:val="222222"/>
          <w:sz w:val="24"/>
          <w:szCs w:val="24"/>
          <w:shd w:val="clear" w:color="auto" w:fill="FFFFFF"/>
        </w:rPr>
        <w:t>SD</w:t>
      </w:r>
      <w:r w:rsidR="009455B5">
        <w:rPr>
          <w:color w:val="222222"/>
          <w:sz w:val="24"/>
          <w:szCs w:val="24"/>
          <w:shd w:val="clear" w:color="auto" w:fill="FFFFFF"/>
        </w:rPr>
        <w:t xml:space="preserve"> shorter </w:t>
      </w:r>
      <w:r w:rsidR="00192661">
        <w:rPr>
          <w:color w:val="222222"/>
          <w:sz w:val="24"/>
          <w:szCs w:val="24"/>
          <w:shd w:val="clear" w:color="auto" w:fill="FFFFFF"/>
        </w:rPr>
        <w:t xml:space="preserve">usual </w:t>
      </w:r>
      <w:r w:rsidR="009455B5">
        <w:rPr>
          <w:color w:val="222222"/>
          <w:sz w:val="24"/>
          <w:szCs w:val="24"/>
          <w:shd w:val="clear" w:color="auto" w:fill="FFFFFF"/>
        </w:rPr>
        <w:t xml:space="preserve">LTL, after adjustment </w:t>
      </w:r>
      <w:r>
        <w:rPr>
          <w:color w:val="222222"/>
          <w:sz w:val="24"/>
          <w:szCs w:val="24"/>
          <w:shd w:val="clear" w:color="auto" w:fill="FFFFFF"/>
        </w:rPr>
        <w:t xml:space="preserve">for age, </w:t>
      </w:r>
      <w:r w:rsidR="009455B5">
        <w:rPr>
          <w:color w:val="222222"/>
          <w:sz w:val="24"/>
          <w:szCs w:val="24"/>
          <w:shd w:val="clear" w:color="auto" w:fill="FFFFFF"/>
        </w:rPr>
        <w:t>sex</w:t>
      </w:r>
      <w:r>
        <w:rPr>
          <w:color w:val="222222"/>
          <w:sz w:val="24"/>
          <w:szCs w:val="24"/>
          <w:shd w:val="clear" w:color="auto" w:fill="FFFFFF"/>
        </w:rPr>
        <w:t xml:space="preserve"> and ethnicity</w:t>
      </w:r>
      <w:r w:rsidR="008A6B32">
        <w:rPr>
          <w:color w:val="222222"/>
          <w:sz w:val="24"/>
          <w:szCs w:val="24"/>
          <w:shd w:val="clear" w:color="auto" w:fill="FFFFFF"/>
        </w:rPr>
        <w:t>.</w:t>
      </w:r>
      <w:r w:rsidR="00BD1235">
        <w:rPr>
          <w:color w:val="222222"/>
          <w:sz w:val="24"/>
          <w:szCs w:val="24"/>
          <w:shd w:val="clear" w:color="auto" w:fill="FFFFFF"/>
        </w:rPr>
        <w:t xml:space="preserve"> </w:t>
      </w:r>
      <w:r w:rsidR="006F3B33">
        <w:rPr>
          <w:color w:val="222222"/>
          <w:sz w:val="24"/>
          <w:szCs w:val="24"/>
          <w:shd w:val="clear" w:color="auto" w:fill="FFFFFF"/>
        </w:rPr>
        <w:t>S</w:t>
      </w:r>
      <w:r w:rsidR="00DC4CB2">
        <w:rPr>
          <w:color w:val="222222"/>
          <w:sz w:val="24"/>
          <w:szCs w:val="24"/>
          <w:shd w:val="clear" w:color="auto" w:fill="FFFFFF"/>
        </w:rPr>
        <w:t xml:space="preserve">imilar </w:t>
      </w:r>
      <w:r w:rsidR="006F3B33">
        <w:rPr>
          <w:color w:val="222222"/>
          <w:sz w:val="24"/>
          <w:szCs w:val="24"/>
          <w:shd w:val="clear" w:color="auto" w:fill="FFFFFF"/>
        </w:rPr>
        <w:t xml:space="preserve">ORs were observed </w:t>
      </w:r>
      <w:r w:rsidR="00BA2542">
        <w:rPr>
          <w:color w:val="222222"/>
          <w:sz w:val="24"/>
          <w:szCs w:val="24"/>
          <w:shd w:val="clear" w:color="auto" w:fill="FFFFFF"/>
        </w:rPr>
        <w:t>in analyses that</w:t>
      </w:r>
      <w:r w:rsidR="006F3B33">
        <w:rPr>
          <w:color w:val="222222"/>
          <w:sz w:val="24"/>
          <w:szCs w:val="24"/>
          <w:shd w:val="clear" w:color="auto" w:fill="FFFFFF"/>
        </w:rPr>
        <w:t>:</w:t>
      </w:r>
      <w:r w:rsidR="0045538D">
        <w:rPr>
          <w:color w:val="222222"/>
          <w:sz w:val="24"/>
          <w:szCs w:val="24"/>
          <w:shd w:val="clear" w:color="auto" w:fill="FFFFFF"/>
        </w:rPr>
        <w:t xml:space="preserve"> adjust</w:t>
      </w:r>
      <w:r w:rsidR="00BA2542">
        <w:rPr>
          <w:color w:val="222222"/>
          <w:sz w:val="24"/>
          <w:szCs w:val="24"/>
          <w:shd w:val="clear" w:color="auto" w:fill="FFFFFF"/>
        </w:rPr>
        <w:t>ed</w:t>
      </w:r>
      <w:r w:rsidR="0045538D">
        <w:rPr>
          <w:color w:val="222222"/>
          <w:sz w:val="24"/>
          <w:szCs w:val="24"/>
          <w:shd w:val="clear" w:color="auto" w:fill="FFFFFF"/>
        </w:rPr>
        <w:t xml:space="preserve"> for additional risk factors</w:t>
      </w:r>
      <w:r w:rsidR="001646B4">
        <w:rPr>
          <w:color w:val="222222"/>
          <w:sz w:val="24"/>
          <w:szCs w:val="24"/>
          <w:shd w:val="clear" w:color="auto" w:fill="FFFFFF"/>
        </w:rPr>
        <w:t>;</w:t>
      </w:r>
      <w:r w:rsidR="00DC4CB2">
        <w:rPr>
          <w:color w:val="222222"/>
          <w:sz w:val="24"/>
          <w:szCs w:val="24"/>
          <w:shd w:val="clear" w:color="auto" w:fill="FFFFFF"/>
        </w:rPr>
        <w:t xml:space="preserve"> </w:t>
      </w:r>
      <w:r w:rsidR="00BA2542">
        <w:rPr>
          <w:color w:val="222222"/>
          <w:sz w:val="24"/>
          <w:szCs w:val="24"/>
          <w:shd w:val="clear" w:color="auto" w:fill="FFFFFF"/>
        </w:rPr>
        <w:t xml:space="preserve">disaggregated </w:t>
      </w:r>
      <w:r w:rsidR="008A6B32">
        <w:rPr>
          <w:color w:val="222222"/>
          <w:sz w:val="24"/>
          <w:szCs w:val="24"/>
          <w:shd w:val="clear" w:color="auto" w:fill="FFFFFF"/>
        </w:rPr>
        <w:t>the composite outcome</w:t>
      </w:r>
      <w:r w:rsidR="00BA2542">
        <w:rPr>
          <w:color w:val="222222"/>
          <w:sz w:val="24"/>
          <w:szCs w:val="24"/>
          <w:shd w:val="clear" w:color="auto" w:fill="FFFFFF"/>
        </w:rPr>
        <w:t xml:space="preserve"> and</w:t>
      </w:r>
      <w:r w:rsidR="00F8771B">
        <w:rPr>
          <w:color w:val="222222"/>
          <w:sz w:val="24"/>
          <w:szCs w:val="24"/>
          <w:shd w:val="clear" w:color="auto" w:fill="FFFFFF"/>
        </w:rPr>
        <w:t xml:space="preserve"> reduced the scope for </w:t>
      </w:r>
      <w:r w:rsidR="003E44D7">
        <w:rPr>
          <w:color w:val="222222"/>
          <w:sz w:val="24"/>
          <w:szCs w:val="24"/>
          <w:shd w:val="clear" w:color="auto" w:fill="FFFFFF"/>
        </w:rPr>
        <w:t xml:space="preserve">selection or </w:t>
      </w:r>
      <w:r w:rsidR="00F8771B">
        <w:rPr>
          <w:color w:val="222222"/>
          <w:sz w:val="24"/>
          <w:szCs w:val="24"/>
          <w:shd w:val="clear" w:color="auto" w:fill="FFFFFF"/>
        </w:rPr>
        <w:t>collider bias</w:t>
      </w:r>
      <w:r w:rsidR="00221075">
        <w:rPr>
          <w:color w:val="222222"/>
          <w:sz w:val="24"/>
          <w:szCs w:val="24"/>
          <w:shd w:val="clear" w:color="auto" w:fill="FFFFFF"/>
        </w:rPr>
        <w:t>.</w:t>
      </w:r>
      <w:r w:rsidR="00F35587">
        <w:rPr>
          <w:color w:val="222222"/>
          <w:sz w:val="24"/>
          <w:szCs w:val="24"/>
          <w:shd w:val="clear" w:color="auto" w:fill="FFFFFF"/>
        </w:rPr>
        <w:t xml:space="preserve"> </w:t>
      </w:r>
      <w:r w:rsidR="008A6B32">
        <w:rPr>
          <w:color w:val="222222"/>
          <w:sz w:val="24"/>
          <w:szCs w:val="24"/>
          <w:shd w:val="clear" w:color="auto" w:fill="FFFFFF"/>
        </w:rPr>
        <w:t xml:space="preserve">In </w:t>
      </w:r>
      <w:r w:rsidR="00050C3C">
        <w:rPr>
          <w:color w:val="222222"/>
          <w:sz w:val="24"/>
          <w:szCs w:val="24"/>
          <w:shd w:val="clear" w:color="auto" w:fill="FFFFFF"/>
        </w:rPr>
        <w:t>MR</w:t>
      </w:r>
      <w:r w:rsidR="00EC2EE9">
        <w:rPr>
          <w:color w:val="222222"/>
          <w:sz w:val="24"/>
          <w:szCs w:val="24"/>
          <w:shd w:val="clear" w:color="auto" w:fill="FFFFFF"/>
        </w:rPr>
        <w:t xml:space="preserve"> </w:t>
      </w:r>
      <w:r w:rsidR="00DC4CB2">
        <w:rPr>
          <w:color w:val="222222"/>
          <w:sz w:val="24"/>
          <w:szCs w:val="24"/>
          <w:shd w:val="clear" w:color="auto" w:fill="FFFFFF"/>
        </w:rPr>
        <w:t>analyse</w:t>
      </w:r>
      <w:r w:rsidR="008A6B32">
        <w:rPr>
          <w:color w:val="222222"/>
          <w:sz w:val="24"/>
          <w:szCs w:val="24"/>
          <w:shd w:val="clear" w:color="auto" w:fill="FFFFFF"/>
        </w:rPr>
        <w:t xml:space="preserve">s, the </w:t>
      </w:r>
      <w:r w:rsidR="006F3B33">
        <w:rPr>
          <w:color w:val="222222"/>
          <w:sz w:val="24"/>
          <w:szCs w:val="24"/>
          <w:shd w:val="clear" w:color="auto" w:fill="FFFFFF"/>
        </w:rPr>
        <w:t>OR</w:t>
      </w:r>
      <w:r w:rsidR="008A6B32">
        <w:rPr>
          <w:color w:val="222222"/>
          <w:sz w:val="24"/>
          <w:szCs w:val="24"/>
          <w:shd w:val="clear" w:color="auto" w:fill="FFFFFF"/>
        </w:rPr>
        <w:t xml:space="preserve"> </w:t>
      </w:r>
      <w:r w:rsidR="006F3B33">
        <w:rPr>
          <w:color w:val="222222"/>
          <w:sz w:val="24"/>
          <w:szCs w:val="24"/>
          <w:shd w:val="clear" w:color="auto" w:fill="FFFFFF"/>
        </w:rPr>
        <w:t xml:space="preserve">for </w:t>
      </w:r>
      <w:r w:rsidR="00A061A8">
        <w:rPr>
          <w:color w:val="222222"/>
          <w:sz w:val="24"/>
          <w:szCs w:val="24"/>
          <w:shd w:val="clear" w:color="auto" w:fill="FFFFFF"/>
        </w:rPr>
        <w:t xml:space="preserve">adverse </w:t>
      </w:r>
      <w:r w:rsidR="00F35587">
        <w:rPr>
          <w:color w:val="222222"/>
          <w:sz w:val="24"/>
          <w:szCs w:val="24"/>
          <w:shd w:val="clear" w:color="auto" w:fill="FFFFFF"/>
        </w:rPr>
        <w:t>COVID-19</w:t>
      </w:r>
      <w:r w:rsidR="006F3B33">
        <w:rPr>
          <w:color w:val="222222"/>
          <w:sz w:val="24"/>
          <w:szCs w:val="24"/>
          <w:shd w:val="clear" w:color="auto" w:fill="FFFFFF"/>
        </w:rPr>
        <w:t xml:space="preserve"> </w:t>
      </w:r>
      <w:r w:rsidR="00AA0C73">
        <w:rPr>
          <w:color w:val="222222"/>
          <w:sz w:val="24"/>
          <w:szCs w:val="24"/>
          <w:shd w:val="clear" w:color="auto" w:fill="FFFFFF"/>
        </w:rPr>
        <w:t xml:space="preserve">outcomes </w:t>
      </w:r>
      <w:r w:rsidR="008A6B32">
        <w:rPr>
          <w:color w:val="222222"/>
          <w:sz w:val="24"/>
          <w:szCs w:val="24"/>
          <w:shd w:val="clear" w:color="auto" w:fill="FFFFFF"/>
        </w:rPr>
        <w:t xml:space="preserve">was directionally concordant </w:t>
      </w:r>
      <w:r w:rsidR="00BA2542">
        <w:rPr>
          <w:color w:val="222222"/>
          <w:sz w:val="24"/>
          <w:szCs w:val="24"/>
          <w:shd w:val="clear" w:color="auto" w:fill="FFFFFF"/>
        </w:rPr>
        <w:t>but non-significant</w:t>
      </w:r>
      <w:r w:rsidR="008A6B32">
        <w:rPr>
          <w:color w:val="222222"/>
          <w:sz w:val="24"/>
          <w:szCs w:val="24"/>
          <w:shd w:val="clear" w:color="auto" w:fill="FFFFFF"/>
        </w:rPr>
        <w:t>.</w:t>
      </w:r>
    </w:p>
    <w:p w14:paraId="60E40FE9" w14:textId="7BBAAD46" w:rsidR="006759C8" w:rsidRPr="00C17BAF" w:rsidRDefault="00C17BAF" w:rsidP="00440625">
      <w:pPr>
        <w:spacing w:line="480" w:lineRule="auto"/>
        <w:rPr>
          <w:color w:val="222222"/>
          <w:sz w:val="24"/>
          <w:szCs w:val="24"/>
          <w:shd w:val="clear" w:color="auto" w:fill="FFFFFF"/>
        </w:rPr>
      </w:pPr>
      <w:r>
        <w:rPr>
          <w:b/>
          <w:color w:val="222222"/>
          <w:sz w:val="24"/>
          <w:szCs w:val="24"/>
          <w:shd w:val="clear" w:color="auto" w:fill="FFFFFF"/>
        </w:rPr>
        <w:lastRenderedPageBreak/>
        <w:t>Interpretation</w:t>
      </w:r>
      <w:r w:rsidR="0004758D" w:rsidRPr="0004758D">
        <w:rPr>
          <w:b/>
          <w:color w:val="222222"/>
          <w:sz w:val="24"/>
          <w:szCs w:val="24"/>
          <w:shd w:val="clear" w:color="auto" w:fill="FFFFFF"/>
        </w:rPr>
        <w:t xml:space="preserve">: </w:t>
      </w:r>
      <w:r w:rsidR="0004758D">
        <w:rPr>
          <w:color w:val="222222"/>
          <w:sz w:val="24"/>
          <w:szCs w:val="24"/>
          <w:shd w:val="clear" w:color="auto" w:fill="FFFFFF"/>
        </w:rPr>
        <w:t>Shorter LTL is associated</w:t>
      </w:r>
      <w:r w:rsidR="0060637A">
        <w:rPr>
          <w:color w:val="222222"/>
          <w:sz w:val="24"/>
          <w:szCs w:val="24"/>
          <w:shd w:val="clear" w:color="auto" w:fill="FFFFFF"/>
        </w:rPr>
        <w:t xml:space="preserve"> with </w:t>
      </w:r>
      <w:r w:rsidR="00822953">
        <w:rPr>
          <w:color w:val="222222"/>
          <w:sz w:val="24"/>
          <w:szCs w:val="24"/>
          <w:shd w:val="clear" w:color="auto" w:fill="FFFFFF"/>
        </w:rPr>
        <w:t xml:space="preserve">higher risk of </w:t>
      </w:r>
      <w:r w:rsidR="00A061A8">
        <w:rPr>
          <w:color w:val="222222"/>
          <w:sz w:val="24"/>
          <w:szCs w:val="24"/>
          <w:shd w:val="clear" w:color="auto" w:fill="FFFFFF"/>
        </w:rPr>
        <w:t xml:space="preserve">adverse </w:t>
      </w:r>
      <w:r w:rsidR="0060637A">
        <w:rPr>
          <w:color w:val="222222"/>
          <w:sz w:val="24"/>
          <w:szCs w:val="24"/>
          <w:shd w:val="clear" w:color="auto" w:fill="FFFFFF"/>
        </w:rPr>
        <w:t xml:space="preserve">COVID-19 </w:t>
      </w:r>
      <w:r w:rsidR="00192661">
        <w:rPr>
          <w:color w:val="222222"/>
          <w:sz w:val="24"/>
          <w:szCs w:val="24"/>
          <w:shd w:val="clear" w:color="auto" w:fill="FFFFFF"/>
        </w:rPr>
        <w:t>outcomes</w:t>
      </w:r>
      <w:r w:rsidR="00822953">
        <w:rPr>
          <w:color w:val="222222"/>
          <w:sz w:val="24"/>
          <w:szCs w:val="24"/>
          <w:shd w:val="clear" w:color="auto" w:fill="FFFFFF"/>
        </w:rPr>
        <w:t xml:space="preserve">, independent of several </w:t>
      </w:r>
      <w:r w:rsidR="00C85194">
        <w:rPr>
          <w:color w:val="222222"/>
          <w:sz w:val="24"/>
          <w:szCs w:val="24"/>
          <w:shd w:val="clear" w:color="auto" w:fill="FFFFFF"/>
        </w:rPr>
        <w:t>major</w:t>
      </w:r>
      <w:r w:rsidR="00822953">
        <w:rPr>
          <w:color w:val="222222"/>
          <w:sz w:val="24"/>
          <w:szCs w:val="24"/>
          <w:shd w:val="clear" w:color="auto" w:fill="FFFFFF"/>
        </w:rPr>
        <w:t xml:space="preserve"> risk factors for COVID-19</w:t>
      </w:r>
      <w:r w:rsidR="00111853">
        <w:rPr>
          <w:color w:val="222222"/>
          <w:sz w:val="24"/>
          <w:szCs w:val="24"/>
          <w:shd w:val="clear" w:color="auto" w:fill="FFFFFF"/>
        </w:rPr>
        <w:t xml:space="preserve"> including age</w:t>
      </w:r>
      <w:r w:rsidR="00822953">
        <w:rPr>
          <w:color w:val="222222"/>
          <w:sz w:val="24"/>
          <w:szCs w:val="24"/>
          <w:shd w:val="clear" w:color="auto" w:fill="FFFFFF"/>
        </w:rPr>
        <w:t>. F</w:t>
      </w:r>
      <w:r w:rsidR="00192661">
        <w:rPr>
          <w:color w:val="222222"/>
          <w:sz w:val="24"/>
          <w:szCs w:val="24"/>
          <w:shd w:val="clear" w:color="auto" w:fill="FFFFFF"/>
        </w:rPr>
        <w:t xml:space="preserve">urther </w:t>
      </w:r>
      <w:r w:rsidR="008A6B32">
        <w:rPr>
          <w:color w:val="222222"/>
          <w:sz w:val="24"/>
          <w:szCs w:val="24"/>
          <w:shd w:val="clear" w:color="auto" w:fill="FFFFFF"/>
        </w:rPr>
        <w:t>data are needed to determine whether this</w:t>
      </w:r>
      <w:r w:rsidR="00EC2EE9">
        <w:rPr>
          <w:color w:val="222222"/>
          <w:sz w:val="24"/>
          <w:szCs w:val="24"/>
          <w:shd w:val="clear" w:color="auto" w:fill="FFFFFF"/>
        </w:rPr>
        <w:t xml:space="preserve"> association</w:t>
      </w:r>
      <w:r w:rsidR="008A6B32">
        <w:rPr>
          <w:color w:val="222222"/>
          <w:sz w:val="24"/>
          <w:szCs w:val="24"/>
          <w:shd w:val="clear" w:color="auto" w:fill="FFFFFF"/>
        </w:rPr>
        <w:t xml:space="preserve"> </w:t>
      </w:r>
      <w:r w:rsidR="008A6B32" w:rsidRPr="00C17BAF">
        <w:rPr>
          <w:color w:val="222222"/>
          <w:sz w:val="24"/>
          <w:szCs w:val="24"/>
          <w:shd w:val="clear" w:color="auto" w:fill="FFFFFF"/>
        </w:rPr>
        <w:t>reflects causality</w:t>
      </w:r>
      <w:r w:rsidR="0060637A" w:rsidRPr="00C17BAF">
        <w:rPr>
          <w:color w:val="222222"/>
          <w:sz w:val="24"/>
          <w:szCs w:val="24"/>
          <w:shd w:val="clear" w:color="auto" w:fill="FFFFFF"/>
        </w:rPr>
        <w:t xml:space="preserve">.  </w:t>
      </w:r>
    </w:p>
    <w:p w14:paraId="6C7135E7" w14:textId="4947B7FE" w:rsidR="00C17BAF" w:rsidRPr="00C17BAF" w:rsidRDefault="00C17BAF" w:rsidP="00440625">
      <w:pPr>
        <w:spacing w:line="480" w:lineRule="auto"/>
        <w:rPr>
          <w:color w:val="222222"/>
          <w:sz w:val="24"/>
          <w:szCs w:val="24"/>
          <w:shd w:val="clear" w:color="auto" w:fill="FFFFFF"/>
        </w:rPr>
      </w:pPr>
      <w:r w:rsidRPr="00C17BAF">
        <w:rPr>
          <w:b/>
          <w:color w:val="222222"/>
          <w:sz w:val="24"/>
          <w:szCs w:val="24"/>
          <w:shd w:val="clear" w:color="auto" w:fill="FFFFFF"/>
        </w:rPr>
        <w:t>Funding</w:t>
      </w:r>
      <w:r>
        <w:rPr>
          <w:b/>
          <w:color w:val="222222"/>
          <w:sz w:val="24"/>
          <w:szCs w:val="24"/>
          <w:shd w:val="clear" w:color="auto" w:fill="FFFFFF"/>
        </w:rPr>
        <w:t xml:space="preserve">: </w:t>
      </w:r>
      <w:r w:rsidRPr="00C17BAF">
        <w:rPr>
          <w:rFonts w:ascii="Calibri" w:hAnsi="Calibri"/>
          <w:sz w:val="24"/>
          <w:szCs w:val="24"/>
          <w:bdr w:val="none" w:sz="0" w:space="0" w:color="auto" w:frame="1"/>
        </w:rPr>
        <w:t>UK Medical Research Council, Biotechnology and Biological Sciences Research Council and British Heart Foundation.</w:t>
      </w:r>
    </w:p>
    <w:p w14:paraId="00DE3375" w14:textId="6C2D6E4E" w:rsidR="00E5017C" w:rsidRPr="00E5017C" w:rsidRDefault="00E5017C" w:rsidP="00585FD8">
      <w:pPr>
        <w:pBdr>
          <w:top w:val="single" w:sz="4" w:space="1" w:color="auto"/>
          <w:left w:val="single" w:sz="4" w:space="4" w:color="auto"/>
          <w:bottom w:val="single" w:sz="4" w:space="1" w:color="auto"/>
          <w:right w:val="single" w:sz="4" w:space="4" w:color="auto"/>
        </w:pBdr>
        <w:spacing w:after="0" w:line="360" w:lineRule="auto"/>
        <w:rPr>
          <w:b/>
          <w:color w:val="222222"/>
          <w:sz w:val="24"/>
          <w:szCs w:val="24"/>
          <w:shd w:val="clear" w:color="auto" w:fill="FFFFFF"/>
        </w:rPr>
      </w:pPr>
      <w:r w:rsidRPr="00E5017C">
        <w:rPr>
          <w:b/>
          <w:color w:val="222222"/>
          <w:sz w:val="24"/>
          <w:szCs w:val="24"/>
          <w:shd w:val="clear" w:color="auto" w:fill="FFFFFF"/>
        </w:rPr>
        <w:t>Research in context</w:t>
      </w:r>
    </w:p>
    <w:p w14:paraId="46831D99" w14:textId="77777777" w:rsidR="006F7FEF" w:rsidRDefault="00E5017C" w:rsidP="00585FD8">
      <w:pPr>
        <w:pBdr>
          <w:top w:val="single" w:sz="4" w:space="1" w:color="auto"/>
          <w:left w:val="single" w:sz="4" w:space="4" w:color="auto"/>
          <w:bottom w:val="single" w:sz="4" w:space="1" w:color="auto"/>
          <w:right w:val="single" w:sz="4" w:space="4" w:color="auto"/>
        </w:pBdr>
        <w:spacing w:after="0" w:line="360" w:lineRule="auto"/>
        <w:rPr>
          <w:b/>
          <w:color w:val="222222"/>
          <w:sz w:val="24"/>
          <w:szCs w:val="24"/>
          <w:shd w:val="clear" w:color="auto" w:fill="FFFFFF"/>
        </w:rPr>
      </w:pPr>
      <w:r w:rsidRPr="00E5017C">
        <w:rPr>
          <w:b/>
          <w:color w:val="222222"/>
          <w:sz w:val="24"/>
          <w:szCs w:val="24"/>
          <w:shd w:val="clear" w:color="auto" w:fill="FFFFFF"/>
        </w:rPr>
        <w:t>Evidence before this study</w:t>
      </w:r>
      <w:r>
        <w:rPr>
          <w:b/>
          <w:color w:val="222222"/>
          <w:sz w:val="24"/>
          <w:szCs w:val="24"/>
          <w:shd w:val="clear" w:color="auto" w:fill="FFFFFF"/>
        </w:rPr>
        <w:t xml:space="preserve">: </w:t>
      </w:r>
    </w:p>
    <w:p w14:paraId="6F70ACFB" w14:textId="219C620E" w:rsidR="00E5017C" w:rsidRDefault="00E5017C" w:rsidP="00585FD8">
      <w:pPr>
        <w:pBdr>
          <w:top w:val="single" w:sz="4" w:space="1" w:color="auto"/>
          <w:left w:val="single" w:sz="4" w:space="4" w:color="auto"/>
          <w:bottom w:val="single" w:sz="4" w:space="1" w:color="auto"/>
          <w:right w:val="single" w:sz="4" w:space="4" w:color="auto"/>
        </w:pBdr>
        <w:spacing w:after="0" w:line="360" w:lineRule="auto"/>
        <w:rPr>
          <w:color w:val="222222"/>
          <w:sz w:val="24"/>
          <w:szCs w:val="24"/>
          <w:shd w:val="clear" w:color="auto" w:fill="FFFFFF"/>
        </w:rPr>
      </w:pPr>
      <w:r>
        <w:rPr>
          <w:color w:val="222222"/>
          <w:sz w:val="24"/>
          <w:szCs w:val="24"/>
          <w:shd w:val="clear" w:color="auto" w:fill="FFFFFF"/>
        </w:rPr>
        <w:t>We searched PubMed for articles with the terms “</w:t>
      </w:r>
      <w:r w:rsidR="00744085">
        <w:rPr>
          <w:color w:val="222222"/>
          <w:sz w:val="24"/>
          <w:szCs w:val="24"/>
          <w:shd w:val="clear" w:color="auto" w:fill="FFFFFF"/>
        </w:rPr>
        <w:t>telomere length</w:t>
      </w:r>
      <w:r>
        <w:rPr>
          <w:color w:val="222222"/>
          <w:sz w:val="24"/>
          <w:szCs w:val="24"/>
          <w:shd w:val="clear" w:color="auto" w:fill="FFFFFF"/>
        </w:rPr>
        <w:t>”</w:t>
      </w:r>
      <w:r w:rsidR="00744085">
        <w:rPr>
          <w:color w:val="222222"/>
          <w:sz w:val="24"/>
          <w:szCs w:val="24"/>
          <w:shd w:val="clear" w:color="auto" w:fill="FFFFFF"/>
        </w:rPr>
        <w:t xml:space="preserve"> and “COVID-19”</w:t>
      </w:r>
      <w:r>
        <w:rPr>
          <w:color w:val="222222"/>
          <w:sz w:val="24"/>
          <w:szCs w:val="24"/>
          <w:shd w:val="clear" w:color="auto" w:fill="FFFFFF"/>
        </w:rPr>
        <w:t xml:space="preserve"> to identify publications relating to telomere length and COVID-19 outcomes. </w:t>
      </w:r>
      <w:r w:rsidR="00744085">
        <w:rPr>
          <w:color w:val="222222"/>
          <w:sz w:val="24"/>
          <w:szCs w:val="24"/>
          <w:shd w:val="clear" w:color="auto" w:fill="FFFFFF"/>
        </w:rPr>
        <w:t>We retained only research articles that used telomere length as a biomarker, identifying three articles.</w:t>
      </w:r>
      <w:r w:rsidR="006D0470" w:rsidRPr="006D0470">
        <w:t xml:space="preserve"> </w:t>
      </w:r>
      <w:r w:rsidR="006D0470" w:rsidRPr="006D0470">
        <w:rPr>
          <w:color w:val="222222"/>
          <w:sz w:val="24"/>
          <w:szCs w:val="24"/>
          <w:shd w:val="clear" w:color="auto" w:fill="FFFFFF"/>
        </w:rPr>
        <w:t>All of these studies showed a relationship between shorter telomere length and either COVID-19 severity or outcome. However, all had measured leucocyte telomere length (TL) after SARS-CoV-2 infection making it difficult to interpret whether shorter TL preceded infection or was due to higher white cell turnover in response to infection.</w:t>
      </w:r>
    </w:p>
    <w:p w14:paraId="15EDB028" w14:textId="77777777" w:rsidR="006F7FEF" w:rsidRDefault="00E5017C" w:rsidP="00585FD8">
      <w:pPr>
        <w:pBdr>
          <w:top w:val="single" w:sz="4" w:space="1" w:color="auto"/>
          <w:left w:val="single" w:sz="4" w:space="4" w:color="auto"/>
          <w:bottom w:val="single" w:sz="4" w:space="1" w:color="auto"/>
          <w:right w:val="single" w:sz="4" w:space="4" w:color="auto"/>
        </w:pBdr>
        <w:spacing w:after="0" w:line="360" w:lineRule="auto"/>
        <w:rPr>
          <w:color w:val="222222"/>
          <w:sz w:val="24"/>
          <w:szCs w:val="24"/>
          <w:shd w:val="clear" w:color="auto" w:fill="FFFFFF"/>
        </w:rPr>
      </w:pPr>
      <w:r w:rsidRPr="00E5017C">
        <w:rPr>
          <w:b/>
          <w:color w:val="222222"/>
          <w:sz w:val="24"/>
          <w:szCs w:val="24"/>
          <w:shd w:val="clear" w:color="auto" w:fill="FFFFFF"/>
        </w:rPr>
        <w:t>Added value of this study:</w:t>
      </w:r>
      <w:r>
        <w:rPr>
          <w:color w:val="222222"/>
          <w:sz w:val="24"/>
          <w:szCs w:val="24"/>
          <w:shd w:val="clear" w:color="auto" w:fill="FFFFFF"/>
        </w:rPr>
        <w:t xml:space="preserve"> </w:t>
      </w:r>
    </w:p>
    <w:p w14:paraId="2355A995" w14:textId="77777777" w:rsidR="006D0470" w:rsidRPr="002961C2" w:rsidRDefault="006D0470" w:rsidP="006D0470">
      <w:pPr>
        <w:pBdr>
          <w:top w:val="single" w:sz="4" w:space="1" w:color="auto"/>
          <w:left w:val="single" w:sz="4" w:space="4" w:color="auto"/>
          <w:bottom w:val="single" w:sz="4" w:space="1" w:color="auto"/>
          <w:right w:val="single" w:sz="4" w:space="4" w:color="auto"/>
        </w:pBdr>
        <w:spacing w:after="0" w:line="360" w:lineRule="auto"/>
        <w:rPr>
          <w:sz w:val="24"/>
          <w:szCs w:val="24"/>
          <w:shd w:val="clear" w:color="auto" w:fill="FFFFFF"/>
        </w:rPr>
      </w:pPr>
      <w:r>
        <w:rPr>
          <w:color w:val="222222"/>
          <w:sz w:val="24"/>
          <w:szCs w:val="24"/>
          <w:shd w:val="clear" w:color="auto" w:fill="FFFFFF"/>
        </w:rPr>
        <w:t xml:space="preserve">Our study is the largest study to date on the association of inter-individual variation in leucocyte telomere length with adverse outcomes from COVID-19 and the first to analyse telomere length that </w:t>
      </w:r>
      <w:r w:rsidRPr="002961C2">
        <w:rPr>
          <w:sz w:val="24"/>
          <w:szCs w:val="24"/>
          <w:shd w:val="clear" w:color="auto" w:fill="FFFFFF"/>
        </w:rPr>
        <w:t>was measured prior to SARS-CoV-2 infection.</w:t>
      </w:r>
    </w:p>
    <w:p w14:paraId="0093753A" w14:textId="77777777" w:rsidR="006F7FEF" w:rsidRPr="002961C2" w:rsidRDefault="00E5017C" w:rsidP="00585FD8">
      <w:pPr>
        <w:pBdr>
          <w:top w:val="single" w:sz="4" w:space="1" w:color="auto"/>
          <w:left w:val="single" w:sz="4" w:space="4" w:color="auto"/>
          <w:bottom w:val="single" w:sz="4" w:space="1" w:color="auto"/>
          <w:right w:val="single" w:sz="4" w:space="4" w:color="auto"/>
        </w:pBdr>
        <w:spacing w:after="0" w:line="360" w:lineRule="auto"/>
        <w:rPr>
          <w:sz w:val="24"/>
          <w:szCs w:val="24"/>
          <w:shd w:val="clear" w:color="auto" w:fill="FFFFFF"/>
        </w:rPr>
      </w:pPr>
      <w:r w:rsidRPr="002961C2">
        <w:rPr>
          <w:b/>
          <w:sz w:val="24"/>
          <w:szCs w:val="24"/>
          <w:shd w:val="clear" w:color="auto" w:fill="FFFFFF"/>
        </w:rPr>
        <w:t>Implications of all the available evidence</w:t>
      </w:r>
      <w:r w:rsidRPr="002961C2">
        <w:rPr>
          <w:sz w:val="24"/>
          <w:szCs w:val="24"/>
          <w:shd w:val="clear" w:color="auto" w:fill="FFFFFF"/>
        </w:rPr>
        <w:t xml:space="preserve">: </w:t>
      </w:r>
    </w:p>
    <w:p w14:paraId="154FFCFA" w14:textId="27B6C305" w:rsidR="001802B4" w:rsidRDefault="00E5017C" w:rsidP="00585FD8">
      <w:pPr>
        <w:pBdr>
          <w:top w:val="single" w:sz="4" w:space="1" w:color="auto"/>
          <w:left w:val="single" w:sz="4" w:space="4" w:color="auto"/>
          <w:bottom w:val="single" w:sz="4" w:space="1" w:color="auto"/>
          <w:right w:val="single" w:sz="4" w:space="4" w:color="auto"/>
        </w:pBdr>
        <w:spacing w:after="0" w:line="360" w:lineRule="auto"/>
        <w:rPr>
          <w:color w:val="222222"/>
          <w:sz w:val="24"/>
          <w:szCs w:val="24"/>
          <w:shd w:val="clear" w:color="auto" w:fill="FFFFFF"/>
        </w:rPr>
      </w:pPr>
      <w:r w:rsidRPr="002961C2">
        <w:rPr>
          <w:sz w:val="24"/>
          <w:szCs w:val="24"/>
          <w:shd w:val="clear" w:color="auto" w:fill="FFFFFF"/>
        </w:rPr>
        <w:t>Our study</w:t>
      </w:r>
      <w:r w:rsidR="001802B4" w:rsidRPr="002961C2">
        <w:rPr>
          <w:sz w:val="24"/>
          <w:szCs w:val="24"/>
          <w:shd w:val="clear" w:color="auto" w:fill="FFFFFF"/>
        </w:rPr>
        <w:t xml:space="preserve"> suggests</w:t>
      </w:r>
      <w:r w:rsidRPr="002961C2">
        <w:rPr>
          <w:sz w:val="24"/>
          <w:szCs w:val="24"/>
          <w:shd w:val="clear" w:color="auto" w:fill="FFFFFF"/>
        </w:rPr>
        <w:t xml:space="preserve"> </w:t>
      </w:r>
      <w:r w:rsidR="001802B4" w:rsidRPr="002961C2">
        <w:rPr>
          <w:sz w:val="24"/>
          <w:szCs w:val="24"/>
          <w:shd w:val="clear" w:color="auto" w:fill="FFFFFF"/>
        </w:rPr>
        <w:t xml:space="preserve">that independently of age, </w:t>
      </w:r>
      <w:r w:rsidR="00943379" w:rsidRPr="002961C2">
        <w:rPr>
          <w:sz w:val="24"/>
          <w:szCs w:val="24"/>
          <w:shd w:val="clear" w:color="auto" w:fill="FFFFFF"/>
        </w:rPr>
        <w:t xml:space="preserve">leucocyte telomere length </w:t>
      </w:r>
      <w:r w:rsidR="001802B4" w:rsidRPr="002961C2">
        <w:rPr>
          <w:sz w:val="24"/>
          <w:szCs w:val="24"/>
          <w:shd w:val="clear" w:color="auto" w:fill="FFFFFF"/>
        </w:rPr>
        <w:t xml:space="preserve">is associated with greater risk of poor outcome from COVID-19, possibly through an effect on immune cell senescence, and that this </w:t>
      </w:r>
      <w:r w:rsidR="001802B4">
        <w:rPr>
          <w:color w:val="222222"/>
          <w:sz w:val="24"/>
          <w:szCs w:val="24"/>
          <w:shd w:val="clear" w:color="auto" w:fill="FFFFFF"/>
        </w:rPr>
        <w:t xml:space="preserve">explains some of the heterogeneity in inter-individual response to the infection. </w:t>
      </w:r>
    </w:p>
    <w:p w14:paraId="15D01F46" w14:textId="77777777" w:rsidR="00E5017C" w:rsidRDefault="00E5017C" w:rsidP="00440625">
      <w:pPr>
        <w:spacing w:line="480" w:lineRule="auto"/>
        <w:rPr>
          <w:color w:val="222222"/>
          <w:sz w:val="24"/>
          <w:szCs w:val="24"/>
          <w:shd w:val="clear" w:color="auto" w:fill="FFFFFF"/>
        </w:rPr>
      </w:pPr>
    </w:p>
    <w:p w14:paraId="09C6AD02" w14:textId="77777777" w:rsidR="00E5017C" w:rsidRPr="00E5017C" w:rsidRDefault="00632792" w:rsidP="00440625">
      <w:pPr>
        <w:spacing w:line="480" w:lineRule="auto"/>
        <w:rPr>
          <w:b/>
          <w:sz w:val="24"/>
          <w:szCs w:val="24"/>
        </w:rPr>
      </w:pPr>
      <w:r>
        <w:rPr>
          <w:sz w:val="24"/>
          <w:szCs w:val="24"/>
        </w:rPr>
        <w:br w:type="page"/>
      </w:r>
      <w:r w:rsidR="00E5017C" w:rsidRPr="00E5017C">
        <w:rPr>
          <w:b/>
          <w:sz w:val="24"/>
          <w:szCs w:val="24"/>
        </w:rPr>
        <w:t>Introduction</w:t>
      </w:r>
    </w:p>
    <w:p w14:paraId="28434280" w14:textId="7C3495DC" w:rsidR="00457AD8" w:rsidRPr="002961C2" w:rsidRDefault="00AD1953" w:rsidP="00440625">
      <w:pPr>
        <w:spacing w:line="480" w:lineRule="auto"/>
        <w:rPr>
          <w:sz w:val="24"/>
          <w:szCs w:val="24"/>
          <w:shd w:val="clear" w:color="auto" w:fill="FFFFFF"/>
        </w:rPr>
      </w:pPr>
      <w:r>
        <w:rPr>
          <w:sz w:val="24"/>
          <w:szCs w:val="24"/>
        </w:rPr>
        <w:t>Older</w:t>
      </w:r>
      <w:r w:rsidR="000E3928" w:rsidRPr="000E3928">
        <w:rPr>
          <w:sz w:val="24"/>
          <w:szCs w:val="24"/>
        </w:rPr>
        <w:t xml:space="preserve"> age has emerged as the most powerful risk factor for severe infection, requiring hospitalisation </w:t>
      </w:r>
      <w:r w:rsidR="00DD38FA">
        <w:rPr>
          <w:sz w:val="24"/>
          <w:szCs w:val="24"/>
        </w:rPr>
        <w:t>or</w:t>
      </w:r>
      <w:r w:rsidR="00DD38FA" w:rsidRPr="000E3928">
        <w:rPr>
          <w:sz w:val="24"/>
          <w:szCs w:val="24"/>
        </w:rPr>
        <w:t xml:space="preserve"> </w:t>
      </w:r>
      <w:r w:rsidR="000E3928" w:rsidRPr="000E3928">
        <w:rPr>
          <w:sz w:val="24"/>
          <w:szCs w:val="24"/>
        </w:rPr>
        <w:t>critical care, and mortality</w:t>
      </w:r>
      <w:r w:rsidR="000E3928">
        <w:rPr>
          <w:sz w:val="24"/>
          <w:szCs w:val="24"/>
        </w:rPr>
        <w:t xml:space="preserve"> </w:t>
      </w:r>
      <w:r w:rsidR="000E3928" w:rsidRPr="000E3928">
        <w:rPr>
          <w:sz w:val="24"/>
          <w:szCs w:val="24"/>
        </w:rPr>
        <w:t xml:space="preserve">from coronavirus disease 19 </w:t>
      </w:r>
      <w:r w:rsidR="000E3928">
        <w:rPr>
          <w:sz w:val="24"/>
          <w:szCs w:val="24"/>
        </w:rPr>
        <w:t>(</w:t>
      </w:r>
      <w:r w:rsidR="00E02303">
        <w:rPr>
          <w:color w:val="222222"/>
          <w:sz w:val="24"/>
          <w:szCs w:val="24"/>
          <w:shd w:val="clear" w:color="auto" w:fill="FFFFFF"/>
        </w:rPr>
        <w:t>COVID</w:t>
      </w:r>
      <w:r w:rsidR="00011B04">
        <w:rPr>
          <w:color w:val="222222"/>
          <w:sz w:val="24"/>
          <w:szCs w:val="24"/>
          <w:shd w:val="clear" w:color="auto" w:fill="FFFFFF"/>
        </w:rPr>
        <w:t>-19</w:t>
      </w:r>
      <w:r w:rsidR="000E3928">
        <w:rPr>
          <w:color w:val="222222"/>
          <w:sz w:val="24"/>
          <w:szCs w:val="24"/>
          <w:shd w:val="clear" w:color="auto" w:fill="FFFFFF"/>
        </w:rPr>
        <w:t xml:space="preserve">) </w:t>
      </w:r>
      <w:r w:rsidR="000E3928" w:rsidRPr="000E3928">
        <w:rPr>
          <w:color w:val="222222"/>
          <w:sz w:val="24"/>
          <w:szCs w:val="24"/>
          <w:shd w:val="clear" w:color="auto" w:fill="FFFFFF"/>
        </w:rPr>
        <w:t>caused by severe acute respiratory syn</w:t>
      </w:r>
      <w:r w:rsidR="000E3928">
        <w:rPr>
          <w:color w:val="222222"/>
          <w:sz w:val="24"/>
          <w:szCs w:val="24"/>
          <w:shd w:val="clear" w:color="auto" w:fill="FFFFFF"/>
        </w:rPr>
        <w:t>drome coronavirus 2 (SARS-CoV-2)</w:t>
      </w:r>
      <w:r w:rsidR="00F65690">
        <w:rPr>
          <w:color w:val="222222"/>
          <w:sz w:val="24"/>
          <w:szCs w:val="24"/>
          <w:shd w:val="clear" w:color="auto" w:fill="FFFFFF"/>
        </w:rPr>
        <w:t>.</w:t>
      </w:r>
      <w:r w:rsidR="000E3928" w:rsidRPr="000E3928">
        <w:rPr>
          <w:color w:val="222222"/>
          <w:sz w:val="24"/>
          <w:szCs w:val="24"/>
          <w:shd w:val="clear" w:color="auto" w:fill="FFFFFF"/>
          <w:vertAlign w:val="superscript"/>
        </w:rPr>
        <w:t>1</w:t>
      </w:r>
      <w:r w:rsidR="000E3928">
        <w:rPr>
          <w:color w:val="222222"/>
          <w:sz w:val="24"/>
          <w:szCs w:val="24"/>
          <w:shd w:val="clear" w:color="auto" w:fill="FFFFFF"/>
          <w:vertAlign w:val="superscript"/>
        </w:rPr>
        <w:t xml:space="preserve">,2 </w:t>
      </w:r>
      <w:r w:rsidR="001C5D9C">
        <w:rPr>
          <w:color w:val="222222"/>
          <w:sz w:val="24"/>
          <w:szCs w:val="24"/>
          <w:shd w:val="clear" w:color="auto" w:fill="FFFFFF"/>
        </w:rPr>
        <w:t xml:space="preserve"> </w:t>
      </w:r>
      <w:r w:rsidR="001A34DC">
        <w:rPr>
          <w:color w:val="222222"/>
          <w:sz w:val="24"/>
          <w:szCs w:val="24"/>
          <w:shd w:val="clear" w:color="auto" w:fill="FFFFFF"/>
        </w:rPr>
        <w:t xml:space="preserve">One potential mediator of this effect is ageing of the immune system, leading to increased levels of </w:t>
      </w:r>
      <w:r w:rsidR="00DD38FA">
        <w:rPr>
          <w:color w:val="222222"/>
          <w:sz w:val="24"/>
          <w:szCs w:val="24"/>
          <w:shd w:val="clear" w:color="auto" w:fill="FFFFFF"/>
        </w:rPr>
        <w:t>pro-</w:t>
      </w:r>
      <w:r w:rsidR="00DD38FA" w:rsidRPr="002961C2">
        <w:rPr>
          <w:sz w:val="24"/>
          <w:szCs w:val="24"/>
          <w:shd w:val="clear" w:color="auto" w:fill="FFFFFF"/>
        </w:rPr>
        <w:t>inflammatory</w:t>
      </w:r>
      <w:r w:rsidR="00DD38FA" w:rsidRPr="002961C2">
        <w:rPr>
          <w:sz w:val="24"/>
          <w:szCs w:val="24"/>
          <w:shd w:val="clear" w:color="auto" w:fill="FFFFFF"/>
          <w:vertAlign w:val="superscript"/>
        </w:rPr>
        <w:t xml:space="preserve"> </w:t>
      </w:r>
      <w:r w:rsidR="001A34DC" w:rsidRPr="002961C2">
        <w:rPr>
          <w:sz w:val="24"/>
          <w:szCs w:val="24"/>
          <w:shd w:val="clear" w:color="auto" w:fill="FFFFFF"/>
        </w:rPr>
        <w:t>senescent cells and reduce</w:t>
      </w:r>
      <w:r w:rsidR="00AE14DD" w:rsidRPr="002961C2">
        <w:rPr>
          <w:sz w:val="24"/>
          <w:szCs w:val="24"/>
          <w:shd w:val="clear" w:color="auto" w:fill="FFFFFF"/>
        </w:rPr>
        <w:t>d</w:t>
      </w:r>
      <w:r w:rsidR="001A34DC" w:rsidRPr="002961C2">
        <w:rPr>
          <w:sz w:val="24"/>
          <w:szCs w:val="24"/>
          <w:shd w:val="clear" w:color="auto" w:fill="FFFFFF"/>
        </w:rPr>
        <w:t xml:space="preserve"> proliferative capacity of immune precursor cells</w:t>
      </w:r>
      <w:r w:rsidR="00F65690" w:rsidRPr="002961C2">
        <w:rPr>
          <w:sz w:val="24"/>
          <w:szCs w:val="24"/>
          <w:shd w:val="clear" w:color="auto" w:fill="FFFFFF"/>
        </w:rPr>
        <w:t>.</w:t>
      </w:r>
      <w:r w:rsidR="001A34DC" w:rsidRPr="002961C2">
        <w:rPr>
          <w:sz w:val="24"/>
          <w:szCs w:val="24"/>
          <w:shd w:val="clear" w:color="auto" w:fill="FFFFFF"/>
          <w:vertAlign w:val="superscript"/>
        </w:rPr>
        <w:t>3,4</w:t>
      </w:r>
      <w:r w:rsidR="001A34DC" w:rsidRPr="002961C2">
        <w:rPr>
          <w:sz w:val="24"/>
          <w:szCs w:val="24"/>
          <w:shd w:val="clear" w:color="auto" w:fill="FFFFFF"/>
        </w:rPr>
        <w:t xml:space="preserve"> Telomere length (TL)</w:t>
      </w:r>
      <w:r w:rsidR="00C8397E" w:rsidRPr="002961C2">
        <w:rPr>
          <w:sz w:val="24"/>
          <w:szCs w:val="24"/>
          <w:shd w:val="clear" w:color="auto" w:fill="FFFFFF"/>
        </w:rPr>
        <w:t xml:space="preserve"> is a key determinant of</w:t>
      </w:r>
      <w:r w:rsidR="001A34DC" w:rsidRPr="002961C2">
        <w:rPr>
          <w:sz w:val="24"/>
          <w:szCs w:val="24"/>
          <w:shd w:val="clear" w:color="auto" w:fill="FFFFFF"/>
        </w:rPr>
        <w:t xml:space="preserve"> </w:t>
      </w:r>
      <w:r w:rsidR="00FC718D" w:rsidRPr="002961C2">
        <w:rPr>
          <w:sz w:val="24"/>
          <w:szCs w:val="24"/>
          <w:shd w:val="clear" w:color="auto" w:fill="FFFFFF"/>
        </w:rPr>
        <w:t>proliferative</w:t>
      </w:r>
      <w:r w:rsidR="001A34DC" w:rsidRPr="002961C2">
        <w:rPr>
          <w:sz w:val="24"/>
          <w:szCs w:val="24"/>
          <w:shd w:val="clear" w:color="auto" w:fill="FFFFFF"/>
        </w:rPr>
        <w:t xml:space="preserve"> capacity and cellular lifespan, triggering senescence once a critically short TL is reached</w:t>
      </w:r>
      <w:r w:rsidR="00F65690" w:rsidRPr="002961C2">
        <w:rPr>
          <w:sz w:val="24"/>
          <w:szCs w:val="24"/>
          <w:shd w:val="clear" w:color="auto" w:fill="FFFFFF"/>
        </w:rPr>
        <w:t>.</w:t>
      </w:r>
      <w:r w:rsidR="00DF0752" w:rsidRPr="002961C2">
        <w:rPr>
          <w:sz w:val="24"/>
          <w:szCs w:val="24"/>
          <w:shd w:val="clear" w:color="auto" w:fill="FFFFFF"/>
          <w:vertAlign w:val="superscript"/>
        </w:rPr>
        <w:t>5</w:t>
      </w:r>
      <w:r w:rsidR="00DF0752" w:rsidRPr="002961C2">
        <w:rPr>
          <w:sz w:val="24"/>
          <w:szCs w:val="24"/>
          <w:shd w:val="clear" w:color="auto" w:fill="FFFFFF"/>
        </w:rPr>
        <w:t xml:space="preserve"> TL</w:t>
      </w:r>
      <w:r w:rsidR="0029182E" w:rsidRPr="002961C2">
        <w:rPr>
          <w:sz w:val="24"/>
          <w:szCs w:val="24"/>
          <w:shd w:val="clear" w:color="auto" w:fill="FFFFFF"/>
        </w:rPr>
        <w:t xml:space="preserve"> </w:t>
      </w:r>
      <w:r w:rsidR="0029182E" w:rsidRPr="002961C2">
        <w:rPr>
          <w:sz w:val="24"/>
          <w:szCs w:val="24"/>
          <w:shd w:val="clear" w:color="auto" w:fill="FFFFFF"/>
        </w:rPr>
        <w:sym w:font="Symbol" w:char="F02D"/>
      </w:r>
      <w:r w:rsidR="00DF0752" w:rsidRPr="002961C2">
        <w:rPr>
          <w:sz w:val="24"/>
          <w:szCs w:val="24"/>
          <w:shd w:val="clear" w:color="auto" w:fill="FFFFFF"/>
        </w:rPr>
        <w:t xml:space="preserve"> commonly measured in leucocytes (LTL)</w:t>
      </w:r>
      <w:r w:rsidR="0029182E" w:rsidRPr="002961C2">
        <w:rPr>
          <w:sz w:val="24"/>
          <w:szCs w:val="24"/>
          <w:shd w:val="clear" w:color="auto" w:fill="FFFFFF"/>
        </w:rPr>
        <w:t xml:space="preserve"> </w:t>
      </w:r>
      <w:r w:rsidR="0029182E" w:rsidRPr="002961C2">
        <w:rPr>
          <w:sz w:val="24"/>
          <w:szCs w:val="24"/>
          <w:shd w:val="clear" w:color="auto" w:fill="FFFFFF"/>
        </w:rPr>
        <w:sym w:font="Symbol" w:char="F02D"/>
      </w:r>
      <w:r w:rsidR="00DF0752" w:rsidRPr="002961C2">
        <w:rPr>
          <w:sz w:val="24"/>
          <w:szCs w:val="24"/>
          <w:shd w:val="clear" w:color="auto" w:fill="FFFFFF"/>
        </w:rPr>
        <w:t xml:space="preserve"> </w:t>
      </w:r>
      <w:r w:rsidR="0088754A" w:rsidRPr="002961C2">
        <w:rPr>
          <w:sz w:val="24"/>
          <w:szCs w:val="24"/>
          <w:shd w:val="clear" w:color="auto" w:fill="FFFFFF"/>
        </w:rPr>
        <w:t xml:space="preserve">shows a consistent </w:t>
      </w:r>
      <w:r w:rsidR="00FC6395" w:rsidRPr="002961C2">
        <w:rPr>
          <w:sz w:val="24"/>
          <w:szCs w:val="24"/>
          <w:shd w:val="clear" w:color="auto" w:fill="FFFFFF"/>
        </w:rPr>
        <w:t>negative association</w:t>
      </w:r>
      <w:r w:rsidR="0088754A" w:rsidRPr="002961C2">
        <w:rPr>
          <w:sz w:val="24"/>
          <w:szCs w:val="24"/>
          <w:shd w:val="clear" w:color="auto" w:fill="FFFFFF"/>
        </w:rPr>
        <w:t xml:space="preserve"> with age in cross sectional population cohorts and </w:t>
      </w:r>
      <w:r w:rsidR="001A0250" w:rsidRPr="002961C2">
        <w:rPr>
          <w:sz w:val="24"/>
          <w:szCs w:val="24"/>
          <w:shd w:val="clear" w:color="auto" w:fill="FFFFFF"/>
        </w:rPr>
        <w:t>has previously been proposed as a marker of biological age</w:t>
      </w:r>
      <w:r w:rsidR="00531818" w:rsidRPr="002961C2">
        <w:rPr>
          <w:sz w:val="24"/>
          <w:szCs w:val="24"/>
          <w:shd w:val="clear" w:color="auto" w:fill="FFFFFF"/>
        </w:rPr>
        <w:t xml:space="preserve"> for an individual</w:t>
      </w:r>
      <w:r w:rsidR="0088754A" w:rsidRPr="002961C2">
        <w:rPr>
          <w:sz w:val="24"/>
          <w:szCs w:val="24"/>
          <w:shd w:val="clear" w:color="auto" w:fill="FFFFFF"/>
        </w:rPr>
        <w:t>. However</w:t>
      </w:r>
      <w:r w:rsidR="007135A2" w:rsidRPr="002961C2">
        <w:rPr>
          <w:sz w:val="24"/>
          <w:szCs w:val="24"/>
          <w:shd w:val="clear" w:color="auto" w:fill="FFFFFF"/>
        </w:rPr>
        <w:t>, age</w:t>
      </w:r>
      <w:r w:rsidR="00531818" w:rsidRPr="002961C2">
        <w:rPr>
          <w:sz w:val="24"/>
          <w:szCs w:val="24"/>
          <w:shd w:val="clear" w:color="auto" w:fill="FFFFFF"/>
        </w:rPr>
        <w:t xml:space="preserve"> only</w:t>
      </w:r>
      <w:r w:rsidR="00111853" w:rsidRPr="002961C2">
        <w:rPr>
          <w:sz w:val="24"/>
          <w:szCs w:val="24"/>
          <w:shd w:val="clear" w:color="auto" w:fill="FFFFFF"/>
        </w:rPr>
        <w:t xml:space="preserve"> </w:t>
      </w:r>
      <w:r w:rsidR="00DF0752" w:rsidRPr="002961C2">
        <w:rPr>
          <w:sz w:val="24"/>
          <w:szCs w:val="24"/>
          <w:shd w:val="clear" w:color="auto" w:fill="FFFFFF"/>
        </w:rPr>
        <w:t xml:space="preserve">accounts for </w:t>
      </w:r>
      <w:r w:rsidR="00531818" w:rsidRPr="002961C2">
        <w:rPr>
          <w:sz w:val="24"/>
          <w:szCs w:val="24"/>
          <w:shd w:val="clear" w:color="auto" w:fill="FFFFFF"/>
        </w:rPr>
        <w:t>a small proportion</w:t>
      </w:r>
      <w:r w:rsidR="00DF0752" w:rsidRPr="002961C2">
        <w:rPr>
          <w:sz w:val="24"/>
          <w:szCs w:val="24"/>
          <w:shd w:val="clear" w:color="auto" w:fill="FFFFFF"/>
        </w:rPr>
        <w:t xml:space="preserve"> of the </w:t>
      </w:r>
      <w:r w:rsidR="0088754A" w:rsidRPr="002961C2">
        <w:rPr>
          <w:sz w:val="24"/>
          <w:szCs w:val="24"/>
          <w:shd w:val="clear" w:color="auto" w:fill="FFFFFF"/>
        </w:rPr>
        <w:t xml:space="preserve">substantial </w:t>
      </w:r>
      <w:r w:rsidR="00DF0752" w:rsidRPr="002961C2">
        <w:rPr>
          <w:sz w:val="24"/>
          <w:szCs w:val="24"/>
          <w:shd w:val="clear" w:color="auto" w:fill="FFFFFF"/>
        </w:rPr>
        <w:t>inter-individual variation in LTL</w:t>
      </w:r>
      <w:r w:rsidR="003950A0" w:rsidRPr="002961C2">
        <w:rPr>
          <w:sz w:val="24"/>
          <w:szCs w:val="24"/>
          <w:shd w:val="clear" w:color="auto" w:fill="FFFFFF"/>
          <w:vertAlign w:val="superscript"/>
        </w:rPr>
        <w:t>6</w:t>
      </w:r>
      <w:r w:rsidR="00531818" w:rsidRPr="002961C2">
        <w:rPr>
          <w:sz w:val="24"/>
          <w:szCs w:val="24"/>
          <w:shd w:val="clear" w:color="auto" w:fill="FFFFFF"/>
          <w:vertAlign w:val="superscript"/>
        </w:rPr>
        <w:t xml:space="preserve"> </w:t>
      </w:r>
      <w:r w:rsidR="0088754A" w:rsidRPr="002961C2">
        <w:rPr>
          <w:sz w:val="24"/>
          <w:szCs w:val="24"/>
          <w:shd w:val="clear" w:color="auto" w:fill="FFFFFF"/>
        </w:rPr>
        <w:t>that exists at all ages, including birth.</w:t>
      </w:r>
      <w:r w:rsidR="00103EB6" w:rsidRPr="002961C2">
        <w:rPr>
          <w:sz w:val="24"/>
          <w:szCs w:val="24"/>
          <w:shd w:val="clear" w:color="auto" w:fill="FFFFFF"/>
          <w:vertAlign w:val="superscript"/>
        </w:rPr>
        <w:t>7</w:t>
      </w:r>
      <w:r w:rsidR="0088754A" w:rsidRPr="002961C2">
        <w:rPr>
          <w:sz w:val="24"/>
          <w:szCs w:val="24"/>
          <w:shd w:val="clear" w:color="auto" w:fill="FFFFFF"/>
        </w:rPr>
        <w:t xml:space="preserve"> </w:t>
      </w:r>
      <w:r w:rsidR="00531818" w:rsidRPr="002961C2">
        <w:rPr>
          <w:sz w:val="24"/>
          <w:szCs w:val="24"/>
          <w:shd w:val="clear" w:color="auto" w:fill="FFFFFF"/>
        </w:rPr>
        <w:t xml:space="preserve">More recently, TL has </w:t>
      </w:r>
      <w:r w:rsidR="00FC6395" w:rsidRPr="002961C2">
        <w:rPr>
          <w:sz w:val="24"/>
          <w:szCs w:val="24"/>
          <w:shd w:val="clear" w:color="auto" w:fill="FFFFFF"/>
        </w:rPr>
        <w:t xml:space="preserve">also </w:t>
      </w:r>
      <w:r w:rsidR="00531818" w:rsidRPr="002961C2">
        <w:rPr>
          <w:sz w:val="24"/>
          <w:szCs w:val="24"/>
          <w:shd w:val="clear" w:color="auto" w:fill="FFFFFF"/>
        </w:rPr>
        <w:t>been proposed as a marker of replicative capacity and repair ability</w:t>
      </w:r>
      <w:r w:rsidR="00103EB6" w:rsidRPr="002961C2">
        <w:rPr>
          <w:sz w:val="24"/>
          <w:szCs w:val="24"/>
          <w:shd w:val="clear" w:color="auto" w:fill="FFFFFF"/>
          <w:vertAlign w:val="superscript"/>
        </w:rPr>
        <w:t>8</w:t>
      </w:r>
      <w:r w:rsidR="00531818" w:rsidRPr="002961C2">
        <w:rPr>
          <w:sz w:val="24"/>
          <w:szCs w:val="24"/>
          <w:shd w:val="clear" w:color="auto" w:fill="FFFFFF"/>
        </w:rPr>
        <w:t>, both of which, within the haematopoietic system, could</w:t>
      </w:r>
      <w:r w:rsidR="00407F65" w:rsidRPr="002961C2">
        <w:rPr>
          <w:sz w:val="24"/>
          <w:szCs w:val="24"/>
          <w:shd w:val="clear" w:color="auto" w:fill="FFFFFF"/>
        </w:rPr>
        <w:t xml:space="preserve"> potentially</w:t>
      </w:r>
      <w:r w:rsidR="00531818" w:rsidRPr="002961C2">
        <w:rPr>
          <w:sz w:val="24"/>
          <w:szCs w:val="24"/>
          <w:shd w:val="clear" w:color="auto" w:fill="FFFFFF"/>
        </w:rPr>
        <w:t xml:space="preserve"> impair an individual’s response to SARS-CoV-2 infection</w:t>
      </w:r>
      <w:r w:rsidR="00B22066" w:rsidRPr="002961C2">
        <w:rPr>
          <w:sz w:val="24"/>
          <w:szCs w:val="24"/>
          <w:shd w:val="clear" w:color="auto" w:fill="FFFFFF"/>
        </w:rPr>
        <w:t>, above any effect of age</w:t>
      </w:r>
      <w:r w:rsidR="007135A2" w:rsidRPr="002961C2">
        <w:rPr>
          <w:sz w:val="24"/>
          <w:szCs w:val="24"/>
          <w:shd w:val="clear" w:color="auto" w:fill="FFFFFF"/>
        </w:rPr>
        <w:t>.</w:t>
      </w:r>
      <w:r w:rsidR="00103EB6" w:rsidRPr="002961C2">
        <w:rPr>
          <w:sz w:val="24"/>
          <w:szCs w:val="24"/>
          <w:shd w:val="clear" w:color="auto" w:fill="FFFFFF"/>
          <w:vertAlign w:val="superscript"/>
        </w:rPr>
        <w:t>9,10</w:t>
      </w:r>
    </w:p>
    <w:p w14:paraId="375AEEB5" w14:textId="6A63196E" w:rsidR="00977402" w:rsidRPr="002961C2" w:rsidRDefault="001C5D9C" w:rsidP="00440625">
      <w:pPr>
        <w:spacing w:line="480" w:lineRule="auto"/>
        <w:rPr>
          <w:sz w:val="24"/>
          <w:szCs w:val="24"/>
          <w:shd w:val="clear" w:color="auto" w:fill="FFFFFF"/>
        </w:rPr>
      </w:pPr>
      <w:r w:rsidRPr="002961C2">
        <w:rPr>
          <w:sz w:val="24"/>
          <w:szCs w:val="24"/>
          <w:shd w:val="clear" w:color="auto" w:fill="FFFFFF"/>
        </w:rPr>
        <w:t>A few small case-control studies</w:t>
      </w:r>
      <w:r w:rsidR="0029182E" w:rsidRPr="002961C2">
        <w:rPr>
          <w:sz w:val="24"/>
          <w:szCs w:val="24"/>
          <w:shd w:val="clear" w:color="auto" w:fill="FFFFFF"/>
        </w:rPr>
        <w:t xml:space="preserve">, in which LTL was measured </w:t>
      </w:r>
      <w:r w:rsidR="00DC4CB2" w:rsidRPr="002961C2">
        <w:rPr>
          <w:sz w:val="24"/>
          <w:szCs w:val="24"/>
          <w:shd w:val="clear" w:color="auto" w:fill="FFFFFF"/>
        </w:rPr>
        <w:t>after</w:t>
      </w:r>
      <w:r w:rsidR="0029182E" w:rsidRPr="002961C2">
        <w:rPr>
          <w:sz w:val="24"/>
          <w:szCs w:val="24"/>
          <w:shd w:val="clear" w:color="auto" w:fill="FFFFFF"/>
        </w:rPr>
        <w:t xml:space="preserve"> </w:t>
      </w:r>
      <w:r w:rsidR="00DC4CB2" w:rsidRPr="002961C2">
        <w:rPr>
          <w:sz w:val="24"/>
          <w:szCs w:val="24"/>
          <w:shd w:val="clear" w:color="auto" w:fill="FFFFFF"/>
        </w:rPr>
        <w:t xml:space="preserve">SARS-CoV-2 infection </w:t>
      </w:r>
      <w:r w:rsidR="0029182E" w:rsidRPr="002961C2">
        <w:rPr>
          <w:sz w:val="24"/>
          <w:szCs w:val="24"/>
          <w:shd w:val="clear" w:color="auto" w:fill="FFFFFF"/>
        </w:rPr>
        <w:t>at the time of hospital admission,</w:t>
      </w:r>
      <w:r w:rsidRPr="002961C2">
        <w:rPr>
          <w:sz w:val="24"/>
          <w:szCs w:val="24"/>
          <w:shd w:val="clear" w:color="auto" w:fill="FFFFFF"/>
        </w:rPr>
        <w:t xml:space="preserve"> have </w:t>
      </w:r>
      <w:r w:rsidR="0029182E" w:rsidRPr="002961C2">
        <w:rPr>
          <w:sz w:val="24"/>
          <w:szCs w:val="24"/>
          <w:shd w:val="clear" w:color="auto" w:fill="FFFFFF"/>
        </w:rPr>
        <w:t>reported associations of</w:t>
      </w:r>
      <w:r w:rsidR="007816A4" w:rsidRPr="002961C2">
        <w:rPr>
          <w:sz w:val="24"/>
          <w:szCs w:val="24"/>
          <w:shd w:val="clear" w:color="auto" w:fill="FFFFFF"/>
        </w:rPr>
        <w:t xml:space="preserve"> shorter LTL with hospit</w:t>
      </w:r>
      <w:r w:rsidR="00C02E60" w:rsidRPr="002961C2">
        <w:rPr>
          <w:sz w:val="24"/>
          <w:szCs w:val="24"/>
          <w:shd w:val="clear" w:color="auto" w:fill="FFFFFF"/>
        </w:rPr>
        <w:t>a</w:t>
      </w:r>
      <w:r w:rsidR="007816A4" w:rsidRPr="002961C2">
        <w:rPr>
          <w:sz w:val="24"/>
          <w:szCs w:val="24"/>
          <w:shd w:val="clear" w:color="auto" w:fill="FFFFFF"/>
        </w:rPr>
        <w:t>lisation and severe outcome</w:t>
      </w:r>
      <w:r w:rsidR="0029182E" w:rsidRPr="002961C2">
        <w:rPr>
          <w:sz w:val="24"/>
          <w:szCs w:val="24"/>
          <w:shd w:val="clear" w:color="auto" w:fill="FFFFFF"/>
        </w:rPr>
        <w:t>s</w:t>
      </w:r>
      <w:r w:rsidR="00F65690" w:rsidRPr="002961C2">
        <w:rPr>
          <w:sz w:val="24"/>
          <w:szCs w:val="24"/>
          <w:shd w:val="clear" w:color="auto" w:fill="FFFFFF"/>
        </w:rPr>
        <w:t>.</w:t>
      </w:r>
      <w:r w:rsidR="00103EB6" w:rsidRPr="002961C2">
        <w:rPr>
          <w:sz w:val="24"/>
          <w:szCs w:val="24"/>
          <w:shd w:val="clear" w:color="auto" w:fill="FFFFFF"/>
          <w:vertAlign w:val="superscript"/>
        </w:rPr>
        <w:t>11-13</w:t>
      </w:r>
      <w:r w:rsidR="00011B04" w:rsidRPr="002961C2">
        <w:rPr>
          <w:sz w:val="24"/>
          <w:szCs w:val="24"/>
          <w:shd w:val="clear" w:color="auto" w:fill="FFFFFF"/>
        </w:rPr>
        <w:t xml:space="preserve"> </w:t>
      </w:r>
      <w:r w:rsidR="003E44D7" w:rsidRPr="002961C2">
        <w:rPr>
          <w:sz w:val="24"/>
          <w:szCs w:val="24"/>
          <w:shd w:val="clear" w:color="auto" w:fill="FFFFFF"/>
        </w:rPr>
        <w:t>However, t</w:t>
      </w:r>
      <w:r w:rsidR="00F8771B" w:rsidRPr="002961C2">
        <w:rPr>
          <w:sz w:val="24"/>
          <w:szCs w:val="24"/>
          <w:shd w:val="clear" w:color="auto" w:fill="FFFFFF"/>
        </w:rPr>
        <w:t xml:space="preserve">heir </w:t>
      </w:r>
      <w:r w:rsidR="00050C3C" w:rsidRPr="002961C2">
        <w:rPr>
          <w:sz w:val="24"/>
          <w:szCs w:val="24"/>
          <w:shd w:val="clear" w:color="auto" w:fill="FFFFFF"/>
        </w:rPr>
        <w:t>i</w:t>
      </w:r>
      <w:r w:rsidR="00DC4CB2" w:rsidRPr="002961C2">
        <w:rPr>
          <w:sz w:val="24"/>
          <w:szCs w:val="24"/>
          <w:shd w:val="clear" w:color="auto" w:fill="FFFFFF"/>
        </w:rPr>
        <w:t>nterpretation is</w:t>
      </w:r>
      <w:r w:rsidR="003E44D7" w:rsidRPr="002961C2">
        <w:rPr>
          <w:sz w:val="24"/>
          <w:szCs w:val="24"/>
          <w:shd w:val="clear" w:color="auto" w:fill="FFFFFF"/>
        </w:rPr>
        <w:t xml:space="preserve"> </w:t>
      </w:r>
      <w:r w:rsidR="00DC4CB2" w:rsidRPr="002961C2">
        <w:rPr>
          <w:sz w:val="24"/>
          <w:szCs w:val="24"/>
          <w:shd w:val="clear" w:color="auto" w:fill="FFFFFF"/>
        </w:rPr>
        <w:t>complicated by the possibility that</w:t>
      </w:r>
      <w:r w:rsidR="00011B04" w:rsidRPr="002961C2">
        <w:rPr>
          <w:sz w:val="24"/>
          <w:szCs w:val="24"/>
          <w:shd w:val="clear" w:color="auto" w:fill="FFFFFF"/>
        </w:rPr>
        <w:t xml:space="preserve"> LTL measurements could have been </w:t>
      </w:r>
      <w:r w:rsidR="007816A4" w:rsidRPr="002961C2">
        <w:rPr>
          <w:sz w:val="24"/>
          <w:szCs w:val="24"/>
          <w:shd w:val="clear" w:color="auto" w:fill="FFFFFF"/>
        </w:rPr>
        <w:t>influenced by white cell turnover in response to infection.</w:t>
      </w:r>
      <w:r w:rsidR="00723BE9" w:rsidRPr="002961C2">
        <w:rPr>
          <w:sz w:val="24"/>
          <w:szCs w:val="24"/>
          <w:shd w:val="clear" w:color="auto" w:fill="FFFFFF"/>
        </w:rPr>
        <w:t xml:space="preserve"> </w:t>
      </w:r>
      <w:r w:rsidR="0029182E" w:rsidRPr="002961C2">
        <w:rPr>
          <w:sz w:val="24"/>
          <w:szCs w:val="24"/>
          <w:shd w:val="clear" w:color="auto" w:fill="FFFFFF"/>
        </w:rPr>
        <w:t>To our knowledge, n</w:t>
      </w:r>
      <w:r w:rsidR="00977402" w:rsidRPr="002961C2">
        <w:rPr>
          <w:sz w:val="24"/>
          <w:szCs w:val="24"/>
          <w:shd w:val="clear" w:color="auto" w:fill="FFFFFF"/>
        </w:rPr>
        <w:t xml:space="preserve">o study to date has </w:t>
      </w:r>
      <w:r w:rsidR="0029182E" w:rsidRPr="002961C2">
        <w:rPr>
          <w:sz w:val="24"/>
          <w:szCs w:val="24"/>
          <w:shd w:val="clear" w:color="auto" w:fill="FFFFFF"/>
        </w:rPr>
        <w:t>reported on</w:t>
      </w:r>
      <w:r w:rsidR="00977402" w:rsidRPr="002961C2">
        <w:rPr>
          <w:sz w:val="24"/>
          <w:szCs w:val="24"/>
          <w:shd w:val="clear" w:color="auto" w:fill="FFFFFF"/>
        </w:rPr>
        <w:t xml:space="preserve"> </w:t>
      </w:r>
      <w:r w:rsidR="00DC4CB2" w:rsidRPr="002961C2">
        <w:rPr>
          <w:sz w:val="24"/>
          <w:szCs w:val="24"/>
          <w:shd w:val="clear" w:color="auto" w:fill="FFFFFF"/>
        </w:rPr>
        <w:t>associations of</w:t>
      </w:r>
      <w:r w:rsidR="00977402" w:rsidRPr="002961C2">
        <w:rPr>
          <w:sz w:val="24"/>
          <w:szCs w:val="24"/>
          <w:shd w:val="clear" w:color="auto" w:fill="FFFFFF"/>
        </w:rPr>
        <w:t xml:space="preserve"> prior (pre-</w:t>
      </w:r>
      <w:r w:rsidR="00C02E60" w:rsidRPr="002961C2">
        <w:rPr>
          <w:sz w:val="24"/>
          <w:szCs w:val="24"/>
          <w:shd w:val="clear" w:color="auto" w:fill="FFFFFF"/>
        </w:rPr>
        <w:t>infection</w:t>
      </w:r>
      <w:r w:rsidR="00977402" w:rsidRPr="002961C2">
        <w:rPr>
          <w:sz w:val="24"/>
          <w:szCs w:val="24"/>
          <w:shd w:val="clear" w:color="auto" w:fill="FFFFFF"/>
        </w:rPr>
        <w:t xml:space="preserve">) LTL </w:t>
      </w:r>
      <w:r w:rsidR="00DC4CB2" w:rsidRPr="002961C2">
        <w:rPr>
          <w:sz w:val="24"/>
          <w:szCs w:val="24"/>
          <w:shd w:val="clear" w:color="auto" w:fill="FFFFFF"/>
        </w:rPr>
        <w:t>values and</w:t>
      </w:r>
      <w:r w:rsidR="00977402" w:rsidRPr="002961C2">
        <w:rPr>
          <w:sz w:val="24"/>
          <w:szCs w:val="24"/>
          <w:shd w:val="clear" w:color="auto" w:fill="FFFFFF"/>
        </w:rPr>
        <w:t xml:space="preserve"> </w:t>
      </w:r>
      <w:r w:rsidR="00733200" w:rsidRPr="002961C2">
        <w:rPr>
          <w:sz w:val="24"/>
          <w:szCs w:val="24"/>
          <w:shd w:val="clear" w:color="auto" w:fill="FFFFFF"/>
        </w:rPr>
        <w:t>adverse</w:t>
      </w:r>
      <w:r w:rsidR="00977402" w:rsidRPr="002961C2">
        <w:rPr>
          <w:sz w:val="24"/>
          <w:szCs w:val="24"/>
          <w:shd w:val="clear" w:color="auto" w:fill="FFFFFF"/>
        </w:rPr>
        <w:t xml:space="preserve"> </w:t>
      </w:r>
      <w:r w:rsidR="00E02303" w:rsidRPr="002961C2">
        <w:rPr>
          <w:sz w:val="24"/>
          <w:szCs w:val="24"/>
          <w:shd w:val="clear" w:color="auto" w:fill="FFFFFF"/>
        </w:rPr>
        <w:t>COVID</w:t>
      </w:r>
      <w:r w:rsidR="00977402" w:rsidRPr="002961C2">
        <w:rPr>
          <w:sz w:val="24"/>
          <w:szCs w:val="24"/>
          <w:shd w:val="clear" w:color="auto" w:fill="FFFFFF"/>
        </w:rPr>
        <w:t xml:space="preserve">-19 </w:t>
      </w:r>
      <w:r w:rsidR="00C02E60" w:rsidRPr="002961C2">
        <w:rPr>
          <w:sz w:val="24"/>
          <w:szCs w:val="24"/>
          <w:shd w:val="clear" w:color="auto" w:fill="FFFFFF"/>
        </w:rPr>
        <w:t>outcome</w:t>
      </w:r>
      <w:r w:rsidR="0029182E" w:rsidRPr="002961C2">
        <w:rPr>
          <w:sz w:val="24"/>
          <w:szCs w:val="24"/>
          <w:shd w:val="clear" w:color="auto" w:fill="FFFFFF"/>
        </w:rPr>
        <w:t>s</w:t>
      </w:r>
      <w:r w:rsidR="005348A0" w:rsidRPr="002961C2">
        <w:rPr>
          <w:sz w:val="24"/>
          <w:szCs w:val="24"/>
          <w:shd w:val="clear" w:color="auto" w:fill="FFFFFF"/>
        </w:rPr>
        <w:t>.</w:t>
      </w:r>
    </w:p>
    <w:p w14:paraId="36847729" w14:textId="6C5EB0E1" w:rsidR="00C8397E" w:rsidRPr="002961C2" w:rsidRDefault="00DC4CB2" w:rsidP="00AD1953">
      <w:pPr>
        <w:spacing w:line="480" w:lineRule="auto"/>
        <w:rPr>
          <w:rFonts w:cstheme="minorHAnsi"/>
          <w:sz w:val="24"/>
          <w:szCs w:val="24"/>
        </w:rPr>
      </w:pPr>
      <w:r w:rsidRPr="002961C2">
        <w:rPr>
          <w:rFonts w:cstheme="minorHAnsi"/>
          <w:sz w:val="24"/>
          <w:szCs w:val="24"/>
        </w:rPr>
        <w:t xml:space="preserve">Here, we examine whether LTL measured several years prior to </w:t>
      </w:r>
      <w:r w:rsidRPr="002961C2">
        <w:rPr>
          <w:sz w:val="24"/>
          <w:szCs w:val="24"/>
          <w:shd w:val="clear" w:color="auto" w:fill="FFFFFF"/>
        </w:rPr>
        <w:t xml:space="preserve">SARS-CoV-2 </w:t>
      </w:r>
      <w:r w:rsidRPr="002961C2">
        <w:rPr>
          <w:rFonts w:cstheme="minorHAnsi"/>
          <w:sz w:val="24"/>
          <w:szCs w:val="24"/>
        </w:rPr>
        <w:t>infection is associated with</w:t>
      </w:r>
      <w:r w:rsidRPr="002961C2">
        <w:rPr>
          <w:sz w:val="24"/>
          <w:szCs w:val="24"/>
          <w:shd w:val="clear" w:color="auto" w:fill="FFFFFF"/>
        </w:rPr>
        <w:t xml:space="preserve"> </w:t>
      </w:r>
      <w:r w:rsidR="00B841F1" w:rsidRPr="002961C2">
        <w:rPr>
          <w:sz w:val="24"/>
          <w:szCs w:val="24"/>
          <w:shd w:val="clear" w:color="auto" w:fill="FFFFFF"/>
        </w:rPr>
        <w:t xml:space="preserve">adverse </w:t>
      </w:r>
      <w:r w:rsidRPr="002961C2">
        <w:rPr>
          <w:sz w:val="24"/>
          <w:szCs w:val="24"/>
          <w:shd w:val="clear" w:color="auto" w:fill="FFFFFF"/>
        </w:rPr>
        <w:t xml:space="preserve">COVID-19 </w:t>
      </w:r>
      <w:r w:rsidRPr="002961C2">
        <w:rPr>
          <w:rFonts w:cstheme="minorHAnsi"/>
          <w:sz w:val="24"/>
          <w:szCs w:val="24"/>
        </w:rPr>
        <w:t>outcomes, leveraging our recent completion of</w:t>
      </w:r>
      <w:r w:rsidR="00C8397E" w:rsidRPr="002961C2">
        <w:rPr>
          <w:sz w:val="24"/>
          <w:szCs w:val="24"/>
          <w:shd w:val="clear" w:color="auto" w:fill="FFFFFF"/>
        </w:rPr>
        <w:t xml:space="preserve"> LTL measurements in </w:t>
      </w:r>
      <w:r w:rsidR="00C8397E" w:rsidRPr="002961C2">
        <w:rPr>
          <w:rFonts w:cstheme="minorHAnsi"/>
          <w:sz w:val="24"/>
          <w:szCs w:val="24"/>
        </w:rPr>
        <w:t>474,</w:t>
      </w:r>
      <w:r w:rsidR="00DD7871" w:rsidRPr="002961C2">
        <w:rPr>
          <w:rFonts w:cstheme="minorHAnsi"/>
          <w:sz w:val="24"/>
          <w:szCs w:val="24"/>
        </w:rPr>
        <w:t xml:space="preserve">074 </w:t>
      </w:r>
      <w:r w:rsidR="00C8397E" w:rsidRPr="002961C2">
        <w:rPr>
          <w:rFonts w:cstheme="minorHAnsi"/>
          <w:sz w:val="24"/>
          <w:szCs w:val="24"/>
        </w:rPr>
        <w:t xml:space="preserve">participants </w:t>
      </w:r>
      <w:r w:rsidRPr="002961C2">
        <w:rPr>
          <w:rFonts w:cstheme="minorHAnsi"/>
          <w:sz w:val="24"/>
          <w:szCs w:val="24"/>
        </w:rPr>
        <w:t>aged 40-69 at time of recruitment into</w:t>
      </w:r>
      <w:r w:rsidR="00C8397E" w:rsidRPr="002961C2">
        <w:rPr>
          <w:rFonts w:cstheme="minorHAnsi"/>
          <w:sz w:val="24"/>
          <w:szCs w:val="24"/>
        </w:rPr>
        <w:t xml:space="preserve"> </w:t>
      </w:r>
      <w:r w:rsidR="00C8397E" w:rsidRPr="002961C2">
        <w:rPr>
          <w:sz w:val="24"/>
          <w:szCs w:val="24"/>
          <w:shd w:val="clear" w:color="auto" w:fill="FFFFFF"/>
        </w:rPr>
        <w:t>UK Biobank (UKB)</w:t>
      </w:r>
      <w:r w:rsidR="00DD7871" w:rsidRPr="002961C2">
        <w:rPr>
          <w:sz w:val="24"/>
          <w:szCs w:val="24"/>
          <w:shd w:val="clear" w:color="auto" w:fill="FFFFFF"/>
          <w:vertAlign w:val="superscript"/>
        </w:rPr>
        <w:t>6</w:t>
      </w:r>
      <w:r w:rsidR="0029182E" w:rsidRPr="002961C2">
        <w:rPr>
          <w:sz w:val="24"/>
          <w:szCs w:val="24"/>
          <w:shd w:val="clear" w:color="auto" w:fill="FFFFFF"/>
        </w:rPr>
        <w:t xml:space="preserve"> </w:t>
      </w:r>
      <w:r w:rsidR="00C8397E" w:rsidRPr="002961C2">
        <w:rPr>
          <w:sz w:val="24"/>
          <w:szCs w:val="24"/>
        </w:rPr>
        <w:t xml:space="preserve"> b</w:t>
      </w:r>
      <w:r w:rsidR="00C8397E" w:rsidRPr="002961C2">
        <w:rPr>
          <w:rFonts w:cstheme="minorHAnsi"/>
          <w:sz w:val="24"/>
          <w:szCs w:val="24"/>
        </w:rPr>
        <w:t>etween 2006 and 2010</w:t>
      </w:r>
      <w:r w:rsidR="00F65690" w:rsidRPr="002961C2">
        <w:rPr>
          <w:rFonts w:cstheme="minorHAnsi"/>
          <w:sz w:val="24"/>
          <w:szCs w:val="24"/>
        </w:rPr>
        <w:t>.</w:t>
      </w:r>
      <w:r w:rsidR="00DD7871" w:rsidRPr="002961C2">
        <w:rPr>
          <w:rFonts w:cstheme="minorHAnsi"/>
          <w:sz w:val="24"/>
          <w:szCs w:val="24"/>
          <w:vertAlign w:val="superscript"/>
        </w:rPr>
        <w:t>1</w:t>
      </w:r>
      <w:r w:rsidR="00103EB6" w:rsidRPr="002961C2">
        <w:rPr>
          <w:rFonts w:cstheme="minorHAnsi"/>
          <w:sz w:val="24"/>
          <w:szCs w:val="24"/>
          <w:vertAlign w:val="superscript"/>
        </w:rPr>
        <w:t>4</w:t>
      </w:r>
      <w:r w:rsidR="00DC07F8" w:rsidRPr="002961C2">
        <w:rPr>
          <w:rFonts w:cstheme="minorHAnsi"/>
          <w:sz w:val="24"/>
          <w:szCs w:val="24"/>
          <w:vertAlign w:val="superscript"/>
        </w:rPr>
        <w:t xml:space="preserve">, </w:t>
      </w:r>
      <w:r w:rsidR="007C4817" w:rsidRPr="002961C2">
        <w:rPr>
          <w:rFonts w:cstheme="minorHAnsi"/>
          <w:sz w:val="24"/>
          <w:szCs w:val="24"/>
          <w:vertAlign w:val="superscript"/>
        </w:rPr>
        <w:t>1</w:t>
      </w:r>
      <w:r w:rsidR="00103EB6" w:rsidRPr="002961C2">
        <w:rPr>
          <w:rFonts w:cstheme="minorHAnsi"/>
          <w:sz w:val="24"/>
          <w:szCs w:val="24"/>
          <w:vertAlign w:val="superscript"/>
        </w:rPr>
        <w:t>5</w:t>
      </w:r>
      <w:r w:rsidR="00C8397E" w:rsidRPr="002961C2">
        <w:rPr>
          <w:rFonts w:cstheme="minorHAnsi"/>
          <w:sz w:val="24"/>
          <w:szCs w:val="24"/>
        </w:rPr>
        <w:t xml:space="preserve"> </w:t>
      </w:r>
    </w:p>
    <w:p w14:paraId="1D1AC5FB" w14:textId="77777777" w:rsidR="007135A2" w:rsidRPr="002961C2" w:rsidRDefault="007135A2">
      <w:pPr>
        <w:rPr>
          <w:rFonts w:cstheme="minorHAnsi"/>
          <w:b/>
          <w:sz w:val="24"/>
          <w:szCs w:val="24"/>
        </w:rPr>
      </w:pPr>
    </w:p>
    <w:p w14:paraId="12DC3ED5" w14:textId="1C06CCEE" w:rsidR="00F8771B" w:rsidRPr="002961C2" w:rsidRDefault="00F8771B">
      <w:pPr>
        <w:rPr>
          <w:rFonts w:cstheme="minorHAnsi"/>
          <w:b/>
          <w:sz w:val="24"/>
          <w:szCs w:val="24"/>
        </w:rPr>
      </w:pPr>
    </w:p>
    <w:p w14:paraId="26632A2D" w14:textId="77777777" w:rsidR="008A4BB6" w:rsidRPr="002961C2" w:rsidRDefault="008A4BB6" w:rsidP="009D76FB">
      <w:pPr>
        <w:spacing w:line="480" w:lineRule="auto"/>
        <w:rPr>
          <w:rFonts w:cstheme="minorHAnsi"/>
          <w:b/>
          <w:sz w:val="24"/>
          <w:szCs w:val="24"/>
        </w:rPr>
      </w:pPr>
      <w:r w:rsidRPr="002961C2">
        <w:rPr>
          <w:rFonts w:cstheme="minorHAnsi"/>
          <w:b/>
          <w:sz w:val="24"/>
          <w:szCs w:val="24"/>
        </w:rPr>
        <w:t>Methods</w:t>
      </w:r>
    </w:p>
    <w:p w14:paraId="4555CE0C" w14:textId="669BA734" w:rsidR="000E3928" w:rsidRPr="002961C2" w:rsidRDefault="00EC2C2D" w:rsidP="009D76FB">
      <w:pPr>
        <w:spacing w:line="480" w:lineRule="auto"/>
        <w:rPr>
          <w:sz w:val="24"/>
          <w:szCs w:val="24"/>
          <w:shd w:val="clear" w:color="auto" w:fill="FFFFFF"/>
        </w:rPr>
      </w:pPr>
      <w:r w:rsidRPr="002961C2">
        <w:rPr>
          <w:i/>
          <w:sz w:val="24"/>
          <w:szCs w:val="24"/>
          <w:shd w:val="clear" w:color="auto" w:fill="FFFFFF"/>
        </w:rPr>
        <w:t>Participants</w:t>
      </w:r>
      <w:r w:rsidR="004836A1" w:rsidRPr="002961C2">
        <w:rPr>
          <w:i/>
          <w:sz w:val="24"/>
          <w:szCs w:val="24"/>
          <w:shd w:val="clear" w:color="auto" w:fill="FFFFFF"/>
        </w:rPr>
        <w:t xml:space="preserve">: </w:t>
      </w:r>
      <w:r w:rsidR="00F8771B" w:rsidRPr="002961C2">
        <w:rPr>
          <w:rFonts w:cstheme="minorHAnsi"/>
          <w:sz w:val="24"/>
          <w:szCs w:val="24"/>
        </w:rPr>
        <w:t xml:space="preserve">Participants in UKB have been </w:t>
      </w:r>
      <w:r w:rsidR="00F8771B" w:rsidRPr="002961C2">
        <w:rPr>
          <w:sz w:val="24"/>
          <w:szCs w:val="24"/>
        </w:rPr>
        <w:t xml:space="preserve">characterised in detail </w:t>
      </w:r>
      <w:r w:rsidR="00F8771B" w:rsidRPr="002961C2">
        <w:rPr>
          <w:rFonts w:cstheme="minorHAnsi"/>
          <w:sz w:val="24"/>
          <w:szCs w:val="24"/>
        </w:rPr>
        <w:t xml:space="preserve">using questionnaires, physical measurements, urinary and plasma biomarker measurements, genomic assays and longitudinal linkage with multiple health record systems, including Hospital Episode Statistics (HES) and Office </w:t>
      </w:r>
      <w:r w:rsidR="00DD38FA" w:rsidRPr="002961C2">
        <w:rPr>
          <w:rFonts w:cstheme="minorHAnsi"/>
          <w:sz w:val="24"/>
          <w:szCs w:val="24"/>
        </w:rPr>
        <w:t xml:space="preserve">for </w:t>
      </w:r>
      <w:r w:rsidR="00F8771B" w:rsidRPr="002961C2">
        <w:rPr>
          <w:rFonts w:cstheme="minorHAnsi"/>
          <w:sz w:val="24"/>
          <w:szCs w:val="24"/>
        </w:rPr>
        <w:t xml:space="preserve">National Statistics (ONS) mortality </w:t>
      </w:r>
      <w:r w:rsidR="007C4817" w:rsidRPr="002961C2">
        <w:rPr>
          <w:rFonts w:cstheme="minorHAnsi"/>
          <w:sz w:val="24"/>
          <w:szCs w:val="24"/>
        </w:rPr>
        <w:t>data</w:t>
      </w:r>
      <w:r w:rsidR="00F65690" w:rsidRPr="002961C2">
        <w:rPr>
          <w:rFonts w:cstheme="minorHAnsi"/>
          <w:sz w:val="24"/>
          <w:szCs w:val="24"/>
        </w:rPr>
        <w:t>.</w:t>
      </w:r>
      <w:r w:rsidR="007C4817" w:rsidRPr="002961C2">
        <w:rPr>
          <w:rFonts w:cstheme="minorHAnsi"/>
          <w:sz w:val="24"/>
          <w:szCs w:val="24"/>
          <w:vertAlign w:val="superscript"/>
        </w:rPr>
        <w:t>1</w:t>
      </w:r>
      <w:r w:rsidR="00103EB6" w:rsidRPr="002961C2">
        <w:rPr>
          <w:rFonts w:cstheme="minorHAnsi"/>
          <w:sz w:val="24"/>
          <w:szCs w:val="24"/>
          <w:vertAlign w:val="superscript"/>
        </w:rPr>
        <w:t>6</w:t>
      </w:r>
      <w:r w:rsidR="00F8771B" w:rsidRPr="002961C2">
        <w:rPr>
          <w:rFonts w:cstheme="minorHAnsi"/>
          <w:sz w:val="24"/>
          <w:szCs w:val="24"/>
        </w:rPr>
        <w:t xml:space="preserve"> </w:t>
      </w:r>
      <w:r w:rsidR="000B6FE1" w:rsidRPr="002961C2">
        <w:rPr>
          <w:rFonts w:cstheme="minorHAnsi"/>
          <w:sz w:val="24"/>
          <w:szCs w:val="24"/>
        </w:rPr>
        <w:t>W</w:t>
      </w:r>
      <w:r w:rsidR="00F8771B" w:rsidRPr="002961C2">
        <w:rPr>
          <w:rFonts w:cstheme="minorHAnsi"/>
          <w:sz w:val="24"/>
          <w:szCs w:val="24"/>
        </w:rPr>
        <w:t>e have described the associations of inter-individual variation in LTL with multiple biomedical traits and risk of several diseases</w:t>
      </w:r>
      <w:r w:rsidR="000B6FE1" w:rsidRPr="002961C2">
        <w:rPr>
          <w:rFonts w:cstheme="minorHAnsi"/>
          <w:sz w:val="24"/>
          <w:szCs w:val="24"/>
        </w:rPr>
        <w:t xml:space="preserve"> in </w:t>
      </w:r>
      <w:r w:rsidR="007C4817" w:rsidRPr="002961C2">
        <w:rPr>
          <w:rFonts w:cstheme="minorHAnsi"/>
          <w:sz w:val="24"/>
          <w:szCs w:val="24"/>
        </w:rPr>
        <w:t>UKB</w:t>
      </w:r>
      <w:r w:rsidR="00F65690" w:rsidRPr="002961C2">
        <w:rPr>
          <w:rFonts w:cstheme="minorHAnsi"/>
          <w:sz w:val="24"/>
          <w:szCs w:val="24"/>
        </w:rPr>
        <w:t>.</w:t>
      </w:r>
      <w:r w:rsidR="007C4817" w:rsidRPr="002961C2">
        <w:rPr>
          <w:rFonts w:cstheme="minorHAnsi"/>
          <w:sz w:val="24"/>
          <w:szCs w:val="24"/>
          <w:vertAlign w:val="superscript"/>
        </w:rPr>
        <w:t>1</w:t>
      </w:r>
      <w:r w:rsidR="00103EB6" w:rsidRPr="002961C2">
        <w:rPr>
          <w:rFonts w:cstheme="minorHAnsi"/>
          <w:sz w:val="24"/>
          <w:szCs w:val="24"/>
          <w:vertAlign w:val="superscript"/>
        </w:rPr>
        <w:t>5</w:t>
      </w:r>
      <w:r w:rsidR="00F8771B" w:rsidRPr="002961C2">
        <w:rPr>
          <w:rFonts w:cstheme="minorHAnsi"/>
          <w:sz w:val="24"/>
          <w:szCs w:val="24"/>
        </w:rPr>
        <w:t xml:space="preserve"> Since the onset of the COVID-19 pandemic, UKB has also linked participants with results from clinically indicated </w:t>
      </w:r>
      <w:r w:rsidR="00F8771B" w:rsidRPr="002961C2">
        <w:rPr>
          <w:sz w:val="24"/>
          <w:szCs w:val="24"/>
          <w:shd w:val="clear" w:color="auto" w:fill="FFFFFF"/>
        </w:rPr>
        <w:t xml:space="preserve">SARS-CoV-2 </w:t>
      </w:r>
      <w:r w:rsidR="00F8771B" w:rsidRPr="002961C2">
        <w:rPr>
          <w:rFonts w:cstheme="minorHAnsi"/>
          <w:sz w:val="24"/>
          <w:szCs w:val="24"/>
        </w:rPr>
        <w:t xml:space="preserve">testing and COVID-19 outcomes. </w:t>
      </w:r>
      <w:r w:rsidR="004836A1" w:rsidRPr="002961C2">
        <w:rPr>
          <w:sz w:val="24"/>
          <w:szCs w:val="24"/>
          <w:shd w:val="clear" w:color="auto" w:fill="FFFFFF"/>
        </w:rPr>
        <w:t xml:space="preserve">By linking </w:t>
      </w:r>
      <w:r w:rsidRPr="002961C2">
        <w:rPr>
          <w:sz w:val="24"/>
          <w:szCs w:val="24"/>
          <w:shd w:val="clear" w:color="auto" w:fill="FFFFFF"/>
        </w:rPr>
        <w:t xml:space="preserve">participants in </w:t>
      </w:r>
      <w:r w:rsidR="004836A1" w:rsidRPr="002961C2">
        <w:rPr>
          <w:sz w:val="24"/>
          <w:szCs w:val="24"/>
          <w:shd w:val="clear" w:color="auto" w:fill="FFFFFF"/>
        </w:rPr>
        <w:t xml:space="preserve">UKB to </w:t>
      </w:r>
      <w:r w:rsidR="00FD44EF" w:rsidRPr="002961C2">
        <w:rPr>
          <w:sz w:val="24"/>
          <w:szCs w:val="24"/>
          <w:shd w:val="clear" w:color="auto" w:fill="FFFFFF"/>
        </w:rPr>
        <w:t xml:space="preserve">SARS-CoV-2 </w:t>
      </w:r>
      <w:r w:rsidR="001328B8" w:rsidRPr="002961C2">
        <w:rPr>
          <w:sz w:val="24"/>
          <w:szCs w:val="24"/>
          <w:shd w:val="clear" w:color="auto" w:fill="FFFFFF"/>
        </w:rPr>
        <w:t>testing dataset</w:t>
      </w:r>
      <w:r w:rsidRPr="002961C2">
        <w:rPr>
          <w:sz w:val="24"/>
          <w:szCs w:val="24"/>
          <w:shd w:val="clear" w:color="auto" w:fill="FFFFFF"/>
        </w:rPr>
        <w:t>s</w:t>
      </w:r>
      <w:r w:rsidR="00FA4FB3" w:rsidRPr="002961C2">
        <w:rPr>
          <w:sz w:val="24"/>
          <w:szCs w:val="24"/>
          <w:shd w:val="clear" w:color="auto" w:fill="FFFFFF"/>
        </w:rPr>
        <w:t xml:space="preserve"> of Public Health England (PHE)</w:t>
      </w:r>
      <w:r w:rsidR="00F65690" w:rsidRPr="002961C2">
        <w:rPr>
          <w:sz w:val="24"/>
          <w:szCs w:val="24"/>
          <w:shd w:val="clear" w:color="auto" w:fill="FFFFFF"/>
        </w:rPr>
        <w:t>,</w:t>
      </w:r>
      <w:r w:rsidR="001328B8" w:rsidRPr="002961C2">
        <w:rPr>
          <w:sz w:val="24"/>
          <w:szCs w:val="24"/>
          <w:shd w:val="clear" w:color="auto" w:fill="FFFFFF"/>
          <w:vertAlign w:val="superscript"/>
        </w:rPr>
        <w:t>1</w:t>
      </w:r>
      <w:r w:rsidR="00103EB6" w:rsidRPr="002961C2">
        <w:rPr>
          <w:sz w:val="24"/>
          <w:szCs w:val="24"/>
          <w:shd w:val="clear" w:color="auto" w:fill="FFFFFF"/>
          <w:vertAlign w:val="superscript"/>
        </w:rPr>
        <w:t>7</w:t>
      </w:r>
      <w:r w:rsidR="004836A1" w:rsidRPr="002961C2">
        <w:rPr>
          <w:sz w:val="24"/>
          <w:szCs w:val="24"/>
          <w:shd w:val="clear" w:color="auto" w:fill="FFFFFF"/>
        </w:rPr>
        <w:t xml:space="preserve"> we identified participants who </w:t>
      </w:r>
      <w:r w:rsidR="00723BE9" w:rsidRPr="002961C2">
        <w:rPr>
          <w:sz w:val="24"/>
          <w:szCs w:val="24"/>
          <w:shd w:val="clear" w:color="auto" w:fill="FFFFFF"/>
        </w:rPr>
        <w:t>test</w:t>
      </w:r>
      <w:r w:rsidRPr="002961C2">
        <w:rPr>
          <w:sz w:val="24"/>
          <w:szCs w:val="24"/>
          <w:shd w:val="clear" w:color="auto" w:fill="FFFFFF"/>
        </w:rPr>
        <w:t>ed</w:t>
      </w:r>
      <w:r w:rsidR="00723BE9" w:rsidRPr="002961C2">
        <w:rPr>
          <w:sz w:val="24"/>
          <w:szCs w:val="24"/>
          <w:shd w:val="clear" w:color="auto" w:fill="FFFFFF"/>
        </w:rPr>
        <w:t xml:space="preserve"> positive </w:t>
      </w:r>
      <w:r w:rsidR="00252029" w:rsidRPr="002961C2">
        <w:rPr>
          <w:sz w:val="24"/>
          <w:szCs w:val="24"/>
          <w:shd w:val="clear" w:color="auto" w:fill="FFFFFF"/>
        </w:rPr>
        <w:t>between 16</w:t>
      </w:r>
      <w:r w:rsidR="001646B4" w:rsidRPr="002961C2">
        <w:rPr>
          <w:sz w:val="24"/>
          <w:szCs w:val="24"/>
          <w:shd w:val="clear" w:color="auto" w:fill="FFFFFF"/>
        </w:rPr>
        <w:t xml:space="preserve"> March </w:t>
      </w:r>
      <w:r w:rsidR="00252029" w:rsidRPr="002961C2">
        <w:rPr>
          <w:sz w:val="24"/>
          <w:szCs w:val="24"/>
          <w:shd w:val="clear" w:color="auto" w:fill="FFFFFF"/>
        </w:rPr>
        <w:t xml:space="preserve">2020 and </w:t>
      </w:r>
      <w:r w:rsidR="001646B4" w:rsidRPr="002961C2">
        <w:rPr>
          <w:sz w:val="24"/>
          <w:szCs w:val="24"/>
          <w:shd w:val="clear" w:color="auto" w:fill="FFFFFF"/>
        </w:rPr>
        <w:t>30 November 2020</w:t>
      </w:r>
      <w:r w:rsidRPr="002961C2">
        <w:rPr>
          <w:sz w:val="24"/>
          <w:szCs w:val="24"/>
          <w:shd w:val="clear" w:color="auto" w:fill="FFFFFF"/>
        </w:rPr>
        <w:t>; the latter date</w:t>
      </w:r>
      <w:r w:rsidR="00252029" w:rsidRPr="002961C2">
        <w:rPr>
          <w:sz w:val="24"/>
          <w:szCs w:val="24"/>
          <w:shd w:val="clear" w:color="auto" w:fill="FFFFFF"/>
        </w:rPr>
        <w:t xml:space="preserve"> corresponds to</w:t>
      </w:r>
      <w:r w:rsidR="009D76FB" w:rsidRPr="002961C2">
        <w:rPr>
          <w:sz w:val="24"/>
          <w:szCs w:val="24"/>
          <w:shd w:val="clear" w:color="auto" w:fill="FFFFFF"/>
        </w:rPr>
        <w:t xml:space="preserve"> the la</w:t>
      </w:r>
      <w:r w:rsidR="001646B4" w:rsidRPr="002961C2">
        <w:rPr>
          <w:sz w:val="24"/>
          <w:szCs w:val="24"/>
          <w:shd w:val="clear" w:color="auto" w:fill="FFFFFF"/>
        </w:rPr>
        <w:t>test</w:t>
      </w:r>
      <w:r w:rsidR="009D76FB" w:rsidRPr="002961C2">
        <w:rPr>
          <w:sz w:val="24"/>
          <w:szCs w:val="24"/>
          <w:shd w:val="clear" w:color="auto" w:fill="FFFFFF"/>
        </w:rPr>
        <w:t xml:space="preserve"> </w:t>
      </w:r>
      <w:r w:rsidRPr="002961C2">
        <w:rPr>
          <w:sz w:val="24"/>
          <w:szCs w:val="24"/>
          <w:shd w:val="clear" w:color="auto" w:fill="FFFFFF"/>
        </w:rPr>
        <w:t xml:space="preserve">release of </w:t>
      </w:r>
      <w:r w:rsidR="009D76FB" w:rsidRPr="002961C2">
        <w:rPr>
          <w:sz w:val="24"/>
          <w:szCs w:val="24"/>
          <w:shd w:val="clear" w:color="auto" w:fill="FFFFFF"/>
        </w:rPr>
        <w:t>HES</w:t>
      </w:r>
      <w:r w:rsidRPr="002961C2">
        <w:rPr>
          <w:sz w:val="24"/>
          <w:szCs w:val="24"/>
          <w:shd w:val="clear" w:color="auto" w:fill="FFFFFF"/>
        </w:rPr>
        <w:t xml:space="preserve"> data to UKB</w:t>
      </w:r>
      <w:r w:rsidR="00B8352A" w:rsidRPr="002961C2">
        <w:rPr>
          <w:sz w:val="24"/>
          <w:szCs w:val="24"/>
          <w:shd w:val="clear" w:color="auto" w:fill="FFFFFF"/>
        </w:rPr>
        <w:t>. We used HES</w:t>
      </w:r>
      <w:r w:rsidR="00FD44EF" w:rsidRPr="002961C2">
        <w:rPr>
          <w:sz w:val="24"/>
          <w:szCs w:val="24"/>
          <w:shd w:val="clear" w:color="auto" w:fill="FFFFFF"/>
        </w:rPr>
        <w:t xml:space="preserve"> records</w:t>
      </w:r>
      <w:r w:rsidR="005E2AE6" w:rsidRPr="002961C2">
        <w:rPr>
          <w:sz w:val="24"/>
          <w:szCs w:val="24"/>
          <w:shd w:val="clear" w:color="auto" w:fill="FFFFFF"/>
        </w:rPr>
        <w:t xml:space="preserve"> to identify </w:t>
      </w:r>
      <w:r w:rsidR="00FD44EF" w:rsidRPr="002961C2">
        <w:rPr>
          <w:sz w:val="24"/>
          <w:szCs w:val="24"/>
          <w:shd w:val="clear" w:color="auto" w:fill="FFFFFF"/>
        </w:rPr>
        <w:t xml:space="preserve">SARS-CoV-2 </w:t>
      </w:r>
      <w:r w:rsidR="005E2AE6" w:rsidRPr="002961C2">
        <w:rPr>
          <w:sz w:val="24"/>
          <w:szCs w:val="24"/>
          <w:shd w:val="clear" w:color="auto" w:fill="FFFFFF"/>
        </w:rPr>
        <w:t xml:space="preserve">positive participants who were </w:t>
      </w:r>
      <w:r w:rsidR="008D7C95" w:rsidRPr="002961C2">
        <w:rPr>
          <w:sz w:val="24"/>
          <w:szCs w:val="24"/>
          <w:shd w:val="clear" w:color="auto" w:fill="FFFFFF"/>
        </w:rPr>
        <w:t xml:space="preserve">admitted to </w:t>
      </w:r>
      <w:r w:rsidR="005E2AE6" w:rsidRPr="002961C2">
        <w:rPr>
          <w:sz w:val="24"/>
          <w:szCs w:val="24"/>
          <w:shd w:val="clear" w:color="auto" w:fill="FFFFFF"/>
        </w:rPr>
        <w:t>hospital</w:t>
      </w:r>
      <w:r w:rsidR="00826A4A" w:rsidRPr="002961C2">
        <w:rPr>
          <w:sz w:val="24"/>
          <w:szCs w:val="24"/>
          <w:shd w:val="clear" w:color="auto" w:fill="FFFFFF"/>
        </w:rPr>
        <w:t xml:space="preserve"> due to COVID-19 (ICD</w:t>
      </w:r>
      <w:r w:rsidR="00733200" w:rsidRPr="002961C2">
        <w:rPr>
          <w:sz w:val="24"/>
          <w:szCs w:val="24"/>
          <w:shd w:val="clear" w:color="auto" w:fill="FFFFFF"/>
        </w:rPr>
        <w:t>-</w:t>
      </w:r>
      <w:r w:rsidR="00826A4A" w:rsidRPr="002961C2">
        <w:rPr>
          <w:sz w:val="24"/>
          <w:szCs w:val="24"/>
          <w:shd w:val="clear" w:color="auto" w:fill="FFFFFF"/>
        </w:rPr>
        <w:t>10 code ‘U07.1’)</w:t>
      </w:r>
      <w:r w:rsidR="005E2AE6" w:rsidRPr="002961C2">
        <w:rPr>
          <w:sz w:val="24"/>
          <w:szCs w:val="24"/>
          <w:shd w:val="clear" w:color="auto" w:fill="FFFFFF"/>
        </w:rPr>
        <w:t xml:space="preserve"> </w:t>
      </w:r>
      <w:r w:rsidR="00660344" w:rsidRPr="002961C2">
        <w:rPr>
          <w:sz w:val="24"/>
          <w:szCs w:val="24"/>
          <w:shd w:val="clear" w:color="auto" w:fill="FFFFFF"/>
        </w:rPr>
        <w:t>within</w:t>
      </w:r>
      <w:r w:rsidR="005E2AE6" w:rsidRPr="002961C2">
        <w:rPr>
          <w:sz w:val="24"/>
          <w:szCs w:val="24"/>
          <w:shd w:val="clear" w:color="auto" w:fill="FFFFFF"/>
        </w:rPr>
        <w:t xml:space="preserve"> 28 days after </w:t>
      </w:r>
      <w:r w:rsidR="00FD44EF" w:rsidRPr="002961C2">
        <w:rPr>
          <w:sz w:val="24"/>
          <w:szCs w:val="24"/>
          <w:shd w:val="clear" w:color="auto" w:fill="FFFFFF"/>
        </w:rPr>
        <w:t xml:space="preserve">a positive SARS-CoV-2 </w:t>
      </w:r>
      <w:r w:rsidR="005E2AE6" w:rsidRPr="002961C2">
        <w:rPr>
          <w:sz w:val="24"/>
          <w:szCs w:val="24"/>
          <w:shd w:val="clear" w:color="auto" w:fill="FFFFFF"/>
        </w:rPr>
        <w:t xml:space="preserve">test. </w:t>
      </w:r>
      <w:r w:rsidR="00252029" w:rsidRPr="002961C2">
        <w:rPr>
          <w:sz w:val="24"/>
          <w:szCs w:val="24"/>
          <w:shd w:val="clear" w:color="auto" w:fill="FFFFFF"/>
        </w:rPr>
        <w:t>We further</w:t>
      </w:r>
      <w:r w:rsidR="009D76FB" w:rsidRPr="002961C2">
        <w:rPr>
          <w:sz w:val="24"/>
          <w:szCs w:val="24"/>
          <w:shd w:val="clear" w:color="auto" w:fill="FFFFFF"/>
        </w:rPr>
        <w:t xml:space="preserve"> extracted information on need for </w:t>
      </w:r>
      <w:r w:rsidR="005E2AE6" w:rsidRPr="002961C2">
        <w:rPr>
          <w:sz w:val="24"/>
          <w:szCs w:val="24"/>
          <w:shd w:val="clear" w:color="auto" w:fill="FFFFFF"/>
        </w:rPr>
        <w:t xml:space="preserve">critical care </w:t>
      </w:r>
      <w:r w:rsidR="00252029" w:rsidRPr="002961C2">
        <w:rPr>
          <w:sz w:val="24"/>
          <w:szCs w:val="24"/>
          <w:shd w:val="clear" w:color="auto" w:fill="FFFFFF"/>
        </w:rPr>
        <w:t>admission</w:t>
      </w:r>
      <w:r w:rsidR="00033CCE" w:rsidRPr="002961C2">
        <w:rPr>
          <w:sz w:val="24"/>
          <w:szCs w:val="24"/>
          <w:shd w:val="clear" w:color="auto" w:fill="FFFFFF"/>
        </w:rPr>
        <w:t xml:space="preserve"> and</w:t>
      </w:r>
      <w:r w:rsidR="00B8352A" w:rsidRPr="002961C2">
        <w:rPr>
          <w:sz w:val="24"/>
          <w:szCs w:val="24"/>
          <w:shd w:val="clear" w:color="auto" w:fill="FFFFFF"/>
        </w:rPr>
        <w:t xml:space="preserve"> </w:t>
      </w:r>
      <w:r w:rsidR="00252029" w:rsidRPr="002961C2">
        <w:rPr>
          <w:sz w:val="24"/>
          <w:szCs w:val="24"/>
          <w:shd w:val="clear" w:color="auto" w:fill="FFFFFF"/>
        </w:rPr>
        <w:t xml:space="preserve">respiratory </w:t>
      </w:r>
      <w:r w:rsidR="005E2AE6" w:rsidRPr="002961C2">
        <w:rPr>
          <w:sz w:val="24"/>
          <w:szCs w:val="24"/>
          <w:shd w:val="clear" w:color="auto" w:fill="FFFFFF"/>
        </w:rPr>
        <w:t>support</w:t>
      </w:r>
      <w:r w:rsidR="00AC10EA" w:rsidRPr="002961C2">
        <w:rPr>
          <w:sz w:val="24"/>
          <w:szCs w:val="24"/>
          <w:shd w:val="clear" w:color="auto" w:fill="FFFFFF"/>
        </w:rPr>
        <w:t>, due to COVID-19 (ICD-10 code ‘U07.1’),</w:t>
      </w:r>
      <w:r w:rsidR="00033CCE" w:rsidRPr="002961C2">
        <w:t xml:space="preserve"> </w:t>
      </w:r>
      <w:r w:rsidR="00826A4A" w:rsidRPr="002961C2">
        <w:rPr>
          <w:sz w:val="24"/>
          <w:szCs w:val="24"/>
          <w:shd w:val="clear" w:color="auto" w:fill="FFFFFF"/>
        </w:rPr>
        <w:t>via</w:t>
      </w:r>
      <w:r w:rsidR="00033CCE" w:rsidRPr="002961C2">
        <w:rPr>
          <w:sz w:val="24"/>
          <w:szCs w:val="24"/>
          <w:shd w:val="clear" w:color="auto" w:fill="FFFFFF"/>
        </w:rPr>
        <w:t xml:space="preserve"> linkage to the ICNARC (Intensive Care National Audit and Research Centre) database</w:t>
      </w:r>
      <w:r w:rsidR="00B8352A" w:rsidRPr="002961C2">
        <w:rPr>
          <w:sz w:val="24"/>
          <w:szCs w:val="24"/>
          <w:shd w:val="clear" w:color="auto" w:fill="FFFFFF"/>
        </w:rPr>
        <w:t>,</w:t>
      </w:r>
      <w:r w:rsidR="005E2AE6" w:rsidRPr="002961C2">
        <w:rPr>
          <w:sz w:val="24"/>
          <w:szCs w:val="24"/>
          <w:shd w:val="clear" w:color="auto" w:fill="FFFFFF"/>
        </w:rPr>
        <w:t xml:space="preserve"> </w:t>
      </w:r>
      <w:r w:rsidR="00252029" w:rsidRPr="002961C2">
        <w:rPr>
          <w:sz w:val="24"/>
          <w:szCs w:val="24"/>
          <w:shd w:val="clear" w:color="auto" w:fill="FFFFFF"/>
        </w:rPr>
        <w:t>and</w:t>
      </w:r>
      <w:r w:rsidR="005E2AE6" w:rsidRPr="002961C2">
        <w:rPr>
          <w:sz w:val="24"/>
          <w:szCs w:val="24"/>
          <w:shd w:val="clear" w:color="auto" w:fill="FFFFFF"/>
        </w:rPr>
        <w:t xml:space="preserve"> d</w:t>
      </w:r>
      <w:r w:rsidR="00252029" w:rsidRPr="002961C2">
        <w:rPr>
          <w:sz w:val="24"/>
          <w:szCs w:val="24"/>
          <w:shd w:val="clear" w:color="auto" w:fill="FFFFFF"/>
        </w:rPr>
        <w:t>eath</w:t>
      </w:r>
      <w:r w:rsidR="00733200" w:rsidRPr="002961C2">
        <w:rPr>
          <w:sz w:val="24"/>
          <w:szCs w:val="24"/>
          <w:shd w:val="clear" w:color="auto" w:fill="FFFFFF"/>
        </w:rPr>
        <w:t xml:space="preserve">s </w:t>
      </w:r>
      <w:r w:rsidR="009A33FF" w:rsidRPr="002961C2">
        <w:rPr>
          <w:sz w:val="24"/>
          <w:szCs w:val="24"/>
          <w:shd w:val="clear" w:color="auto" w:fill="FFFFFF"/>
        </w:rPr>
        <w:t>due to COVID-19</w:t>
      </w:r>
      <w:r w:rsidR="000B599B" w:rsidRPr="002961C2">
        <w:rPr>
          <w:sz w:val="24"/>
          <w:szCs w:val="24"/>
          <w:shd w:val="clear" w:color="auto" w:fill="FFFFFF"/>
        </w:rPr>
        <w:t xml:space="preserve"> (ICD-10 code ‘U07.1’)</w:t>
      </w:r>
      <w:r w:rsidR="00826A4A" w:rsidRPr="002961C2">
        <w:rPr>
          <w:sz w:val="24"/>
          <w:szCs w:val="24"/>
          <w:shd w:val="clear" w:color="auto" w:fill="FFFFFF"/>
        </w:rPr>
        <w:t>,</w:t>
      </w:r>
      <w:r w:rsidR="00252029" w:rsidRPr="002961C2">
        <w:rPr>
          <w:sz w:val="24"/>
          <w:szCs w:val="24"/>
          <w:shd w:val="clear" w:color="auto" w:fill="FFFFFF"/>
        </w:rPr>
        <w:t xml:space="preserve"> </w:t>
      </w:r>
      <w:r w:rsidR="00826A4A" w:rsidRPr="002961C2">
        <w:rPr>
          <w:sz w:val="24"/>
          <w:szCs w:val="24"/>
          <w:shd w:val="clear" w:color="auto" w:fill="FFFFFF"/>
        </w:rPr>
        <w:t xml:space="preserve">from </w:t>
      </w:r>
      <w:r w:rsidR="00033CCE" w:rsidRPr="002961C2">
        <w:rPr>
          <w:sz w:val="24"/>
          <w:szCs w:val="24"/>
          <w:shd w:val="clear" w:color="auto" w:fill="FFFFFF"/>
        </w:rPr>
        <w:t>the Office for National Statistics</w:t>
      </w:r>
      <w:r w:rsidR="00B8352A" w:rsidRPr="002961C2">
        <w:rPr>
          <w:sz w:val="24"/>
          <w:szCs w:val="24"/>
          <w:shd w:val="clear" w:color="auto" w:fill="FFFFFF"/>
        </w:rPr>
        <w:t xml:space="preserve"> </w:t>
      </w:r>
      <w:r w:rsidR="009D76FB" w:rsidRPr="002961C2">
        <w:rPr>
          <w:sz w:val="24"/>
          <w:szCs w:val="24"/>
          <w:shd w:val="clear" w:color="auto" w:fill="FFFFFF"/>
        </w:rPr>
        <w:t>(ONS)</w:t>
      </w:r>
      <w:r w:rsidR="00033CCE" w:rsidRPr="002961C2">
        <w:rPr>
          <w:sz w:val="24"/>
          <w:szCs w:val="24"/>
          <w:shd w:val="clear" w:color="auto" w:fill="FFFFFF"/>
        </w:rPr>
        <w:t xml:space="preserve"> death</w:t>
      </w:r>
      <w:r w:rsidR="009D76FB" w:rsidRPr="002961C2">
        <w:rPr>
          <w:sz w:val="24"/>
          <w:szCs w:val="24"/>
          <w:shd w:val="clear" w:color="auto" w:fill="FFFFFF"/>
        </w:rPr>
        <w:t xml:space="preserve"> </w:t>
      </w:r>
      <w:r w:rsidR="00B8352A" w:rsidRPr="002961C2">
        <w:rPr>
          <w:sz w:val="24"/>
          <w:szCs w:val="24"/>
          <w:shd w:val="clear" w:color="auto" w:fill="FFFFFF"/>
        </w:rPr>
        <w:t>registry data</w:t>
      </w:r>
      <w:r w:rsidR="005E2AE6" w:rsidRPr="002961C2">
        <w:rPr>
          <w:sz w:val="24"/>
          <w:szCs w:val="24"/>
          <w:shd w:val="clear" w:color="auto" w:fill="FFFFFF"/>
        </w:rPr>
        <w:t xml:space="preserve">.  </w:t>
      </w:r>
    </w:p>
    <w:p w14:paraId="5DAB5C93" w14:textId="30D69F4B" w:rsidR="000F7CB8" w:rsidRPr="002961C2" w:rsidRDefault="000F7CB8" w:rsidP="009D76FB">
      <w:pPr>
        <w:spacing w:line="480" w:lineRule="auto"/>
        <w:rPr>
          <w:sz w:val="24"/>
          <w:szCs w:val="24"/>
          <w:shd w:val="clear" w:color="auto" w:fill="FFFFFF"/>
        </w:rPr>
      </w:pPr>
      <w:r w:rsidRPr="002961C2">
        <w:rPr>
          <w:sz w:val="24"/>
          <w:szCs w:val="24"/>
          <w:shd w:val="clear" w:color="auto" w:fill="FFFFFF"/>
        </w:rPr>
        <w:t>The UK Biobank has ethical approval from the North West Centre for Research Ethics Committee (Application 11/NW/0382), which covers the UK. UK Biobank obtained informed consent from a</w:t>
      </w:r>
      <w:r w:rsidRPr="000F7CB8">
        <w:rPr>
          <w:color w:val="222222"/>
          <w:sz w:val="24"/>
          <w:szCs w:val="24"/>
          <w:shd w:val="clear" w:color="auto" w:fill="FFFFFF"/>
        </w:rPr>
        <w:t xml:space="preserve">ll participants.  Full details can be found at </w:t>
      </w:r>
      <w:hyperlink r:id="rId9" w:history="1">
        <w:r w:rsidRPr="0044105F">
          <w:rPr>
            <w:rStyle w:val="Hyperlink"/>
            <w:sz w:val="24"/>
            <w:szCs w:val="24"/>
            <w:shd w:val="clear" w:color="auto" w:fill="FFFFFF"/>
          </w:rPr>
          <w:t>https://www.ukbiobank.ac.uk/learn-more-about-uk-biobank/about-us/ethics</w:t>
        </w:r>
      </w:hyperlink>
      <w:r w:rsidRPr="000F7CB8">
        <w:rPr>
          <w:color w:val="222222"/>
          <w:sz w:val="24"/>
          <w:szCs w:val="24"/>
          <w:shd w:val="clear" w:color="auto" w:fill="FFFFFF"/>
        </w:rPr>
        <w:t xml:space="preserve">. The generation and use of the data presented in this paper was approved by the UK Biobank access </w:t>
      </w:r>
      <w:r w:rsidRPr="002961C2">
        <w:rPr>
          <w:sz w:val="24"/>
          <w:szCs w:val="24"/>
          <w:shd w:val="clear" w:color="auto" w:fill="FFFFFF"/>
        </w:rPr>
        <w:t>committee under UK Biobank application number 60</w:t>
      </w:r>
      <w:r w:rsidR="008234BA" w:rsidRPr="002961C2">
        <w:rPr>
          <w:sz w:val="24"/>
          <w:szCs w:val="24"/>
          <w:shd w:val="clear" w:color="auto" w:fill="FFFFFF"/>
        </w:rPr>
        <w:t>7</w:t>
      </w:r>
      <w:r w:rsidRPr="002961C2">
        <w:rPr>
          <w:sz w:val="24"/>
          <w:szCs w:val="24"/>
          <w:shd w:val="clear" w:color="auto" w:fill="FFFFFF"/>
        </w:rPr>
        <w:t>7.</w:t>
      </w:r>
    </w:p>
    <w:p w14:paraId="07CE8A10" w14:textId="3518A575" w:rsidR="001646B4" w:rsidRPr="002961C2" w:rsidRDefault="00D13547" w:rsidP="009D76FB">
      <w:pPr>
        <w:spacing w:line="480" w:lineRule="auto"/>
        <w:rPr>
          <w:rFonts w:eastAsia="Times New Roman" w:cstheme="minorHAnsi"/>
          <w:i/>
          <w:sz w:val="24"/>
          <w:szCs w:val="24"/>
          <w:shd w:val="clear" w:color="auto" w:fill="FFFFFF"/>
          <w:lang w:eastAsia="en-GB"/>
        </w:rPr>
      </w:pPr>
      <w:r w:rsidRPr="002961C2">
        <w:rPr>
          <w:i/>
          <w:sz w:val="24"/>
          <w:szCs w:val="24"/>
          <w:shd w:val="clear" w:color="auto" w:fill="FFFFFF"/>
        </w:rPr>
        <w:t>LTL measurements</w:t>
      </w:r>
      <w:r w:rsidRPr="002961C2">
        <w:rPr>
          <w:sz w:val="24"/>
          <w:szCs w:val="24"/>
          <w:shd w:val="clear" w:color="auto" w:fill="FFFFFF"/>
        </w:rPr>
        <w:t xml:space="preserve">: Full details of the LTL measurements </w:t>
      </w:r>
      <w:r w:rsidR="00626C7D" w:rsidRPr="002961C2">
        <w:rPr>
          <w:sz w:val="24"/>
          <w:szCs w:val="24"/>
          <w:shd w:val="clear" w:color="auto" w:fill="FFFFFF"/>
        </w:rPr>
        <w:t xml:space="preserve">in UKB </w:t>
      </w:r>
      <w:r w:rsidR="008E08BE" w:rsidRPr="002961C2">
        <w:rPr>
          <w:sz w:val="24"/>
          <w:szCs w:val="24"/>
          <w:shd w:val="clear" w:color="auto" w:fill="FFFFFF"/>
        </w:rPr>
        <w:t xml:space="preserve">are </w:t>
      </w:r>
      <w:r w:rsidR="00AA0C73" w:rsidRPr="002961C2">
        <w:rPr>
          <w:sz w:val="24"/>
          <w:szCs w:val="24"/>
          <w:shd w:val="clear" w:color="auto" w:fill="FFFFFF"/>
        </w:rPr>
        <w:t>provided elsewhere</w:t>
      </w:r>
      <w:r w:rsidR="00F65690" w:rsidRPr="002961C2">
        <w:rPr>
          <w:sz w:val="24"/>
          <w:szCs w:val="24"/>
          <w:shd w:val="clear" w:color="auto" w:fill="FFFFFF"/>
        </w:rPr>
        <w:t>.</w:t>
      </w:r>
      <w:r w:rsidR="00AA0C73" w:rsidRPr="002961C2">
        <w:rPr>
          <w:sz w:val="24"/>
          <w:szCs w:val="24"/>
          <w:shd w:val="clear" w:color="auto" w:fill="FFFFFF"/>
          <w:vertAlign w:val="superscript"/>
        </w:rPr>
        <w:t>6</w:t>
      </w:r>
      <w:r w:rsidRPr="002961C2">
        <w:rPr>
          <w:sz w:val="24"/>
          <w:szCs w:val="24"/>
          <w:shd w:val="clear" w:color="auto" w:fill="FFFFFF"/>
        </w:rPr>
        <w:t xml:space="preserve"> Briefly, LTL was measured using a</w:t>
      </w:r>
      <w:r w:rsidR="00BE4EDF" w:rsidRPr="002961C2">
        <w:rPr>
          <w:sz w:val="24"/>
          <w:szCs w:val="24"/>
          <w:shd w:val="clear" w:color="auto" w:fill="FFFFFF"/>
        </w:rPr>
        <w:t>n established</w:t>
      </w:r>
      <w:r w:rsidRPr="002961C2">
        <w:rPr>
          <w:sz w:val="24"/>
          <w:szCs w:val="24"/>
          <w:shd w:val="clear" w:color="auto" w:fill="FFFFFF"/>
        </w:rPr>
        <w:t xml:space="preserve"> PCR method that </w:t>
      </w:r>
      <w:r w:rsidR="008E08BE" w:rsidRPr="002961C2">
        <w:rPr>
          <w:sz w:val="24"/>
          <w:szCs w:val="24"/>
          <w:shd w:val="clear" w:color="auto" w:fill="FFFFFF"/>
        </w:rPr>
        <w:t>expresses LTL as a</w:t>
      </w:r>
      <w:r w:rsidR="00626C7D" w:rsidRPr="002961C2">
        <w:rPr>
          <w:sz w:val="24"/>
          <w:szCs w:val="24"/>
          <w:shd w:val="clear" w:color="auto" w:fill="FFFFFF"/>
        </w:rPr>
        <w:t xml:space="preserve"> </w:t>
      </w:r>
      <w:r w:rsidR="00626C7D" w:rsidRPr="002961C2">
        <w:rPr>
          <w:rFonts w:cstheme="minorHAnsi"/>
          <w:sz w:val="24"/>
          <w:szCs w:val="24"/>
        </w:rPr>
        <w:t xml:space="preserve">ratio </w:t>
      </w:r>
      <w:r w:rsidR="00CB2560" w:rsidRPr="002961C2">
        <w:rPr>
          <w:rFonts w:cstheme="minorHAnsi"/>
          <w:sz w:val="24"/>
          <w:szCs w:val="24"/>
        </w:rPr>
        <w:t>(T/S ratio)</w:t>
      </w:r>
      <w:r w:rsidR="00F65690" w:rsidRPr="002961C2">
        <w:rPr>
          <w:rFonts w:cstheme="minorHAnsi"/>
          <w:sz w:val="24"/>
          <w:szCs w:val="24"/>
        </w:rPr>
        <w:t>.</w:t>
      </w:r>
      <w:r w:rsidR="00537C66" w:rsidRPr="002961C2">
        <w:rPr>
          <w:rFonts w:cstheme="minorHAnsi"/>
          <w:sz w:val="24"/>
          <w:szCs w:val="24"/>
          <w:vertAlign w:val="superscript"/>
        </w:rPr>
        <w:t>6</w:t>
      </w:r>
      <w:r w:rsidR="00626C7D" w:rsidRPr="002961C2">
        <w:rPr>
          <w:rFonts w:cstheme="minorHAnsi"/>
          <w:sz w:val="24"/>
          <w:szCs w:val="24"/>
        </w:rPr>
        <w:t xml:space="preserve"> LTL measurements were adjusted for technical variation</w:t>
      </w:r>
      <w:r w:rsidR="008E08BE" w:rsidRPr="002961C2">
        <w:rPr>
          <w:rFonts w:cstheme="minorHAnsi"/>
          <w:sz w:val="24"/>
          <w:szCs w:val="24"/>
        </w:rPr>
        <w:t>, log</w:t>
      </w:r>
      <w:r w:rsidR="008E08BE" w:rsidRPr="002961C2">
        <w:rPr>
          <w:rFonts w:cstheme="minorHAnsi"/>
          <w:sz w:val="24"/>
          <w:szCs w:val="24"/>
          <w:vertAlign w:val="subscript"/>
        </w:rPr>
        <w:t>e</w:t>
      </w:r>
      <w:r w:rsidR="008E08BE" w:rsidRPr="002961C2">
        <w:rPr>
          <w:rFonts w:cstheme="minorHAnsi"/>
          <w:sz w:val="24"/>
          <w:szCs w:val="24"/>
        </w:rPr>
        <w:t xml:space="preserve"> transformed</w:t>
      </w:r>
      <w:r w:rsidR="00626C7D" w:rsidRPr="002961C2">
        <w:rPr>
          <w:rFonts w:cstheme="minorHAnsi"/>
          <w:sz w:val="24"/>
          <w:szCs w:val="24"/>
        </w:rPr>
        <w:t xml:space="preserve"> and Z-standardised</w:t>
      </w:r>
      <w:r w:rsidR="00F65690" w:rsidRPr="002961C2">
        <w:rPr>
          <w:rFonts w:cstheme="minorHAnsi"/>
          <w:sz w:val="24"/>
          <w:szCs w:val="24"/>
        </w:rPr>
        <w:t>.</w:t>
      </w:r>
      <w:r w:rsidR="006309E1" w:rsidRPr="002961C2">
        <w:rPr>
          <w:rFonts w:cstheme="minorHAnsi"/>
          <w:sz w:val="24"/>
          <w:szCs w:val="24"/>
          <w:vertAlign w:val="superscript"/>
        </w:rPr>
        <w:t>6</w:t>
      </w:r>
      <w:r w:rsidR="00626C7D" w:rsidRPr="002961C2">
        <w:rPr>
          <w:rFonts w:cstheme="minorHAnsi"/>
          <w:sz w:val="24"/>
          <w:szCs w:val="24"/>
        </w:rPr>
        <w:t xml:space="preserve"> </w:t>
      </w:r>
      <w:r w:rsidR="00085EEC" w:rsidRPr="002961C2">
        <w:rPr>
          <w:rFonts w:cstheme="minorHAnsi"/>
          <w:sz w:val="24"/>
          <w:szCs w:val="24"/>
        </w:rPr>
        <w:t xml:space="preserve">In order to assess and adjust for within individual variability in LTL </w:t>
      </w:r>
      <w:r w:rsidR="001E64BB" w:rsidRPr="002961C2">
        <w:rPr>
          <w:rFonts w:cstheme="minorHAnsi"/>
          <w:sz w:val="24"/>
          <w:szCs w:val="24"/>
        </w:rPr>
        <w:t xml:space="preserve">we </w:t>
      </w:r>
      <w:r w:rsidR="00085EEC" w:rsidRPr="002961C2">
        <w:rPr>
          <w:rFonts w:cstheme="minorHAnsi"/>
          <w:sz w:val="24"/>
          <w:szCs w:val="24"/>
        </w:rPr>
        <w:t>measured</w:t>
      </w:r>
      <w:r w:rsidR="00A45D01" w:rsidRPr="002961C2">
        <w:rPr>
          <w:rFonts w:cstheme="minorHAnsi"/>
          <w:sz w:val="24"/>
          <w:szCs w:val="24"/>
        </w:rPr>
        <w:t xml:space="preserve"> LTL at two time-points (mean interval: 5</w:t>
      </w:r>
      <w:r w:rsidR="005D2459" w:rsidRPr="002961C2">
        <w:rPr>
          <w:rFonts w:cstheme="minorHAnsi"/>
          <w:sz w:val="24"/>
          <w:szCs w:val="24"/>
          <w:shd w:val="clear" w:color="auto" w:fill="FFFFFF"/>
        </w:rPr>
        <w:t>·</w:t>
      </w:r>
      <w:r w:rsidR="00A45D01" w:rsidRPr="002961C2">
        <w:rPr>
          <w:rFonts w:cstheme="minorHAnsi"/>
          <w:sz w:val="24"/>
          <w:szCs w:val="24"/>
        </w:rPr>
        <w:t xml:space="preserve">5 years) </w:t>
      </w:r>
      <w:r w:rsidR="00085EEC" w:rsidRPr="002961C2">
        <w:rPr>
          <w:rFonts w:cstheme="minorHAnsi"/>
          <w:sz w:val="24"/>
          <w:szCs w:val="24"/>
        </w:rPr>
        <w:t xml:space="preserve">for </w:t>
      </w:r>
      <w:r w:rsidR="00A45D01" w:rsidRPr="002961C2">
        <w:rPr>
          <w:rFonts w:cstheme="minorHAnsi"/>
          <w:sz w:val="24"/>
          <w:szCs w:val="24"/>
        </w:rPr>
        <w:t>1,351 participants</w:t>
      </w:r>
      <w:r w:rsidR="001646B4" w:rsidRPr="002961C2">
        <w:rPr>
          <w:rFonts w:cstheme="minorHAnsi"/>
          <w:sz w:val="24"/>
          <w:szCs w:val="24"/>
        </w:rPr>
        <w:t>, yielding a</w:t>
      </w:r>
      <w:r w:rsidR="00A45D01" w:rsidRPr="002961C2">
        <w:rPr>
          <w:rFonts w:cstheme="minorHAnsi"/>
          <w:sz w:val="24"/>
          <w:szCs w:val="24"/>
        </w:rPr>
        <w:t xml:space="preserve"> regression-dilution ratio</w:t>
      </w:r>
      <w:r w:rsidR="001646B4" w:rsidRPr="002961C2">
        <w:rPr>
          <w:rFonts w:cstheme="minorHAnsi"/>
          <w:sz w:val="24"/>
          <w:szCs w:val="24"/>
        </w:rPr>
        <w:t xml:space="preserve"> of</w:t>
      </w:r>
      <w:r w:rsidR="00A45D01" w:rsidRPr="002961C2">
        <w:rPr>
          <w:rFonts w:cstheme="minorHAnsi"/>
          <w:sz w:val="24"/>
          <w:szCs w:val="24"/>
        </w:rPr>
        <w:t xml:space="preserve"> </w:t>
      </w:r>
      <w:r w:rsidR="00A45D01" w:rsidRPr="002961C2">
        <w:rPr>
          <w:sz w:val="24"/>
          <w:szCs w:val="24"/>
        </w:rPr>
        <w:sym w:font="Symbol" w:char="F07E"/>
      </w:r>
      <w:r w:rsidR="00A45D01" w:rsidRPr="002961C2">
        <w:rPr>
          <w:sz w:val="24"/>
          <w:szCs w:val="24"/>
        </w:rPr>
        <w:t>0</w:t>
      </w:r>
      <w:r w:rsidR="005D2459" w:rsidRPr="002961C2">
        <w:rPr>
          <w:rFonts w:cstheme="minorHAnsi"/>
          <w:sz w:val="24"/>
          <w:szCs w:val="24"/>
          <w:shd w:val="clear" w:color="auto" w:fill="FFFFFF"/>
        </w:rPr>
        <w:t>·</w:t>
      </w:r>
      <w:r w:rsidR="001F4F1B" w:rsidRPr="002961C2">
        <w:rPr>
          <w:sz w:val="24"/>
          <w:szCs w:val="24"/>
        </w:rPr>
        <w:t>68</w:t>
      </w:r>
      <w:r w:rsidR="00A45D01" w:rsidRPr="002961C2">
        <w:rPr>
          <w:rFonts w:cstheme="minorHAnsi"/>
          <w:sz w:val="24"/>
          <w:szCs w:val="24"/>
        </w:rPr>
        <w:t xml:space="preserve">. </w:t>
      </w:r>
      <w:r w:rsidR="001646B4" w:rsidRPr="002961C2">
        <w:rPr>
          <w:rFonts w:cstheme="minorHAnsi"/>
          <w:sz w:val="24"/>
          <w:szCs w:val="24"/>
        </w:rPr>
        <w:t xml:space="preserve"> </w:t>
      </w:r>
      <w:r w:rsidR="00F2130B" w:rsidRPr="002961C2">
        <w:rPr>
          <w:rFonts w:cstheme="minorHAnsi"/>
          <w:sz w:val="24"/>
          <w:szCs w:val="24"/>
        </w:rPr>
        <w:t>R</w:t>
      </w:r>
      <w:r w:rsidR="00A45D01" w:rsidRPr="002961C2">
        <w:rPr>
          <w:sz w:val="24"/>
          <w:szCs w:val="24"/>
        </w:rPr>
        <w:t xml:space="preserve">esults in this study </w:t>
      </w:r>
      <w:r w:rsidR="001646B4" w:rsidRPr="002961C2">
        <w:rPr>
          <w:sz w:val="24"/>
          <w:szCs w:val="24"/>
        </w:rPr>
        <w:t>have</w:t>
      </w:r>
      <w:r w:rsidR="00A45D01" w:rsidRPr="002961C2">
        <w:rPr>
          <w:sz w:val="24"/>
          <w:szCs w:val="24"/>
        </w:rPr>
        <w:t xml:space="preserve"> </w:t>
      </w:r>
      <w:r w:rsidR="000D2EFC" w:rsidRPr="002961C2">
        <w:rPr>
          <w:sz w:val="24"/>
          <w:szCs w:val="24"/>
        </w:rPr>
        <w:t xml:space="preserve">been </w:t>
      </w:r>
      <w:r w:rsidR="00A45D01" w:rsidRPr="002961C2">
        <w:rPr>
          <w:sz w:val="24"/>
          <w:szCs w:val="24"/>
        </w:rPr>
        <w:t xml:space="preserve">corrected for </w:t>
      </w:r>
      <w:r w:rsidR="00A45D01" w:rsidRPr="002961C2">
        <w:rPr>
          <w:rFonts w:eastAsia="Times New Roman" w:cstheme="minorHAnsi"/>
          <w:sz w:val="24"/>
          <w:szCs w:val="24"/>
          <w:shd w:val="clear" w:color="auto" w:fill="FFFFFF"/>
          <w:lang w:eastAsia="en-GB"/>
        </w:rPr>
        <w:t>within-person variability of LTL values over time</w:t>
      </w:r>
      <w:r w:rsidR="00A45D01" w:rsidRPr="002961C2">
        <w:rPr>
          <w:sz w:val="24"/>
          <w:szCs w:val="24"/>
        </w:rPr>
        <w:t xml:space="preserve"> (abbreviated "usual LTL"), as described previously</w:t>
      </w:r>
      <w:r w:rsidR="00F65690" w:rsidRPr="002961C2">
        <w:rPr>
          <w:sz w:val="24"/>
          <w:szCs w:val="24"/>
        </w:rPr>
        <w:t>.</w:t>
      </w:r>
      <w:r w:rsidR="006309E1" w:rsidRPr="002961C2">
        <w:rPr>
          <w:rFonts w:eastAsia="Times New Roman" w:cstheme="minorHAnsi"/>
          <w:sz w:val="24"/>
          <w:szCs w:val="24"/>
          <w:shd w:val="clear" w:color="auto" w:fill="FFFFFF"/>
          <w:vertAlign w:val="superscript"/>
          <w:lang w:eastAsia="en-GB"/>
        </w:rPr>
        <w:t>6</w:t>
      </w:r>
      <w:r w:rsidR="00561861" w:rsidRPr="002961C2">
        <w:rPr>
          <w:rFonts w:eastAsia="Times New Roman" w:cstheme="minorHAnsi"/>
          <w:sz w:val="24"/>
          <w:szCs w:val="24"/>
          <w:shd w:val="clear" w:color="auto" w:fill="FFFFFF"/>
          <w:vertAlign w:val="superscript"/>
          <w:lang w:eastAsia="en-GB"/>
        </w:rPr>
        <w:t>,</w:t>
      </w:r>
      <w:r w:rsidR="00103EB6" w:rsidRPr="002961C2">
        <w:rPr>
          <w:rFonts w:eastAsia="Times New Roman" w:cstheme="minorHAnsi"/>
          <w:sz w:val="24"/>
          <w:szCs w:val="24"/>
          <w:shd w:val="clear" w:color="auto" w:fill="FFFFFF"/>
          <w:vertAlign w:val="superscript"/>
          <w:lang w:eastAsia="en-GB"/>
        </w:rPr>
        <w:t>15</w:t>
      </w:r>
    </w:p>
    <w:p w14:paraId="19934A47" w14:textId="1D6F97E0" w:rsidR="00DF55CF" w:rsidRPr="002961C2" w:rsidRDefault="00081331" w:rsidP="009D76FB">
      <w:pPr>
        <w:spacing w:line="480" w:lineRule="auto"/>
        <w:rPr>
          <w:sz w:val="24"/>
          <w:shd w:val="clear" w:color="auto" w:fill="FFFFFF"/>
        </w:rPr>
      </w:pPr>
      <w:r w:rsidRPr="002961C2">
        <w:rPr>
          <w:rFonts w:eastAsia="Times New Roman" w:cstheme="minorHAnsi"/>
          <w:i/>
          <w:sz w:val="24"/>
          <w:szCs w:val="24"/>
          <w:shd w:val="clear" w:color="auto" w:fill="FFFFFF"/>
          <w:lang w:eastAsia="en-GB"/>
        </w:rPr>
        <w:t>O</w:t>
      </w:r>
      <w:r w:rsidR="009D76FB" w:rsidRPr="002961C2">
        <w:rPr>
          <w:rFonts w:eastAsia="Times New Roman" w:cstheme="minorHAnsi"/>
          <w:i/>
          <w:sz w:val="24"/>
          <w:szCs w:val="24"/>
          <w:shd w:val="clear" w:color="auto" w:fill="FFFFFF"/>
          <w:lang w:eastAsia="en-GB"/>
        </w:rPr>
        <w:t>utcome</w:t>
      </w:r>
      <w:r w:rsidRPr="002961C2">
        <w:rPr>
          <w:rFonts w:eastAsia="Times New Roman" w:cstheme="minorHAnsi"/>
          <w:i/>
          <w:sz w:val="24"/>
          <w:szCs w:val="24"/>
          <w:shd w:val="clear" w:color="auto" w:fill="FFFFFF"/>
          <w:lang w:eastAsia="en-GB"/>
        </w:rPr>
        <w:t xml:space="preserve"> definition</w:t>
      </w:r>
      <w:r w:rsidR="00142739" w:rsidRPr="002961C2">
        <w:rPr>
          <w:rFonts w:eastAsia="Times New Roman" w:cstheme="minorHAnsi"/>
          <w:i/>
          <w:sz w:val="24"/>
          <w:szCs w:val="24"/>
          <w:shd w:val="clear" w:color="auto" w:fill="FFFFFF"/>
          <w:lang w:eastAsia="en-GB"/>
        </w:rPr>
        <w:t>s</w:t>
      </w:r>
      <w:r w:rsidR="009D76FB" w:rsidRPr="002961C2">
        <w:rPr>
          <w:rFonts w:eastAsia="Times New Roman" w:cstheme="minorHAnsi"/>
          <w:i/>
          <w:sz w:val="24"/>
          <w:szCs w:val="24"/>
          <w:shd w:val="clear" w:color="auto" w:fill="FFFFFF"/>
          <w:lang w:eastAsia="en-GB"/>
        </w:rPr>
        <w:t xml:space="preserve">: </w:t>
      </w:r>
      <w:r w:rsidR="001646B4" w:rsidRPr="002961C2">
        <w:rPr>
          <w:rFonts w:eastAsia="Times New Roman" w:cstheme="minorHAnsi"/>
          <w:sz w:val="24"/>
          <w:szCs w:val="24"/>
          <w:shd w:val="clear" w:color="auto" w:fill="FFFFFF"/>
          <w:lang w:eastAsia="en-GB"/>
        </w:rPr>
        <w:t>Our</w:t>
      </w:r>
      <w:r w:rsidR="009D76FB" w:rsidRPr="002961C2">
        <w:rPr>
          <w:rFonts w:eastAsia="Times New Roman" w:cstheme="minorHAnsi"/>
          <w:sz w:val="24"/>
          <w:szCs w:val="24"/>
          <w:shd w:val="clear" w:color="auto" w:fill="FFFFFF"/>
          <w:lang w:eastAsia="en-GB"/>
        </w:rPr>
        <w:t xml:space="preserve"> </w:t>
      </w:r>
      <w:r w:rsidR="000B6FE1" w:rsidRPr="002961C2">
        <w:rPr>
          <w:rFonts w:eastAsia="Times New Roman" w:cstheme="minorHAnsi"/>
          <w:sz w:val="24"/>
          <w:szCs w:val="24"/>
          <w:shd w:val="clear" w:color="auto" w:fill="FFFFFF"/>
          <w:lang w:eastAsia="en-GB"/>
        </w:rPr>
        <w:t xml:space="preserve">study’s </w:t>
      </w:r>
      <w:r w:rsidR="009D76FB" w:rsidRPr="002961C2">
        <w:rPr>
          <w:rFonts w:eastAsia="Times New Roman" w:cstheme="minorHAnsi"/>
          <w:sz w:val="24"/>
          <w:szCs w:val="24"/>
          <w:shd w:val="clear" w:color="auto" w:fill="FFFFFF"/>
          <w:lang w:eastAsia="en-GB"/>
        </w:rPr>
        <w:t xml:space="preserve">primary outcome was a composite of </w:t>
      </w:r>
      <w:r w:rsidR="00E02303" w:rsidRPr="002961C2">
        <w:rPr>
          <w:rFonts w:eastAsia="Times New Roman" w:cstheme="minorHAnsi"/>
          <w:sz w:val="24"/>
          <w:szCs w:val="24"/>
          <w:shd w:val="clear" w:color="auto" w:fill="FFFFFF"/>
          <w:lang w:eastAsia="en-GB"/>
        </w:rPr>
        <w:t>COVID</w:t>
      </w:r>
      <w:r w:rsidR="009D76FB" w:rsidRPr="002961C2">
        <w:rPr>
          <w:rFonts w:eastAsia="Times New Roman" w:cstheme="minorHAnsi"/>
          <w:sz w:val="24"/>
          <w:szCs w:val="24"/>
          <w:shd w:val="clear" w:color="auto" w:fill="FFFFFF"/>
          <w:lang w:eastAsia="en-GB"/>
        </w:rPr>
        <w:t>-19</w:t>
      </w:r>
      <w:r w:rsidR="006524E5" w:rsidRPr="002961C2">
        <w:rPr>
          <w:rFonts w:eastAsia="Times New Roman" w:cstheme="minorHAnsi"/>
          <w:sz w:val="24"/>
          <w:szCs w:val="24"/>
          <w:shd w:val="clear" w:color="auto" w:fill="FFFFFF"/>
          <w:lang w:eastAsia="en-GB"/>
        </w:rPr>
        <w:t>-</w:t>
      </w:r>
      <w:r w:rsidR="009D76FB" w:rsidRPr="002961C2">
        <w:rPr>
          <w:rFonts w:eastAsia="Times New Roman" w:cstheme="minorHAnsi"/>
          <w:sz w:val="24"/>
          <w:szCs w:val="24"/>
          <w:shd w:val="clear" w:color="auto" w:fill="FFFFFF"/>
          <w:lang w:eastAsia="en-GB"/>
        </w:rPr>
        <w:t>related</w:t>
      </w:r>
      <w:r w:rsidR="00F2130B" w:rsidRPr="002961C2">
        <w:rPr>
          <w:rFonts w:eastAsia="Times New Roman" w:cstheme="minorHAnsi"/>
          <w:sz w:val="24"/>
          <w:szCs w:val="24"/>
          <w:shd w:val="clear" w:color="auto" w:fill="FFFFFF"/>
          <w:lang w:eastAsia="en-GB"/>
        </w:rPr>
        <w:t xml:space="preserve"> </w:t>
      </w:r>
      <w:r w:rsidR="00AD1D35" w:rsidRPr="002961C2">
        <w:rPr>
          <w:rFonts w:eastAsia="Times New Roman" w:cstheme="minorHAnsi"/>
          <w:sz w:val="24"/>
          <w:szCs w:val="24"/>
          <w:shd w:val="clear" w:color="auto" w:fill="FFFFFF"/>
          <w:lang w:eastAsia="en-GB"/>
        </w:rPr>
        <w:t xml:space="preserve">outcomes </w:t>
      </w:r>
      <w:r w:rsidR="00F2130B" w:rsidRPr="002961C2">
        <w:rPr>
          <w:sz w:val="24"/>
          <w:szCs w:val="24"/>
          <w:shd w:val="clear" w:color="auto" w:fill="FFFFFF"/>
        </w:rPr>
        <w:t>(ICD-10 code ‘U07.1’)</w:t>
      </w:r>
      <w:r w:rsidR="00F2130B" w:rsidRPr="002961C2">
        <w:rPr>
          <w:rFonts w:eastAsia="Times New Roman" w:cstheme="minorHAnsi"/>
          <w:sz w:val="24"/>
          <w:szCs w:val="24"/>
          <w:shd w:val="clear" w:color="auto" w:fill="FFFFFF"/>
          <w:lang w:eastAsia="en-GB"/>
        </w:rPr>
        <w:t>:</w:t>
      </w:r>
      <w:r w:rsidR="009D76FB" w:rsidRPr="002961C2">
        <w:rPr>
          <w:rFonts w:eastAsia="Times New Roman" w:cstheme="minorHAnsi"/>
          <w:sz w:val="24"/>
          <w:szCs w:val="24"/>
          <w:shd w:val="clear" w:color="auto" w:fill="FFFFFF"/>
          <w:lang w:eastAsia="en-GB"/>
        </w:rPr>
        <w:t xml:space="preserve"> </w:t>
      </w:r>
      <w:r w:rsidR="008D7C95" w:rsidRPr="002961C2">
        <w:rPr>
          <w:rFonts w:eastAsia="Times New Roman" w:cstheme="minorHAnsi"/>
          <w:sz w:val="24"/>
          <w:szCs w:val="24"/>
          <w:shd w:val="clear" w:color="auto" w:fill="FFFFFF"/>
          <w:lang w:eastAsia="en-GB"/>
        </w:rPr>
        <w:t>hospital admission</w:t>
      </w:r>
      <w:r w:rsidR="009D76FB" w:rsidRPr="002961C2">
        <w:rPr>
          <w:rFonts w:eastAsia="Times New Roman" w:cstheme="minorHAnsi"/>
          <w:sz w:val="24"/>
          <w:szCs w:val="24"/>
          <w:shd w:val="clear" w:color="auto" w:fill="FFFFFF"/>
          <w:lang w:eastAsia="en-GB"/>
        </w:rPr>
        <w:t>, requirement for critical care</w:t>
      </w:r>
      <w:r w:rsidR="00F2130B" w:rsidRPr="002961C2">
        <w:rPr>
          <w:rFonts w:eastAsia="Times New Roman" w:cstheme="minorHAnsi"/>
          <w:sz w:val="24"/>
          <w:szCs w:val="24"/>
          <w:shd w:val="clear" w:color="auto" w:fill="FFFFFF"/>
          <w:lang w:eastAsia="en-GB"/>
        </w:rPr>
        <w:t>,</w:t>
      </w:r>
      <w:r w:rsidR="00C92C68" w:rsidRPr="002961C2">
        <w:rPr>
          <w:rFonts w:eastAsia="Times New Roman" w:cstheme="minorHAnsi"/>
          <w:sz w:val="24"/>
          <w:szCs w:val="24"/>
          <w:shd w:val="clear" w:color="auto" w:fill="FFFFFF"/>
          <w:lang w:eastAsia="en-GB"/>
        </w:rPr>
        <w:t xml:space="preserve"> respiratory support</w:t>
      </w:r>
      <w:r w:rsidR="00733200" w:rsidRPr="002961C2">
        <w:rPr>
          <w:rFonts w:eastAsia="Times New Roman" w:cstheme="minorHAnsi"/>
          <w:sz w:val="24"/>
          <w:szCs w:val="24"/>
          <w:shd w:val="clear" w:color="auto" w:fill="FFFFFF"/>
          <w:lang w:eastAsia="en-GB"/>
        </w:rPr>
        <w:t>, or</w:t>
      </w:r>
      <w:r w:rsidR="009D76FB" w:rsidRPr="002961C2">
        <w:rPr>
          <w:rFonts w:eastAsia="Times New Roman" w:cstheme="minorHAnsi"/>
          <w:sz w:val="24"/>
          <w:szCs w:val="24"/>
          <w:shd w:val="clear" w:color="auto" w:fill="FFFFFF"/>
          <w:lang w:eastAsia="en-GB"/>
        </w:rPr>
        <w:t xml:space="preserve"> mortality. We defined cases as those participants in UKB who tested positive for </w:t>
      </w:r>
      <w:r w:rsidR="00583F28" w:rsidRPr="002961C2">
        <w:rPr>
          <w:sz w:val="24"/>
          <w:szCs w:val="24"/>
          <w:shd w:val="clear" w:color="auto" w:fill="FFFFFF"/>
        </w:rPr>
        <w:t xml:space="preserve">SARS-CoV-2 </w:t>
      </w:r>
      <w:r w:rsidR="00B57189" w:rsidRPr="002961C2">
        <w:rPr>
          <w:rFonts w:eastAsia="Times New Roman" w:cstheme="minorHAnsi"/>
          <w:sz w:val="24"/>
          <w:szCs w:val="24"/>
          <w:shd w:val="clear" w:color="auto" w:fill="FFFFFF"/>
          <w:lang w:eastAsia="en-GB"/>
        </w:rPr>
        <w:t xml:space="preserve">and </w:t>
      </w:r>
      <w:r w:rsidR="009D76FB" w:rsidRPr="002961C2">
        <w:rPr>
          <w:rFonts w:eastAsia="Times New Roman" w:cstheme="minorHAnsi"/>
          <w:sz w:val="24"/>
          <w:szCs w:val="24"/>
          <w:shd w:val="clear" w:color="auto" w:fill="FFFFFF"/>
          <w:lang w:eastAsia="en-GB"/>
        </w:rPr>
        <w:t>had the primary outcome</w:t>
      </w:r>
      <w:r w:rsidR="001646B4" w:rsidRPr="002961C2">
        <w:rPr>
          <w:rFonts w:eastAsia="Times New Roman" w:cstheme="minorHAnsi"/>
          <w:sz w:val="24"/>
          <w:szCs w:val="24"/>
          <w:shd w:val="clear" w:color="auto" w:fill="FFFFFF"/>
          <w:lang w:eastAsia="en-GB"/>
        </w:rPr>
        <w:t xml:space="preserve">. </w:t>
      </w:r>
      <w:r w:rsidRPr="002961C2">
        <w:rPr>
          <w:rFonts w:eastAsia="Times New Roman" w:cstheme="minorHAnsi"/>
          <w:sz w:val="24"/>
          <w:szCs w:val="24"/>
          <w:shd w:val="clear" w:color="auto" w:fill="FFFFFF"/>
          <w:lang w:eastAsia="en-GB"/>
        </w:rPr>
        <w:t>For our primary outcome, c</w:t>
      </w:r>
      <w:r w:rsidR="001646B4" w:rsidRPr="002961C2">
        <w:rPr>
          <w:rFonts w:eastAsia="Times New Roman" w:cstheme="minorHAnsi"/>
          <w:sz w:val="24"/>
          <w:szCs w:val="24"/>
          <w:shd w:val="clear" w:color="auto" w:fill="FFFFFF"/>
          <w:lang w:eastAsia="en-GB"/>
        </w:rPr>
        <w:t>o</w:t>
      </w:r>
      <w:r w:rsidR="009D76FB" w:rsidRPr="002961C2">
        <w:rPr>
          <w:rFonts w:eastAsia="Times New Roman" w:cstheme="minorHAnsi"/>
          <w:sz w:val="24"/>
          <w:szCs w:val="24"/>
          <w:shd w:val="clear" w:color="auto" w:fill="FFFFFF"/>
          <w:lang w:eastAsia="en-GB"/>
        </w:rPr>
        <w:t xml:space="preserve">ntrols </w:t>
      </w:r>
      <w:r w:rsidR="001646B4" w:rsidRPr="002961C2">
        <w:rPr>
          <w:rFonts w:eastAsia="Times New Roman" w:cstheme="minorHAnsi"/>
          <w:sz w:val="24"/>
          <w:szCs w:val="24"/>
          <w:shd w:val="clear" w:color="auto" w:fill="FFFFFF"/>
          <w:lang w:eastAsia="en-GB"/>
        </w:rPr>
        <w:t>were</w:t>
      </w:r>
      <w:r w:rsidR="009D76FB" w:rsidRPr="002961C2">
        <w:rPr>
          <w:rFonts w:eastAsia="Times New Roman" w:cstheme="minorHAnsi"/>
          <w:sz w:val="24"/>
          <w:szCs w:val="24"/>
          <w:shd w:val="clear" w:color="auto" w:fill="FFFFFF"/>
          <w:lang w:eastAsia="en-GB"/>
        </w:rPr>
        <w:t xml:space="preserve"> those who </w:t>
      </w:r>
      <w:r w:rsidR="00791760" w:rsidRPr="002961C2">
        <w:rPr>
          <w:rFonts w:eastAsia="Times New Roman" w:cstheme="minorHAnsi"/>
          <w:sz w:val="24"/>
          <w:szCs w:val="24"/>
          <w:shd w:val="clear" w:color="auto" w:fill="FFFFFF"/>
          <w:lang w:eastAsia="en-GB"/>
        </w:rPr>
        <w:t xml:space="preserve">tested positive for </w:t>
      </w:r>
      <w:r w:rsidR="00583F28" w:rsidRPr="002961C2">
        <w:rPr>
          <w:sz w:val="24"/>
          <w:szCs w:val="24"/>
          <w:shd w:val="clear" w:color="auto" w:fill="FFFFFF"/>
        </w:rPr>
        <w:t xml:space="preserve">SARS-CoV-2 </w:t>
      </w:r>
      <w:r w:rsidR="00791760" w:rsidRPr="002961C2">
        <w:rPr>
          <w:rFonts w:eastAsia="Times New Roman" w:cstheme="minorHAnsi"/>
          <w:sz w:val="24"/>
          <w:szCs w:val="24"/>
          <w:shd w:val="clear" w:color="auto" w:fill="FFFFFF"/>
          <w:lang w:eastAsia="en-GB"/>
        </w:rPr>
        <w:t xml:space="preserve">but </w:t>
      </w:r>
      <w:r w:rsidRPr="002961C2">
        <w:rPr>
          <w:rFonts w:eastAsia="Times New Roman" w:cstheme="minorHAnsi"/>
          <w:sz w:val="24"/>
          <w:szCs w:val="24"/>
          <w:shd w:val="clear" w:color="auto" w:fill="FFFFFF"/>
          <w:lang w:eastAsia="en-GB"/>
        </w:rPr>
        <w:t>were not hospitalised within 28 days</w:t>
      </w:r>
      <w:r w:rsidR="00791760" w:rsidRPr="002961C2">
        <w:rPr>
          <w:rFonts w:eastAsia="Times New Roman" w:cstheme="minorHAnsi"/>
          <w:sz w:val="24"/>
          <w:szCs w:val="24"/>
          <w:shd w:val="clear" w:color="auto" w:fill="FFFFFF"/>
          <w:lang w:eastAsia="en-GB"/>
        </w:rPr>
        <w:t xml:space="preserve">. </w:t>
      </w:r>
      <w:r w:rsidR="000D3A79" w:rsidRPr="002961C2">
        <w:rPr>
          <w:sz w:val="24"/>
          <w:shd w:val="clear" w:color="auto" w:fill="FFFFFF"/>
        </w:rPr>
        <w:t>T</w:t>
      </w:r>
      <w:r w:rsidR="00561861" w:rsidRPr="002961C2">
        <w:rPr>
          <w:sz w:val="24"/>
          <w:shd w:val="clear" w:color="auto" w:fill="FFFFFF"/>
        </w:rPr>
        <w:t xml:space="preserve">o </w:t>
      </w:r>
      <w:r w:rsidR="00B57189" w:rsidRPr="002961C2">
        <w:rPr>
          <w:sz w:val="24"/>
          <w:shd w:val="clear" w:color="auto" w:fill="FFFFFF"/>
        </w:rPr>
        <w:t>reduce the</w:t>
      </w:r>
      <w:r w:rsidR="000D3A79" w:rsidRPr="002961C2">
        <w:rPr>
          <w:sz w:val="24"/>
          <w:shd w:val="clear" w:color="auto" w:fill="FFFFFF"/>
        </w:rPr>
        <w:t xml:space="preserve"> </w:t>
      </w:r>
      <w:r w:rsidR="001646B4" w:rsidRPr="002961C2">
        <w:rPr>
          <w:sz w:val="24"/>
          <w:shd w:val="clear" w:color="auto" w:fill="FFFFFF"/>
        </w:rPr>
        <w:t>scope</w:t>
      </w:r>
      <w:r w:rsidR="000D3A79" w:rsidRPr="002961C2">
        <w:rPr>
          <w:sz w:val="24"/>
          <w:shd w:val="clear" w:color="auto" w:fill="FFFFFF"/>
        </w:rPr>
        <w:t xml:space="preserve"> </w:t>
      </w:r>
      <w:r w:rsidR="00B57189" w:rsidRPr="002961C2">
        <w:rPr>
          <w:sz w:val="24"/>
          <w:shd w:val="clear" w:color="auto" w:fill="FFFFFF"/>
        </w:rPr>
        <w:t xml:space="preserve">for </w:t>
      </w:r>
      <w:r w:rsidR="000D3A79" w:rsidRPr="002961C2">
        <w:rPr>
          <w:sz w:val="24"/>
          <w:shd w:val="clear" w:color="auto" w:fill="FFFFFF"/>
        </w:rPr>
        <w:t>collider bias</w:t>
      </w:r>
      <w:r w:rsidR="000D3A79" w:rsidRPr="002961C2">
        <w:rPr>
          <w:sz w:val="24"/>
          <w:shd w:val="clear" w:color="auto" w:fill="FFFFFF"/>
          <w:vertAlign w:val="superscript"/>
        </w:rPr>
        <w:t>1</w:t>
      </w:r>
      <w:r w:rsidR="00103EB6" w:rsidRPr="002961C2">
        <w:rPr>
          <w:sz w:val="24"/>
          <w:shd w:val="clear" w:color="auto" w:fill="FFFFFF"/>
          <w:vertAlign w:val="superscript"/>
        </w:rPr>
        <w:t>8</w:t>
      </w:r>
      <w:r w:rsidR="000D3A79" w:rsidRPr="002961C2">
        <w:rPr>
          <w:sz w:val="24"/>
          <w:shd w:val="clear" w:color="auto" w:fill="FFFFFF"/>
        </w:rPr>
        <w:t xml:space="preserve"> w</w:t>
      </w:r>
      <w:r w:rsidR="000D3A79" w:rsidRPr="002961C2">
        <w:rPr>
          <w:sz w:val="24"/>
          <w:szCs w:val="24"/>
          <w:shd w:val="clear" w:color="auto" w:fill="FFFFFF"/>
        </w:rPr>
        <w:t>e included only participants with positive SARS-CoV-2 tests done outside of hospital settings, since</w:t>
      </w:r>
      <w:r w:rsidR="00804B50" w:rsidRPr="002961C2">
        <w:rPr>
          <w:sz w:val="24"/>
          <w:shd w:val="clear" w:color="auto" w:fill="FFFFFF"/>
        </w:rPr>
        <w:t xml:space="preserve"> </w:t>
      </w:r>
      <w:r w:rsidR="008D7C95" w:rsidRPr="002961C2">
        <w:rPr>
          <w:sz w:val="24"/>
          <w:shd w:val="clear" w:color="auto" w:fill="FFFFFF"/>
        </w:rPr>
        <w:t xml:space="preserve">hospital admission </w:t>
      </w:r>
      <w:r w:rsidR="00561861" w:rsidRPr="002961C2">
        <w:rPr>
          <w:sz w:val="24"/>
          <w:shd w:val="clear" w:color="auto" w:fill="FFFFFF"/>
        </w:rPr>
        <w:t xml:space="preserve">itself </w:t>
      </w:r>
      <w:r w:rsidR="00804B50" w:rsidRPr="002961C2">
        <w:rPr>
          <w:sz w:val="24"/>
          <w:shd w:val="clear" w:color="auto" w:fill="FFFFFF"/>
        </w:rPr>
        <w:t xml:space="preserve">may increase the likelihood of </w:t>
      </w:r>
      <w:r w:rsidR="00804B50" w:rsidRPr="002961C2">
        <w:rPr>
          <w:sz w:val="24"/>
          <w:szCs w:val="24"/>
          <w:shd w:val="clear" w:color="auto" w:fill="FFFFFF"/>
        </w:rPr>
        <w:t xml:space="preserve">SARS-CoV-2 </w:t>
      </w:r>
      <w:r w:rsidR="00804B50" w:rsidRPr="002961C2">
        <w:rPr>
          <w:sz w:val="24"/>
          <w:shd w:val="clear" w:color="auto" w:fill="FFFFFF"/>
        </w:rPr>
        <w:t>testing</w:t>
      </w:r>
      <w:r w:rsidR="00B57189" w:rsidRPr="002961C2">
        <w:rPr>
          <w:sz w:val="24"/>
          <w:shd w:val="clear" w:color="auto" w:fill="FFFFFF"/>
        </w:rPr>
        <w:t>.</w:t>
      </w:r>
      <w:r w:rsidR="00804B50" w:rsidRPr="002961C2">
        <w:rPr>
          <w:sz w:val="24"/>
          <w:shd w:val="clear" w:color="auto" w:fill="FFFFFF"/>
        </w:rPr>
        <w:t xml:space="preserve"> </w:t>
      </w:r>
      <w:r w:rsidR="000D3A79" w:rsidRPr="002961C2">
        <w:rPr>
          <w:sz w:val="24"/>
          <w:shd w:val="clear" w:color="auto" w:fill="FFFFFF"/>
        </w:rPr>
        <w:t>T</w:t>
      </w:r>
      <w:r w:rsidR="00804B50" w:rsidRPr="002961C2">
        <w:rPr>
          <w:sz w:val="24"/>
          <w:szCs w:val="24"/>
          <w:shd w:val="clear" w:color="auto" w:fill="FFFFFF"/>
        </w:rPr>
        <w:t xml:space="preserve">he </w:t>
      </w:r>
      <w:r w:rsidR="000D3A03" w:rsidRPr="002961C2">
        <w:rPr>
          <w:sz w:val="24"/>
          <w:szCs w:val="24"/>
          <w:shd w:val="clear" w:color="auto" w:fill="FFFFFF"/>
        </w:rPr>
        <w:t xml:space="preserve">age, sex and ethnicity adjusted </w:t>
      </w:r>
      <w:r w:rsidR="00804B50" w:rsidRPr="002961C2">
        <w:rPr>
          <w:sz w:val="24"/>
          <w:szCs w:val="24"/>
          <w:shd w:val="clear" w:color="auto" w:fill="FFFFFF"/>
        </w:rPr>
        <w:t xml:space="preserve">odds ratio </w:t>
      </w:r>
      <w:r w:rsidR="00C206CE" w:rsidRPr="002961C2">
        <w:rPr>
          <w:sz w:val="24"/>
          <w:szCs w:val="24"/>
          <w:shd w:val="clear" w:color="auto" w:fill="FFFFFF"/>
        </w:rPr>
        <w:t xml:space="preserve">(OR) </w:t>
      </w:r>
      <w:r w:rsidR="00804B50" w:rsidRPr="002961C2">
        <w:rPr>
          <w:sz w:val="24"/>
          <w:szCs w:val="24"/>
          <w:shd w:val="clear" w:color="auto" w:fill="FFFFFF"/>
        </w:rPr>
        <w:t>for having a SARS-CoV-2 test</w:t>
      </w:r>
      <w:r w:rsidR="00AF44E8" w:rsidRPr="002961C2">
        <w:rPr>
          <w:sz w:val="24"/>
          <w:szCs w:val="24"/>
          <w:shd w:val="clear" w:color="auto" w:fill="FFFFFF"/>
        </w:rPr>
        <w:t xml:space="preserve"> (n=43,574)</w:t>
      </w:r>
      <w:r w:rsidR="00CB3229" w:rsidRPr="002961C2">
        <w:rPr>
          <w:sz w:val="24"/>
          <w:szCs w:val="24"/>
          <w:shd w:val="clear" w:color="auto" w:fill="FFFFFF"/>
        </w:rPr>
        <w:t xml:space="preserve"> at any location,</w:t>
      </w:r>
      <w:r w:rsidR="00804B50" w:rsidRPr="002961C2">
        <w:rPr>
          <w:sz w:val="24"/>
          <w:szCs w:val="24"/>
          <w:shd w:val="clear" w:color="auto" w:fill="FFFFFF"/>
        </w:rPr>
        <w:t xml:space="preserve"> was </w:t>
      </w:r>
      <w:r w:rsidR="000D3A79" w:rsidRPr="002961C2">
        <w:rPr>
          <w:sz w:val="24"/>
          <w:shd w:val="clear" w:color="auto" w:fill="FFFFFF"/>
        </w:rPr>
        <w:t>1</w:t>
      </w:r>
      <w:r w:rsidR="005D2459" w:rsidRPr="002961C2">
        <w:rPr>
          <w:rFonts w:cstheme="minorHAnsi"/>
          <w:sz w:val="24"/>
          <w:szCs w:val="24"/>
          <w:shd w:val="clear" w:color="auto" w:fill="FFFFFF"/>
        </w:rPr>
        <w:t>·</w:t>
      </w:r>
      <w:r w:rsidR="000D3A79" w:rsidRPr="002961C2">
        <w:rPr>
          <w:sz w:val="24"/>
          <w:shd w:val="clear" w:color="auto" w:fill="FFFFFF"/>
        </w:rPr>
        <w:t xml:space="preserve">03, </w:t>
      </w:r>
      <w:r w:rsidR="00E10BA4" w:rsidRPr="002961C2">
        <w:rPr>
          <w:sz w:val="24"/>
          <w:shd w:val="clear" w:color="auto" w:fill="FFFFFF"/>
        </w:rPr>
        <w:t>(</w:t>
      </w:r>
      <w:r w:rsidR="00804B50" w:rsidRPr="002961C2">
        <w:rPr>
          <w:sz w:val="24"/>
          <w:shd w:val="clear" w:color="auto" w:fill="FFFFFF"/>
        </w:rPr>
        <w:t>95% CI 1</w:t>
      </w:r>
      <w:r w:rsidR="005D2459" w:rsidRPr="002961C2">
        <w:rPr>
          <w:rFonts w:cstheme="minorHAnsi"/>
          <w:sz w:val="24"/>
          <w:szCs w:val="24"/>
          <w:shd w:val="clear" w:color="auto" w:fill="FFFFFF"/>
        </w:rPr>
        <w:t>·</w:t>
      </w:r>
      <w:r w:rsidR="00804B50" w:rsidRPr="002961C2">
        <w:rPr>
          <w:sz w:val="24"/>
          <w:shd w:val="clear" w:color="auto" w:fill="FFFFFF"/>
        </w:rPr>
        <w:t>0</w:t>
      </w:r>
      <w:r w:rsidR="001F4F1B" w:rsidRPr="002961C2">
        <w:rPr>
          <w:sz w:val="24"/>
          <w:shd w:val="clear" w:color="auto" w:fill="FFFFFF"/>
        </w:rPr>
        <w:t>1</w:t>
      </w:r>
      <w:r w:rsidR="00804B50" w:rsidRPr="002961C2">
        <w:rPr>
          <w:sz w:val="24"/>
          <w:shd w:val="clear" w:color="auto" w:fill="FFFFFF"/>
        </w:rPr>
        <w:t>-1</w:t>
      </w:r>
      <w:r w:rsidR="005D2459" w:rsidRPr="002961C2">
        <w:rPr>
          <w:rFonts w:cstheme="minorHAnsi"/>
          <w:sz w:val="24"/>
          <w:szCs w:val="24"/>
          <w:shd w:val="clear" w:color="auto" w:fill="FFFFFF"/>
        </w:rPr>
        <w:t>·</w:t>
      </w:r>
      <w:r w:rsidR="00804B50" w:rsidRPr="002961C2">
        <w:rPr>
          <w:sz w:val="24"/>
          <w:shd w:val="clear" w:color="auto" w:fill="FFFFFF"/>
        </w:rPr>
        <w:t>05</w:t>
      </w:r>
      <w:r w:rsidR="00E10BA4" w:rsidRPr="002961C2">
        <w:rPr>
          <w:sz w:val="24"/>
          <w:shd w:val="clear" w:color="auto" w:fill="FFFFFF"/>
        </w:rPr>
        <w:t xml:space="preserve">; </w:t>
      </w:r>
      <w:r w:rsidR="00AC2150" w:rsidRPr="002961C2">
        <w:rPr>
          <w:sz w:val="24"/>
          <w:shd w:val="clear" w:color="auto" w:fill="FFFFFF"/>
        </w:rPr>
        <w:t xml:space="preserve">logistic regression </w:t>
      </w:r>
      <w:r w:rsidR="00E10BA4" w:rsidRPr="002961C2">
        <w:rPr>
          <w:sz w:val="24"/>
          <w:shd w:val="clear" w:color="auto" w:fill="FFFFFF"/>
        </w:rPr>
        <w:t>P=</w:t>
      </w:r>
      <w:r w:rsidR="000D3A03" w:rsidRPr="002961C2">
        <w:rPr>
          <w:sz w:val="24"/>
          <w:shd w:val="clear" w:color="auto" w:fill="FFFFFF"/>
        </w:rPr>
        <w:t>1</w:t>
      </w:r>
      <w:r w:rsidR="005D2459" w:rsidRPr="002961C2">
        <w:rPr>
          <w:rFonts w:cstheme="minorHAnsi"/>
          <w:sz w:val="24"/>
          <w:szCs w:val="24"/>
          <w:shd w:val="clear" w:color="auto" w:fill="FFFFFF"/>
        </w:rPr>
        <w:t>·</w:t>
      </w:r>
      <w:r w:rsidR="000D3A03" w:rsidRPr="002961C2">
        <w:rPr>
          <w:sz w:val="24"/>
          <w:shd w:val="clear" w:color="auto" w:fill="FFFFFF"/>
        </w:rPr>
        <w:t>0x10</w:t>
      </w:r>
      <w:r w:rsidR="000D3A03" w:rsidRPr="002961C2">
        <w:rPr>
          <w:sz w:val="24"/>
          <w:shd w:val="clear" w:color="auto" w:fill="FFFFFF"/>
          <w:vertAlign w:val="superscript"/>
        </w:rPr>
        <w:t>-4</w:t>
      </w:r>
      <w:r w:rsidR="00E10BA4" w:rsidRPr="002961C2">
        <w:rPr>
          <w:sz w:val="24"/>
          <w:shd w:val="clear" w:color="auto" w:fill="FFFFFF"/>
        </w:rPr>
        <w:t>)</w:t>
      </w:r>
      <w:r w:rsidR="00804B50" w:rsidRPr="002961C2">
        <w:rPr>
          <w:sz w:val="24"/>
          <w:shd w:val="clear" w:color="auto" w:fill="FFFFFF"/>
        </w:rPr>
        <w:t xml:space="preserve"> per 1-SD shorter usual LTL.</w:t>
      </w:r>
    </w:p>
    <w:p w14:paraId="2B8BDDD8" w14:textId="15AB356B" w:rsidR="00142739" w:rsidRPr="002961C2" w:rsidRDefault="00142739" w:rsidP="009D76FB">
      <w:pPr>
        <w:spacing w:line="480" w:lineRule="auto"/>
        <w:rPr>
          <w:rFonts w:eastAsia="Times New Roman" w:cstheme="minorHAnsi"/>
          <w:sz w:val="24"/>
          <w:szCs w:val="24"/>
          <w:shd w:val="clear" w:color="auto" w:fill="FFFFFF"/>
          <w:lang w:eastAsia="en-GB"/>
        </w:rPr>
      </w:pPr>
      <w:r w:rsidRPr="002961C2">
        <w:rPr>
          <w:rFonts w:eastAsia="Times New Roman" w:cstheme="minorHAnsi"/>
          <w:sz w:val="24"/>
          <w:szCs w:val="24"/>
          <w:shd w:val="clear" w:color="auto" w:fill="FFFFFF"/>
          <w:lang w:eastAsia="en-GB"/>
        </w:rPr>
        <w:t>We conducted several secondary analyses. First, we examined associations with each component of the primary composite endpoint. Second, we analysed the primary outcome using the rest of UKB participants as controls, as testing was unlikely to be random and the restriction to SARS-CoV-2 positive controls only is potentially subject to selection bias related to factors associated with infection.</w:t>
      </w:r>
      <w:r w:rsidRPr="002961C2">
        <w:rPr>
          <w:rFonts w:eastAsia="Times New Roman" w:cstheme="minorHAnsi"/>
          <w:sz w:val="24"/>
          <w:szCs w:val="24"/>
          <w:shd w:val="clear" w:color="auto" w:fill="FFFFFF"/>
          <w:vertAlign w:val="superscript"/>
          <w:lang w:eastAsia="en-GB"/>
        </w:rPr>
        <w:t>1</w:t>
      </w:r>
      <w:r w:rsidR="00103EB6" w:rsidRPr="002961C2">
        <w:rPr>
          <w:rFonts w:eastAsia="Times New Roman" w:cstheme="minorHAnsi"/>
          <w:sz w:val="24"/>
          <w:szCs w:val="24"/>
          <w:shd w:val="clear" w:color="auto" w:fill="FFFFFF"/>
          <w:vertAlign w:val="superscript"/>
          <w:lang w:eastAsia="en-GB"/>
        </w:rPr>
        <w:t>9</w:t>
      </w:r>
      <w:r w:rsidRPr="002961C2">
        <w:rPr>
          <w:rFonts w:eastAsia="Times New Roman" w:cstheme="minorHAnsi"/>
          <w:sz w:val="24"/>
          <w:szCs w:val="24"/>
          <w:shd w:val="clear" w:color="auto" w:fill="FFFFFF"/>
          <w:lang w:eastAsia="en-GB"/>
        </w:rPr>
        <w:t xml:space="preserve"> Third, to ensure that apparently post-COVID-19 outcomes were not re-admissions or influenced by proximate medical events prior to infection, we excluded participants with any hospital admission in the previous 6 months. Finally, we consider the impact of inflammation and baseline disease prevalence on LTL, to minimise the potential confounding from these factors on any LTL-COVID-19 outcomes relationship.</w:t>
      </w:r>
    </w:p>
    <w:p w14:paraId="42953DB1" w14:textId="6B0AA224" w:rsidR="00DD38FA" w:rsidRPr="002961C2" w:rsidRDefault="005E2AE6" w:rsidP="00DD38FA">
      <w:pPr>
        <w:spacing w:line="480" w:lineRule="auto"/>
        <w:rPr>
          <w:rFonts w:eastAsia="Times New Roman" w:cstheme="minorHAnsi"/>
          <w:sz w:val="24"/>
          <w:szCs w:val="24"/>
          <w:shd w:val="clear" w:color="auto" w:fill="FFFFFF"/>
          <w:lang w:eastAsia="en-GB"/>
        </w:rPr>
      </w:pPr>
      <w:r w:rsidRPr="002961C2">
        <w:rPr>
          <w:rFonts w:eastAsia="Times New Roman" w:cstheme="minorHAnsi"/>
          <w:i/>
          <w:sz w:val="24"/>
          <w:szCs w:val="24"/>
          <w:shd w:val="clear" w:color="auto" w:fill="FFFFFF"/>
          <w:lang w:eastAsia="en-GB"/>
        </w:rPr>
        <w:t xml:space="preserve">Statistical analysis: </w:t>
      </w:r>
      <w:r w:rsidR="00A252B6" w:rsidRPr="002961C2">
        <w:rPr>
          <w:rFonts w:eastAsia="Times New Roman" w:cstheme="minorHAnsi"/>
          <w:sz w:val="24"/>
          <w:szCs w:val="24"/>
          <w:shd w:val="clear" w:color="auto" w:fill="FFFFFF"/>
          <w:lang w:eastAsia="en-GB"/>
        </w:rPr>
        <w:t>Univariable tests were performed using T-tests for continuous traits and Fishers exact or χ</w:t>
      </w:r>
      <w:r w:rsidR="00A252B6" w:rsidRPr="002961C2">
        <w:rPr>
          <w:rFonts w:eastAsia="Times New Roman" w:cstheme="minorHAnsi"/>
          <w:sz w:val="24"/>
          <w:szCs w:val="24"/>
          <w:shd w:val="clear" w:color="auto" w:fill="FFFFFF"/>
          <w:vertAlign w:val="superscript"/>
          <w:lang w:eastAsia="en-GB"/>
        </w:rPr>
        <w:t>2</w:t>
      </w:r>
      <w:r w:rsidR="00A252B6" w:rsidRPr="002961C2">
        <w:rPr>
          <w:rFonts w:eastAsia="Times New Roman" w:cstheme="minorHAnsi"/>
          <w:sz w:val="24"/>
          <w:szCs w:val="24"/>
          <w:shd w:val="clear" w:color="auto" w:fill="FFFFFF"/>
          <w:lang w:eastAsia="en-GB"/>
        </w:rPr>
        <w:t xml:space="preserve"> tests for categorical traits as appropriate. </w:t>
      </w:r>
      <w:r w:rsidR="00DF55CF" w:rsidRPr="002961C2">
        <w:rPr>
          <w:rFonts w:eastAsia="Times New Roman" w:cstheme="minorHAnsi"/>
          <w:sz w:val="24"/>
          <w:szCs w:val="24"/>
          <w:shd w:val="clear" w:color="auto" w:fill="FFFFFF"/>
          <w:lang w:eastAsia="en-GB"/>
        </w:rPr>
        <w:t xml:space="preserve">Analyses </w:t>
      </w:r>
      <w:r w:rsidR="00207CF6" w:rsidRPr="002961C2">
        <w:rPr>
          <w:rFonts w:eastAsia="Times New Roman" w:cstheme="minorHAnsi"/>
          <w:sz w:val="24"/>
          <w:szCs w:val="24"/>
          <w:shd w:val="clear" w:color="auto" w:fill="FFFFFF"/>
          <w:lang w:eastAsia="en-GB"/>
        </w:rPr>
        <w:t>involved</w:t>
      </w:r>
      <w:r w:rsidR="00DF55CF" w:rsidRPr="002961C2">
        <w:rPr>
          <w:rFonts w:eastAsia="Times New Roman" w:cstheme="minorHAnsi"/>
          <w:sz w:val="24"/>
          <w:szCs w:val="24"/>
          <w:shd w:val="clear" w:color="auto" w:fill="FFFFFF"/>
          <w:lang w:eastAsia="en-GB"/>
        </w:rPr>
        <w:t xml:space="preserve"> multivariable logistic regression, adjusting for age (at </w:t>
      </w:r>
      <w:r w:rsidR="000D3A79" w:rsidRPr="002961C2">
        <w:rPr>
          <w:sz w:val="24"/>
          <w:szCs w:val="24"/>
          <w:shd w:val="clear" w:color="auto" w:fill="FFFFFF"/>
        </w:rPr>
        <w:t xml:space="preserve">SARS-CoV-2 </w:t>
      </w:r>
      <w:r w:rsidR="00DF55CF" w:rsidRPr="002961C2">
        <w:rPr>
          <w:rFonts w:eastAsia="Times New Roman" w:cstheme="minorHAnsi"/>
          <w:sz w:val="24"/>
          <w:szCs w:val="24"/>
          <w:shd w:val="clear" w:color="auto" w:fill="FFFFFF"/>
          <w:lang w:eastAsia="en-GB"/>
        </w:rPr>
        <w:t xml:space="preserve">positive test), sex and ethnicity. </w:t>
      </w:r>
      <w:r w:rsidR="004412D2" w:rsidRPr="002961C2">
        <w:rPr>
          <w:rFonts w:eastAsia="Times New Roman" w:cstheme="minorHAnsi"/>
          <w:sz w:val="24"/>
          <w:szCs w:val="24"/>
          <w:shd w:val="clear" w:color="auto" w:fill="FFFFFF"/>
          <w:lang w:eastAsia="en-GB"/>
        </w:rPr>
        <w:t>Due to small numbers</w:t>
      </w:r>
      <w:r w:rsidR="000D3A03" w:rsidRPr="002961C2">
        <w:rPr>
          <w:rFonts w:eastAsia="Times New Roman" w:cstheme="minorHAnsi"/>
          <w:sz w:val="24"/>
          <w:szCs w:val="24"/>
          <w:shd w:val="clear" w:color="auto" w:fill="FFFFFF"/>
          <w:lang w:eastAsia="en-GB"/>
        </w:rPr>
        <w:t>, ethnic</w:t>
      </w:r>
      <w:r w:rsidR="00E10BA4" w:rsidRPr="002961C2">
        <w:rPr>
          <w:rFonts w:eastAsia="Times New Roman" w:cstheme="minorHAnsi"/>
          <w:sz w:val="24"/>
          <w:szCs w:val="24"/>
          <w:shd w:val="clear" w:color="auto" w:fill="FFFFFF"/>
          <w:lang w:eastAsia="en-GB"/>
        </w:rPr>
        <w:t xml:space="preserve"> </w:t>
      </w:r>
      <w:r w:rsidR="00457BD6" w:rsidRPr="002961C2">
        <w:rPr>
          <w:rFonts w:eastAsia="Times New Roman" w:cstheme="minorHAnsi"/>
          <w:sz w:val="24"/>
          <w:szCs w:val="24"/>
          <w:shd w:val="clear" w:color="auto" w:fill="FFFFFF"/>
          <w:lang w:eastAsia="en-GB"/>
        </w:rPr>
        <w:t xml:space="preserve">groups </w:t>
      </w:r>
      <w:r w:rsidR="00E10BA4" w:rsidRPr="002961C2">
        <w:rPr>
          <w:rFonts w:eastAsia="Times New Roman" w:cstheme="minorHAnsi"/>
          <w:sz w:val="24"/>
          <w:szCs w:val="24"/>
          <w:shd w:val="clear" w:color="auto" w:fill="FFFFFF"/>
          <w:lang w:eastAsia="en-GB"/>
        </w:rPr>
        <w:t xml:space="preserve">other than White </w:t>
      </w:r>
      <w:r w:rsidR="00457BD6" w:rsidRPr="002961C2">
        <w:rPr>
          <w:rFonts w:eastAsia="Times New Roman" w:cstheme="minorHAnsi"/>
          <w:sz w:val="24"/>
          <w:szCs w:val="24"/>
          <w:shd w:val="clear" w:color="auto" w:fill="FFFFFF"/>
          <w:lang w:eastAsia="en-GB"/>
        </w:rPr>
        <w:t>were combined</w:t>
      </w:r>
      <w:r w:rsidR="00203CCB" w:rsidRPr="002961C2">
        <w:rPr>
          <w:rFonts w:eastAsia="Times New Roman" w:cstheme="minorHAnsi"/>
          <w:sz w:val="24"/>
          <w:szCs w:val="24"/>
          <w:shd w:val="clear" w:color="auto" w:fill="FFFFFF"/>
          <w:lang w:eastAsia="en-GB"/>
        </w:rPr>
        <w:t xml:space="preserve"> and participants with missing ethnicity</w:t>
      </w:r>
      <w:r w:rsidR="00EA6A95" w:rsidRPr="002961C2">
        <w:rPr>
          <w:rFonts w:eastAsia="Times New Roman" w:cstheme="minorHAnsi"/>
          <w:sz w:val="24"/>
          <w:szCs w:val="24"/>
          <w:shd w:val="clear" w:color="auto" w:fill="FFFFFF"/>
          <w:lang w:eastAsia="en-GB"/>
        </w:rPr>
        <w:t xml:space="preserve"> (n=14 cases and 46 controls)</w:t>
      </w:r>
      <w:r w:rsidR="00203CCB" w:rsidRPr="002961C2">
        <w:rPr>
          <w:rFonts w:eastAsia="Times New Roman" w:cstheme="minorHAnsi"/>
          <w:sz w:val="24"/>
          <w:szCs w:val="24"/>
          <w:shd w:val="clear" w:color="auto" w:fill="FFFFFF"/>
          <w:lang w:eastAsia="en-GB"/>
        </w:rPr>
        <w:t xml:space="preserve"> were excluded</w:t>
      </w:r>
      <w:r w:rsidR="003C15E9" w:rsidRPr="002961C2">
        <w:rPr>
          <w:rFonts w:eastAsia="Times New Roman" w:cstheme="minorHAnsi"/>
          <w:sz w:val="24"/>
          <w:szCs w:val="24"/>
          <w:shd w:val="clear" w:color="auto" w:fill="FFFFFF"/>
          <w:lang w:eastAsia="en-GB"/>
        </w:rPr>
        <w:t xml:space="preserve">. </w:t>
      </w:r>
      <w:r w:rsidR="005125B9" w:rsidRPr="002961C2">
        <w:rPr>
          <w:rFonts w:eastAsia="Times New Roman" w:cstheme="minorHAnsi"/>
          <w:sz w:val="24"/>
          <w:szCs w:val="24"/>
          <w:shd w:val="clear" w:color="auto" w:fill="FFFFFF"/>
          <w:lang w:eastAsia="en-GB"/>
        </w:rPr>
        <w:t>To remove the correlation between LTL and age</w:t>
      </w:r>
      <w:r w:rsidR="00561861" w:rsidRPr="002961C2">
        <w:rPr>
          <w:rFonts w:eastAsia="Times New Roman" w:cstheme="minorHAnsi"/>
          <w:sz w:val="24"/>
          <w:szCs w:val="24"/>
          <w:shd w:val="clear" w:color="auto" w:fill="FFFFFF"/>
          <w:lang w:eastAsia="en-GB"/>
        </w:rPr>
        <w:t>,</w:t>
      </w:r>
      <w:r w:rsidR="005125B9" w:rsidRPr="002961C2">
        <w:rPr>
          <w:rFonts w:eastAsia="Times New Roman" w:cstheme="minorHAnsi"/>
          <w:sz w:val="24"/>
          <w:szCs w:val="24"/>
          <w:shd w:val="clear" w:color="auto" w:fill="FFFFFF"/>
          <w:lang w:eastAsia="en-GB"/>
        </w:rPr>
        <w:t xml:space="preserve"> we </w:t>
      </w:r>
      <w:r w:rsidR="00561861" w:rsidRPr="002961C2">
        <w:rPr>
          <w:rFonts w:eastAsia="Times New Roman" w:cstheme="minorHAnsi"/>
          <w:sz w:val="24"/>
          <w:szCs w:val="24"/>
          <w:shd w:val="clear" w:color="auto" w:fill="FFFFFF"/>
          <w:lang w:eastAsia="en-GB"/>
        </w:rPr>
        <w:t>used</w:t>
      </w:r>
      <w:r w:rsidR="005125B9" w:rsidRPr="002961C2">
        <w:rPr>
          <w:rFonts w:eastAsia="Times New Roman" w:cstheme="minorHAnsi"/>
          <w:sz w:val="24"/>
          <w:szCs w:val="24"/>
          <w:shd w:val="clear" w:color="auto" w:fill="FFFFFF"/>
          <w:lang w:eastAsia="en-GB"/>
        </w:rPr>
        <w:t xml:space="preserve"> the residuals of </w:t>
      </w:r>
      <w:r w:rsidR="00E33F3E" w:rsidRPr="002961C2">
        <w:rPr>
          <w:rFonts w:eastAsia="Times New Roman" w:cstheme="minorHAnsi"/>
          <w:sz w:val="24"/>
          <w:szCs w:val="24"/>
          <w:shd w:val="clear" w:color="auto" w:fill="FFFFFF"/>
          <w:lang w:eastAsia="en-GB"/>
        </w:rPr>
        <w:t xml:space="preserve">LTL </w:t>
      </w:r>
      <w:r w:rsidR="005125B9" w:rsidRPr="002961C2">
        <w:rPr>
          <w:rFonts w:eastAsia="Times New Roman" w:cstheme="minorHAnsi"/>
          <w:sz w:val="24"/>
          <w:szCs w:val="24"/>
          <w:shd w:val="clear" w:color="auto" w:fill="FFFFFF"/>
          <w:lang w:eastAsia="en-GB"/>
        </w:rPr>
        <w:t xml:space="preserve">adjusted for age at baseline within the statistical models. </w:t>
      </w:r>
      <w:r w:rsidR="00257AE9" w:rsidRPr="002961C2">
        <w:rPr>
          <w:rFonts w:eastAsia="Times New Roman" w:cstheme="minorHAnsi"/>
          <w:sz w:val="24"/>
          <w:szCs w:val="24"/>
          <w:shd w:val="clear" w:color="auto" w:fill="FFFFFF"/>
          <w:lang w:eastAsia="en-GB"/>
        </w:rPr>
        <w:t xml:space="preserve">In specific models to estimate the impact on the association due to inflammation or disease prevalence we re-estimated LTL residuals adjusting for age at baseline and C-reactive protein or </w:t>
      </w:r>
      <w:r w:rsidR="00F533EC" w:rsidRPr="002961C2">
        <w:rPr>
          <w:rFonts w:eastAsia="Times New Roman" w:cstheme="minorHAnsi"/>
          <w:sz w:val="24"/>
          <w:szCs w:val="24"/>
          <w:shd w:val="clear" w:color="auto" w:fill="FFFFFF"/>
          <w:lang w:eastAsia="en-GB"/>
        </w:rPr>
        <w:t xml:space="preserve">any of </w:t>
      </w:r>
      <w:r w:rsidR="00257AE9" w:rsidRPr="002961C2">
        <w:rPr>
          <w:rFonts w:eastAsia="Times New Roman" w:cstheme="minorHAnsi"/>
          <w:sz w:val="24"/>
          <w:szCs w:val="24"/>
          <w:shd w:val="clear" w:color="auto" w:fill="FFFFFF"/>
          <w:lang w:eastAsia="en-GB"/>
        </w:rPr>
        <w:t>123 curated diseases</w:t>
      </w:r>
      <w:r w:rsidR="00F533EC" w:rsidRPr="002961C2">
        <w:rPr>
          <w:rFonts w:eastAsia="Times New Roman" w:cstheme="minorHAnsi"/>
          <w:sz w:val="24"/>
          <w:szCs w:val="24"/>
          <w:shd w:val="clear" w:color="auto" w:fill="FFFFFF"/>
          <w:vertAlign w:val="superscript"/>
          <w:lang w:eastAsia="en-GB"/>
        </w:rPr>
        <w:t>1</w:t>
      </w:r>
      <w:r w:rsidR="00B8282E" w:rsidRPr="002961C2">
        <w:rPr>
          <w:rFonts w:eastAsia="Times New Roman" w:cstheme="minorHAnsi"/>
          <w:sz w:val="24"/>
          <w:szCs w:val="24"/>
          <w:shd w:val="clear" w:color="auto" w:fill="FFFFFF"/>
          <w:vertAlign w:val="superscript"/>
          <w:lang w:eastAsia="en-GB"/>
        </w:rPr>
        <w:t>5</w:t>
      </w:r>
      <w:r w:rsidR="00257AE9" w:rsidRPr="002961C2">
        <w:rPr>
          <w:rFonts w:eastAsia="Times New Roman" w:cstheme="minorHAnsi"/>
          <w:sz w:val="24"/>
          <w:szCs w:val="24"/>
          <w:shd w:val="clear" w:color="auto" w:fill="FFFFFF"/>
          <w:lang w:eastAsia="en-GB"/>
        </w:rPr>
        <w:t xml:space="preserve"> </w:t>
      </w:r>
      <w:r w:rsidR="00142739" w:rsidRPr="002961C2">
        <w:rPr>
          <w:rFonts w:eastAsia="Times New Roman" w:cstheme="minorHAnsi"/>
          <w:sz w:val="24"/>
          <w:szCs w:val="24"/>
          <w:shd w:val="clear" w:color="auto" w:fill="FFFFFF"/>
          <w:lang w:eastAsia="en-GB"/>
        </w:rPr>
        <w:t>(</w:t>
      </w:r>
      <w:r w:rsidR="00142739" w:rsidRPr="002961C2">
        <w:rPr>
          <w:rFonts w:eastAsia="Times New Roman" w:cstheme="minorHAnsi"/>
          <w:b/>
          <w:sz w:val="24"/>
          <w:szCs w:val="24"/>
          <w:shd w:val="clear" w:color="auto" w:fill="FFFFFF"/>
          <w:lang w:eastAsia="en-GB"/>
        </w:rPr>
        <w:t>Supplementary Table</w:t>
      </w:r>
      <w:r w:rsidR="00142739" w:rsidRPr="002961C2">
        <w:rPr>
          <w:rFonts w:eastAsia="Times New Roman" w:cstheme="minorHAnsi"/>
          <w:sz w:val="24"/>
          <w:szCs w:val="24"/>
          <w:shd w:val="clear" w:color="auto" w:fill="FFFFFF"/>
          <w:lang w:eastAsia="en-GB"/>
        </w:rPr>
        <w:t xml:space="preserve">) </w:t>
      </w:r>
      <w:r w:rsidR="00257AE9" w:rsidRPr="002961C2">
        <w:rPr>
          <w:rFonts w:eastAsia="Times New Roman" w:cstheme="minorHAnsi"/>
          <w:sz w:val="24"/>
          <w:szCs w:val="24"/>
          <w:shd w:val="clear" w:color="auto" w:fill="FFFFFF"/>
          <w:lang w:eastAsia="en-GB"/>
        </w:rPr>
        <w:t xml:space="preserve">respectively. </w:t>
      </w:r>
      <w:r w:rsidR="00C206CE" w:rsidRPr="002961C2">
        <w:rPr>
          <w:rFonts w:eastAsia="Times New Roman" w:cstheme="minorHAnsi"/>
          <w:sz w:val="24"/>
          <w:szCs w:val="24"/>
          <w:shd w:val="clear" w:color="auto" w:fill="FFFFFF"/>
          <w:lang w:eastAsia="en-GB"/>
        </w:rPr>
        <w:t>ORs</w:t>
      </w:r>
      <w:r w:rsidR="00434ED5" w:rsidRPr="002961C2">
        <w:rPr>
          <w:rFonts w:eastAsia="Times New Roman" w:cstheme="minorHAnsi"/>
          <w:sz w:val="24"/>
          <w:szCs w:val="24"/>
          <w:shd w:val="clear" w:color="auto" w:fill="FFFFFF"/>
          <w:lang w:eastAsia="en-GB"/>
        </w:rPr>
        <w:t xml:space="preserve"> were </w:t>
      </w:r>
      <w:r w:rsidR="00DF55CF" w:rsidRPr="002961C2">
        <w:rPr>
          <w:rFonts w:eastAsia="Times New Roman" w:cstheme="minorHAnsi"/>
          <w:sz w:val="24"/>
          <w:szCs w:val="24"/>
          <w:shd w:val="clear" w:color="auto" w:fill="FFFFFF"/>
          <w:lang w:eastAsia="en-GB"/>
        </w:rPr>
        <w:t xml:space="preserve">further adjusted for </w:t>
      </w:r>
      <w:r w:rsidR="00DD38FA" w:rsidRPr="002961C2">
        <w:rPr>
          <w:rFonts w:eastAsia="Times New Roman" w:cstheme="minorHAnsi"/>
          <w:sz w:val="24"/>
          <w:szCs w:val="24"/>
          <w:shd w:val="clear" w:color="auto" w:fill="FFFFFF"/>
          <w:lang w:eastAsia="en-GB"/>
        </w:rPr>
        <w:t xml:space="preserve">baseline </w:t>
      </w:r>
      <w:r w:rsidR="00DF55CF" w:rsidRPr="002961C2">
        <w:rPr>
          <w:rFonts w:eastAsia="Times New Roman" w:cstheme="minorHAnsi"/>
          <w:sz w:val="24"/>
          <w:szCs w:val="24"/>
          <w:shd w:val="clear" w:color="auto" w:fill="FFFFFF"/>
          <w:lang w:eastAsia="en-GB"/>
        </w:rPr>
        <w:t>smoking</w:t>
      </w:r>
      <w:r w:rsidR="00434ED5" w:rsidRPr="002961C2">
        <w:rPr>
          <w:rFonts w:eastAsia="Times New Roman" w:cstheme="minorHAnsi"/>
          <w:sz w:val="24"/>
          <w:szCs w:val="24"/>
          <w:shd w:val="clear" w:color="auto" w:fill="FFFFFF"/>
          <w:lang w:eastAsia="en-GB"/>
        </w:rPr>
        <w:t xml:space="preserve"> status</w:t>
      </w:r>
      <w:r w:rsidR="00DF55CF" w:rsidRPr="002961C2">
        <w:rPr>
          <w:rFonts w:eastAsia="Times New Roman" w:cstheme="minorHAnsi"/>
          <w:sz w:val="24"/>
          <w:szCs w:val="24"/>
          <w:shd w:val="clear" w:color="auto" w:fill="FFFFFF"/>
          <w:lang w:eastAsia="en-GB"/>
        </w:rPr>
        <w:t xml:space="preserve"> and </w:t>
      </w:r>
      <w:r w:rsidR="00561861" w:rsidRPr="002961C2">
        <w:rPr>
          <w:rFonts w:eastAsia="Times New Roman" w:cstheme="minorHAnsi"/>
          <w:sz w:val="24"/>
          <w:szCs w:val="24"/>
          <w:shd w:val="clear" w:color="auto" w:fill="FFFFFF"/>
          <w:lang w:eastAsia="en-GB"/>
        </w:rPr>
        <w:t>body-mass index (</w:t>
      </w:r>
      <w:r w:rsidR="00DF55CF" w:rsidRPr="002961C2">
        <w:rPr>
          <w:rFonts w:eastAsia="Times New Roman" w:cstheme="minorHAnsi"/>
          <w:sz w:val="24"/>
          <w:szCs w:val="24"/>
          <w:shd w:val="clear" w:color="auto" w:fill="FFFFFF"/>
          <w:lang w:eastAsia="en-GB"/>
        </w:rPr>
        <w:t>BMI</w:t>
      </w:r>
      <w:r w:rsidR="00561861" w:rsidRPr="002961C2">
        <w:rPr>
          <w:rFonts w:eastAsia="Times New Roman" w:cstheme="minorHAnsi"/>
          <w:sz w:val="24"/>
          <w:szCs w:val="24"/>
          <w:shd w:val="clear" w:color="auto" w:fill="FFFFFF"/>
          <w:lang w:eastAsia="en-GB"/>
        </w:rPr>
        <w:t>) recorded at entry into UKB.</w:t>
      </w:r>
      <w:r w:rsidR="00DF55CF" w:rsidRPr="002961C2">
        <w:rPr>
          <w:rFonts w:eastAsia="Times New Roman" w:cstheme="minorHAnsi"/>
          <w:sz w:val="24"/>
          <w:szCs w:val="24"/>
          <w:shd w:val="clear" w:color="auto" w:fill="FFFFFF"/>
          <w:lang w:eastAsia="en-GB"/>
        </w:rPr>
        <w:t xml:space="preserve"> </w:t>
      </w:r>
      <w:r w:rsidR="00DD38FA" w:rsidRPr="002961C2">
        <w:rPr>
          <w:rFonts w:eastAsia="Times New Roman" w:cstheme="minorHAnsi"/>
          <w:sz w:val="24"/>
          <w:szCs w:val="24"/>
          <w:shd w:val="clear" w:color="auto" w:fill="FFFFFF"/>
          <w:lang w:eastAsia="en-GB"/>
        </w:rPr>
        <w:t xml:space="preserve">Results are </w:t>
      </w:r>
      <w:r w:rsidR="00C206CE" w:rsidRPr="002961C2">
        <w:rPr>
          <w:rFonts w:eastAsia="Times New Roman" w:cstheme="minorHAnsi"/>
          <w:sz w:val="24"/>
          <w:szCs w:val="24"/>
          <w:shd w:val="clear" w:color="auto" w:fill="FFFFFF"/>
          <w:lang w:eastAsia="en-GB"/>
        </w:rPr>
        <w:t>described as ORs</w:t>
      </w:r>
      <w:r w:rsidR="00DD38FA" w:rsidRPr="002961C2">
        <w:rPr>
          <w:rFonts w:eastAsia="Times New Roman" w:cstheme="minorHAnsi"/>
          <w:sz w:val="24"/>
          <w:szCs w:val="24"/>
          <w:shd w:val="clear" w:color="auto" w:fill="FFFFFF"/>
          <w:lang w:eastAsia="en-GB"/>
        </w:rPr>
        <w:t xml:space="preserve"> associated with the outcome per one standard deviation </w:t>
      </w:r>
      <w:r w:rsidR="000D2EFC" w:rsidRPr="002961C2">
        <w:rPr>
          <w:rFonts w:eastAsia="Times New Roman" w:cstheme="minorHAnsi"/>
          <w:sz w:val="24"/>
          <w:szCs w:val="24"/>
          <w:shd w:val="clear" w:color="auto" w:fill="FFFFFF"/>
          <w:lang w:eastAsia="en-GB"/>
        </w:rPr>
        <w:t xml:space="preserve">(SD) </w:t>
      </w:r>
      <w:r w:rsidR="000D3A03" w:rsidRPr="002961C2">
        <w:rPr>
          <w:rFonts w:eastAsia="Times New Roman" w:cstheme="minorHAnsi"/>
          <w:sz w:val="24"/>
          <w:szCs w:val="24"/>
          <w:shd w:val="clear" w:color="auto" w:fill="FFFFFF"/>
          <w:lang w:eastAsia="en-GB"/>
        </w:rPr>
        <w:t>shorter</w:t>
      </w:r>
      <w:r w:rsidR="00C206CE" w:rsidRPr="002961C2">
        <w:rPr>
          <w:rFonts w:eastAsia="Times New Roman" w:cstheme="minorHAnsi"/>
          <w:sz w:val="24"/>
          <w:szCs w:val="24"/>
          <w:shd w:val="clear" w:color="auto" w:fill="FFFFFF"/>
          <w:lang w:eastAsia="en-GB"/>
        </w:rPr>
        <w:t xml:space="preserve"> </w:t>
      </w:r>
      <w:r w:rsidR="00DD38FA" w:rsidRPr="002961C2">
        <w:rPr>
          <w:rFonts w:eastAsia="Times New Roman" w:cstheme="minorHAnsi"/>
          <w:sz w:val="24"/>
          <w:szCs w:val="24"/>
          <w:shd w:val="clear" w:color="auto" w:fill="FFFFFF"/>
          <w:lang w:eastAsia="en-GB"/>
        </w:rPr>
        <w:t xml:space="preserve">LTL residual, with associated 95% confidence intervals (CI) and p-values. </w:t>
      </w:r>
    </w:p>
    <w:p w14:paraId="726C761B" w14:textId="2B44BB9F" w:rsidR="0075262C" w:rsidRPr="002961C2" w:rsidRDefault="00142739" w:rsidP="007C5F90">
      <w:pPr>
        <w:spacing w:line="480" w:lineRule="auto"/>
        <w:rPr>
          <w:rFonts w:cstheme="minorHAnsi"/>
          <w:sz w:val="24"/>
          <w:szCs w:val="24"/>
        </w:rPr>
      </w:pPr>
      <w:r w:rsidRPr="002961C2">
        <w:rPr>
          <w:rFonts w:eastAsia="Times New Roman" w:cstheme="minorHAnsi"/>
          <w:sz w:val="24"/>
          <w:szCs w:val="24"/>
          <w:shd w:val="clear" w:color="auto" w:fill="FFFFFF"/>
          <w:lang w:eastAsia="en-GB"/>
        </w:rPr>
        <w:t>I</w:t>
      </w:r>
      <w:r w:rsidR="007C5F90" w:rsidRPr="002961C2">
        <w:rPr>
          <w:rFonts w:eastAsia="Times New Roman" w:cstheme="minorHAnsi"/>
          <w:sz w:val="24"/>
          <w:szCs w:val="24"/>
          <w:shd w:val="clear" w:color="auto" w:fill="FFFFFF"/>
          <w:lang w:eastAsia="en-GB"/>
        </w:rPr>
        <w:t xml:space="preserve">n an exploratory analysis, </w:t>
      </w:r>
      <w:r w:rsidR="00207CF6" w:rsidRPr="002961C2">
        <w:rPr>
          <w:rFonts w:eastAsia="Times New Roman" w:cstheme="minorHAnsi"/>
          <w:sz w:val="24"/>
          <w:szCs w:val="24"/>
          <w:shd w:val="clear" w:color="auto" w:fill="FFFFFF"/>
          <w:lang w:eastAsia="en-GB"/>
        </w:rPr>
        <w:t xml:space="preserve">we conducted </w:t>
      </w:r>
      <w:r w:rsidR="00B57189" w:rsidRPr="002961C2">
        <w:rPr>
          <w:rFonts w:eastAsia="Times New Roman" w:cstheme="minorHAnsi"/>
          <w:sz w:val="24"/>
          <w:szCs w:val="24"/>
          <w:shd w:val="clear" w:color="auto" w:fill="FFFFFF"/>
          <w:lang w:eastAsia="en-GB"/>
        </w:rPr>
        <w:t xml:space="preserve">one-sample </w:t>
      </w:r>
      <w:r w:rsidR="00207CF6" w:rsidRPr="002961C2">
        <w:rPr>
          <w:rFonts w:eastAsia="Times New Roman" w:cstheme="minorHAnsi"/>
          <w:sz w:val="24"/>
          <w:szCs w:val="24"/>
          <w:shd w:val="clear" w:color="auto" w:fill="FFFFFF"/>
          <w:lang w:eastAsia="en-GB"/>
        </w:rPr>
        <w:t xml:space="preserve">Mendelian randomisation </w:t>
      </w:r>
      <w:r w:rsidR="00066A4E" w:rsidRPr="002961C2">
        <w:rPr>
          <w:rFonts w:eastAsia="Times New Roman" w:cstheme="minorHAnsi"/>
          <w:sz w:val="24"/>
          <w:szCs w:val="24"/>
          <w:shd w:val="clear" w:color="auto" w:fill="FFFFFF"/>
          <w:lang w:eastAsia="en-GB"/>
        </w:rPr>
        <w:t xml:space="preserve">(MR) </w:t>
      </w:r>
      <w:r w:rsidR="00207CF6" w:rsidRPr="002961C2">
        <w:rPr>
          <w:rFonts w:eastAsia="Times New Roman" w:cstheme="minorHAnsi"/>
          <w:sz w:val="24"/>
          <w:szCs w:val="24"/>
          <w:shd w:val="clear" w:color="auto" w:fill="FFFFFF"/>
          <w:lang w:eastAsia="en-GB"/>
        </w:rPr>
        <w:t xml:space="preserve">analyses </w:t>
      </w:r>
      <w:r w:rsidR="00B57189" w:rsidRPr="002961C2">
        <w:rPr>
          <w:rFonts w:eastAsia="Times New Roman" w:cstheme="minorHAnsi"/>
          <w:sz w:val="24"/>
          <w:szCs w:val="24"/>
          <w:shd w:val="clear" w:color="auto" w:fill="FFFFFF"/>
          <w:lang w:eastAsia="en-GB"/>
        </w:rPr>
        <w:t>in UKB</w:t>
      </w:r>
      <w:r w:rsidR="00103EB6" w:rsidRPr="002961C2">
        <w:rPr>
          <w:rFonts w:eastAsia="Times New Roman" w:cstheme="minorHAnsi"/>
          <w:sz w:val="24"/>
          <w:szCs w:val="24"/>
          <w:shd w:val="clear" w:color="auto" w:fill="FFFFFF"/>
          <w:vertAlign w:val="superscript"/>
          <w:lang w:eastAsia="en-GB"/>
        </w:rPr>
        <w:t>20</w:t>
      </w:r>
      <w:r w:rsidR="00B57189" w:rsidRPr="002961C2">
        <w:rPr>
          <w:rFonts w:eastAsia="Times New Roman" w:cstheme="minorHAnsi"/>
          <w:sz w:val="24"/>
          <w:szCs w:val="24"/>
          <w:shd w:val="clear" w:color="auto" w:fill="FFFFFF"/>
          <w:lang w:eastAsia="en-GB"/>
        </w:rPr>
        <w:t xml:space="preserve"> </w:t>
      </w:r>
      <w:r w:rsidR="007C5F90" w:rsidRPr="002961C2">
        <w:rPr>
          <w:rFonts w:eastAsia="Times New Roman" w:cstheme="minorHAnsi"/>
          <w:sz w:val="24"/>
          <w:szCs w:val="24"/>
          <w:shd w:val="clear" w:color="auto" w:fill="FFFFFF"/>
          <w:lang w:eastAsia="en-GB"/>
        </w:rPr>
        <w:t>t</w:t>
      </w:r>
      <w:r w:rsidR="0075262C" w:rsidRPr="002961C2">
        <w:rPr>
          <w:rFonts w:eastAsia="Times New Roman" w:cstheme="minorHAnsi"/>
          <w:sz w:val="24"/>
          <w:szCs w:val="24"/>
          <w:shd w:val="clear" w:color="auto" w:fill="FFFFFF"/>
          <w:lang w:eastAsia="en-GB"/>
        </w:rPr>
        <w:t xml:space="preserve">o </w:t>
      </w:r>
      <w:r w:rsidR="00207CF6" w:rsidRPr="002961C2">
        <w:rPr>
          <w:rFonts w:eastAsia="Times New Roman" w:cstheme="minorHAnsi"/>
          <w:sz w:val="24"/>
          <w:szCs w:val="24"/>
          <w:shd w:val="clear" w:color="auto" w:fill="FFFFFF"/>
          <w:lang w:eastAsia="en-GB"/>
        </w:rPr>
        <w:t>evaluate a causal</w:t>
      </w:r>
      <w:r w:rsidR="0075262C" w:rsidRPr="002961C2">
        <w:rPr>
          <w:rFonts w:eastAsia="Times New Roman" w:cstheme="minorHAnsi"/>
          <w:sz w:val="24"/>
          <w:szCs w:val="24"/>
          <w:shd w:val="clear" w:color="auto" w:fill="FFFFFF"/>
          <w:lang w:eastAsia="en-GB"/>
        </w:rPr>
        <w:t xml:space="preserve"> </w:t>
      </w:r>
      <w:r w:rsidR="003E4CBB" w:rsidRPr="002961C2">
        <w:rPr>
          <w:rFonts w:eastAsia="Times New Roman" w:cstheme="minorHAnsi"/>
          <w:sz w:val="24"/>
          <w:szCs w:val="24"/>
          <w:shd w:val="clear" w:color="auto" w:fill="FFFFFF"/>
          <w:lang w:eastAsia="en-GB"/>
        </w:rPr>
        <w:t xml:space="preserve">relationship </w:t>
      </w:r>
      <w:r w:rsidR="0075262C" w:rsidRPr="002961C2">
        <w:rPr>
          <w:rFonts w:eastAsia="Times New Roman" w:cstheme="minorHAnsi"/>
          <w:sz w:val="24"/>
          <w:szCs w:val="24"/>
          <w:shd w:val="clear" w:color="auto" w:fill="FFFFFF"/>
          <w:lang w:eastAsia="en-GB"/>
        </w:rPr>
        <w:t xml:space="preserve">between shorter LTL and adverse COVID-19 </w:t>
      </w:r>
      <w:r w:rsidR="00207CF6" w:rsidRPr="002961C2">
        <w:rPr>
          <w:rFonts w:eastAsia="Times New Roman" w:cstheme="minorHAnsi"/>
          <w:sz w:val="24"/>
          <w:szCs w:val="24"/>
          <w:shd w:val="clear" w:color="auto" w:fill="FFFFFF"/>
          <w:lang w:eastAsia="en-GB"/>
        </w:rPr>
        <w:t xml:space="preserve">outcomes, using </w:t>
      </w:r>
      <w:r w:rsidR="00207CF6" w:rsidRPr="002961C2">
        <w:rPr>
          <w:rFonts w:cstheme="minorHAnsi"/>
          <w:sz w:val="24"/>
          <w:szCs w:val="24"/>
        </w:rPr>
        <w:t>the inverse-variance weighted (IVW)</w:t>
      </w:r>
      <w:r w:rsidR="00103EB6" w:rsidRPr="002961C2">
        <w:rPr>
          <w:rFonts w:cstheme="minorHAnsi"/>
          <w:sz w:val="24"/>
          <w:szCs w:val="24"/>
          <w:vertAlign w:val="superscript"/>
        </w:rPr>
        <w:t>21</w:t>
      </w:r>
      <w:r w:rsidR="00207CF6" w:rsidRPr="002961C2">
        <w:rPr>
          <w:rFonts w:cstheme="minorHAnsi"/>
          <w:sz w:val="24"/>
          <w:szCs w:val="24"/>
        </w:rPr>
        <w:t xml:space="preserve"> </w:t>
      </w:r>
      <w:r w:rsidR="001C6643" w:rsidRPr="002961C2">
        <w:rPr>
          <w:rFonts w:cstheme="minorHAnsi"/>
          <w:sz w:val="24"/>
          <w:szCs w:val="24"/>
        </w:rPr>
        <w:t>and weighted median</w:t>
      </w:r>
      <w:r w:rsidR="00103EB6" w:rsidRPr="002961C2">
        <w:rPr>
          <w:rFonts w:cstheme="minorHAnsi"/>
          <w:sz w:val="24"/>
          <w:szCs w:val="24"/>
          <w:vertAlign w:val="superscript"/>
        </w:rPr>
        <w:t>22</w:t>
      </w:r>
      <w:r w:rsidR="001C6643" w:rsidRPr="002961C2">
        <w:rPr>
          <w:rFonts w:cstheme="minorHAnsi"/>
          <w:sz w:val="24"/>
          <w:szCs w:val="24"/>
        </w:rPr>
        <w:t xml:space="preserve"> methods with</w:t>
      </w:r>
      <w:r w:rsidR="0075262C" w:rsidRPr="002961C2">
        <w:rPr>
          <w:rFonts w:cstheme="minorHAnsi"/>
          <w:sz w:val="24"/>
          <w:szCs w:val="24"/>
        </w:rPr>
        <w:t xml:space="preserve"> a set of </w:t>
      </w:r>
      <w:r w:rsidR="00573B47">
        <w:rPr>
          <w:rFonts w:cstheme="minorHAnsi"/>
          <w:sz w:val="24"/>
          <w:szCs w:val="24"/>
        </w:rPr>
        <w:t>130</w:t>
      </w:r>
      <w:r w:rsidR="007C5F90" w:rsidRPr="002961C2">
        <w:rPr>
          <w:rFonts w:cstheme="minorHAnsi"/>
          <w:sz w:val="24"/>
          <w:szCs w:val="24"/>
        </w:rPr>
        <w:t xml:space="preserve"> </w:t>
      </w:r>
      <w:r w:rsidR="00405882" w:rsidRPr="002961C2">
        <w:rPr>
          <w:rFonts w:cstheme="minorHAnsi"/>
          <w:sz w:val="24"/>
          <w:szCs w:val="24"/>
        </w:rPr>
        <w:t>genome-wide significant (P&lt;8.31x10</w:t>
      </w:r>
      <w:r w:rsidR="00405882" w:rsidRPr="002961C2">
        <w:rPr>
          <w:rFonts w:cstheme="minorHAnsi"/>
          <w:sz w:val="24"/>
          <w:szCs w:val="24"/>
          <w:vertAlign w:val="superscript"/>
        </w:rPr>
        <w:t>-9</w:t>
      </w:r>
      <w:r w:rsidR="00405882" w:rsidRPr="002961C2">
        <w:rPr>
          <w:rFonts w:cstheme="minorHAnsi"/>
          <w:sz w:val="24"/>
          <w:szCs w:val="24"/>
        </w:rPr>
        <w:t>),</w:t>
      </w:r>
      <w:r w:rsidR="00AC2150" w:rsidRPr="002961C2">
        <w:rPr>
          <w:rFonts w:cstheme="minorHAnsi"/>
          <w:sz w:val="24"/>
          <w:szCs w:val="24"/>
        </w:rPr>
        <w:t xml:space="preserve"> conditionally</w:t>
      </w:r>
      <w:r w:rsidR="00405882" w:rsidRPr="002961C2">
        <w:rPr>
          <w:rFonts w:cstheme="minorHAnsi"/>
          <w:sz w:val="24"/>
          <w:szCs w:val="24"/>
        </w:rPr>
        <w:t xml:space="preserve"> </w:t>
      </w:r>
      <w:r w:rsidR="007C5F90" w:rsidRPr="002961C2">
        <w:rPr>
          <w:rFonts w:cstheme="minorHAnsi"/>
          <w:sz w:val="24"/>
          <w:szCs w:val="24"/>
        </w:rPr>
        <w:t>independent</w:t>
      </w:r>
      <w:r w:rsidR="00405882" w:rsidRPr="002961C2">
        <w:rPr>
          <w:rFonts w:cstheme="minorHAnsi"/>
          <w:sz w:val="24"/>
          <w:szCs w:val="24"/>
        </w:rPr>
        <w:t>,</w:t>
      </w:r>
      <w:r w:rsidR="007C5F90" w:rsidRPr="002961C2">
        <w:rPr>
          <w:rFonts w:cstheme="minorHAnsi"/>
          <w:sz w:val="24"/>
          <w:szCs w:val="24"/>
        </w:rPr>
        <w:t xml:space="preserve"> uncorrelated </w:t>
      </w:r>
      <w:r w:rsidR="00405882" w:rsidRPr="002961C2">
        <w:rPr>
          <w:rFonts w:cstheme="minorHAnsi"/>
          <w:sz w:val="24"/>
          <w:szCs w:val="24"/>
        </w:rPr>
        <w:t xml:space="preserve">and non-pleiotropic </w:t>
      </w:r>
      <w:r w:rsidR="007C5F90" w:rsidRPr="002961C2">
        <w:rPr>
          <w:rFonts w:cstheme="minorHAnsi"/>
          <w:sz w:val="24"/>
          <w:szCs w:val="24"/>
        </w:rPr>
        <w:t xml:space="preserve">genetic variants we recently </w:t>
      </w:r>
      <w:r w:rsidR="00207CF6" w:rsidRPr="002961C2">
        <w:rPr>
          <w:rFonts w:cstheme="minorHAnsi"/>
          <w:sz w:val="24"/>
          <w:szCs w:val="24"/>
        </w:rPr>
        <w:t xml:space="preserve">identified </w:t>
      </w:r>
      <w:r w:rsidR="00405882" w:rsidRPr="002961C2">
        <w:rPr>
          <w:rFonts w:cstheme="minorHAnsi"/>
          <w:sz w:val="24"/>
          <w:szCs w:val="24"/>
        </w:rPr>
        <w:t xml:space="preserve">as </w:t>
      </w:r>
      <w:r w:rsidRPr="002961C2">
        <w:rPr>
          <w:rFonts w:cstheme="minorHAnsi"/>
          <w:sz w:val="24"/>
          <w:szCs w:val="24"/>
        </w:rPr>
        <w:t>genetic</w:t>
      </w:r>
      <w:r w:rsidR="00405882" w:rsidRPr="002961C2">
        <w:rPr>
          <w:rFonts w:cstheme="minorHAnsi"/>
          <w:sz w:val="24"/>
          <w:szCs w:val="24"/>
        </w:rPr>
        <w:t xml:space="preserve"> instruments </w:t>
      </w:r>
      <w:r w:rsidR="00207CF6" w:rsidRPr="002961C2">
        <w:rPr>
          <w:rFonts w:cstheme="minorHAnsi"/>
          <w:sz w:val="24"/>
          <w:szCs w:val="24"/>
        </w:rPr>
        <w:t>for</w:t>
      </w:r>
      <w:r w:rsidR="007C5F90" w:rsidRPr="002961C2">
        <w:rPr>
          <w:rFonts w:cstheme="minorHAnsi"/>
          <w:sz w:val="24"/>
          <w:szCs w:val="24"/>
        </w:rPr>
        <w:t xml:space="preserve"> </w:t>
      </w:r>
      <w:r w:rsidR="007C4817" w:rsidRPr="002961C2">
        <w:rPr>
          <w:rFonts w:cstheme="minorHAnsi"/>
          <w:sz w:val="24"/>
          <w:szCs w:val="24"/>
        </w:rPr>
        <w:t>LTL</w:t>
      </w:r>
      <w:r w:rsidR="00F65690" w:rsidRPr="002961C2">
        <w:rPr>
          <w:rFonts w:cstheme="minorHAnsi"/>
          <w:sz w:val="24"/>
          <w:szCs w:val="24"/>
        </w:rPr>
        <w:t>.</w:t>
      </w:r>
      <w:r w:rsidR="007C4817" w:rsidRPr="002961C2">
        <w:rPr>
          <w:rFonts w:cstheme="minorHAnsi"/>
          <w:sz w:val="24"/>
          <w:szCs w:val="24"/>
          <w:vertAlign w:val="superscript"/>
        </w:rPr>
        <w:t>1</w:t>
      </w:r>
      <w:r w:rsidR="00103EB6" w:rsidRPr="002961C2">
        <w:rPr>
          <w:rFonts w:cstheme="minorHAnsi"/>
          <w:sz w:val="24"/>
          <w:szCs w:val="24"/>
          <w:vertAlign w:val="superscript"/>
        </w:rPr>
        <w:t>5</w:t>
      </w:r>
      <w:r w:rsidR="007C5F90" w:rsidRPr="002961C2">
        <w:rPr>
          <w:rFonts w:cstheme="minorHAnsi"/>
          <w:sz w:val="24"/>
          <w:szCs w:val="24"/>
        </w:rPr>
        <w:t xml:space="preserve"> </w:t>
      </w:r>
      <w:r w:rsidR="0075262C" w:rsidRPr="002961C2">
        <w:rPr>
          <w:rFonts w:cstheme="minorHAnsi"/>
          <w:sz w:val="24"/>
          <w:szCs w:val="24"/>
        </w:rPr>
        <w:t xml:space="preserve"> </w:t>
      </w:r>
      <w:r w:rsidR="007C5F90" w:rsidRPr="002961C2">
        <w:rPr>
          <w:rFonts w:cstheme="minorHAnsi"/>
          <w:sz w:val="24"/>
          <w:szCs w:val="24"/>
        </w:rPr>
        <w:t xml:space="preserve">We used MR-Egger regression to </w:t>
      </w:r>
      <w:r w:rsidR="00B20D61" w:rsidRPr="002961C2">
        <w:rPr>
          <w:rFonts w:cstheme="minorHAnsi"/>
          <w:sz w:val="24"/>
          <w:szCs w:val="24"/>
        </w:rPr>
        <w:t xml:space="preserve">assess robustness to horizontal </w:t>
      </w:r>
      <w:r w:rsidR="007C5F90" w:rsidRPr="002961C2">
        <w:rPr>
          <w:rFonts w:cstheme="minorHAnsi"/>
          <w:sz w:val="24"/>
          <w:szCs w:val="24"/>
        </w:rPr>
        <w:t>pleiotropy</w:t>
      </w:r>
      <w:r w:rsidR="00F65690" w:rsidRPr="002961C2">
        <w:rPr>
          <w:rFonts w:cstheme="minorHAnsi"/>
          <w:sz w:val="24"/>
          <w:szCs w:val="24"/>
        </w:rPr>
        <w:t>.</w:t>
      </w:r>
      <w:r w:rsidR="00103EB6" w:rsidRPr="002961C2">
        <w:rPr>
          <w:rFonts w:cstheme="minorHAnsi"/>
          <w:sz w:val="24"/>
          <w:szCs w:val="24"/>
          <w:vertAlign w:val="superscript"/>
        </w:rPr>
        <w:t>23</w:t>
      </w:r>
      <w:r w:rsidR="0075262C" w:rsidRPr="002961C2">
        <w:rPr>
          <w:rFonts w:cstheme="minorHAnsi"/>
          <w:sz w:val="24"/>
          <w:szCs w:val="24"/>
        </w:rPr>
        <w:t xml:space="preserve"> </w:t>
      </w:r>
    </w:p>
    <w:p w14:paraId="5D5C972C" w14:textId="67634466" w:rsidR="00F2130B" w:rsidRPr="002961C2" w:rsidRDefault="00AC2150" w:rsidP="007C5F90">
      <w:pPr>
        <w:spacing w:line="480" w:lineRule="auto"/>
        <w:rPr>
          <w:rFonts w:cstheme="minorHAnsi"/>
          <w:sz w:val="24"/>
          <w:szCs w:val="24"/>
        </w:rPr>
      </w:pPr>
      <w:r w:rsidRPr="002961C2">
        <w:rPr>
          <w:rFonts w:cstheme="minorHAnsi"/>
          <w:i/>
          <w:sz w:val="24"/>
          <w:szCs w:val="24"/>
        </w:rPr>
        <w:t>Role of the funding body</w:t>
      </w:r>
      <w:r w:rsidRPr="002961C2">
        <w:rPr>
          <w:rFonts w:cstheme="minorHAnsi"/>
          <w:sz w:val="24"/>
          <w:szCs w:val="24"/>
        </w:rPr>
        <w:t xml:space="preserve">: </w:t>
      </w:r>
      <w:r w:rsidRPr="002961C2">
        <w:rPr>
          <w:rFonts w:ascii="Calibri" w:hAnsi="Calibri"/>
          <w:sz w:val="24"/>
          <w:szCs w:val="24"/>
          <w:bdr w:val="none" w:sz="0" w:space="0" w:color="auto" w:frame="1"/>
        </w:rPr>
        <w:t>The Funders had no role in study design, data collection, data analyses, interpretation, or writing of this study.</w:t>
      </w:r>
    </w:p>
    <w:p w14:paraId="45FBDC99" w14:textId="77777777" w:rsidR="008A3A9D" w:rsidRPr="002961C2" w:rsidRDefault="008A3A9D" w:rsidP="009D76FB">
      <w:pPr>
        <w:spacing w:line="480" w:lineRule="auto"/>
        <w:rPr>
          <w:b/>
          <w:sz w:val="24"/>
          <w:szCs w:val="24"/>
          <w:shd w:val="clear" w:color="auto" w:fill="FFFFFF"/>
        </w:rPr>
      </w:pPr>
      <w:r w:rsidRPr="002961C2">
        <w:rPr>
          <w:b/>
          <w:sz w:val="24"/>
          <w:szCs w:val="24"/>
          <w:shd w:val="clear" w:color="auto" w:fill="FFFFFF"/>
        </w:rPr>
        <w:t>Results</w:t>
      </w:r>
    </w:p>
    <w:p w14:paraId="506475CD" w14:textId="42B1E012" w:rsidR="001460B8" w:rsidRPr="002961C2" w:rsidRDefault="00DC3E80" w:rsidP="009D76FB">
      <w:pPr>
        <w:spacing w:line="480" w:lineRule="auto"/>
        <w:rPr>
          <w:sz w:val="24"/>
          <w:szCs w:val="24"/>
          <w:shd w:val="clear" w:color="auto" w:fill="FFFFFF"/>
        </w:rPr>
      </w:pPr>
      <w:r w:rsidRPr="002961C2">
        <w:rPr>
          <w:sz w:val="24"/>
          <w:szCs w:val="24"/>
          <w:shd w:val="clear" w:color="auto" w:fill="FFFFFF"/>
        </w:rPr>
        <w:t xml:space="preserve">By 30 November 2020, </w:t>
      </w:r>
      <w:r w:rsidR="00F953A2" w:rsidRPr="002961C2">
        <w:rPr>
          <w:sz w:val="24"/>
          <w:szCs w:val="24"/>
          <w:shd w:val="clear" w:color="auto" w:fill="FFFFFF"/>
        </w:rPr>
        <w:t xml:space="preserve">914 participants </w:t>
      </w:r>
      <w:r w:rsidR="0095426D" w:rsidRPr="002961C2">
        <w:rPr>
          <w:sz w:val="24"/>
          <w:szCs w:val="24"/>
          <w:shd w:val="clear" w:color="auto" w:fill="FFFFFF"/>
        </w:rPr>
        <w:t xml:space="preserve">were identified with an adverse COVID-19 </w:t>
      </w:r>
      <w:r w:rsidR="006449FF" w:rsidRPr="002961C2">
        <w:rPr>
          <w:sz w:val="24"/>
          <w:szCs w:val="24"/>
          <w:shd w:val="clear" w:color="auto" w:fill="FFFFFF"/>
        </w:rPr>
        <w:t xml:space="preserve">related </w:t>
      </w:r>
      <w:r w:rsidR="0095426D" w:rsidRPr="002961C2">
        <w:rPr>
          <w:sz w:val="24"/>
          <w:szCs w:val="24"/>
          <w:shd w:val="clear" w:color="auto" w:fill="FFFFFF"/>
        </w:rPr>
        <w:t>outcome</w:t>
      </w:r>
      <w:r w:rsidR="009829C0" w:rsidRPr="002961C2">
        <w:rPr>
          <w:sz w:val="24"/>
          <w:szCs w:val="24"/>
          <w:shd w:val="clear" w:color="auto" w:fill="FFFFFF"/>
        </w:rPr>
        <w:t xml:space="preserve"> and </w:t>
      </w:r>
      <w:r w:rsidR="00F953A2" w:rsidRPr="002961C2">
        <w:rPr>
          <w:sz w:val="24"/>
          <w:szCs w:val="24"/>
          <w:shd w:val="clear" w:color="auto" w:fill="FFFFFF"/>
        </w:rPr>
        <w:t xml:space="preserve">5861 participants </w:t>
      </w:r>
      <w:r w:rsidR="003E4CBB" w:rsidRPr="002961C2">
        <w:rPr>
          <w:sz w:val="24"/>
          <w:szCs w:val="24"/>
          <w:shd w:val="clear" w:color="auto" w:fill="FFFFFF"/>
        </w:rPr>
        <w:t xml:space="preserve">were identified as </w:t>
      </w:r>
      <w:r w:rsidR="00AD1D35" w:rsidRPr="002961C2">
        <w:rPr>
          <w:sz w:val="24"/>
          <w:szCs w:val="24"/>
          <w:shd w:val="clear" w:color="auto" w:fill="FFFFFF"/>
        </w:rPr>
        <w:t xml:space="preserve">primary </w:t>
      </w:r>
      <w:r w:rsidR="00F46989" w:rsidRPr="002961C2">
        <w:rPr>
          <w:sz w:val="24"/>
          <w:szCs w:val="24"/>
          <w:shd w:val="clear" w:color="auto" w:fill="FFFFFF"/>
        </w:rPr>
        <w:t>control</w:t>
      </w:r>
      <w:r w:rsidR="00EA3642" w:rsidRPr="002961C2">
        <w:rPr>
          <w:sz w:val="24"/>
          <w:szCs w:val="24"/>
          <w:shd w:val="clear" w:color="auto" w:fill="FFFFFF"/>
        </w:rPr>
        <w:t>s</w:t>
      </w:r>
      <w:r w:rsidR="00927A33" w:rsidRPr="002961C2">
        <w:rPr>
          <w:sz w:val="24"/>
          <w:szCs w:val="24"/>
          <w:shd w:val="clear" w:color="auto" w:fill="FFFFFF"/>
        </w:rPr>
        <w:t xml:space="preserve"> (positive community test for COVID-19 but not hospitalised)</w:t>
      </w:r>
      <w:r w:rsidR="00F953A2" w:rsidRPr="002961C2">
        <w:rPr>
          <w:sz w:val="24"/>
          <w:szCs w:val="24"/>
          <w:shd w:val="clear" w:color="auto" w:fill="FFFFFF"/>
        </w:rPr>
        <w:t xml:space="preserve">. </w:t>
      </w:r>
      <w:r w:rsidR="00835F83" w:rsidRPr="002961C2">
        <w:rPr>
          <w:sz w:val="24"/>
          <w:szCs w:val="24"/>
          <w:shd w:val="clear" w:color="auto" w:fill="FFFFFF"/>
        </w:rPr>
        <w:t>The</w:t>
      </w:r>
      <w:r w:rsidR="004841D7" w:rsidRPr="002961C2">
        <w:rPr>
          <w:sz w:val="24"/>
          <w:szCs w:val="24"/>
          <w:shd w:val="clear" w:color="auto" w:fill="FFFFFF"/>
        </w:rPr>
        <w:t>ir</w:t>
      </w:r>
      <w:r w:rsidR="00835F83" w:rsidRPr="002961C2">
        <w:rPr>
          <w:sz w:val="24"/>
          <w:szCs w:val="24"/>
          <w:shd w:val="clear" w:color="auto" w:fill="FFFFFF"/>
        </w:rPr>
        <w:t xml:space="preserve"> </w:t>
      </w:r>
      <w:r w:rsidR="001460B8" w:rsidRPr="002961C2">
        <w:rPr>
          <w:sz w:val="24"/>
          <w:szCs w:val="24"/>
          <w:shd w:val="clear" w:color="auto" w:fill="FFFFFF"/>
        </w:rPr>
        <w:t>c</w:t>
      </w:r>
      <w:r w:rsidR="00F953A2" w:rsidRPr="002961C2">
        <w:rPr>
          <w:sz w:val="24"/>
          <w:szCs w:val="24"/>
          <w:shd w:val="clear" w:color="auto" w:fill="FFFFFF"/>
        </w:rPr>
        <w:t>haracteristics</w:t>
      </w:r>
      <w:r w:rsidR="00EA3642" w:rsidRPr="002961C2">
        <w:rPr>
          <w:sz w:val="24"/>
          <w:szCs w:val="24"/>
          <w:shd w:val="clear" w:color="auto" w:fill="FFFFFF"/>
        </w:rPr>
        <w:t xml:space="preserve"> </w:t>
      </w:r>
      <w:r w:rsidR="00F953A2" w:rsidRPr="002961C2">
        <w:rPr>
          <w:sz w:val="24"/>
          <w:szCs w:val="24"/>
          <w:shd w:val="clear" w:color="auto" w:fill="FFFFFF"/>
        </w:rPr>
        <w:t xml:space="preserve">are summarised in </w:t>
      </w:r>
      <w:r w:rsidR="00F953A2" w:rsidRPr="002961C2">
        <w:rPr>
          <w:b/>
          <w:sz w:val="24"/>
          <w:szCs w:val="24"/>
          <w:shd w:val="clear" w:color="auto" w:fill="FFFFFF"/>
        </w:rPr>
        <w:t>Table 1</w:t>
      </w:r>
      <w:r w:rsidR="00F953A2" w:rsidRPr="002961C2">
        <w:rPr>
          <w:sz w:val="24"/>
          <w:szCs w:val="24"/>
          <w:shd w:val="clear" w:color="auto" w:fill="FFFFFF"/>
        </w:rPr>
        <w:t xml:space="preserve">. </w:t>
      </w:r>
      <w:r w:rsidR="00D50EC1" w:rsidRPr="002961C2">
        <w:rPr>
          <w:sz w:val="24"/>
          <w:szCs w:val="24"/>
          <w:shd w:val="clear" w:color="auto" w:fill="FFFFFF"/>
        </w:rPr>
        <w:t>On average</w:t>
      </w:r>
      <w:r w:rsidR="00F953A2" w:rsidRPr="002961C2">
        <w:rPr>
          <w:sz w:val="24"/>
          <w:szCs w:val="24"/>
          <w:shd w:val="clear" w:color="auto" w:fill="FFFFFF"/>
        </w:rPr>
        <w:t xml:space="preserve">, </w:t>
      </w:r>
      <w:r w:rsidR="00F2130B" w:rsidRPr="002961C2">
        <w:rPr>
          <w:sz w:val="24"/>
          <w:szCs w:val="24"/>
          <w:shd w:val="clear" w:color="auto" w:fill="FFFFFF"/>
        </w:rPr>
        <w:t xml:space="preserve">compared to controls, </w:t>
      </w:r>
      <w:r w:rsidR="00F953A2" w:rsidRPr="002961C2">
        <w:rPr>
          <w:sz w:val="24"/>
          <w:szCs w:val="24"/>
          <w:shd w:val="clear" w:color="auto" w:fill="FFFFFF"/>
        </w:rPr>
        <w:t>cases were older</w:t>
      </w:r>
      <w:r w:rsidR="00F2130B" w:rsidRPr="002961C2">
        <w:rPr>
          <w:sz w:val="24"/>
          <w:szCs w:val="24"/>
          <w:shd w:val="clear" w:color="auto" w:fill="FFFFFF"/>
        </w:rPr>
        <w:t xml:space="preserve"> and </w:t>
      </w:r>
      <w:r w:rsidR="00927A33" w:rsidRPr="002961C2">
        <w:rPr>
          <w:sz w:val="24"/>
          <w:szCs w:val="24"/>
          <w:shd w:val="clear" w:color="auto" w:fill="FFFFFF"/>
        </w:rPr>
        <w:t>more likely to be male and from a non</w:t>
      </w:r>
      <w:r w:rsidR="00EA6A95" w:rsidRPr="002961C2">
        <w:rPr>
          <w:sz w:val="24"/>
          <w:szCs w:val="24"/>
          <w:shd w:val="clear" w:color="auto" w:fill="FFFFFF"/>
        </w:rPr>
        <w:t>-</w:t>
      </w:r>
      <w:r w:rsidR="00927A33" w:rsidRPr="002961C2">
        <w:rPr>
          <w:sz w:val="24"/>
          <w:szCs w:val="24"/>
          <w:shd w:val="clear" w:color="auto" w:fill="FFFFFF"/>
        </w:rPr>
        <w:t>White background. At time of their entry into UKB, the</w:t>
      </w:r>
      <w:r w:rsidR="000F7CB8" w:rsidRPr="002961C2">
        <w:rPr>
          <w:sz w:val="24"/>
          <w:szCs w:val="24"/>
          <w:shd w:val="clear" w:color="auto" w:fill="FFFFFF"/>
        </w:rPr>
        <w:t>y</w:t>
      </w:r>
      <w:r w:rsidR="00927A33" w:rsidRPr="002961C2">
        <w:rPr>
          <w:sz w:val="24"/>
          <w:szCs w:val="24"/>
          <w:shd w:val="clear" w:color="auto" w:fill="FFFFFF"/>
        </w:rPr>
        <w:t xml:space="preserve"> also had a higher BMI and more likely to be current smokers. </w:t>
      </w:r>
      <w:r w:rsidR="007131B6" w:rsidRPr="002961C2">
        <w:rPr>
          <w:sz w:val="24"/>
          <w:szCs w:val="24"/>
          <w:shd w:val="clear" w:color="auto" w:fill="FFFFFF"/>
        </w:rPr>
        <w:t>(</w:t>
      </w:r>
      <w:r w:rsidR="007131B6" w:rsidRPr="002961C2">
        <w:rPr>
          <w:b/>
          <w:sz w:val="24"/>
          <w:szCs w:val="24"/>
          <w:shd w:val="clear" w:color="auto" w:fill="FFFFFF"/>
        </w:rPr>
        <w:t>Table 1</w:t>
      </w:r>
      <w:r w:rsidR="007131B6" w:rsidRPr="002961C2">
        <w:rPr>
          <w:sz w:val="24"/>
          <w:szCs w:val="24"/>
          <w:shd w:val="clear" w:color="auto" w:fill="FFFFFF"/>
        </w:rPr>
        <w:t>).</w:t>
      </w:r>
      <w:r w:rsidR="007E02B6" w:rsidRPr="002961C2">
        <w:rPr>
          <w:sz w:val="24"/>
          <w:szCs w:val="24"/>
          <w:shd w:val="clear" w:color="auto" w:fill="FFFFFF"/>
        </w:rPr>
        <w:t xml:space="preserve"> </w:t>
      </w:r>
    </w:p>
    <w:p w14:paraId="3908115D" w14:textId="3F2792DC" w:rsidR="00F46989" w:rsidRPr="002961C2" w:rsidRDefault="00F46989" w:rsidP="009D76FB">
      <w:pPr>
        <w:spacing w:line="480" w:lineRule="auto"/>
        <w:rPr>
          <w:sz w:val="24"/>
          <w:szCs w:val="24"/>
          <w:shd w:val="clear" w:color="auto" w:fill="FFFFFF"/>
        </w:rPr>
      </w:pPr>
      <w:r w:rsidRPr="002961C2">
        <w:rPr>
          <w:sz w:val="24"/>
          <w:szCs w:val="24"/>
          <w:shd w:val="clear" w:color="auto" w:fill="FFFFFF"/>
        </w:rPr>
        <w:t xml:space="preserve">LTL </w:t>
      </w:r>
      <w:r w:rsidR="00EA3642" w:rsidRPr="002961C2">
        <w:rPr>
          <w:sz w:val="24"/>
          <w:szCs w:val="24"/>
          <w:shd w:val="clear" w:color="auto" w:fill="FFFFFF"/>
        </w:rPr>
        <w:t xml:space="preserve">at entry </w:t>
      </w:r>
      <w:r w:rsidR="008C1452" w:rsidRPr="002961C2">
        <w:rPr>
          <w:sz w:val="24"/>
          <w:szCs w:val="24"/>
          <w:shd w:val="clear" w:color="auto" w:fill="FFFFFF"/>
        </w:rPr>
        <w:t>to</w:t>
      </w:r>
      <w:r w:rsidR="00EA3642" w:rsidRPr="002961C2">
        <w:rPr>
          <w:sz w:val="24"/>
          <w:szCs w:val="24"/>
          <w:shd w:val="clear" w:color="auto" w:fill="FFFFFF"/>
        </w:rPr>
        <w:t xml:space="preserve"> UKB </w:t>
      </w:r>
      <w:r w:rsidRPr="002961C2">
        <w:rPr>
          <w:sz w:val="24"/>
          <w:szCs w:val="24"/>
          <w:shd w:val="clear" w:color="auto" w:fill="FFFFFF"/>
        </w:rPr>
        <w:t>was on average shorter in cases compared with controls (</w:t>
      </w:r>
      <w:r w:rsidRPr="002961C2">
        <w:rPr>
          <w:b/>
          <w:sz w:val="24"/>
          <w:szCs w:val="24"/>
          <w:shd w:val="clear" w:color="auto" w:fill="FFFFFF"/>
        </w:rPr>
        <w:t>Table 1</w:t>
      </w:r>
      <w:r w:rsidRPr="002961C2">
        <w:rPr>
          <w:sz w:val="24"/>
          <w:szCs w:val="24"/>
          <w:shd w:val="clear" w:color="auto" w:fill="FFFFFF"/>
        </w:rPr>
        <w:t xml:space="preserve">). </w:t>
      </w:r>
      <w:r w:rsidR="00822953" w:rsidRPr="002961C2">
        <w:rPr>
          <w:sz w:val="24"/>
          <w:szCs w:val="24"/>
          <w:shd w:val="clear" w:color="auto" w:fill="FFFFFF"/>
        </w:rPr>
        <w:t xml:space="preserve">The </w:t>
      </w:r>
      <w:r w:rsidR="003E4CBB" w:rsidRPr="002961C2">
        <w:rPr>
          <w:sz w:val="24"/>
          <w:szCs w:val="24"/>
          <w:shd w:val="clear" w:color="auto" w:fill="FFFFFF"/>
        </w:rPr>
        <w:t>OR</w:t>
      </w:r>
      <w:r w:rsidR="00822953" w:rsidRPr="002961C2">
        <w:rPr>
          <w:sz w:val="24"/>
          <w:szCs w:val="24"/>
          <w:shd w:val="clear" w:color="auto" w:fill="FFFFFF"/>
        </w:rPr>
        <w:t xml:space="preserve"> </w:t>
      </w:r>
      <w:r w:rsidR="003E4CBB" w:rsidRPr="002961C2">
        <w:rPr>
          <w:sz w:val="24"/>
          <w:szCs w:val="24"/>
          <w:shd w:val="clear" w:color="auto" w:fill="FFFFFF"/>
        </w:rPr>
        <w:t xml:space="preserve">for the </w:t>
      </w:r>
      <w:r w:rsidR="00B57189" w:rsidRPr="002961C2">
        <w:rPr>
          <w:sz w:val="24"/>
          <w:szCs w:val="24"/>
          <w:shd w:val="clear" w:color="auto" w:fill="FFFFFF"/>
        </w:rPr>
        <w:t>primary</w:t>
      </w:r>
      <w:r w:rsidR="003E4CBB" w:rsidRPr="002961C2">
        <w:rPr>
          <w:sz w:val="24"/>
          <w:szCs w:val="24"/>
          <w:shd w:val="clear" w:color="auto" w:fill="FFFFFF"/>
        </w:rPr>
        <w:t xml:space="preserve"> outcome </w:t>
      </w:r>
      <w:r w:rsidR="00822953" w:rsidRPr="002961C2">
        <w:rPr>
          <w:sz w:val="24"/>
          <w:szCs w:val="24"/>
          <w:shd w:val="clear" w:color="auto" w:fill="FFFFFF"/>
        </w:rPr>
        <w:t>was 1.1</w:t>
      </w:r>
      <w:r w:rsidR="001F4F1B" w:rsidRPr="002961C2">
        <w:rPr>
          <w:sz w:val="24"/>
          <w:szCs w:val="24"/>
          <w:shd w:val="clear" w:color="auto" w:fill="FFFFFF"/>
        </w:rPr>
        <w:t>7</w:t>
      </w:r>
      <w:r w:rsidR="00822953" w:rsidRPr="002961C2">
        <w:rPr>
          <w:sz w:val="24"/>
          <w:szCs w:val="24"/>
          <w:shd w:val="clear" w:color="auto" w:fill="FFFFFF"/>
        </w:rPr>
        <w:t xml:space="preserve"> (95</w:t>
      </w:r>
      <w:r w:rsidR="00DC07F8" w:rsidRPr="002961C2">
        <w:rPr>
          <w:sz w:val="24"/>
          <w:szCs w:val="24"/>
          <w:shd w:val="clear" w:color="auto" w:fill="FFFFFF"/>
        </w:rPr>
        <w:t>% CI 1.05-1.</w:t>
      </w:r>
      <w:r w:rsidR="009A280F" w:rsidRPr="002961C2">
        <w:rPr>
          <w:sz w:val="24"/>
          <w:szCs w:val="24"/>
          <w:shd w:val="clear" w:color="auto" w:fill="FFFFFF"/>
        </w:rPr>
        <w:t>30</w:t>
      </w:r>
      <w:r w:rsidR="00DC07F8" w:rsidRPr="002961C2">
        <w:rPr>
          <w:sz w:val="24"/>
          <w:szCs w:val="24"/>
          <w:shd w:val="clear" w:color="auto" w:fill="FFFFFF"/>
        </w:rPr>
        <w:t>;</w:t>
      </w:r>
      <w:r w:rsidR="00B82276" w:rsidRPr="002961C2">
        <w:rPr>
          <w:sz w:val="24"/>
          <w:szCs w:val="24"/>
          <w:shd w:val="clear" w:color="auto" w:fill="FFFFFF"/>
        </w:rPr>
        <w:t xml:space="preserve"> logistic regression</w:t>
      </w:r>
      <w:r w:rsidR="00DC07F8" w:rsidRPr="002961C2">
        <w:rPr>
          <w:sz w:val="24"/>
          <w:szCs w:val="24"/>
          <w:shd w:val="clear" w:color="auto" w:fill="FFFFFF"/>
        </w:rPr>
        <w:t xml:space="preserve"> P=0</w:t>
      </w:r>
      <w:r w:rsidR="005D2459" w:rsidRPr="002961C2">
        <w:rPr>
          <w:rFonts w:cstheme="minorHAnsi"/>
          <w:sz w:val="24"/>
          <w:szCs w:val="24"/>
          <w:shd w:val="clear" w:color="auto" w:fill="FFFFFF"/>
        </w:rPr>
        <w:t>·</w:t>
      </w:r>
      <w:r w:rsidR="00DC07F8" w:rsidRPr="002961C2">
        <w:rPr>
          <w:sz w:val="24"/>
          <w:szCs w:val="24"/>
          <w:shd w:val="clear" w:color="auto" w:fill="FFFFFF"/>
        </w:rPr>
        <w:t>004) per 1-SD</w:t>
      </w:r>
      <w:r w:rsidR="00822953" w:rsidRPr="002961C2">
        <w:rPr>
          <w:sz w:val="24"/>
          <w:szCs w:val="24"/>
          <w:shd w:val="clear" w:color="auto" w:fill="FFFFFF"/>
        </w:rPr>
        <w:t xml:space="preserve"> shorter usual LTL, after adjustment for age, sex and ethnicity</w:t>
      </w:r>
      <w:r w:rsidR="0048754D" w:rsidRPr="002961C2">
        <w:rPr>
          <w:sz w:val="24"/>
          <w:szCs w:val="24"/>
          <w:shd w:val="clear" w:color="auto" w:fill="FFFFFF"/>
        </w:rPr>
        <w:t xml:space="preserve"> (</w:t>
      </w:r>
      <w:r w:rsidR="0048754D" w:rsidRPr="002961C2">
        <w:rPr>
          <w:b/>
          <w:sz w:val="24"/>
          <w:szCs w:val="24"/>
          <w:shd w:val="clear" w:color="auto" w:fill="FFFFFF"/>
        </w:rPr>
        <w:t>Table 2</w:t>
      </w:r>
      <w:r w:rsidRPr="002961C2">
        <w:rPr>
          <w:sz w:val="24"/>
          <w:szCs w:val="24"/>
          <w:shd w:val="clear" w:color="auto" w:fill="FFFFFF"/>
        </w:rPr>
        <w:t xml:space="preserve">). </w:t>
      </w:r>
      <w:r w:rsidR="00DC07F8" w:rsidRPr="002961C2">
        <w:rPr>
          <w:sz w:val="24"/>
          <w:szCs w:val="24"/>
          <w:shd w:val="clear" w:color="auto" w:fill="FFFFFF"/>
        </w:rPr>
        <w:t xml:space="preserve">The </w:t>
      </w:r>
      <w:r w:rsidR="003E4CBB" w:rsidRPr="002961C2">
        <w:rPr>
          <w:sz w:val="24"/>
          <w:szCs w:val="24"/>
          <w:shd w:val="clear" w:color="auto" w:fill="FFFFFF"/>
        </w:rPr>
        <w:t>OR</w:t>
      </w:r>
      <w:r w:rsidR="00DC07F8" w:rsidRPr="002961C2">
        <w:rPr>
          <w:sz w:val="24"/>
          <w:szCs w:val="24"/>
          <w:shd w:val="clear" w:color="auto" w:fill="FFFFFF"/>
        </w:rPr>
        <w:t xml:space="preserve"> only slightly </w:t>
      </w:r>
      <w:r w:rsidR="00E9284E" w:rsidRPr="002961C2">
        <w:rPr>
          <w:sz w:val="24"/>
          <w:szCs w:val="24"/>
          <w:shd w:val="clear" w:color="auto" w:fill="FFFFFF"/>
        </w:rPr>
        <w:t>attenuated</w:t>
      </w:r>
      <w:r w:rsidR="00DC07F8" w:rsidRPr="002961C2">
        <w:rPr>
          <w:sz w:val="24"/>
          <w:szCs w:val="24"/>
          <w:shd w:val="clear" w:color="auto" w:fill="FFFFFF"/>
        </w:rPr>
        <w:t xml:space="preserve"> after further adjustment</w:t>
      </w:r>
      <w:r w:rsidR="007E02B6" w:rsidRPr="002961C2">
        <w:rPr>
          <w:sz w:val="24"/>
          <w:szCs w:val="24"/>
          <w:shd w:val="clear" w:color="auto" w:fill="FFFFFF"/>
        </w:rPr>
        <w:t xml:space="preserve"> for </w:t>
      </w:r>
      <w:r w:rsidR="0048754D" w:rsidRPr="002961C2">
        <w:rPr>
          <w:sz w:val="24"/>
          <w:szCs w:val="24"/>
          <w:shd w:val="clear" w:color="auto" w:fill="FFFFFF"/>
        </w:rPr>
        <w:t xml:space="preserve">smoking </w:t>
      </w:r>
      <w:r w:rsidR="003E4CBB" w:rsidRPr="002961C2">
        <w:rPr>
          <w:sz w:val="24"/>
          <w:szCs w:val="24"/>
          <w:shd w:val="clear" w:color="auto" w:fill="FFFFFF"/>
        </w:rPr>
        <w:t xml:space="preserve">status </w:t>
      </w:r>
      <w:r w:rsidR="0048754D" w:rsidRPr="002961C2">
        <w:rPr>
          <w:sz w:val="24"/>
          <w:szCs w:val="24"/>
          <w:shd w:val="clear" w:color="auto" w:fill="FFFFFF"/>
        </w:rPr>
        <w:t xml:space="preserve">and BMI </w:t>
      </w:r>
      <w:r w:rsidR="008A3A9D" w:rsidRPr="002961C2">
        <w:rPr>
          <w:sz w:val="24"/>
          <w:szCs w:val="24"/>
          <w:shd w:val="clear" w:color="auto" w:fill="FFFFFF"/>
        </w:rPr>
        <w:t>(</w:t>
      </w:r>
      <w:r w:rsidR="00DC07F8" w:rsidRPr="002961C2">
        <w:rPr>
          <w:sz w:val="24"/>
          <w:szCs w:val="24"/>
          <w:shd w:val="clear" w:color="auto" w:fill="FFFFFF"/>
        </w:rPr>
        <w:t>OR=</w:t>
      </w:r>
      <w:r w:rsidR="00970267" w:rsidRPr="002961C2">
        <w:rPr>
          <w:sz w:val="24"/>
          <w:szCs w:val="24"/>
          <w:shd w:val="clear" w:color="auto" w:fill="FFFFFF"/>
        </w:rPr>
        <w:t>1</w:t>
      </w:r>
      <w:r w:rsidR="005D2459" w:rsidRPr="002961C2">
        <w:rPr>
          <w:rFonts w:cstheme="minorHAnsi"/>
          <w:sz w:val="24"/>
          <w:szCs w:val="24"/>
          <w:shd w:val="clear" w:color="auto" w:fill="FFFFFF"/>
        </w:rPr>
        <w:t>·</w:t>
      </w:r>
      <w:r w:rsidR="00970267" w:rsidRPr="002961C2">
        <w:rPr>
          <w:sz w:val="24"/>
          <w:szCs w:val="24"/>
          <w:shd w:val="clear" w:color="auto" w:fill="FFFFFF"/>
        </w:rPr>
        <w:t>1</w:t>
      </w:r>
      <w:r w:rsidR="001F4F1B" w:rsidRPr="002961C2">
        <w:rPr>
          <w:sz w:val="24"/>
          <w:szCs w:val="24"/>
          <w:shd w:val="clear" w:color="auto" w:fill="FFFFFF"/>
        </w:rPr>
        <w:t>5</w:t>
      </w:r>
      <w:r w:rsidR="00970267" w:rsidRPr="002961C2">
        <w:rPr>
          <w:sz w:val="24"/>
          <w:szCs w:val="24"/>
          <w:shd w:val="clear" w:color="auto" w:fill="FFFFFF"/>
        </w:rPr>
        <w:t>, 1</w:t>
      </w:r>
      <w:r w:rsidR="005D2459" w:rsidRPr="002961C2">
        <w:rPr>
          <w:rFonts w:cstheme="minorHAnsi"/>
          <w:sz w:val="24"/>
          <w:szCs w:val="24"/>
          <w:shd w:val="clear" w:color="auto" w:fill="FFFFFF"/>
        </w:rPr>
        <w:t>·</w:t>
      </w:r>
      <w:r w:rsidR="00970267" w:rsidRPr="002961C2">
        <w:rPr>
          <w:sz w:val="24"/>
          <w:szCs w:val="24"/>
          <w:shd w:val="clear" w:color="auto" w:fill="FFFFFF"/>
        </w:rPr>
        <w:t>03</w:t>
      </w:r>
      <w:r w:rsidR="00DC07F8" w:rsidRPr="002961C2">
        <w:rPr>
          <w:sz w:val="24"/>
          <w:szCs w:val="24"/>
          <w:shd w:val="clear" w:color="auto" w:fill="FFFFFF"/>
        </w:rPr>
        <w:t>-</w:t>
      </w:r>
      <w:r w:rsidR="00970267" w:rsidRPr="002961C2">
        <w:rPr>
          <w:sz w:val="24"/>
          <w:szCs w:val="24"/>
          <w:shd w:val="clear" w:color="auto" w:fill="FFFFFF"/>
        </w:rPr>
        <w:t>1</w:t>
      </w:r>
      <w:r w:rsidR="005D2459" w:rsidRPr="002961C2">
        <w:rPr>
          <w:rFonts w:cstheme="minorHAnsi"/>
          <w:sz w:val="24"/>
          <w:szCs w:val="24"/>
          <w:shd w:val="clear" w:color="auto" w:fill="FFFFFF"/>
        </w:rPr>
        <w:t>·</w:t>
      </w:r>
      <w:r w:rsidR="001F4F1B" w:rsidRPr="002961C2">
        <w:rPr>
          <w:sz w:val="24"/>
          <w:szCs w:val="24"/>
          <w:shd w:val="clear" w:color="auto" w:fill="FFFFFF"/>
        </w:rPr>
        <w:t>28</w:t>
      </w:r>
      <w:r w:rsidRPr="002961C2">
        <w:rPr>
          <w:sz w:val="24"/>
          <w:szCs w:val="24"/>
          <w:shd w:val="clear" w:color="auto" w:fill="FFFFFF"/>
        </w:rPr>
        <w:t>)</w:t>
      </w:r>
      <w:r w:rsidR="003E4CBB" w:rsidRPr="002961C2">
        <w:rPr>
          <w:sz w:val="24"/>
          <w:szCs w:val="24"/>
          <w:shd w:val="clear" w:color="auto" w:fill="FFFFFF"/>
        </w:rPr>
        <w:t xml:space="preserve">, </w:t>
      </w:r>
      <w:r w:rsidR="00DC07F8" w:rsidRPr="002961C2">
        <w:rPr>
          <w:sz w:val="24"/>
          <w:szCs w:val="24"/>
          <w:shd w:val="clear" w:color="auto" w:fill="FFFFFF"/>
        </w:rPr>
        <w:t xml:space="preserve">and after adjustment for the presence of any of 123 diseases </w:t>
      </w:r>
      <w:r w:rsidR="0045538D" w:rsidRPr="002961C2">
        <w:rPr>
          <w:sz w:val="24"/>
          <w:szCs w:val="24"/>
          <w:shd w:val="clear" w:color="auto" w:fill="FFFFFF"/>
        </w:rPr>
        <w:t xml:space="preserve">recorded </w:t>
      </w:r>
      <w:r w:rsidR="00DC07F8" w:rsidRPr="002961C2">
        <w:rPr>
          <w:sz w:val="24"/>
          <w:szCs w:val="24"/>
          <w:shd w:val="clear" w:color="auto" w:fill="FFFFFF"/>
        </w:rPr>
        <w:t>at baseline</w:t>
      </w:r>
      <w:r w:rsidR="00B322F3" w:rsidRPr="002961C2">
        <w:rPr>
          <w:sz w:val="24"/>
          <w:szCs w:val="24"/>
          <w:shd w:val="clear" w:color="auto" w:fill="FFFFFF"/>
        </w:rPr>
        <w:t xml:space="preserve"> (</w:t>
      </w:r>
      <w:r w:rsidR="00970267" w:rsidRPr="002961C2">
        <w:rPr>
          <w:sz w:val="24"/>
          <w:szCs w:val="24"/>
          <w:shd w:val="clear" w:color="auto" w:fill="FFFFFF"/>
        </w:rPr>
        <w:t>OR=1</w:t>
      </w:r>
      <w:r w:rsidR="005D2459" w:rsidRPr="002961C2">
        <w:rPr>
          <w:rFonts w:cstheme="minorHAnsi"/>
          <w:sz w:val="24"/>
          <w:szCs w:val="24"/>
          <w:shd w:val="clear" w:color="auto" w:fill="FFFFFF"/>
        </w:rPr>
        <w:t>·</w:t>
      </w:r>
      <w:r w:rsidR="00970267" w:rsidRPr="002961C2">
        <w:rPr>
          <w:sz w:val="24"/>
          <w:szCs w:val="24"/>
          <w:shd w:val="clear" w:color="auto" w:fill="FFFFFF"/>
        </w:rPr>
        <w:t>14, 1</w:t>
      </w:r>
      <w:r w:rsidR="005D2459" w:rsidRPr="002961C2">
        <w:rPr>
          <w:rFonts w:cstheme="minorHAnsi"/>
          <w:sz w:val="24"/>
          <w:szCs w:val="24"/>
          <w:shd w:val="clear" w:color="auto" w:fill="FFFFFF"/>
        </w:rPr>
        <w:t>·</w:t>
      </w:r>
      <w:r w:rsidR="00970267" w:rsidRPr="002961C2">
        <w:rPr>
          <w:sz w:val="24"/>
          <w:szCs w:val="24"/>
          <w:shd w:val="clear" w:color="auto" w:fill="FFFFFF"/>
        </w:rPr>
        <w:t>02</w:t>
      </w:r>
      <w:r w:rsidR="00DC07F8" w:rsidRPr="002961C2">
        <w:rPr>
          <w:sz w:val="24"/>
          <w:szCs w:val="24"/>
          <w:shd w:val="clear" w:color="auto" w:fill="FFFFFF"/>
        </w:rPr>
        <w:t>-</w:t>
      </w:r>
      <w:r w:rsidR="00970267" w:rsidRPr="002961C2">
        <w:rPr>
          <w:sz w:val="24"/>
          <w:szCs w:val="24"/>
          <w:shd w:val="clear" w:color="auto" w:fill="FFFFFF"/>
        </w:rPr>
        <w:t>1</w:t>
      </w:r>
      <w:r w:rsidR="005D2459" w:rsidRPr="002961C2">
        <w:rPr>
          <w:rFonts w:cstheme="minorHAnsi"/>
          <w:sz w:val="24"/>
          <w:szCs w:val="24"/>
          <w:shd w:val="clear" w:color="auto" w:fill="FFFFFF"/>
        </w:rPr>
        <w:t>·</w:t>
      </w:r>
      <w:r w:rsidR="009A280F" w:rsidRPr="002961C2">
        <w:rPr>
          <w:sz w:val="24"/>
          <w:szCs w:val="24"/>
          <w:shd w:val="clear" w:color="auto" w:fill="FFFFFF"/>
        </w:rPr>
        <w:t>26</w:t>
      </w:r>
      <w:r w:rsidR="00B322F3" w:rsidRPr="002961C2">
        <w:rPr>
          <w:sz w:val="24"/>
          <w:szCs w:val="24"/>
          <w:shd w:val="clear" w:color="auto" w:fill="FFFFFF"/>
        </w:rPr>
        <w:t>)</w:t>
      </w:r>
      <w:r w:rsidR="00257AE9" w:rsidRPr="002961C2">
        <w:rPr>
          <w:sz w:val="24"/>
          <w:szCs w:val="24"/>
          <w:shd w:val="clear" w:color="auto" w:fill="FFFFFF"/>
        </w:rPr>
        <w:t xml:space="preserve">, while adjusting for </w:t>
      </w:r>
      <w:r w:rsidR="00E855BE" w:rsidRPr="002961C2">
        <w:rPr>
          <w:sz w:val="24"/>
          <w:szCs w:val="24"/>
          <w:shd w:val="clear" w:color="auto" w:fill="FFFFFF"/>
        </w:rPr>
        <w:t>CRP</w:t>
      </w:r>
      <w:r w:rsidR="00257AE9" w:rsidRPr="002961C2">
        <w:rPr>
          <w:sz w:val="24"/>
          <w:szCs w:val="24"/>
          <w:shd w:val="clear" w:color="auto" w:fill="FFFFFF"/>
        </w:rPr>
        <w:t xml:space="preserve"> slightly increased the </w:t>
      </w:r>
      <w:r w:rsidR="00F533EC" w:rsidRPr="002961C2">
        <w:rPr>
          <w:sz w:val="24"/>
          <w:szCs w:val="24"/>
          <w:shd w:val="clear" w:color="auto" w:fill="FFFFFF"/>
        </w:rPr>
        <w:t xml:space="preserve">estimated effect size </w:t>
      </w:r>
      <w:r w:rsidR="00257AE9" w:rsidRPr="002961C2">
        <w:rPr>
          <w:sz w:val="24"/>
          <w:szCs w:val="24"/>
          <w:shd w:val="clear" w:color="auto" w:fill="FFFFFF"/>
        </w:rPr>
        <w:t>(OR=1</w:t>
      </w:r>
      <w:r w:rsidR="00257AE9" w:rsidRPr="002961C2">
        <w:rPr>
          <w:rFonts w:cstheme="minorHAnsi"/>
          <w:sz w:val="24"/>
          <w:szCs w:val="24"/>
          <w:shd w:val="clear" w:color="auto" w:fill="FFFFFF"/>
        </w:rPr>
        <w:t>·</w:t>
      </w:r>
      <w:r w:rsidR="00257AE9" w:rsidRPr="002961C2">
        <w:rPr>
          <w:sz w:val="24"/>
          <w:szCs w:val="24"/>
          <w:shd w:val="clear" w:color="auto" w:fill="FFFFFF"/>
        </w:rPr>
        <w:t>19, 1</w:t>
      </w:r>
      <w:r w:rsidR="00257AE9" w:rsidRPr="002961C2">
        <w:rPr>
          <w:rFonts w:cstheme="minorHAnsi"/>
          <w:sz w:val="24"/>
          <w:szCs w:val="24"/>
          <w:shd w:val="clear" w:color="auto" w:fill="FFFFFF"/>
        </w:rPr>
        <w:t>·</w:t>
      </w:r>
      <w:r w:rsidR="00257AE9" w:rsidRPr="002961C2">
        <w:rPr>
          <w:sz w:val="24"/>
          <w:szCs w:val="24"/>
          <w:shd w:val="clear" w:color="auto" w:fill="FFFFFF"/>
        </w:rPr>
        <w:t>06-1</w:t>
      </w:r>
      <w:r w:rsidR="00257AE9" w:rsidRPr="002961C2">
        <w:rPr>
          <w:rFonts w:cstheme="minorHAnsi"/>
          <w:sz w:val="24"/>
          <w:szCs w:val="24"/>
          <w:shd w:val="clear" w:color="auto" w:fill="FFFFFF"/>
        </w:rPr>
        <w:t>·</w:t>
      </w:r>
      <w:r w:rsidR="00257AE9" w:rsidRPr="002961C2">
        <w:rPr>
          <w:sz w:val="24"/>
          <w:szCs w:val="24"/>
          <w:shd w:val="clear" w:color="auto" w:fill="FFFFFF"/>
        </w:rPr>
        <w:t>33)</w:t>
      </w:r>
      <w:r w:rsidR="00B322F3" w:rsidRPr="002961C2">
        <w:rPr>
          <w:sz w:val="24"/>
          <w:szCs w:val="24"/>
          <w:shd w:val="clear" w:color="auto" w:fill="FFFFFF"/>
        </w:rPr>
        <w:t xml:space="preserve">. </w:t>
      </w:r>
      <w:r w:rsidR="00DC07F8" w:rsidRPr="002961C2">
        <w:rPr>
          <w:sz w:val="24"/>
          <w:szCs w:val="24"/>
          <w:shd w:val="clear" w:color="auto" w:fill="FFFFFF"/>
        </w:rPr>
        <w:t xml:space="preserve">As expected, </w:t>
      </w:r>
      <w:r w:rsidR="00822953" w:rsidRPr="002961C2">
        <w:rPr>
          <w:sz w:val="24"/>
          <w:szCs w:val="24"/>
          <w:shd w:val="clear" w:color="auto" w:fill="FFFFFF"/>
        </w:rPr>
        <w:t>older</w:t>
      </w:r>
      <w:r w:rsidR="003E4CBB" w:rsidRPr="002961C2">
        <w:rPr>
          <w:sz w:val="24"/>
          <w:szCs w:val="24"/>
          <w:shd w:val="clear" w:color="auto" w:fill="FFFFFF"/>
        </w:rPr>
        <w:t xml:space="preserve"> </w:t>
      </w:r>
      <w:r w:rsidR="00822953" w:rsidRPr="002961C2">
        <w:rPr>
          <w:sz w:val="24"/>
          <w:szCs w:val="24"/>
          <w:shd w:val="clear" w:color="auto" w:fill="FFFFFF"/>
        </w:rPr>
        <w:t xml:space="preserve">age, male sex and </w:t>
      </w:r>
      <w:r w:rsidR="006524E5" w:rsidRPr="002961C2">
        <w:rPr>
          <w:sz w:val="24"/>
          <w:szCs w:val="24"/>
          <w:shd w:val="clear" w:color="auto" w:fill="FFFFFF"/>
        </w:rPr>
        <w:t xml:space="preserve">non-White </w:t>
      </w:r>
      <w:r w:rsidR="00822953" w:rsidRPr="002961C2">
        <w:rPr>
          <w:sz w:val="24"/>
          <w:szCs w:val="24"/>
          <w:shd w:val="clear" w:color="auto" w:fill="FFFFFF"/>
        </w:rPr>
        <w:t xml:space="preserve">ethnicity were each associated with higher risk of </w:t>
      </w:r>
      <w:r w:rsidR="00B841F1" w:rsidRPr="002961C2">
        <w:rPr>
          <w:sz w:val="24"/>
          <w:szCs w:val="24"/>
          <w:shd w:val="clear" w:color="auto" w:fill="FFFFFF"/>
        </w:rPr>
        <w:t xml:space="preserve">adverse </w:t>
      </w:r>
      <w:r w:rsidR="00822953" w:rsidRPr="002961C2">
        <w:rPr>
          <w:sz w:val="24"/>
          <w:szCs w:val="24"/>
          <w:shd w:val="clear" w:color="auto" w:fill="FFFFFF"/>
        </w:rPr>
        <w:t xml:space="preserve">COVID-19 </w:t>
      </w:r>
      <w:r w:rsidR="0030305F" w:rsidRPr="002961C2">
        <w:rPr>
          <w:sz w:val="24"/>
          <w:szCs w:val="24"/>
          <w:shd w:val="clear" w:color="auto" w:fill="FFFFFF"/>
        </w:rPr>
        <w:t>outcomes independently of</w:t>
      </w:r>
      <w:r w:rsidR="003E4CBB" w:rsidRPr="002961C2">
        <w:rPr>
          <w:sz w:val="24"/>
          <w:szCs w:val="24"/>
          <w:shd w:val="clear" w:color="auto" w:fill="FFFFFF"/>
        </w:rPr>
        <w:t xml:space="preserve"> usual LTL</w:t>
      </w:r>
      <w:r w:rsidR="00822953" w:rsidRPr="002961C2">
        <w:rPr>
          <w:sz w:val="24"/>
          <w:szCs w:val="24"/>
          <w:shd w:val="clear" w:color="auto" w:fill="FFFFFF"/>
        </w:rPr>
        <w:t xml:space="preserve"> (</w:t>
      </w:r>
      <w:r w:rsidR="00822953" w:rsidRPr="002961C2">
        <w:rPr>
          <w:b/>
          <w:sz w:val="24"/>
          <w:szCs w:val="24"/>
          <w:shd w:val="clear" w:color="auto" w:fill="FFFFFF"/>
        </w:rPr>
        <w:t>Table 2</w:t>
      </w:r>
      <w:r w:rsidR="00822953" w:rsidRPr="002961C2">
        <w:rPr>
          <w:sz w:val="24"/>
          <w:szCs w:val="24"/>
          <w:shd w:val="clear" w:color="auto" w:fill="FFFFFF"/>
        </w:rPr>
        <w:t>).</w:t>
      </w:r>
      <w:r w:rsidR="00C23E1A" w:rsidRPr="002961C2">
        <w:rPr>
          <w:sz w:val="24"/>
          <w:shd w:val="clear" w:color="auto" w:fill="FFFFFF"/>
        </w:rPr>
        <w:t xml:space="preserve"> </w:t>
      </w:r>
    </w:p>
    <w:p w14:paraId="058EF91A" w14:textId="60EF7A8D" w:rsidR="008A3A9D" w:rsidRPr="002961C2" w:rsidRDefault="001460B8" w:rsidP="009D76FB">
      <w:pPr>
        <w:spacing w:line="480" w:lineRule="auto"/>
        <w:rPr>
          <w:sz w:val="24"/>
          <w:szCs w:val="24"/>
          <w:shd w:val="clear" w:color="auto" w:fill="FFFFFF"/>
        </w:rPr>
      </w:pPr>
      <w:r w:rsidRPr="002961C2">
        <w:rPr>
          <w:sz w:val="24"/>
          <w:szCs w:val="24"/>
          <w:shd w:val="clear" w:color="auto" w:fill="FFFFFF"/>
        </w:rPr>
        <w:t>Sub-</w:t>
      </w:r>
      <w:r w:rsidR="00F46989" w:rsidRPr="002961C2">
        <w:rPr>
          <w:sz w:val="24"/>
          <w:szCs w:val="24"/>
          <w:shd w:val="clear" w:color="auto" w:fill="FFFFFF"/>
        </w:rPr>
        <w:t xml:space="preserve">components </w:t>
      </w:r>
      <w:r w:rsidR="00F8771B" w:rsidRPr="002961C2">
        <w:rPr>
          <w:sz w:val="24"/>
          <w:szCs w:val="24"/>
          <w:shd w:val="clear" w:color="auto" w:fill="FFFFFF"/>
        </w:rPr>
        <w:t>of</w:t>
      </w:r>
      <w:r w:rsidRPr="002961C2">
        <w:rPr>
          <w:sz w:val="24"/>
          <w:szCs w:val="24"/>
          <w:shd w:val="clear" w:color="auto" w:fill="FFFFFF"/>
        </w:rPr>
        <w:t xml:space="preserve"> </w:t>
      </w:r>
      <w:r w:rsidR="00F46989" w:rsidRPr="002961C2">
        <w:rPr>
          <w:sz w:val="24"/>
          <w:szCs w:val="24"/>
          <w:shd w:val="clear" w:color="auto" w:fill="FFFFFF"/>
        </w:rPr>
        <w:t xml:space="preserve">our </w:t>
      </w:r>
      <w:r w:rsidRPr="002961C2">
        <w:rPr>
          <w:sz w:val="24"/>
          <w:szCs w:val="24"/>
          <w:shd w:val="clear" w:color="auto" w:fill="FFFFFF"/>
        </w:rPr>
        <w:t xml:space="preserve">study’s </w:t>
      </w:r>
      <w:r w:rsidR="00F46989" w:rsidRPr="002961C2">
        <w:rPr>
          <w:sz w:val="24"/>
          <w:szCs w:val="24"/>
          <w:shd w:val="clear" w:color="auto" w:fill="FFFFFF"/>
        </w:rPr>
        <w:t xml:space="preserve">primary </w:t>
      </w:r>
      <w:r w:rsidRPr="002961C2">
        <w:rPr>
          <w:sz w:val="24"/>
          <w:szCs w:val="24"/>
          <w:shd w:val="clear" w:color="auto" w:fill="FFFFFF"/>
        </w:rPr>
        <w:t xml:space="preserve">composite </w:t>
      </w:r>
      <w:r w:rsidR="00F46989" w:rsidRPr="002961C2">
        <w:rPr>
          <w:sz w:val="24"/>
          <w:szCs w:val="24"/>
          <w:shd w:val="clear" w:color="auto" w:fill="FFFFFF"/>
        </w:rPr>
        <w:t xml:space="preserve">outcome </w:t>
      </w:r>
      <w:r w:rsidR="0045538D" w:rsidRPr="002961C2">
        <w:rPr>
          <w:sz w:val="24"/>
          <w:szCs w:val="24"/>
          <w:shd w:val="clear" w:color="auto" w:fill="FFFFFF"/>
        </w:rPr>
        <w:t>we</w:t>
      </w:r>
      <w:r w:rsidR="00F46989" w:rsidRPr="002961C2">
        <w:rPr>
          <w:sz w:val="24"/>
          <w:szCs w:val="24"/>
          <w:shd w:val="clear" w:color="auto" w:fill="FFFFFF"/>
        </w:rPr>
        <w:t>re not mutually exclusive</w:t>
      </w:r>
      <w:r w:rsidR="00835F83" w:rsidRPr="002961C2">
        <w:rPr>
          <w:sz w:val="24"/>
          <w:szCs w:val="24"/>
          <w:shd w:val="clear" w:color="auto" w:fill="FFFFFF"/>
        </w:rPr>
        <w:t>, as</w:t>
      </w:r>
      <w:r w:rsidR="00066A4E" w:rsidRPr="002961C2">
        <w:rPr>
          <w:sz w:val="24"/>
          <w:szCs w:val="24"/>
          <w:shd w:val="clear" w:color="auto" w:fill="FFFFFF"/>
        </w:rPr>
        <w:t xml:space="preserve"> </w:t>
      </w:r>
      <w:r w:rsidRPr="002961C2">
        <w:rPr>
          <w:sz w:val="24"/>
          <w:szCs w:val="24"/>
          <w:shd w:val="clear" w:color="auto" w:fill="FFFFFF"/>
        </w:rPr>
        <w:t>46 cases contributed to all four sub-components</w:t>
      </w:r>
      <w:r w:rsidR="00066A4E" w:rsidRPr="002961C2">
        <w:rPr>
          <w:sz w:val="24"/>
          <w:szCs w:val="24"/>
          <w:shd w:val="clear" w:color="auto" w:fill="FFFFFF"/>
        </w:rPr>
        <w:t xml:space="preserve"> (</w:t>
      </w:r>
      <w:r w:rsidR="00F46989" w:rsidRPr="002961C2">
        <w:rPr>
          <w:b/>
          <w:sz w:val="24"/>
          <w:szCs w:val="24"/>
          <w:shd w:val="clear" w:color="auto" w:fill="FFFFFF"/>
        </w:rPr>
        <w:t>Figure 1</w:t>
      </w:r>
      <w:r w:rsidR="00F46989" w:rsidRPr="002961C2">
        <w:rPr>
          <w:sz w:val="24"/>
          <w:szCs w:val="24"/>
          <w:shd w:val="clear" w:color="auto" w:fill="FFFFFF"/>
        </w:rPr>
        <w:t>)</w:t>
      </w:r>
      <w:r w:rsidR="00B322F3" w:rsidRPr="002961C2">
        <w:rPr>
          <w:sz w:val="24"/>
          <w:szCs w:val="24"/>
          <w:shd w:val="clear" w:color="auto" w:fill="FFFFFF"/>
        </w:rPr>
        <w:t>. S</w:t>
      </w:r>
      <w:r w:rsidR="00F46989" w:rsidRPr="002961C2">
        <w:rPr>
          <w:sz w:val="24"/>
          <w:szCs w:val="24"/>
          <w:shd w:val="clear" w:color="auto" w:fill="FFFFFF"/>
        </w:rPr>
        <w:t xml:space="preserve">horter </w:t>
      </w:r>
      <w:r w:rsidR="003E4CBB" w:rsidRPr="002961C2">
        <w:rPr>
          <w:sz w:val="24"/>
          <w:szCs w:val="24"/>
          <w:shd w:val="clear" w:color="auto" w:fill="FFFFFF"/>
        </w:rPr>
        <w:t xml:space="preserve">usual </w:t>
      </w:r>
      <w:r w:rsidR="00157282" w:rsidRPr="002961C2">
        <w:rPr>
          <w:sz w:val="24"/>
          <w:szCs w:val="24"/>
          <w:shd w:val="clear" w:color="auto" w:fill="FFFFFF"/>
        </w:rPr>
        <w:t>LTL was</w:t>
      </w:r>
      <w:r w:rsidR="00F46989" w:rsidRPr="002961C2">
        <w:rPr>
          <w:sz w:val="24"/>
          <w:szCs w:val="24"/>
          <w:shd w:val="clear" w:color="auto" w:fill="FFFFFF"/>
        </w:rPr>
        <w:t xml:space="preserve"> significantly associated with </w:t>
      </w:r>
      <w:r w:rsidR="0045538D" w:rsidRPr="002961C2">
        <w:rPr>
          <w:sz w:val="24"/>
          <w:szCs w:val="24"/>
          <w:shd w:val="clear" w:color="auto" w:fill="FFFFFF"/>
        </w:rPr>
        <w:t>higher</w:t>
      </w:r>
      <w:r w:rsidR="00B322F3" w:rsidRPr="002961C2">
        <w:rPr>
          <w:sz w:val="24"/>
          <w:szCs w:val="24"/>
          <w:shd w:val="clear" w:color="auto" w:fill="FFFFFF"/>
        </w:rPr>
        <w:t xml:space="preserve"> risk of each </w:t>
      </w:r>
      <w:r w:rsidR="0045538D" w:rsidRPr="002961C2">
        <w:rPr>
          <w:sz w:val="24"/>
          <w:szCs w:val="24"/>
          <w:shd w:val="clear" w:color="auto" w:fill="FFFFFF"/>
        </w:rPr>
        <w:t>sub-</w:t>
      </w:r>
      <w:r w:rsidR="00B322F3" w:rsidRPr="002961C2">
        <w:rPr>
          <w:sz w:val="24"/>
          <w:szCs w:val="24"/>
          <w:shd w:val="clear" w:color="auto" w:fill="FFFFFF"/>
        </w:rPr>
        <w:t>component</w:t>
      </w:r>
      <w:r w:rsidR="004841D7" w:rsidRPr="002961C2">
        <w:rPr>
          <w:sz w:val="24"/>
          <w:szCs w:val="24"/>
          <w:shd w:val="clear" w:color="auto" w:fill="FFFFFF"/>
        </w:rPr>
        <w:t xml:space="preserve"> </w:t>
      </w:r>
      <w:r w:rsidR="00B322F3" w:rsidRPr="002961C2">
        <w:rPr>
          <w:sz w:val="24"/>
          <w:szCs w:val="24"/>
          <w:shd w:val="clear" w:color="auto" w:fill="FFFFFF"/>
        </w:rPr>
        <w:t>(</w:t>
      </w:r>
      <w:r w:rsidR="00B322F3" w:rsidRPr="002961C2">
        <w:rPr>
          <w:b/>
          <w:sz w:val="24"/>
          <w:szCs w:val="24"/>
          <w:shd w:val="clear" w:color="auto" w:fill="FFFFFF"/>
        </w:rPr>
        <w:t xml:space="preserve">Table </w:t>
      </w:r>
      <w:r w:rsidR="00970267" w:rsidRPr="002961C2">
        <w:rPr>
          <w:b/>
          <w:sz w:val="24"/>
          <w:szCs w:val="24"/>
          <w:shd w:val="clear" w:color="auto" w:fill="FFFFFF"/>
        </w:rPr>
        <w:t>2</w:t>
      </w:r>
      <w:r w:rsidR="00B322F3" w:rsidRPr="002961C2">
        <w:rPr>
          <w:sz w:val="24"/>
          <w:szCs w:val="24"/>
          <w:shd w:val="clear" w:color="auto" w:fill="FFFFFF"/>
        </w:rPr>
        <w:t>)</w:t>
      </w:r>
      <w:r w:rsidR="00F46989" w:rsidRPr="002961C2">
        <w:rPr>
          <w:sz w:val="24"/>
          <w:szCs w:val="24"/>
          <w:shd w:val="clear" w:color="auto" w:fill="FFFFFF"/>
        </w:rPr>
        <w:t>.</w:t>
      </w:r>
      <w:r w:rsidR="00B322F3" w:rsidRPr="002961C2">
        <w:rPr>
          <w:sz w:val="24"/>
          <w:szCs w:val="24"/>
          <w:shd w:val="clear" w:color="auto" w:fill="FFFFFF"/>
        </w:rPr>
        <w:t xml:space="preserve"> </w:t>
      </w:r>
      <w:r w:rsidR="003E4CBB" w:rsidRPr="002961C2">
        <w:rPr>
          <w:sz w:val="24"/>
          <w:szCs w:val="24"/>
          <w:shd w:val="clear" w:color="auto" w:fill="FFFFFF"/>
        </w:rPr>
        <w:t>ORs</w:t>
      </w:r>
      <w:r w:rsidR="007F11F0" w:rsidRPr="002961C2">
        <w:rPr>
          <w:sz w:val="24"/>
          <w:szCs w:val="24"/>
          <w:shd w:val="clear" w:color="auto" w:fill="FFFFFF"/>
        </w:rPr>
        <w:t xml:space="preserve"> were broadly similar </w:t>
      </w:r>
      <w:r w:rsidR="00066A4E" w:rsidRPr="002961C2">
        <w:rPr>
          <w:sz w:val="24"/>
          <w:szCs w:val="24"/>
          <w:shd w:val="clear" w:color="auto" w:fill="FFFFFF"/>
        </w:rPr>
        <w:t xml:space="preserve">to the main findings in </w:t>
      </w:r>
      <w:r w:rsidR="007F11F0" w:rsidRPr="002961C2">
        <w:rPr>
          <w:sz w:val="24"/>
          <w:szCs w:val="24"/>
          <w:shd w:val="clear" w:color="auto" w:fill="FFFFFF"/>
        </w:rPr>
        <w:t xml:space="preserve">analyses that </w:t>
      </w:r>
      <w:r w:rsidR="0011389B" w:rsidRPr="002961C2">
        <w:rPr>
          <w:sz w:val="24"/>
          <w:szCs w:val="24"/>
          <w:shd w:val="clear" w:color="auto" w:fill="FFFFFF"/>
        </w:rPr>
        <w:t>replace</w:t>
      </w:r>
      <w:r w:rsidR="00B322F3" w:rsidRPr="002961C2">
        <w:rPr>
          <w:sz w:val="24"/>
          <w:szCs w:val="24"/>
          <w:shd w:val="clear" w:color="auto" w:fill="FFFFFF"/>
        </w:rPr>
        <w:t>d</w:t>
      </w:r>
      <w:r w:rsidR="0011389B" w:rsidRPr="002961C2">
        <w:rPr>
          <w:sz w:val="24"/>
          <w:szCs w:val="24"/>
          <w:shd w:val="clear" w:color="auto" w:fill="FFFFFF"/>
        </w:rPr>
        <w:t xml:space="preserve"> </w:t>
      </w:r>
      <w:r w:rsidR="007F11F0" w:rsidRPr="002961C2">
        <w:rPr>
          <w:sz w:val="24"/>
          <w:szCs w:val="24"/>
          <w:shd w:val="clear" w:color="auto" w:fill="FFFFFF"/>
        </w:rPr>
        <w:t>the SARS-CoV-2-positive</w:t>
      </w:r>
      <w:r w:rsidR="0011389B" w:rsidRPr="002961C2">
        <w:rPr>
          <w:sz w:val="24"/>
          <w:szCs w:val="24"/>
          <w:shd w:val="clear" w:color="auto" w:fill="FFFFFF"/>
        </w:rPr>
        <w:t xml:space="preserve"> control group with </w:t>
      </w:r>
      <w:r w:rsidR="00EC34BD" w:rsidRPr="002961C2">
        <w:rPr>
          <w:sz w:val="24"/>
          <w:szCs w:val="24"/>
          <w:shd w:val="clear" w:color="auto" w:fill="FFFFFF"/>
        </w:rPr>
        <w:t xml:space="preserve">all UKB </w:t>
      </w:r>
      <w:r w:rsidR="0011389B" w:rsidRPr="002961C2">
        <w:rPr>
          <w:sz w:val="24"/>
          <w:szCs w:val="24"/>
          <w:shd w:val="clear" w:color="auto" w:fill="FFFFFF"/>
        </w:rPr>
        <w:t>p</w:t>
      </w:r>
      <w:r w:rsidR="00EC34BD" w:rsidRPr="002961C2">
        <w:rPr>
          <w:sz w:val="24"/>
          <w:szCs w:val="24"/>
          <w:shd w:val="clear" w:color="auto" w:fill="FFFFFF"/>
        </w:rPr>
        <w:t>articipant</w:t>
      </w:r>
      <w:r w:rsidR="007052D0" w:rsidRPr="002961C2">
        <w:rPr>
          <w:sz w:val="24"/>
          <w:szCs w:val="24"/>
          <w:shd w:val="clear" w:color="auto" w:fill="FFFFFF"/>
        </w:rPr>
        <w:t>s</w:t>
      </w:r>
      <w:r w:rsidR="0011389B" w:rsidRPr="002961C2">
        <w:rPr>
          <w:sz w:val="24"/>
          <w:szCs w:val="24"/>
          <w:shd w:val="clear" w:color="auto" w:fill="FFFFFF"/>
        </w:rPr>
        <w:t xml:space="preserve"> </w:t>
      </w:r>
      <w:r w:rsidR="007052D0" w:rsidRPr="002961C2">
        <w:rPr>
          <w:sz w:val="24"/>
          <w:szCs w:val="24"/>
          <w:shd w:val="clear" w:color="auto" w:fill="FFFFFF"/>
        </w:rPr>
        <w:t xml:space="preserve">as </w:t>
      </w:r>
      <w:r w:rsidR="0011389B" w:rsidRPr="002961C2">
        <w:rPr>
          <w:sz w:val="24"/>
          <w:szCs w:val="24"/>
          <w:shd w:val="clear" w:color="auto" w:fill="FFFFFF"/>
        </w:rPr>
        <w:t xml:space="preserve">controls </w:t>
      </w:r>
      <w:r w:rsidRPr="002961C2">
        <w:rPr>
          <w:sz w:val="24"/>
          <w:szCs w:val="24"/>
          <w:shd w:val="clear" w:color="auto" w:fill="FFFFFF"/>
        </w:rPr>
        <w:t>or that excluded</w:t>
      </w:r>
      <w:r w:rsidR="00157282" w:rsidRPr="002961C2">
        <w:rPr>
          <w:sz w:val="24"/>
          <w:szCs w:val="24"/>
          <w:shd w:val="clear" w:color="auto" w:fill="FFFFFF"/>
        </w:rPr>
        <w:t xml:space="preserve"> any participant with a hospital </w:t>
      </w:r>
      <w:r w:rsidR="007052D0" w:rsidRPr="002961C2">
        <w:rPr>
          <w:sz w:val="24"/>
          <w:szCs w:val="24"/>
          <w:shd w:val="clear" w:color="auto" w:fill="FFFFFF"/>
        </w:rPr>
        <w:t xml:space="preserve">admission </w:t>
      </w:r>
      <w:r w:rsidR="00157282" w:rsidRPr="002961C2">
        <w:rPr>
          <w:sz w:val="24"/>
          <w:szCs w:val="24"/>
          <w:shd w:val="clear" w:color="auto" w:fill="FFFFFF"/>
        </w:rPr>
        <w:t xml:space="preserve">in the six months prior to testing positive for </w:t>
      </w:r>
      <w:r w:rsidRPr="002961C2">
        <w:rPr>
          <w:sz w:val="24"/>
          <w:szCs w:val="24"/>
          <w:shd w:val="clear" w:color="auto" w:fill="FFFFFF"/>
        </w:rPr>
        <w:t>SARS-CoV-2 (</w:t>
      </w:r>
      <w:r w:rsidRPr="002961C2">
        <w:rPr>
          <w:b/>
          <w:sz w:val="24"/>
          <w:szCs w:val="24"/>
          <w:shd w:val="clear" w:color="auto" w:fill="FFFFFF"/>
        </w:rPr>
        <w:t>Table 2</w:t>
      </w:r>
      <w:r w:rsidRPr="002961C2">
        <w:rPr>
          <w:sz w:val="24"/>
          <w:szCs w:val="24"/>
          <w:shd w:val="clear" w:color="auto" w:fill="FFFFFF"/>
        </w:rPr>
        <w:t>)</w:t>
      </w:r>
      <w:r w:rsidR="00157282" w:rsidRPr="002961C2">
        <w:rPr>
          <w:sz w:val="24"/>
          <w:szCs w:val="24"/>
          <w:shd w:val="clear" w:color="auto" w:fill="FFFFFF"/>
        </w:rPr>
        <w:t xml:space="preserve">. </w:t>
      </w:r>
    </w:p>
    <w:p w14:paraId="58F70587" w14:textId="4809B0DA" w:rsidR="00D50EC1" w:rsidRPr="002961C2" w:rsidRDefault="007C5F90" w:rsidP="009D76FB">
      <w:pPr>
        <w:spacing w:line="480" w:lineRule="auto"/>
        <w:rPr>
          <w:sz w:val="24"/>
          <w:szCs w:val="24"/>
          <w:shd w:val="clear" w:color="auto" w:fill="FFFFFF"/>
        </w:rPr>
      </w:pPr>
      <w:r w:rsidRPr="002961C2">
        <w:rPr>
          <w:sz w:val="24"/>
          <w:szCs w:val="24"/>
          <w:shd w:val="clear" w:color="auto" w:fill="FFFFFF"/>
        </w:rPr>
        <w:t>In MR analys</w:t>
      </w:r>
      <w:r w:rsidR="00066A4E" w:rsidRPr="002961C2">
        <w:rPr>
          <w:sz w:val="24"/>
          <w:szCs w:val="24"/>
          <w:shd w:val="clear" w:color="auto" w:fill="FFFFFF"/>
        </w:rPr>
        <w:t>e</w:t>
      </w:r>
      <w:r w:rsidRPr="002961C2">
        <w:rPr>
          <w:sz w:val="24"/>
          <w:szCs w:val="24"/>
          <w:shd w:val="clear" w:color="auto" w:fill="FFFFFF"/>
        </w:rPr>
        <w:t xml:space="preserve">s, </w:t>
      </w:r>
      <w:r w:rsidR="00066A4E" w:rsidRPr="002961C2">
        <w:rPr>
          <w:sz w:val="24"/>
          <w:szCs w:val="24"/>
          <w:shd w:val="clear" w:color="auto" w:fill="FFFFFF"/>
        </w:rPr>
        <w:t xml:space="preserve">the </w:t>
      </w:r>
      <w:r w:rsidR="007052D0" w:rsidRPr="002961C2">
        <w:rPr>
          <w:sz w:val="24"/>
          <w:szCs w:val="24"/>
          <w:shd w:val="clear" w:color="auto" w:fill="FFFFFF"/>
        </w:rPr>
        <w:t xml:space="preserve">IVW </w:t>
      </w:r>
      <w:r w:rsidR="00066A4E" w:rsidRPr="002961C2">
        <w:rPr>
          <w:sz w:val="24"/>
          <w:szCs w:val="24"/>
          <w:shd w:val="clear" w:color="auto" w:fill="FFFFFF"/>
        </w:rPr>
        <w:t xml:space="preserve">odds ratio was </w:t>
      </w:r>
      <w:r w:rsidR="00E15B2E" w:rsidRPr="002961C2">
        <w:rPr>
          <w:sz w:val="24"/>
          <w:szCs w:val="24"/>
          <w:shd w:val="clear" w:color="auto" w:fill="FFFFFF"/>
        </w:rPr>
        <w:t>1</w:t>
      </w:r>
      <w:r w:rsidR="00E15B2E" w:rsidRPr="002961C2">
        <w:rPr>
          <w:rFonts w:cstheme="minorHAnsi"/>
          <w:sz w:val="24"/>
          <w:szCs w:val="24"/>
          <w:shd w:val="clear" w:color="auto" w:fill="FFFFFF"/>
        </w:rPr>
        <w:t>·</w:t>
      </w:r>
      <w:r w:rsidR="00E15B2E" w:rsidRPr="002961C2">
        <w:rPr>
          <w:sz w:val="24"/>
          <w:szCs w:val="24"/>
          <w:shd w:val="clear" w:color="auto" w:fill="FFFFFF"/>
        </w:rPr>
        <w:t xml:space="preserve">30 </w:t>
      </w:r>
      <w:r w:rsidR="00082B6F" w:rsidRPr="002961C2">
        <w:rPr>
          <w:sz w:val="24"/>
          <w:szCs w:val="24"/>
          <w:shd w:val="clear" w:color="auto" w:fill="FFFFFF"/>
        </w:rPr>
        <w:t>(</w:t>
      </w:r>
      <w:r w:rsidR="00E15B2E" w:rsidRPr="002961C2">
        <w:rPr>
          <w:sz w:val="24"/>
          <w:szCs w:val="24"/>
          <w:shd w:val="clear" w:color="auto" w:fill="FFFFFF"/>
        </w:rPr>
        <w:t>0</w:t>
      </w:r>
      <w:r w:rsidR="00E15B2E" w:rsidRPr="002961C2">
        <w:rPr>
          <w:rFonts w:cstheme="minorHAnsi"/>
          <w:sz w:val="24"/>
          <w:szCs w:val="24"/>
          <w:shd w:val="clear" w:color="auto" w:fill="FFFFFF"/>
        </w:rPr>
        <w:t>·85-2·00</w:t>
      </w:r>
      <w:r w:rsidR="00066A4E" w:rsidRPr="002961C2">
        <w:rPr>
          <w:sz w:val="24"/>
          <w:szCs w:val="24"/>
          <w:shd w:val="clear" w:color="auto" w:fill="FFFFFF"/>
        </w:rPr>
        <w:t xml:space="preserve">; </w:t>
      </w:r>
      <w:r w:rsidR="00B82276" w:rsidRPr="002961C2">
        <w:rPr>
          <w:sz w:val="24"/>
          <w:szCs w:val="24"/>
          <w:shd w:val="clear" w:color="auto" w:fill="FFFFFF"/>
        </w:rPr>
        <w:t xml:space="preserve">MR-IVW </w:t>
      </w:r>
      <w:r w:rsidR="00066A4E" w:rsidRPr="002961C2">
        <w:rPr>
          <w:sz w:val="24"/>
          <w:szCs w:val="24"/>
          <w:shd w:val="clear" w:color="auto" w:fill="FFFFFF"/>
        </w:rPr>
        <w:t>P=0</w:t>
      </w:r>
      <w:r w:rsidR="005D2459" w:rsidRPr="002961C2">
        <w:rPr>
          <w:rFonts w:cstheme="minorHAnsi"/>
          <w:sz w:val="24"/>
          <w:szCs w:val="24"/>
          <w:shd w:val="clear" w:color="auto" w:fill="FFFFFF"/>
        </w:rPr>
        <w:t>·</w:t>
      </w:r>
      <w:r w:rsidR="00082B6F" w:rsidRPr="002961C2">
        <w:rPr>
          <w:sz w:val="24"/>
          <w:szCs w:val="24"/>
          <w:shd w:val="clear" w:color="auto" w:fill="FFFFFF"/>
        </w:rPr>
        <w:t>22</w:t>
      </w:r>
      <w:r w:rsidR="005D2459" w:rsidRPr="002961C2">
        <w:rPr>
          <w:sz w:val="24"/>
          <w:szCs w:val="24"/>
          <w:shd w:val="clear" w:color="auto" w:fill="FFFFFF"/>
        </w:rPr>
        <w:t>4</w:t>
      </w:r>
      <w:r w:rsidR="00066A4E" w:rsidRPr="002961C2">
        <w:rPr>
          <w:sz w:val="24"/>
          <w:szCs w:val="24"/>
          <w:shd w:val="clear" w:color="auto" w:fill="FFFFFF"/>
        </w:rPr>
        <w:t xml:space="preserve">) per 1-SD </w:t>
      </w:r>
      <w:r w:rsidR="0030305F" w:rsidRPr="002961C2">
        <w:rPr>
          <w:sz w:val="24"/>
          <w:szCs w:val="24"/>
          <w:shd w:val="clear" w:color="auto" w:fill="FFFFFF"/>
        </w:rPr>
        <w:t xml:space="preserve">shorter </w:t>
      </w:r>
      <w:r w:rsidR="00066A4E" w:rsidRPr="002961C2">
        <w:rPr>
          <w:sz w:val="24"/>
          <w:szCs w:val="24"/>
          <w:shd w:val="clear" w:color="auto" w:fill="FFFFFF"/>
        </w:rPr>
        <w:t>genetically-determined LTL, a non-significant result directionally concordant with the observational finding</w:t>
      </w:r>
      <w:r w:rsidR="007052D0" w:rsidRPr="002961C2">
        <w:rPr>
          <w:sz w:val="24"/>
          <w:szCs w:val="24"/>
          <w:shd w:val="clear" w:color="auto" w:fill="FFFFFF"/>
        </w:rPr>
        <w:t xml:space="preserve"> (</w:t>
      </w:r>
      <w:r w:rsidR="007052D0" w:rsidRPr="002961C2">
        <w:rPr>
          <w:b/>
          <w:sz w:val="24"/>
          <w:szCs w:val="24"/>
          <w:shd w:val="clear" w:color="auto" w:fill="FFFFFF"/>
        </w:rPr>
        <w:t>Table 2</w:t>
      </w:r>
      <w:r w:rsidR="007052D0" w:rsidRPr="002961C2">
        <w:rPr>
          <w:sz w:val="24"/>
          <w:szCs w:val="24"/>
          <w:shd w:val="clear" w:color="auto" w:fill="FFFFFF"/>
        </w:rPr>
        <w:t>)</w:t>
      </w:r>
      <w:r w:rsidR="00036817" w:rsidRPr="002961C2">
        <w:rPr>
          <w:sz w:val="24"/>
          <w:szCs w:val="24"/>
          <w:shd w:val="clear" w:color="auto" w:fill="FFFFFF"/>
        </w:rPr>
        <w:t xml:space="preserve">. </w:t>
      </w:r>
      <w:r w:rsidR="007052D0" w:rsidRPr="002961C2">
        <w:rPr>
          <w:sz w:val="24"/>
          <w:szCs w:val="24"/>
          <w:shd w:val="clear" w:color="auto" w:fill="FFFFFF"/>
        </w:rPr>
        <w:t xml:space="preserve">Results were similar using the weighted median method </w:t>
      </w:r>
      <w:r w:rsidR="00927A33" w:rsidRPr="002961C2">
        <w:rPr>
          <w:sz w:val="24"/>
          <w:szCs w:val="24"/>
          <w:shd w:val="clear" w:color="auto" w:fill="FFFFFF"/>
        </w:rPr>
        <w:t>(</w:t>
      </w:r>
      <w:r w:rsidR="00927A33" w:rsidRPr="002961C2">
        <w:rPr>
          <w:b/>
          <w:sz w:val="24"/>
          <w:szCs w:val="24"/>
          <w:shd w:val="clear" w:color="auto" w:fill="FFFFFF"/>
        </w:rPr>
        <w:t>Table 2</w:t>
      </w:r>
      <w:r w:rsidR="00927A33" w:rsidRPr="002961C2">
        <w:rPr>
          <w:sz w:val="24"/>
          <w:szCs w:val="24"/>
          <w:shd w:val="clear" w:color="auto" w:fill="FFFFFF"/>
        </w:rPr>
        <w:t xml:space="preserve">) </w:t>
      </w:r>
      <w:r w:rsidR="007052D0" w:rsidRPr="002961C2">
        <w:rPr>
          <w:sz w:val="24"/>
          <w:szCs w:val="24"/>
          <w:shd w:val="clear" w:color="auto" w:fill="FFFFFF"/>
        </w:rPr>
        <w:t>and t</w:t>
      </w:r>
      <w:r w:rsidR="00036817" w:rsidRPr="002961C2">
        <w:rPr>
          <w:sz w:val="24"/>
          <w:szCs w:val="24"/>
          <w:shd w:val="clear" w:color="auto" w:fill="FFFFFF"/>
        </w:rPr>
        <w:t>here was</w:t>
      </w:r>
      <w:r w:rsidRPr="002961C2">
        <w:rPr>
          <w:sz w:val="24"/>
          <w:szCs w:val="24"/>
          <w:shd w:val="clear" w:color="auto" w:fill="FFFFFF"/>
        </w:rPr>
        <w:t xml:space="preserve"> no evidence of </w:t>
      </w:r>
      <w:r w:rsidR="008340AA" w:rsidRPr="002961C2">
        <w:rPr>
          <w:sz w:val="24"/>
          <w:szCs w:val="24"/>
          <w:shd w:val="clear" w:color="auto" w:fill="FFFFFF"/>
        </w:rPr>
        <w:t xml:space="preserve">horizontal </w:t>
      </w:r>
      <w:r w:rsidRPr="002961C2">
        <w:rPr>
          <w:sz w:val="24"/>
          <w:szCs w:val="24"/>
          <w:shd w:val="clear" w:color="auto" w:fill="FFFFFF"/>
        </w:rPr>
        <w:t>pleiotropy</w:t>
      </w:r>
      <w:r w:rsidR="001F4F1B" w:rsidRPr="002961C2">
        <w:rPr>
          <w:sz w:val="24"/>
          <w:szCs w:val="24"/>
          <w:shd w:val="clear" w:color="auto" w:fill="FFFFFF"/>
        </w:rPr>
        <w:t xml:space="preserve"> (MR-Egger intercept P=0</w:t>
      </w:r>
      <w:r w:rsidR="005D2459" w:rsidRPr="002961C2">
        <w:rPr>
          <w:rFonts w:cstheme="minorHAnsi"/>
          <w:sz w:val="24"/>
          <w:szCs w:val="24"/>
          <w:shd w:val="clear" w:color="auto" w:fill="FFFFFF"/>
        </w:rPr>
        <w:t>·</w:t>
      </w:r>
      <w:r w:rsidR="001F4F1B" w:rsidRPr="002961C2">
        <w:rPr>
          <w:sz w:val="24"/>
          <w:szCs w:val="24"/>
          <w:shd w:val="clear" w:color="auto" w:fill="FFFFFF"/>
        </w:rPr>
        <w:t>591)</w:t>
      </w:r>
      <w:r w:rsidRPr="002961C2">
        <w:rPr>
          <w:sz w:val="24"/>
          <w:szCs w:val="24"/>
          <w:shd w:val="clear" w:color="auto" w:fill="FFFFFF"/>
        </w:rPr>
        <w:t xml:space="preserve">. </w:t>
      </w:r>
    </w:p>
    <w:p w14:paraId="2E60E280" w14:textId="77777777" w:rsidR="00927A33" w:rsidRPr="002961C2" w:rsidRDefault="00927A33" w:rsidP="007C5F90">
      <w:pPr>
        <w:rPr>
          <w:b/>
          <w:sz w:val="24"/>
          <w:szCs w:val="24"/>
          <w:shd w:val="clear" w:color="auto" w:fill="FFFFFF"/>
        </w:rPr>
      </w:pPr>
    </w:p>
    <w:p w14:paraId="179BF6E5" w14:textId="65DEC60E" w:rsidR="00D50EC1" w:rsidRPr="002961C2" w:rsidRDefault="00733CC9" w:rsidP="007C5F90">
      <w:pPr>
        <w:rPr>
          <w:b/>
          <w:sz w:val="24"/>
          <w:szCs w:val="24"/>
          <w:shd w:val="clear" w:color="auto" w:fill="FFFFFF"/>
        </w:rPr>
      </w:pPr>
      <w:r w:rsidRPr="002961C2">
        <w:rPr>
          <w:b/>
          <w:sz w:val="24"/>
          <w:szCs w:val="24"/>
          <w:shd w:val="clear" w:color="auto" w:fill="FFFFFF"/>
        </w:rPr>
        <w:t>Discussion</w:t>
      </w:r>
    </w:p>
    <w:p w14:paraId="555B636A" w14:textId="37C25791" w:rsidR="00717322" w:rsidRPr="002961C2" w:rsidRDefault="008F3932" w:rsidP="009D76FB">
      <w:pPr>
        <w:spacing w:line="480" w:lineRule="auto"/>
        <w:rPr>
          <w:sz w:val="24"/>
          <w:szCs w:val="24"/>
          <w:shd w:val="clear" w:color="auto" w:fill="FFFFFF"/>
        </w:rPr>
      </w:pPr>
      <w:r w:rsidRPr="002961C2">
        <w:rPr>
          <w:sz w:val="24"/>
          <w:szCs w:val="24"/>
          <w:shd w:val="clear" w:color="auto" w:fill="FFFFFF"/>
        </w:rPr>
        <w:t xml:space="preserve">In a study of </w:t>
      </w:r>
      <w:r w:rsidR="00E5017C" w:rsidRPr="002961C2">
        <w:rPr>
          <w:sz w:val="24"/>
          <w:szCs w:val="24"/>
          <w:shd w:val="clear" w:color="auto" w:fill="FFFFFF"/>
        </w:rPr>
        <w:t>6,775</w:t>
      </w:r>
      <w:r w:rsidR="00742B2C" w:rsidRPr="002961C2">
        <w:rPr>
          <w:sz w:val="24"/>
          <w:szCs w:val="24"/>
          <w:shd w:val="clear" w:color="auto" w:fill="FFFFFF"/>
        </w:rPr>
        <w:t xml:space="preserve"> participants</w:t>
      </w:r>
      <w:r w:rsidR="00EC34BD" w:rsidRPr="002961C2">
        <w:rPr>
          <w:sz w:val="24"/>
          <w:szCs w:val="24"/>
          <w:shd w:val="clear" w:color="auto" w:fill="FFFFFF"/>
        </w:rPr>
        <w:t xml:space="preserve"> </w:t>
      </w:r>
      <w:r w:rsidR="00742B2C" w:rsidRPr="002961C2">
        <w:rPr>
          <w:sz w:val="24"/>
          <w:szCs w:val="24"/>
          <w:shd w:val="clear" w:color="auto" w:fill="FFFFFF"/>
        </w:rPr>
        <w:t xml:space="preserve">with a positive test for SARS-CoV-2 (nested within the </w:t>
      </w:r>
      <w:r w:rsidRPr="002961C2">
        <w:rPr>
          <w:sz w:val="24"/>
          <w:szCs w:val="24"/>
          <w:shd w:val="clear" w:color="auto" w:fill="FFFFFF"/>
        </w:rPr>
        <w:t>500,000</w:t>
      </w:r>
      <w:r w:rsidR="00742B2C" w:rsidRPr="002961C2">
        <w:rPr>
          <w:sz w:val="24"/>
          <w:szCs w:val="24"/>
          <w:shd w:val="clear" w:color="auto" w:fill="FFFFFF"/>
        </w:rPr>
        <w:t>-</w:t>
      </w:r>
      <w:r w:rsidRPr="002961C2">
        <w:rPr>
          <w:sz w:val="24"/>
          <w:szCs w:val="24"/>
          <w:shd w:val="clear" w:color="auto" w:fill="FFFFFF"/>
        </w:rPr>
        <w:t>participant</w:t>
      </w:r>
      <w:r w:rsidR="00742B2C" w:rsidRPr="002961C2">
        <w:rPr>
          <w:sz w:val="24"/>
          <w:szCs w:val="24"/>
          <w:shd w:val="clear" w:color="auto" w:fill="FFFFFF"/>
        </w:rPr>
        <w:t xml:space="preserve"> UKB)</w:t>
      </w:r>
      <w:r w:rsidRPr="002961C2">
        <w:rPr>
          <w:sz w:val="24"/>
          <w:szCs w:val="24"/>
          <w:shd w:val="clear" w:color="auto" w:fill="FFFFFF"/>
        </w:rPr>
        <w:t>, we have shown that</w:t>
      </w:r>
      <w:r w:rsidR="00B6568A" w:rsidRPr="002961C2">
        <w:rPr>
          <w:sz w:val="24"/>
          <w:szCs w:val="24"/>
          <w:shd w:val="clear" w:color="auto" w:fill="FFFFFF"/>
        </w:rPr>
        <w:t xml:space="preserve"> </w:t>
      </w:r>
      <w:r w:rsidR="00C85194" w:rsidRPr="002961C2">
        <w:rPr>
          <w:sz w:val="24"/>
          <w:szCs w:val="24"/>
          <w:shd w:val="clear" w:color="auto" w:fill="FFFFFF"/>
        </w:rPr>
        <w:t>individuals with</w:t>
      </w:r>
      <w:r w:rsidR="00051F22" w:rsidRPr="002961C2">
        <w:rPr>
          <w:sz w:val="24"/>
          <w:szCs w:val="24"/>
          <w:shd w:val="clear" w:color="auto" w:fill="FFFFFF"/>
        </w:rPr>
        <w:t xml:space="preserve"> shorter LTL</w:t>
      </w:r>
      <w:r w:rsidR="00835F83" w:rsidRPr="002961C2">
        <w:rPr>
          <w:sz w:val="24"/>
          <w:szCs w:val="24"/>
          <w:shd w:val="clear" w:color="auto" w:fill="FFFFFF"/>
        </w:rPr>
        <w:t xml:space="preserve"> </w:t>
      </w:r>
      <w:r w:rsidR="005D0518" w:rsidRPr="002961C2">
        <w:rPr>
          <w:sz w:val="24"/>
          <w:szCs w:val="24"/>
          <w:shd w:val="clear" w:color="auto" w:fill="FFFFFF"/>
        </w:rPr>
        <w:t xml:space="preserve">assessed </w:t>
      </w:r>
      <w:r w:rsidR="00205F63" w:rsidRPr="002961C2">
        <w:rPr>
          <w:sz w:val="24"/>
          <w:szCs w:val="24"/>
          <w:shd w:val="clear" w:color="auto" w:fill="FFFFFF"/>
        </w:rPr>
        <w:t xml:space="preserve">several years </w:t>
      </w:r>
      <w:r w:rsidR="00051F22" w:rsidRPr="002961C2">
        <w:rPr>
          <w:i/>
          <w:sz w:val="24"/>
          <w:szCs w:val="24"/>
          <w:shd w:val="clear" w:color="auto" w:fill="FFFFFF"/>
        </w:rPr>
        <w:t>prior</w:t>
      </w:r>
      <w:r w:rsidR="00051F22" w:rsidRPr="002961C2">
        <w:rPr>
          <w:sz w:val="24"/>
          <w:szCs w:val="24"/>
          <w:shd w:val="clear" w:color="auto" w:fill="FFFFFF"/>
        </w:rPr>
        <w:t xml:space="preserve"> to SARS-CoV-2 infection </w:t>
      </w:r>
      <w:r w:rsidR="00C85194" w:rsidRPr="002961C2">
        <w:rPr>
          <w:sz w:val="24"/>
          <w:szCs w:val="24"/>
          <w:shd w:val="clear" w:color="auto" w:fill="FFFFFF"/>
        </w:rPr>
        <w:t>had</w:t>
      </w:r>
      <w:r w:rsidR="00B6568A" w:rsidRPr="002961C2">
        <w:rPr>
          <w:sz w:val="24"/>
          <w:szCs w:val="24"/>
          <w:shd w:val="clear" w:color="auto" w:fill="FFFFFF"/>
        </w:rPr>
        <w:t xml:space="preserve"> </w:t>
      </w:r>
      <w:r w:rsidRPr="002961C2">
        <w:rPr>
          <w:sz w:val="24"/>
          <w:szCs w:val="24"/>
          <w:shd w:val="clear" w:color="auto" w:fill="FFFFFF"/>
        </w:rPr>
        <w:t>higher</w:t>
      </w:r>
      <w:r w:rsidR="00B6568A" w:rsidRPr="002961C2">
        <w:rPr>
          <w:sz w:val="24"/>
          <w:szCs w:val="24"/>
          <w:shd w:val="clear" w:color="auto" w:fill="FFFFFF"/>
        </w:rPr>
        <w:t xml:space="preserve"> </w:t>
      </w:r>
      <w:r w:rsidR="00051F22" w:rsidRPr="002961C2">
        <w:rPr>
          <w:sz w:val="24"/>
          <w:szCs w:val="24"/>
          <w:shd w:val="clear" w:color="auto" w:fill="FFFFFF"/>
        </w:rPr>
        <w:t xml:space="preserve">risk of </w:t>
      </w:r>
      <w:r w:rsidR="00B841F1" w:rsidRPr="002961C2">
        <w:rPr>
          <w:sz w:val="24"/>
          <w:szCs w:val="24"/>
          <w:shd w:val="clear" w:color="auto" w:fill="FFFFFF"/>
        </w:rPr>
        <w:t xml:space="preserve">adverse </w:t>
      </w:r>
      <w:r w:rsidRPr="002961C2">
        <w:rPr>
          <w:sz w:val="24"/>
          <w:szCs w:val="24"/>
          <w:shd w:val="clear" w:color="auto" w:fill="FFFFFF"/>
        </w:rPr>
        <w:t xml:space="preserve">COVID-19 </w:t>
      </w:r>
      <w:r w:rsidR="00051F22" w:rsidRPr="002961C2">
        <w:rPr>
          <w:sz w:val="24"/>
          <w:szCs w:val="24"/>
          <w:shd w:val="clear" w:color="auto" w:fill="FFFFFF"/>
        </w:rPr>
        <w:t>outcome</w:t>
      </w:r>
      <w:r w:rsidRPr="002961C2">
        <w:rPr>
          <w:sz w:val="24"/>
          <w:szCs w:val="24"/>
          <w:shd w:val="clear" w:color="auto" w:fill="FFFFFF"/>
        </w:rPr>
        <w:t>s</w:t>
      </w:r>
      <w:r w:rsidR="00051F22" w:rsidRPr="002961C2">
        <w:rPr>
          <w:sz w:val="24"/>
          <w:szCs w:val="24"/>
          <w:shd w:val="clear" w:color="auto" w:fill="FFFFFF"/>
        </w:rPr>
        <w:t xml:space="preserve">, </w:t>
      </w:r>
      <w:r w:rsidR="00717322" w:rsidRPr="002961C2">
        <w:rPr>
          <w:sz w:val="24"/>
          <w:szCs w:val="24"/>
          <w:shd w:val="clear" w:color="auto" w:fill="FFFFFF"/>
        </w:rPr>
        <w:t xml:space="preserve">even after adjustment for </w:t>
      </w:r>
      <w:r w:rsidRPr="002961C2">
        <w:rPr>
          <w:sz w:val="24"/>
          <w:szCs w:val="24"/>
          <w:shd w:val="clear" w:color="auto" w:fill="FFFFFF"/>
        </w:rPr>
        <w:t xml:space="preserve">several </w:t>
      </w:r>
      <w:r w:rsidR="00374AB1" w:rsidRPr="002961C2">
        <w:rPr>
          <w:sz w:val="24"/>
          <w:szCs w:val="24"/>
          <w:shd w:val="clear" w:color="auto" w:fill="FFFFFF"/>
        </w:rPr>
        <w:t>established</w:t>
      </w:r>
      <w:r w:rsidR="00051F22" w:rsidRPr="002961C2">
        <w:rPr>
          <w:sz w:val="24"/>
          <w:szCs w:val="24"/>
          <w:shd w:val="clear" w:color="auto" w:fill="FFFFFF"/>
        </w:rPr>
        <w:t xml:space="preserve"> risk factor</w:t>
      </w:r>
      <w:r w:rsidR="00B6568A" w:rsidRPr="002961C2">
        <w:rPr>
          <w:sz w:val="24"/>
          <w:szCs w:val="24"/>
          <w:shd w:val="clear" w:color="auto" w:fill="FFFFFF"/>
        </w:rPr>
        <w:t>s</w:t>
      </w:r>
      <w:r w:rsidR="00374AB1" w:rsidRPr="002961C2">
        <w:rPr>
          <w:sz w:val="24"/>
          <w:szCs w:val="24"/>
          <w:shd w:val="clear" w:color="auto" w:fill="FFFFFF"/>
        </w:rPr>
        <w:t xml:space="preserve"> for COVID-19</w:t>
      </w:r>
      <w:r w:rsidR="007052D0" w:rsidRPr="002961C2">
        <w:rPr>
          <w:sz w:val="24"/>
          <w:szCs w:val="24"/>
          <w:shd w:val="clear" w:color="auto" w:fill="FFFFFF"/>
        </w:rPr>
        <w:t xml:space="preserve"> including age</w:t>
      </w:r>
      <w:r w:rsidR="00A12D60" w:rsidRPr="002961C2">
        <w:rPr>
          <w:sz w:val="24"/>
          <w:szCs w:val="24"/>
          <w:shd w:val="clear" w:color="auto" w:fill="FFFFFF"/>
        </w:rPr>
        <w:t xml:space="preserve">. </w:t>
      </w:r>
      <w:r w:rsidR="00717322" w:rsidRPr="002961C2">
        <w:rPr>
          <w:sz w:val="24"/>
          <w:szCs w:val="24"/>
          <w:shd w:val="clear" w:color="auto" w:fill="FFFFFF"/>
        </w:rPr>
        <w:t xml:space="preserve">This finding suggests that </w:t>
      </w:r>
      <w:r w:rsidR="006102BB" w:rsidRPr="002961C2">
        <w:rPr>
          <w:sz w:val="24"/>
          <w:szCs w:val="24"/>
          <w:shd w:val="clear" w:color="auto" w:fill="FFFFFF"/>
        </w:rPr>
        <w:t>shorter LTL is</w:t>
      </w:r>
      <w:r w:rsidR="00717322" w:rsidRPr="002961C2">
        <w:rPr>
          <w:sz w:val="24"/>
          <w:szCs w:val="24"/>
          <w:shd w:val="clear" w:color="auto" w:fill="FFFFFF"/>
        </w:rPr>
        <w:t xml:space="preserve"> likely to be independently associated with COVID-19 </w:t>
      </w:r>
      <w:r w:rsidR="003D47D1" w:rsidRPr="002961C2">
        <w:rPr>
          <w:sz w:val="24"/>
          <w:szCs w:val="24"/>
          <w:shd w:val="clear" w:color="auto" w:fill="FFFFFF"/>
        </w:rPr>
        <w:t xml:space="preserve">hospitalisation and </w:t>
      </w:r>
      <w:r w:rsidR="007052D0" w:rsidRPr="002961C2">
        <w:rPr>
          <w:sz w:val="24"/>
          <w:szCs w:val="24"/>
          <w:shd w:val="clear" w:color="auto" w:fill="FFFFFF"/>
        </w:rPr>
        <w:t>severity</w:t>
      </w:r>
      <w:r w:rsidR="00717322" w:rsidRPr="002961C2">
        <w:rPr>
          <w:sz w:val="24"/>
          <w:szCs w:val="24"/>
          <w:shd w:val="clear" w:color="auto" w:fill="FFFFFF"/>
        </w:rPr>
        <w:t>.</w:t>
      </w:r>
      <w:r w:rsidR="00304D9E" w:rsidRPr="002961C2">
        <w:rPr>
          <w:sz w:val="24"/>
          <w:szCs w:val="24"/>
          <w:shd w:val="clear" w:color="auto" w:fill="FFFFFF"/>
        </w:rPr>
        <w:t xml:space="preserve"> </w:t>
      </w:r>
      <w:r w:rsidR="00BA2542" w:rsidRPr="002961C2">
        <w:rPr>
          <w:sz w:val="24"/>
          <w:szCs w:val="24"/>
          <w:shd w:val="clear" w:color="auto" w:fill="FFFFFF"/>
        </w:rPr>
        <w:t xml:space="preserve">The results of </w:t>
      </w:r>
      <w:r w:rsidR="00304D9E" w:rsidRPr="002961C2">
        <w:rPr>
          <w:sz w:val="24"/>
          <w:szCs w:val="24"/>
          <w:shd w:val="clear" w:color="auto" w:fill="FFFFFF"/>
        </w:rPr>
        <w:t xml:space="preserve">analysis of LTL-associated genetic variants and COVID-19 </w:t>
      </w:r>
      <w:r w:rsidR="00474916" w:rsidRPr="002961C2">
        <w:rPr>
          <w:sz w:val="24"/>
          <w:szCs w:val="24"/>
          <w:shd w:val="clear" w:color="auto" w:fill="FFFFFF"/>
        </w:rPr>
        <w:t xml:space="preserve">were </w:t>
      </w:r>
      <w:r w:rsidR="00304D9E" w:rsidRPr="002961C2">
        <w:rPr>
          <w:sz w:val="24"/>
          <w:szCs w:val="24"/>
          <w:shd w:val="clear" w:color="auto" w:fill="FFFFFF"/>
        </w:rPr>
        <w:t xml:space="preserve">directionally concordant with </w:t>
      </w:r>
      <w:r w:rsidR="00474916" w:rsidRPr="002961C2">
        <w:rPr>
          <w:sz w:val="24"/>
          <w:szCs w:val="24"/>
          <w:shd w:val="clear" w:color="auto" w:fill="FFFFFF"/>
        </w:rPr>
        <w:t xml:space="preserve">our </w:t>
      </w:r>
      <w:r w:rsidR="00304D9E" w:rsidRPr="002961C2">
        <w:rPr>
          <w:sz w:val="24"/>
          <w:szCs w:val="24"/>
          <w:shd w:val="clear" w:color="auto" w:fill="FFFFFF"/>
        </w:rPr>
        <w:t>observational findings</w:t>
      </w:r>
      <w:r w:rsidR="00374AB1" w:rsidRPr="002961C2">
        <w:rPr>
          <w:sz w:val="24"/>
          <w:szCs w:val="24"/>
          <w:shd w:val="clear" w:color="auto" w:fill="FFFFFF"/>
        </w:rPr>
        <w:t xml:space="preserve"> but non-significant</w:t>
      </w:r>
      <w:r w:rsidR="00304D9E" w:rsidRPr="002961C2">
        <w:rPr>
          <w:sz w:val="24"/>
          <w:szCs w:val="24"/>
          <w:shd w:val="clear" w:color="auto" w:fill="FFFFFF"/>
        </w:rPr>
        <w:t xml:space="preserve">. </w:t>
      </w:r>
      <w:r w:rsidR="005B0BF3" w:rsidRPr="002961C2">
        <w:rPr>
          <w:sz w:val="24"/>
          <w:szCs w:val="24"/>
          <w:shd w:val="clear" w:color="auto" w:fill="FFFFFF"/>
        </w:rPr>
        <w:t>O</w:t>
      </w:r>
      <w:r w:rsidR="00304D9E" w:rsidRPr="002961C2">
        <w:rPr>
          <w:sz w:val="24"/>
          <w:szCs w:val="24"/>
          <w:shd w:val="clear" w:color="auto" w:fill="FFFFFF"/>
        </w:rPr>
        <w:t>ur results</w:t>
      </w:r>
      <w:r w:rsidR="005B0BF3" w:rsidRPr="002961C2">
        <w:rPr>
          <w:sz w:val="24"/>
          <w:szCs w:val="24"/>
          <w:shd w:val="clear" w:color="auto" w:fill="FFFFFF"/>
        </w:rPr>
        <w:t>, therefore, encourage further investigation of the potential causal relevance of</w:t>
      </w:r>
      <w:r w:rsidR="00304D9E" w:rsidRPr="002961C2">
        <w:rPr>
          <w:sz w:val="24"/>
          <w:szCs w:val="24"/>
          <w:shd w:val="clear" w:color="auto" w:fill="FFFFFF"/>
        </w:rPr>
        <w:t xml:space="preserve"> </w:t>
      </w:r>
      <w:r w:rsidR="00943379" w:rsidRPr="002961C2">
        <w:rPr>
          <w:sz w:val="24"/>
          <w:szCs w:val="24"/>
          <w:shd w:val="clear" w:color="auto" w:fill="FFFFFF"/>
        </w:rPr>
        <w:t xml:space="preserve">TL </w:t>
      </w:r>
      <w:r w:rsidR="005B0BF3" w:rsidRPr="002961C2">
        <w:rPr>
          <w:sz w:val="24"/>
          <w:szCs w:val="24"/>
          <w:shd w:val="clear" w:color="auto" w:fill="FFFFFF"/>
        </w:rPr>
        <w:t>to</w:t>
      </w:r>
      <w:r w:rsidR="00474916" w:rsidRPr="002961C2">
        <w:rPr>
          <w:sz w:val="24"/>
          <w:szCs w:val="24"/>
          <w:shd w:val="clear" w:color="auto" w:fill="FFFFFF"/>
        </w:rPr>
        <w:t xml:space="preserve"> adverse COVID-19 outcomes</w:t>
      </w:r>
      <w:r w:rsidR="00304D9E" w:rsidRPr="002961C2">
        <w:rPr>
          <w:sz w:val="24"/>
          <w:szCs w:val="24"/>
          <w:shd w:val="clear" w:color="auto" w:fill="FFFFFF"/>
        </w:rPr>
        <w:t>.</w:t>
      </w:r>
      <w:r w:rsidR="00893B8F" w:rsidRPr="002961C2">
        <w:rPr>
          <w:sz w:val="24"/>
          <w:szCs w:val="24"/>
          <w:shd w:val="clear" w:color="auto" w:fill="FFFFFF"/>
        </w:rPr>
        <w:t xml:space="preserve"> </w:t>
      </w:r>
    </w:p>
    <w:p w14:paraId="2E01CA80" w14:textId="7112283D" w:rsidR="004841D7" w:rsidRPr="002961C2" w:rsidRDefault="00374AB1" w:rsidP="009D76FB">
      <w:pPr>
        <w:spacing w:line="480" w:lineRule="auto"/>
        <w:rPr>
          <w:sz w:val="24"/>
          <w:shd w:val="clear" w:color="auto" w:fill="FFFFFF"/>
        </w:rPr>
      </w:pPr>
      <w:r w:rsidRPr="002961C2">
        <w:rPr>
          <w:sz w:val="24"/>
          <w:szCs w:val="24"/>
          <w:shd w:val="clear" w:color="auto" w:fill="FFFFFF"/>
        </w:rPr>
        <w:t xml:space="preserve">The validity of our </w:t>
      </w:r>
      <w:r w:rsidR="00471D18" w:rsidRPr="002961C2">
        <w:rPr>
          <w:sz w:val="24"/>
          <w:szCs w:val="24"/>
          <w:shd w:val="clear" w:color="auto" w:fill="FFFFFF"/>
        </w:rPr>
        <w:t xml:space="preserve">results </w:t>
      </w:r>
      <w:r w:rsidR="00EF4488" w:rsidRPr="002961C2">
        <w:rPr>
          <w:sz w:val="24"/>
          <w:szCs w:val="24"/>
          <w:shd w:val="clear" w:color="auto" w:fill="FFFFFF"/>
        </w:rPr>
        <w:t>i</w:t>
      </w:r>
      <w:r w:rsidRPr="002961C2">
        <w:rPr>
          <w:sz w:val="24"/>
          <w:szCs w:val="24"/>
          <w:shd w:val="clear" w:color="auto" w:fill="FFFFFF"/>
        </w:rPr>
        <w:t>s</w:t>
      </w:r>
      <w:r w:rsidR="008F08B7" w:rsidRPr="002961C2">
        <w:rPr>
          <w:sz w:val="24"/>
          <w:szCs w:val="24"/>
          <w:shd w:val="clear" w:color="auto" w:fill="FFFFFF"/>
        </w:rPr>
        <w:t xml:space="preserve"> </w:t>
      </w:r>
      <w:r w:rsidR="00471D18" w:rsidRPr="002961C2">
        <w:rPr>
          <w:sz w:val="24"/>
          <w:szCs w:val="24"/>
          <w:shd w:val="clear" w:color="auto" w:fill="FFFFFF"/>
        </w:rPr>
        <w:t>supported</w:t>
      </w:r>
      <w:r w:rsidR="008F08B7" w:rsidRPr="002961C2">
        <w:rPr>
          <w:sz w:val="24"/>
          <w:szCs w:val="24"/>
          <w:shd w:val="clear" w:color="auto" w:fill="FFFFFF"/>
        </w:rPr>
        <w:t xml:space="preserve"> by several </w:t>
      </w:r>
      <w:r w:rsidRPr="002961C2">
        <w:rPr>
          <w:sz w:val="24"/>
          <w:szCs w:val="24"/>
          <w:shd w:val="clear" w:color="auto" w:fill="FFFFFF"/>
        </w:rPr>
        <w:t>observations</w:t>
      </w:r>
      <w:r w:rsidR="008F08B7" w:rsidRPr="002961C2">
        <w:rPr>
          <w:sz w:val="24"/>
          <w:szCs w:val="24"/>
          <w:shd w:val="clear" w:color="auto" w:fill="FFFFFF"/>
        </w:rPr>
        <w:t xml:space="preserve">. First, </w:t>
      </w:r>
      <w:r w:rsidR="00EF4488" w:rsidRPr="002961C2">
        <w:rPr>
          <w:sz w:val="24"/>
          <w:szCs w:val="24"/>
          <w:shd w:val="clear" w:color="auto" w:fill="FFFFFF"/>
        </w:rPr>
        <w:t xml:space="preserve">our study </w:t>
      </w:r>
      <w:r w:rsidR="00013874" w:rsidRPr="002961C2">
        <w:rPr>
          <w:sz w:val="24"/>
          <w:szCs w:val="24"/>
          <w:shd w:val="clear" w:color="auto" w:fill="FFFFFF"/>
        </w:rPr>
        <w:t xml:space="preserve">found </w:t>
      </w:r>
      <w:r w:rsidR="008F08B7" w:rsidRPr="002961C2">
        <w:rPr>
          <w:sz w:val="24"/>
          <w:szCs w:val="24"/>
          <w:shd w:val="clear" w:color="auto" w:fill="FFFFFF"/>
        </w:rPr>
        <w:t xml:space="preserve">associations </w:t>
      </w:r>
      <w:r w:rsidR="00013874" w:rsidRPr="002961C2">
        <w:rPr>
          <w:sz w:val="24"/>
          <w:szCs w:val="24"/>
          <w:shd w:val="clear" w:color="auto" w:fill="FFFFFF"/>
        </w:rPr>
        <w:t>between</w:t>
      </w:r>
      <w:r w:rsidR="008F08B7" w:rsidRPr="002961C2">
        <w:rPr>
          <w:sz w:val="24"/>
          <w:szCs w:val="24"/>
          <w:shd w:val="clear" w:color="auto" w:fill="FFFFFF"/>
        </w:rPr>
        <w:t xml:space="preserve"> older age, male sex, and </w:t>
      </w:r>
      <w:r w:rsidR="007052D0" w:rsidRPr="002961C2">
        <w:rPr>
          <w:sz w:val="24"/>
          <w:szCs w:val="24"/>
          <w:shd w:val="clear" w:color="auto" w:fill="FFFFFF"/>
        </w:rPr>
        <w:t xml:space="preserve">non-White </w:t>
      </w:r>
      <w:r w:rsidR="008F08B7" w:rsidRPr="002961C2">
        <w:rPr>
          <w:sz w:val="24"/>
          <w:szCs w:val="24"/>
          <w:shd w:val="clear" w:color="auto" w:fill="FFFFFF"/>
        </w:rPr>
        <w:t>ethnicity</w:t>
      </w:r>
      <w:r w:rsidR="00013874" w:rsidRPr="002961C2">
        <w:rPr>
          <w:sz w:val="24"/>
          <w:szCs w:val="24"/>
          <w:shd w:val="clear" w:color="auto" w:fill="FFFFFF"/>
        </w:rPr>
        <w:t xml:space="preserve"> that have previously been linked</w:t>
      </w:r>
      <w:r w:rsidR="008F08B7" w:rsidRPr="002961C2">
        <w:rPr>
          <w:sz w:val="24"/>
          <w:szCs w:val="24"/>
          <w:shd w:val="clear" w:color="auto" w:fill="FFFFFF"/>
        </w:rPr>
        <w:t xml:space="preserve"> with adverse COVID-19 outcomes</w:t>
      </w:r>
      <w:r w:rsidR="00DA13DE" w:rsidRPr="002961C2">
        <w:rPr>
          <w:sz w:val="24"/>
          <w:szCs w:val="24"/>
          <w:shd w:val="clear" w:color="auto" w:fill="FFFFFF"/>
        </w:rPr>
        <w:t xml:space="preserve"> in the UK</w:t>
      </w:r>
      <w:r w:rsidR="00F65690" w:rsidRPr="002961C2">
        <w:rPr>
          <w:sz w:val="24"/>
          <w:szCs w:val="24"/>
          <w:shd w:val="clear" w:color="auto" w:fill="FFFFFF"/>
        </w:rPr>
        <w:t>.</w:t>
      </w:r>
      <w:r w:rsidR="000A0096" w:rsidRPr="002961C2">
        <w:rPr>
          <w:sz w:val="24"/>
          <w:szCs w:val="24"/>
          <w:shd w:val="clear" w:color="auto" w:fill="FFFFFF"/>
          <w:vertAlign w:val="superscript"/>
        </w:rPr>
        <w:t>2</w:t>
      </w:r>
      <w:r w:rsidR="00835F83" w:rsidRPr="002961C2">
        <w:rPr>
          <w:sz w:val="24"/>
          <w:szCs w:val="24"/>
          <w:shd w:val="clear" w:color="auto" w:fill="FFFFFF"/>
        </w:rPr>
        <w:t xml:space="preserve"> </w:t>
      </w:r>
      <w:r w:rsidR="00D0739E" w:rsidRPr="002961C2">
        <w:rPr>
          <w:sz w:val="24"/>
          <w:szCs w:val="24"/>
          <w:shd w:val="clear" w:color="auto" w:fill="FFFFFF"/>
        </w:rPr>
        <w:t xml:space="preserve">Each of these factors was </w:t>
      </w:r>
      <w:r w:rsidR="00742B2C" w:rsidRPr="002961C2">
        <w:rPr>
          <w:sz w:val="24"/>
          <w:szCs w:val="24"/>
          <w:shd w:val="clear" w:color="auto" w:fill="FFFFFF"/>
        </w:rPr>
        <w:t xml:space="preserve">associated </w:t>
      </w:r>
      <w:r w:rsidR="00BA2542" w:rsidRPr="002961C2">
        <w:rPr>
          <w:sz w:val="24"/>
          <w:szCs w:val="24"/>
          <w:shd w:val="clear" w:color="auto" w:fill="FFFFFF"/>
        </w:rPr>
        <w:t xml:space="preserve">much </w:t>
      </w:r>
      <w:r w:rsidR="00D0739E" w:rsidRPr="002961C2">
        <w:rPr>
          <w:sz w:val="24"/>
          <w:szCs w:val="24"/>
          <w:shd w:val="clear" w:color="auto" w:fill="FFFFFF"/>
        </w:rPr>
        <w:t>more strongly with COVID-19 outcomes than was</w:t>
      </w:r>
      <w:r w:rsidR="00EF4488" w:rsidRPr="002961C2">
        <w:rPr>
          <w:sz w:val="24"/>
          <w:szCs w:val="24"/>
          <w:shd w:val="clear" w:color="auto" w:fill="FFFFFF"/>
        </w:rPr>
        <w:t xml:space="preserve"> shorter LTL</w:t>
      </w:r>
      <w:r w:rsidR="008F08B7" w:rsidRPr="002961C2">
        <w:rPr>
          <w:sz w:val="24"/>
          <w:szCs w:val="24"/>
          <w:shd w:val="clear" w:color="auto" w:fill="FFFFFF"/>
        </w:rPr>
        <w:t xml:space="preserve">. Second, </w:t>
      </w:r>
      <w:r w:rsidR="00D0739E" w:rsidRPr="002961C2">
        <w:rPr>
          <w:sz w:val="24"/>
          <w:szCs w:val="24"/>
          <w:shd w:val="clear" w:color="auto" w:fill="FFFFFF"/>
        </w:rPr>
        <w:t>we</w:t>
      </w:r>
      <w:r w:rsidR="00EF4488" w:rsidRPr="002961C2">
        <w:rPr>
          <w:sz w:val="24"/>
          <w:szCs w:val="24"/>
          <w:shd w:val="clear" w:color="auto" w:fill="FFFFFF"/>
        </w:rPr>
        <w:t xml:space="preserve"> found</w:t>
      </w:r>
      <w:r w:rsidR="008F08B7" w:rsidRPr="002961C2">
        <w:rPr>
          <w:sz w:val="24"/>
          <w:szCs w:val="24"/>
          <w:shd w:val="clear" w:color="auto" w:fill="FFFFFF"/>
        </w:rPr>
        <w:t xml:space="preserve"> significant associations of shorter LTL with each </w:t>
      </w:r>
      <w:r w:rsidR="00D0739E" w:rsidRPr="002961C2">
        <w:rPr>
          <w:sz w:val="24"/>
          <w:szCs w:val="24"/>
          <w:shd w:val="clear" w:color="auto" w:fill="FFFFFF"/>
        </w:rPr>
        <w:t>s</w:t>
      </w:r>
      <w:r w:rsidR="008F08B7" w:rsidRPr="002961C2">
        <w:rPr>
          <w:sz w:val="24"/>
          <w:szCs w:val="24"/>
          <w:shd w:val="clear" w:color="auto" w:fill="FFFFFF"/>
        </w:rPr>
        <w:t>ub-component</w:t>
      </w:r>
      <w:r w:rsidR="009110D7" w:rsidRPr="002961C2">
        <w:rPr>
          <w:sz w:val="24"/>
          <w:szCs w:val="24"/>
          <w:shd w:val="clear" w:color="auto" w:fill="FFFFFF"/>
        </w:rPr>
        <w:t xml:space="preserve"> of</w:t>
      </w:r>
      <w:r w:rsidR="008F08B7" w:rsidRPr="002961C2">
        <w:rPr>
          <w:sz w:val="24"/>
          <w:szCs w:val="24"/>
          <w:shd w:val="clear" w:color="auto" w:fill="FFFFFF"/>
        </w:rPr>
        <w:t xml:space="preserve"> our study’s primary composite outcome. Third, </w:t>
      </w:r>
      <w:r w:rsidR="008667A8" w:rsidRPr="002961C2">
        <w:rPr>
          <w:sz w:val="24"/>
          <w:szCs w:val="24"/>
          <w:shd w:val="clear" w:color="auto" w:fill="FFFFFF"/>
        </w:rPr>
        <w:t>our main findings</w:t>
      </w:r>
      <w:r w:rsidR="008F08B7" w:rsidRPr="002961C2" w:rsidDel="00C85194">
        <w:rPr>
          <w:sz w:val="24"/>
          <w:szCs w:val="24"/>
          <w:shd w:val="clear" w:color="auto" w:fill="FFFFFF"/>
        </w:rPr>
        <w:t xml:space="preserve"> </w:t>
      </w:r>
      <w:r w:rsidR="008F3932" w:rsidRPr="002961C2">
        <w:rPr>
          <w:sz w:val="24"/>
          <w:szCs w:val="24"/>
          <w:shd w:val="clear" w:color="auto" w:fill="FFFFFF"/>
        </w:rPr>
        <w:t xml:space="preserve">persisted </w:t>
      </w:r>
      <w:r w:rsidR="008F08B7" w:rsidRPr="002961C2">
        <w:rPr>
          <w:sz w:val="24"/>
          <w:szCs w:val="24"/>
          <w:shd w:val="clear" w:color="auto" w:fill="FFFFFF"/>
        </w:rPr>
        <w:t>after adjustment for</w:t>
      </w:r>
      <w:r w:rsidR="00835F83" w:rsidRPr="002961C2">
        <w:rPr>
          <w:sz w:val="24"/>
          <w:szCs w:val="24"/>
          <w:shd w:val="clear" w:color="auto" w:fill="FFFFFF"/>
        </w:rPr>
        <w:t xml:space="preserve"> multiple</w:t>
      </w:r>
      <w:r w:rsidR="008F08B7" w:rsidRPr="002961C2">
        <w:rPr>
          <w:sz w:val="24"/>
          <w:szCs w:val="24"/>
          <w:shd w:val="clear" w:color="auto" w:fill="FFFFFF"/>
        </w:rPr>
        <w:t xml:space="preserve"> </w:t>
      </w:r>
      <w:r w:rsidR="008F3932" w:rsidRPr="002961C2">
        <w:rPr>
          <w:sz w:val="24"/>
          <w:szCs w:val="24"/>
          <w:shd w:val="clear" w:color="auto" w:fill="FFFFFF"/>
        </w:rPr>
        <w:t>risk factors</w:t>
      </w:r>
      <w:r w:rsidR="008F08B7" w:rsidRPr="002961C2">
        <w:rPr>
          <w:sz w:val="24"/>
          <w:szCs w:val="24"/>
          <w:shd w:val="clear" w:color="auto" w:fill="FFFFFF"/>
        </w:rPr>
        <w:t xml:space="preserve">. Fourth, our overall result was robust to sensitivity analyses </w:t>
      </w:r>
      <w:r w:rsidRPr="002961C2">
        <w:rPr>
          <w:sz w:val="24"/>
          <w:szCs w:val="24"/>
          <w:shd w:val="clear" w:color="auto" w:fill="FFFFFF"/>
        </w:rPr>
        <w:t xml:space="preserve">designed to </w:t>
      </w:r>
      <w:r w:rsidR="00DD45CD" w:rsidRPr="002961C2">
        <w:rPr>
          <w:sz w:val="24"/>
          <w:szCs w:val="24"/>
          <w:shd w:val="clear" w:color="auto" w:fill="FFFFFF"/>
        </w:rPr>
        <w:t xml:space="preserve">minimise the </w:t>
      </w:r>
      <w:r w:rsidR="008F08B7" w:rsidRPr="002961C2">
        <w:rPr>
          <w:sz w:val="24"/>
          <w:szCs w:val="24"/>
          <w:shd w:val="clear" w:color="auto" w:fill="FFFFFF"/>
        </w:rPr>
        <w:t>scope for</w:t>
      </w:r>
      <w:r w:rsidR="00B6568A" w:rsidRPr="002961C2">
        <w:rPr>
          <w:sz w:val="24"/>
          <w:szCs w:val="24"/>
          <w:shd w:val="clear" w:color="auto" w:fill="FFFFFF"/>
        </w:rPr>
        <w:t xml:space="preserve"> potential bias</w:t>
      </w:r>
      <w:r w:rsidR="00DD45CD" w:rsidRPr="002961C2">
        <w:rPr>
          <w:sz w:val="24"/>
          <w:szCs w:val="24"/>
          <w:shd w:val="clear" w:color="auto" w:fill="FFFFFF"/>
        </w:rPr>
        <w:t>es</w:t>
      </w:r>
      <w:r w:rsidR="00B6568A" w:rsidRPr="002961C2">
        <w:rPr>
          <w:sz w:val="24"/>
          <w:szCs w:val="24"/>
          <w:shd w:val="clear" w:color="auto" w:fill="FFFFFF"/>
        </w:rPr>
        <w:t xml:space="preserve">. </w:t>
      </w:r>
      <w:r w:rsidRPr="002961C2">
        <w:rPr>
          <w:sz w:val="24"/>
          <w:szCs w:val="24"/>
          <w:shd w:val="clear" w:color="auto" w:fill="FFFFFF"/>
        </w:rPr>
        <w:t>For example, c</w:t>
      </w:r>
      <w:r w:rsidR="00627A59" w:rsidRPr="002961C2">
        <w:rPr>
          <w:sz w:val="24"/>
          <w:szCs w:val="24"/>
          <w:shd w:val="clear" w:color="auto" w:fill="FFFFFF"/>
        </w:rPr>
        <w:t>ollider bias can lead to false associations between a risk f</w:t>
      </w:r>
      <w:r w:rsidR="009F53D4" w:rsidRPr="002961C2">
        <w:rPr>
          <w:sz w:val="24"/>
          <w:szCs w:val="24"/>
          <w:shd w:val="clear" w:color="auto" w:fill="FFFFFF"/>
        </w:rPr>
        <w:t>actor and an outcome</w:t>
      </w:r>
      <w:r w:rsidR="00F65690" w:rsidRPr="002961C2">
        <w:rPr>
          <w:sz w:val="24"/>
          <w:szCs w:val="24"/>
          <w:shd w:val="clear" w:color="auto" w:fill="FFFFFF"/>
        </w:rPr>
        <w:t>,</w:t>
      </w:r>
      <w:r w:rsidR="00C92C68" w:rsidRPr="002961C2">
        <w:rPr>
          <w:sz w:val="24"/>
          <w:szCs w:val="24"/>
          <w:shd w:val="clear" w:color="auto" w:fill="FFFFFF"/>
          <w:vertAlign w:val="superscript"/>
        </w:rPr>
        <w:t>1</w:t>
      </w:r>
      <w:r w:rsidR="00103EB6" w:rsidRPr="002961C2">
        <w:rPr>
          <w:sz w:val="24"/>
          <w:szCs w:val="24"/>
          <w:shd w:val="clear" w:color="auto" w:fill="FFFFFF"/>
          <w:vertAlign w:val="superscript"/>
        </w:rPr>
        <w:t>8</w:t>
      </w:r>
      <w:r w:rsidRPr="002961C2">
        <w:rPr>
          <w:sz w:val="24"/>
          <w:szCs w:val="24"/>
          <w:shd w:val="clear" w:color="auto" w:fill="FFFFFF"/>
        </w:rPr>
        <w:t xml:space="preserve"> as highlighted </w:t>
      </w:r>
      <w:r w:rsidR="009110D7" w:rsidRPr="002961C2">
        <w:rPr>
          <w:sz w:val="24"/>
          <w:szCs w:val="24"/>
          <w:shd w:val="clear" w:color="auto" w:fill="FFFFFF"/>
        </w:rPr>
        <w:t>by</w:t>
      </w:r>
      <w:r w:rsidR="00627A59" w:rsidRPr="002961C2">
        <w:rPr>
          <w:sz w:val="24"/>
          <w:szCs w:val="24"/>
          <w:shd w:val="clear" w:color="auto" w:fill="FFFFFF"/>
        </w:rPr>
        <w:t xml:space="preserve"> studies related to understanding of </w:t>
      </w:r>
      <w:r w:rsidR="00E02303" w:rsidRPr="002961C2">
        <w:rPr>
          <w:sz w:val="24"/>
          <w:szCs w:val="24"/>
          <w:shd w:val="clear" w:color="auto" w:fill="FFFFFF"/>
        </w:rPr>
        <w:t>COVID</w:t>
      </w:r>
      <w:r w:rsidR="00627A59" w:rsidRPr="002961C2">
        <w:rPr>
          <w:sz w:val="24"/>
          <w:szCs w:val="24"/>
          <w:shd w:val="clear" w:color="auto" w:fill="FFFFFF"/>
        </w:rPr>
        <w:t>-19 disease risk and severity</w:t>
      </w:r>
      <w:r w:rsidR="00F65690" w:rsidRPr="002961C2">
        <w:rPr>
          <w:sz w:val="24"/>
          <w:szCs w:val="24"/>
          <w:shd w:val="clear" w:color="auto" w:fill="FFFFFF"/>
        </w:rPr>
        <w:t>.</w:t>
      </w:r>
      <w:r w:rsidR="000B5119" w:rsidRPr="002961C2">
        <w:rPr>
          <w:sz w:val="24"/>
          <w:szCs w:val="24"/>
          <w:shd w:val="clear" w:color="auto" w:fill="FFFFFF"/>
          <w:vertAlign w:val="superscript"/>
        </w:rPr>
        <w:t>1</w:t>
      </w:r>
      <w:r w:rsidR="00103EB6" w:rsidRPr="002961C2">
        <w:rPr>
          <w:sz w:val="24"/>
          <w:szCs w:val="24"/>
          <w:shd w:val="clear" w:color="auto" w:fill="FFFFFF"/>
          <w:vertAlign w:val="superscript"/>
        </w:rPr>
        <w:t>9</w:t>
      </w:r>
      <w:r w:rsidR="009F53D4" w:rsidRPr="002961C2">
        <w:rPr>
          <w:sz w:val="24"/>
          <w:szCs w:val="24"/>
          <w:shd w:val="clear" w:color="auto" w:fill="FFFFFF"/>
        </w:rPr>
        <w:t xml:space="preserve"> </w:t>
      </w:r>
      <w:r w:rsidR="00627A59" w:rsidRPr="002961C2">
        <w:rPr>
          <w:sz w:val="24"/>
          <w:szCs w:val="24"/>
          <w:shd w:val="clear" w:color="auto" w:fill="FFFFFF"/>
        </w:rPr>
        <w:t xml:space="preserve">Indeed, we found evidence </w:t>
      </w:r>
      <w:r w:rsidR="009F53D4" w:rsidRPr="002961C2">
        <w:rPr>
          <w:sz w:val="24"/>
          <w:szCs w:val="24"/>
          <w:shd w:val="clear" w:color="auto" w:fill="FFFFFF"/>
        </w:rPr>
        <w:t>for potential collider</w:t>
      </w:r>
      <w:r w:rsidR="0076499A" w:rsidRPr="002961C2">
        <w:rPr>
          <w:sz w:val="24"/>
          <w:szCs w:val="24"/>
          <w:shd w:val="clear" w:color="auto" w:fill="FFFFFF"/>
        </w:rPr>
        <w:t>s</w:t>
      </w:r>
      <w:r w:rsidR="009F53D4" w:rsidRPr="002961C2">
        <w:rPr>
          <w:sz w:val="24"/>
          <w:szCs w:val="24"/>
          <w:shd w:val="clear" w:color="auto" w:fill="FFFFFF"/>
        </w:rPr>
        <w:t xml:space="preserve"> in our own analysis</w:t>
      </w:r>
      <w:r w:rsidRPr="002961C2">
        <w:rPr>
          <w:sz w:val="24"/>
          <w:szCs w:val="24"/>
          <w:shd w:val="clear" w:color="auto" w:fill="FFFFFF"/>
        </w:rPr>
        <w:t>, observing</w:t>
      </w:r>
      <w:r w:rsidR="009F53D4" w:rsidRPr="002961C2">
        <w:rPr>
          <w:sz w:val="24"/>
          <w:shd w:val="clear" w:color="auto" w:fill="FFFFFF"/>
        </w:rPr>
        <w:t xml:space="preserve"> a small but significant association between shorter LTL and </w:t>
      </w:r>
      <w:r w:rsidRPr="002961C2">
        <w:rPr>
          <w:sz w:val="24"/>
          <w:shd w:val="clear" w:color="auto" w:fill="FFFFFF"/>
        </w:rPr>
        <w:t>higher</w:t>
      </w:r>
      <w:r w:rsidR="009F53D4" w:rsidRPr="002961C2">
        <w:rPr>
          <w:sz w:val="24"/>
          <w:shd w:val="clear" w:color="auto" w:fill="FFFFFF"/>
        </w:rPr>
        <w:t xml:space="preserve"> likelihood of </w:t>
      </w:r>
      <w:r w:rsidRPr="002961C2">
        <w:rPr>
          <w:sz w:val="24"/>
          <w:szCs w:val="24"/>
          <w:shd w:val="clear" w:color="auto" w:fill="FFFFFF"/>
        </w:rPr>
        <w:t xml:space="preserve">SARS-CoV-2 </w:t>
      </w:r>
      <w:r w:rsidR="009F53D4" w:rsidRPr="002961C2">
        <w:rPr>
          <w:sz w:val="24"/>
          <w:shd w:val="clear" w:color="auto" w:fill="FFFFFF"/>
        </w:rPr>
        <w:t xml:space="preserve">testing. </w:t>
      </w:r>
      <w:r w:rsidR="00D40EA3" w:rsidRPr="002961C2">
        <w:rPr>
          <w:sz w:val="24"/>
          <w:shd w:val="clear" w:color="auto" w:fill="FFFFFF"/>
        </w:rPr>
        <w:t xml:space="preserve">Hence, </w:t>
      </w:r>
      <w:r w:rsidR="009B6F3E" w:rsidRPr="002961C2">
        <w:rPr>
          <w:sz w:val="24"/>
          <w:shd w:val="clear" w:color="auto" w:fill="FFFFFF"/>
        </w:rPr>
        <w:t xml:space="preserve">we only </w:t>
      </w:r>
      <w:r w:rsidR="00082B6F" w:rsidRPr="002961C2">
        <w:rPr>
          <w:sz w:val="24"/>
          <w:shd w:val="clear" w:color="auto" w:fill="FFFFFF"/>
        </w:rPr>
        <w:t>included participants with a positive SARS-CoV-2 test outside the hospital setting</w:t>
      </w:r>
      <w:r w:rsidR="009110D7" w:rsidRPr="002961C2">
        <w:rPr>
          <w:sz w:val="24"/>
          <w:shd w:val="clear" w:color="auto" w:fill="FFFFFF"/>
        </w:rPr>
        <w:t>, as</w:t>
      </w:r>
      <w:r w:rsidR="009F53D4" w:rsidRPr="002961C2">
        <w:rPr>
          <w:sz w:val="24"/>
          <w:shd w:val="clear" w:color="auto" w:fill="FFFFFF"/>
        </w:rPr>
        <w:t xml:space="preserve"> hospitalisation </w:t>
      </w:r>
      <w:r w:rsidR="009110D7" w:rsidRPr="002961C2">
        <w:rPr>
          <w:sz w:val="24"/>
          <w:shd w:val="clear" w:color="auto" w:fill="FFFFFF"/>
        </w:rPr>
        <w:t xml:space="preserve">itself </w:t>
      </w:r>
      <w:r w:rsidR="009F53D4" w:rsidRPr="002961C2">
        <w:rPr>
          <w:sz w:val="24"/>
          <w:shd w:val="clear" w:color="auto" w:fill="FFFFFF"/>
        </w:rPr>
        <w:t>may increase the likelihood of testing</w:t>
      </w:r>
      <w:r w:rsidR="0076499A" w:rsidRPr="002961C2">
        <w:rPr>
          <w:sz w:val="24"/>
          <w:shd w:val="clear" w:color="auto" w:fill="FFFFFF"/>
        </w:rPr>
        <w:t xml:space="preserve">. </w:t>
      </w:r>
      <w:r w:rsidR="00147354" w:rsidRPr="002961C2">
        <w:rPr>
          <w:sz w:val="24"/>
          <w:shd w:val="clear" w:color="auto" w:fill="FFFFFF"/>
        </w:rPr>
        <w:t>Finally, considering the potential impact of inflammag</w:t>
      </w:r>
      <w:r w:rsidR="00E855BE" w:rsidRPr="002961C2">
        <w:rPr>
          <w:sz w:val="24"/>
          <w:shd w:val="clear" w:color="auto" w:fill="FFFFFF"/>
        </w:rPr>
        <w:t>e</w:t>
      </w:r>
      <w:r w:rsidR="00147354" w:rsidRPr="002961C2">
        <w:rPr>
          <w:sz w:val="24"/>
          <w:shd w:val="clear" w:color="auto" w:fill="FFFFFF"/>
        </w:rPr>
        <w:t xml:space="preserve">ing on the observed result we further adjusted for C-reactive protein and found no meaningful changes in the association. </w:t>
      </w:r>
    </w:p>
    <w:p w14:paraId="15C2670C" w14:textId="4E686A36" w:rsidR="0076499A" w:rsidRPr="002961C2" w:rsidRDefault="009110D7" w:rsidP="009D76FB">
      <w:pPr>
        <w:spacing w:line="480" w:lineRule="auto"/>
        <w:rPr>
          <w:sz w:val="24"/>
          <w:szCs w:val="24"/>
          <w:shd w:val="clear" w:color="auto" w:fill="FFFFFF"/>
        </w:rPr>
      </w:pPr>
      <w:r w:rsidRPr="002961C2">
        <w:rPr>
          <w:sz w:val="24"/>
          <w:szCs w:val="24"/>
          <w:shd w:val="clear" w:color="auto" w:fill="FFFFFF"/>
        </w:rPr>
        <w:t>T</w:t>
      </w:r>
      <w:r w:rsidR="0076499A" w:rsidRPr="002961C2">
        <w:rPr>
          <w:sz w:val="24"/>
          <w:szCs w:val="24"/>
          <w:shd w:val="clear" w:color="auto" w:fill="FFFFFF"/>
        </w:rPr>
        <w:t xml:space="preserve">he biological mechanisms through which shorter LTL might increase risk of adverse outcomes from </w:t>
      </w:r>
      <w:r w:rsidR="00537C66" w:rsidRPr="002961C2">
        <w:rPr>
          <w:sz w:val="24"/>
          <w:szCs w:val="24"/>
          <w:shd w:val="clear" w:color="auto" w:fill="FFFFFF"/>
        </w:rPr>
        <w:t xml:space="preserve">SARS-CoV-2 </w:t>
      </w:r>
      <w:r w:rsidR="0076499A" w:rsidRPr="002961C2">
        <w:rPr>
          <w:sz w:val="24"/>
          <w:szCs w:val="24"/>
          <w:shd w:val="clear" w:color="auto" w:fill="FFFFFF"/>
        </w:rPr>
        <w:t xml:space="preserve">infection remain to </w:t>
      </w:r>
      <w:r w:rsidR="00E6634C" w:rsidRPr="002961C2">
        <w:rPr>
          <w:sz w:val="24"/>
          <w:szCs w:val="24"/>
          <w:shd w:val="clear" w:color="auto" w:fill="FFFFFF"/>
        </w:rPr>
        <w:t>be clarified</w:t>
      </w:r>
      <w:r w:rsidR="0076499A" w:rsidRPr="002961C2">
        <w:rPr>
          <w:sz w:val="24"/>
          <w:szCs w:val="24"/>
          <w:shd w:val="clear" w:color="auto" w:fill="FFFFFF"/>
        </w:rPr>
        <w:t xml:space="preserve">. Our </w:t>
      </w:r>
      <w:r w:rsidR="009B6F3E" w:rsidRPr="002961C2">
        <w:rPr>
          <w:sz w:val="24"/>
          <w:szCs w:val="24"/>
          <w:shd w:val="clear" w:color="auto" w:fill="FFFFFF"/>
        </w:rPr>
        <w:t xml:space="preserve">finding that the association was not substantially attenuated when we adjusted for the association of LTL with multiple diseases at baseline, </w:t>
      </w:r>
      <w:r w:rsidR="0076499A" w:rsidRPr="002961C2">
        <w:rPr>
          <w:sz w:val="24"/>
          <w:szCs w:val="24"/>
          <w:shd w:val="clear" w:color="auto" w:fill="FFFFFF"/>
        </w:rPr>
        <w:t>suggest that</w:t>
      </w:r>
      <w:r w:rsidRPr="002961C2">
        <w:rPr>
          <w:sz w:val="24"/>
          <w:szCs w:val="24"/>
          <w:shd w:val="clear" w:color="auto" w:fill="FFFFFF"/>
        </w:rPr>
        <w:t xml:space="preserve">, if this association </w:t>
      </w:r>
      <w:r w:rsidR="00B21D46" w:rsidRPr="002961C2">
        <w:rPr>
          <w:sz w:val="24"/>
          <w:szCs w:val="24"/>
          <w:shd w:val="clear" w:color="auto" w:fill="FFFFFF"/>
        </w:rPr>
        <w:t>is</w:t>
      </w:r>
      <w:r w:rsidRPr="002961C2">
        <w:rPr>
          <w:sz w:val="24"/>
          <w:szCs w:val="24"/>
          <w:shd w:val="clear" w:color="auto" w:fill="FFFFFF"/>
        </w:rPr>
        <w:t xml:space="preserve"> causal</w:t>
      </w:r>
      <w:r w:rsidR="00B21D46" w:rsidRPr="002961C2">
        <w:rPr>
          <w:sz w:val="24"/>
          <w:szCs w:val="24"/>
          <w:shd w:val="clear" w:color="auto" w:fill="FFFFFF"/>
        </w:rPr>
        <w:t>,</w:t>
      </w:r>
      <w:r w:rsidR="0076499A" w:rsidRPr="002961C2">
        <w:rPr>
          <w:sz w:val="24"/>
          <w:szCs w:val="24"/>
          <w:shd w:val="clear" w:color="auto" w:fill="FFFFFF"/>
        </w:rPr>
        <w:t xml:space="preserve"> it is </w:t>
      </w:r>
      <w:r w:rsidR="008667A8" w:rsidRPr="002961C2">
        <w:rPr>
          <w:sz w:val="24"/>
          <w:szCs w:val="24"/>
          <w:shd w:val="clear" w:color="auto" w:fill="FFFFFF"/>
        </w:rPr>
        <w:t xml:space="preserve">probably </w:t>
      </w:r>
      <w:r w:rsidR="0076499A" w:rsidRPr="002961C2">
        <w:rPr>
          <w:sz w:val="24"/>
          <w:szCs w:val="24"/>
          <w:shd w:val="clear" w:color="auto" w:fill="FFFFFF"/>
        </w:rPr>
        <w:t xml:space="preserve">not simply a reflection of </w:t>
      </w:r>
      <w:r w:rsidR="00E6634C" w:rsidRPr="002961C2">
        <w:rPr>
          <w:sz w:val="24"/>
          <w:szCs w:val="24"/>
          <w:shd w:val="clear" w:color="auto" w:fill="FFFFFF"/>
        </w:rPr>
        <w:t xml:space="preserve">co-morbidity due to the </w:t>
      </w:r>
      <w:r w:rsidR="0076499A" w:rsidRPr="002961C2">
        <w:rPr>
          <w:sz w:val="24"/>
          <w:szCs w:val="24"/>
          <w:shd w:val="clear" w:color="auto" w:fill="FFFFFF"/>
        </w:rPr>
        <w:t xml:space="preserve">impact of shorter LTL on risk of </w:t>
      </w:r>
      <w:r w:rsidR="009B6F3E" w:rsidRPr="002961C2">
        <w:rPr>
          <w:sz w:val="24"/>
          <w:szCs w:val="24"/>
          <w:shd w:val="clear" w:color="auto" w:fill="FFFFFF"/>
        </w:rPr>
        <w:t>these</w:t>
      </w:r>
      <w:r w:rsidR="0076499A" w:rsidRPr="002961C2">
        <w:rPr>
          <w:sz w:val="24"/>
          <w:szCs w:val="24"/>
          <w:shd w:val="clear" w:color="auto" w:fill="FFFFFF"/>
        </w:rPr>
        <w:t xml:space="preserve"> </w:t>
      </w:r>
      <w:r w:rsidR="007C4817" w:rsidRPr="002961C2">
        <w:rPr>
          <w:sz w:val="24"/>
          <w:szCs w:val="24"/>
          <w:shd w:val="clear" w:color="auto" w:fill="FFFFFF"/>
        </w:rPr>
        <w:t>diseases</w:t>
      </w:r>
      <w:r w:rsidR="00F65690" w:rsidRPr="002961C2">
        <w:rPr>
          <w:sz w:val="24"/>
          <w:szCs w:val="24"/>
          <w:shd w:val="clear" w:color="auto" w:fill="FFFFFF"/>
        </w:rPr>
        <w:t>.</w:t>
      </w:r>
      <w:r w:rsidR="0076499A" w:rsidRPr="002961C2">
        <w:rPr>
          <w:sz w:val="24"/>
          <w:szCs w:val="24"/>
          <w:shd w:val="clear" w:color="auto" w:fill="FFFFFF"/>
        </w:rPr>
        <w:t xml:space="preserve"> </w:t>
      </w:r>
      <w:r w:rsidR="00E6634C" w:rsidRPr="002961C2">
        <w:rPr>
          <w:sz w:val="24"/>
          <w:szCs w:val="24"/>
          <w:shd w:val="clear" w:color="auto" w:fill="FFFFFF"/>
        </w:rPr>
        <w:t xml:space="preserve">A potential mechanism relates to the impact of </w:t>
      </w:r>
      <w:r w:rsidR="00326BCC" w:rsidRPr="002961C2">
        <w:rPr>
          <w:sz w:val="24"/>
          <w:szCs w:val="24"/>
          <w:shd w:val="clear" w:color="auto" w:fill="FFFFFF"/>
        </w:rPr>
        <w:t xml:space="preserve">telomere length dynamics on </w:t>
      </w:r>
      <w:r w:rsidR="00E6634C" w:rsidRPr="002961C2">
        <w:rPr>
          <w:sz w:val="24"/>
          <w:szCs w:val="24"/>
          <w:shd w:val="clear" w:color="auto" w:fill="FFFFFF"/>
        </w:rPr>
        <w:t xml:space="preserve">aging </w:t>
      </w:r>
      <w:r w:rsidR="00326BCC" w:rsidRPr="002961C2">
        <w:rPr>
          <w:sz w:val="24"/>
          <w:szCs w:val="24"/>
          <w:shd w:val="clear" w:color="auto" w:fill="FFFFFF"/>
        </w:rPr>
        <w:t xml:space="preserve">of the </w:t>
      </w:r>
      <w:r w:rsidR="00E6634C" w:rsidRPr="002961C2">
        <w:rPr>
          <w:sz w:val="24"/>
          <w:szCs w:val="24"/>
          <w:shd w:val="clear" w:color="auto" w:fill="FFFFFF"/>
        </w:rPr>
        <w:t>immune system</w:t>
      </w:r>
      <w:r w:rsidR="00EC0FBE" w:rsidRPr="002961C2">
        <w:rPr>
          <w:sz w:val="24"/>
          <w:szCs w:val="24"/>
          <w:shd w:val="clear" w:color="auto" w:fill="FFFFFF"/>
          <w:vertAlign w:val="superscript"/>
        </w:rPr>
        <w:t>24</w:t>
      </w:r>
      <w:r w:rsidR="00E6634C" w:rsidRPr="002961C2">
        <w:rPr>
          <w:sz w:val="24"/>
          <w:szCs w:val="24"/>
          <w:shd w:val="clear" w:color="auto" w:fill="FFFFFF"/>
        </w:rPr>
        <w:t xml:space="preserve"> and the potential role of senescence in severe </w:t>
      </w:r>
      <w:r w:rsidR="00537C66" w:rsidRPr="002961C2">
        <w:rPr>
          <w:sz w:val="24"/>
          <w:szCs w:val="24"/>
          <w:shd w:val="clear" w:color="auto" w:fill="FFFFFF"/>
        </w:rPr>
        <w:t xml:space="preserve">SARS-CoV-2 </w:t>
      </w:r>
      <w:r w:rsidR="00326BCC" w:rsidRPr="002961C2">
        <w:rPr>
          <w:sz w:val="24"/>
          <w:szCs w:val="24"/>
          <w:shd w:val="clear" w:color="auto" w:fill="FFFFFF"/>
        </w:rPr>
        <w:t>infection</w:t>
      </w:r>
      <w:r w:rsidR="00F65690" w:rsidRPr="002961C2">
        <w:rPr>
          <w:sz w:val="24"/>
          <w:szCs w:val="24"/>
          <w:shd w:val="clear" w:color="auto" w:fill="FFFFFF"/>
        </w:rPr>
        <w:t>.</w:t>
      </w:r>
      <w:r w:rsidR="00326BCC" w:rsidRPr="002961C2">
        <w:rPr>
          <w:sz w:val="24"/>
          <w:szCs w:val="24"/>
          <w:shd w:val="clear" w:color="auto" w:fill="FFFFFF"/>
          <w:vertAlign w:val="superscript"/>
        </w:rPr>
        <w:t>3,4</w:t>
      </w:r>
      <w:r w:rsidR="006D0470" w:rsidRPr="002961C2">
        <w:rPr>
          <w:sz w:val="24"/>
          <w:szCs w:val="24"/>
          <w:shd w:val="clear" w:color="auto" w:fill="FFFFFF"/>
          <w:vertAlign w:val="superscript"/>
        </w:rPr>
        <w:t>,2</w:t>
      </w:r>
      <w:r w:rsidR="00EC0FBE" w:rsidRPr="002961C2">
        <w:rPr>
          <w:sz w:val="24"/>
          <w:szCs w:val="24"/>
          <w:shd w:val="clear" w:color="auto" w:fill="FFFFFF"/>
          <w:vertAlign w:val="superscript"/>
        </w:rPr>
        <w:t>5</w:t>
      </w:r>
      <w:r w:rsidR="00E6634C" w:rsidRPr="002961C2">
        <w:rPr>
          <w:sz w:val="24"/>
          <w:szCs w:val="24"/>
          <w:shd w:val="clear" w:color="auto" w:fill="FFFFFF"/>
        </w:rPr>
        <w:t xml:space="preserve"> </w:t>
      </w:r>
      <w:r w:rsidR="00813448" w:rsidRPr="002961C2">
        <w:rPr>
          <w:sz w:val="24"/>
          <w:szCs w:val="24"/>
          <w:shd w:val="clear" w:color="auto" w:fill="FFFFFF"/>
        </w:rPr>
        <w:t>While</w:t>
      </w:r>
      <w:r w:rsidR="00085EEC" w:rsidRPr="002961C2">
        <w:rPr>
          <w:sz w:val="24"/>
          <w:szCs w:val="24"/>
          <w:shd w:val="clear" w:color="auto" w:fill="FFFFFF"/>
        </w:rPr>
        <w:t xml:space="preserve"> we have measured TL </w:t>
      </w:r>
      <w:r w:rsidR="00813448" w:rsidRPr="002961C2">
        <w:rPr>
          <w:sz w:val="24"/>
          <w:szCs w:val="24"/>
          <w:shd w:val="clear" w:color="auto" w:fill="FFFFFF"/>
        </w:rPr>
        <w:t xml:space="preserve">in leucocytes </w:t>
      </w:r>
      <w:r w:rsidR="00085EEC" w:rsidRPr="002961C2">
        <w:rPr>
          <w:sz w:val="24"/>
          <w:szCs w:val="24"/>
          <w:shd w:val="clear" w:color="auto" w:fill="FFFFFF"/>
        </w:rPr>
        <w:t xml:space="preserve">we believe </w:t>
      </w:r>
      <w:r w:rsidR="001E64BB" w:rsidRPr="002961C2">
        <w:rPr>
          <w:sz w:val="24"/>
          <w:szCs w:val="24"/>
          <w:shd w:val="clear" w:color="auto" w:fill="FFFFFF"/>
        </w:rPr>
        <w:t xml:space="preserve">these </w:t>
      </w:r>
      <w:r w:rsidR="00813448" w:rsidRPr="002961C2">
        <w:rPr>
          <w:sz w:val="24"/>
          <w:szCs w:val="24"/>
          <w:shd w:val="clear" w:color="auto" w:fill="FFFFFF"/>
        </w:rPr>
        <w:t>results</w:t>
      </w:r>
      <w:r w:rsidR="00085EEC" w:rsidRPr="002961C2">
        <w:rPr>
          <w:sz w:val="24"/>
          <w:szCs w:val="24"/>
          <w:shd w:val="clear" w:color="auto" w:fill="FFFFFF"/>
        </w:rPr>
        <w:t xml:space="preserve"> likely reflects TL within T-cells in this scenario, although further studies would be required to confirm this. </w:t>
      </w:r>
      <w:r w:rsidR="00085EEC" w:rsidRPr="002961C2">
        <w:rPr>
          <w:sz w:val="24"/>
          <w:szCs w:val="24"/>
        </w:rPr>
        <w:t>When challenged with infection, individuals with shorter LTL prior to infection would potentially have less proliferative capacity within the T-cell population required for an efficient response to SARS-CoV2, coupled with reduced lymphopoiesis following infection</w:t>
      </w:r>
      <w:r w:rsidR="00F65690" w:rsidRPr="002961C2">
        <w:rPr>
          <w:sz w:val="24"/>
          <w:szCs w:val="24"/>
          <w:shd w:val="clear" w:color="auto" w:fill="FFFFFF"/>
        </w:rPr>
        <w:t>.</w:t>
      </w:r>
      <w:r w:rsidR="00103EB6" w:rsidRPr="002961C2">
        <w:rPr>
          <w:sz w:val="24"/>
          <w:szCs w:val="24"/>
          <w:shd w:val="clear" w:color="auto" w:fill="FFFFFF"/>
          <w:vertAlign w:val="superscript"/>
        </w:rPr>
        <w:t>9,2</w:t>
      </w:r>
      <w:r w:rsidR="00EC0FBE" w:rsidRPr="002961C2">
        <w:rPr>
          <w:sz w:val="24"/>
          <w:szCs w:val="24"/>
          <w:shd w:val="clear" w:color="auto" w:fill="FFFFFF"/>
          <w:vertAlign w:val="superscript"/>
        </w:rPr>
        <w:t>6</w:t>
      </w:r>
      <w:r w:rsidR="00E939C8" w:rsidRPr="002961C2">
        <w:rPr>
          <w:sz w:val="24"/>
          <w:szCs w:val="24"/>
          <w:shd w:val="clear" w:color="auto" w:fill="FFFFFF"/>
        </w:rPr>
        <w:t xml:space="preserve"> </w:t>
      </w:r>
      <w:r w:rsidR="0036477A" w:rsidRPr="002961C2">
        <w:rPr>
          <w:sz w:val="24"/>
          <w:szCs w:val="24"/>
          <w:shd w:val="clear" w:color="auto" w:fill="FFFFFF"/>
        </w:rPr>
        <w:t xml:space="preserve">Individuals with shorter LTL may </w:t>
      </w:r>
      <w:r w:rsidR="00085EEC" w:rsidRPr="002961C2">
        <w:rPr>
          <w:sz w:val="24"/>
          <w:szCs w:val="24"/>
          <w:shd w:val="clear" w:color="auto" w:fill="FFFFFF"/>
        </w:rPr>
        <w:t xml:space="preserve">also </w:t>
      </w:r>
      <w:r w:rsidR="0036477A" w:rsidRPr="002961C2">
        <w:rPr>
          <w:sz w:val="24"/>
          <w:szCs w:val="24"/>
          <w:shd w:val="clear" w:color="auto" w:fill="FFFFFF"/>
        </w:rPr>
        <w:t>potentially already harbour a higher proportion of senescent T-cells, reducing the number of functional cells that are able to respond to infection</w:t>
      </w:r>
      <w:r w:rsidR="00F65690" w:rsidRPr="002961C2">
        <w:rPr>
          <w:sz w:val="24"/>
          <w:szCs w:val="24"/>
          <w:shd w:val="clear" w:color="auto" w:fill="FFFFFF"/>
        </w:rPr>
        <w:t>.</w:t>
      </w:r>
      <w:r w:rsidR="000042F5" w:rsidRPr="002961C2">
        <w:rPr>
          <w:sz w:val="24"/>
          <w:szCs w:val="24"/>
          <w:shd w:val="clear" w:color="auto" w:fill="FFFFFF"/>
          <w:vertAlign w:val="superscript"/>
        </w:rPr>
        <w:t>2</w:t>
      </w:r>
      <w:r w:rsidR="00103EB6" w:rsidRPr="002961C2">
        <w:rPr>
          <w:sz w:val="24"/>
          <w:szCs w:val="24"/>
          <w:shd w:val="clear" w:color="auto" w:fill="FFFFFF"/>
          <w:vertAlign w:val="superscript"/>
        </w:rPr>
        <w:t>5</w:t>
      </w:r>
      <w:r w:rsidR="0036477A" w:rsidRPr="002961C2">
        <w:rPr>
          <w:sz w:val="24"/>
          <w:szCs w:val="24"/>
          <w:shd w:val="clear" w:color="auto" w:fill="FFFFFF"/>
        </w:rPr>
        <w:t xml:space="preserve"> </w:t>
      </w:r>
      <w:r w:rsidR="00E6634C" w:rsidRPr="002961C2">
        <w:rPr>
          <w:sz w:val="24"/>
          <w:szCs w:val="24"/>
          <w:shd w:val="clear" w:color="auto" w:fill="FFFFFF"/>
        </w:rPr>
        <w:t xml:space="preserve">Additionally, senescent cells are known to adopt a pro-inflammatory phenotype, secreting high levels of cytokines, which can further drive inflammation in </w:t>
      </w:r>
      <w:r w:rsidR="00E02303" w:rsidRPr="002961C2">
        <w:rPr>
          <w:sz w:val="24"/>
          <w:szCs w:val="24"/>
          <w:shd w:val="clear" w:color="auto" w:fill="FFFFFF"/>
        </w:rPr>
        <w:t>COVID</w:t>
      </w:r>
      <w:r w:rsidR="00E6634C" w:rsidRPr="002961C2">
        <w:rPr>
          <w:sz w:val="24"/>
          <w:szCs w:val="24"/>
          <w:shd w:val="clear" w:color="auto" w:fill="FFFFFF"/>
        </w:rPr>
        <w:t>-19 patients</w:t>
      </w:r>
      <w:r w:rsidR="00F65690" w:rsidRPr="002961C2">
        <w:rPr>
          <w:sz w:val="24"/>
          <w:szCs w:val="24"/>
          <w:shd w:val="clear" w:color="auto" w:fill="FFFFFF"/>
        </w:rPr>
        <w:t>.</w:t>
      </w:r>
      <w:r w:rsidR="000042F5" w:rsidRPr="002961C2">
        <w:rPr>
          <w:sz w:val="24"/>
          <w:szCs w:val="24"/>
          <w:shd w:val="clear" w:color="auto" w:fill="FFFFFF"/>
          <w:vertAlign w:val="superscript"/>
        </w:rPr>
        <w:t>2</w:t>
      </w:r>
      <w:r w:rsidR="00EC0FBE" w:rsidRPr="002961C2">
        <w:rPr>
          <w:sz w:val="24"/>
          <w:szCs w:val="24"/>
          <w:shd w:val="clear" w:color="auto" w:fill="FFFFFF"/>
          <w:vertAlign w:val="superscript"/>
        </w:rPr>
        <w:t>5</w:t>
      </w:r>
      <w:r w:rsidR="00893B8F" w:rsidRPr="002961C2">
        <w:rPr>
          <w:sz w:val="24"/>
          <w:szCs w:val="24"/>
          <w:shd w:val="clear" w:color="auto" w:fill="FFFFFF"/>
          <w:vertAlign w:val="superscript"/>
        </w:rPr>
        <w:t xml:space="preserve"> </w:t>
      </w:r>
      <w:r w:rsidR="00266A66" w:rsidRPr="002961C2">
        <w:rPr>
          <w:sz w:val="24"/>
          <w:szCs w:val="24"/>
          <w:shd w:val="clear" w:color="auto" w:fill="FFFFFF"/>
        </w:rPr>
        <w:t>Our results are also in concordance with previous studies showing that shorter LTL increases the risk of adverse outcome in other infections.</w:t>
      </w:r>
      <w:r w:rsidR="00EC0FBE" w:rsidRPr="002961C2">
        <w:rPr>
          <w:sz w:val="24"/>
          <w:szCs w:val="24"/>
          <w:shd w:val="clear" w:color="auto" w:fill="FFFFFF"/>
          <w:vertAlign w:val="superscript"/>
        </w:rPr>
        <w:t xml:space="preserve"> 27,28</w:t>
      </w:r>
    </w:p>
    <w:p w14:paraId="5DF7E2F7" w14:textId="68A6D10D" w:rsidR="009110D7" w:rsidRPr="002961C2" w:rsidRDefault="005024CC" w:rsidP="009110D7">
      <w:pPr>
        <w:spacing w:line="480" w:lineRule="auto"/>
        <w:rPr>
          <w:sz w:val="24"/>
          <w:szCs w:val="24"/>
          <w:shd w:val="clear" w:color="auto" w:fill="FFFFFF"/>
        </w:rPr>
      </w:pPr>
      <w:r w:rsidRPr="002961C2">
        <w:rPr>
          <w:sz w:val="24"/>
          <w:szCs w:val="24"/>
          <w:shd w:val="clear" w:color="auto" w:fill="FFFFFF"/>
        </w:rPr>
        <w:t>Our study has</w:t>
      </w:r>
      <w:r w:rsidR="007248C9" w:rsidRPr="002961C2">
        <w:rPr>
          <w:sz w:val="24"/>
          <w:szCs w:val="24"/>
          <w:shd w:val="clear" w:color="auto" w:fill="FFFFFF"/>
        </w:rPr>
        <w:t xml:space="preserve"> </w:t>
      </w:r>
      <w:r w:rsidRPr="002961C2">
        <w:rPr>
          <w:sz w:val="24"/>
          <w:szCs w:val="24"/>
          <w:shd w:val="clear" w:color="auto" w:fill="FFFFFF"/>
        </w:rPr>
        <w:t xml:space="preserve">several </w:t>
      </w:r>
      <w:r w:rsidR="007248C9" w:rsidRPr="002961C2">
        <w:rPr>
          <w:sz w:val="24"/>
          <w:szCs w:val="24"/>
          <w:shd w:val="clear" w:color="auto" w:fill="FFFFFF"/>
        </w:rPr>
        <w:t>limitations. UKB is not representative of the general</w:t>
      </w:r>
      <w:r w:rsidR="00EF4488" w:rsidRPr="002961C2">
        <w:rPr>
          <w:sz w:val="24"/>
          <w:szCs w:val="24"/>
          <w:shd w:val="clear" w:color="auto" w:fill="FFFFFF"/>
        </w:rPr>
        <w:t xml:space="preserve"> UK population; onl</w:t>
      </w:r>
      <w:r w:rsidR="007248C9" w:rsidRPr="002961C2">
        <w:rPr>
          <w:sz w:val="24"/>
          <w:szCs w:val="24"/>
          <w:shd w:val="clear" w:color="auto" w:fill="FFFFFF"/>
        </w:rPr>
        <w:t>y 6% of those invited to participate did so</w:t>
      </w:r>
      <w:r w:rsidR="00F65690" w:rsidRPr="002961C2">
        <w:rPr>
          <w:sz w:val="24"/>
          <w:szCs w:val="24"/>
          <w:shd w:val="clear" w:color="auto" w:fill="FFFFFF"/>
        </w:rPr>
        <w:t>.</w:t>
      </w:r>
      <w:r w:rsidR="007248C9" w:rsidRPr="002961C2">
        <w:rPr>
          <w:sz w:val="24"/>
          <w:szCs w:val="24"/>
          <w:shd w:val="clear" w:color="auto" w:fill="FFFFFF"/>
          <w:vertAlign w:val="superscript"/>
        </w:rPr>
        <w:t>2</w:t>
      </w:r>
      <w:r w:rsidR="00EC0FBE" w:rsidRPr="002961C2">
        <w:rPr>
          <w:sz w:val="24"/>
          <w:szCs w:val="24"/>
          <w:shd w:val="clear" w:color="auto" w:fill="FFFFFF"/>
          <w:vertAlign w:val="superscript"/>
        </w:rPr>
        <w:t>9</w:t>
      </w:r>
      <w:r w:rsidR="007248C9" w:rsidRPr="002961C2">
        <w:rPr>
          <w:sz w:val="24"/>
          <w:szCs w:val="24"/>
          <w:shd w:val="clear" w:color="auto" w:fill="FFFFFF"/>
        </w:rPr>
        <w:t xml:space="preserve"> </w:t>
      </w:r>
      <w:r w:rsidR="00AE5C40" w:rsidRPr="002961C2">
        <w:rPr>
          <w:sz w:val="24"/>
          <w:szCs w:val="24"/>
          <w:shd w:val="clear" w:color="auto" w:fill="FFFFFF"/>
        </w:rPr>
        <w:t>The age distribution within UK Biobank includes participants aged 40-70 at baseline, who will be about 10-15 years older now, limiting the ability to assess association in individuals in other age groups</w:t>
      </w:r>
      <w:r w:rsidR="009F37EC" w:rsidRPr="002961C2">
        <w:rPr>
          <w:sz w:val="24"/>
          <w:szCs w:val="24"/>
          <w:shd w:val="clear" w:color="auto" w:fill="FFFFFF"/>
        </w:rPr>
        <w:t>.</w:t>
      </w:r>
      <w:r w:rsidR="00181142" w:rsidRPr="002961C2">
        <w:rPr>
          <w:sz w:val="24"/>
          <w:szCs w:val="24"/>
          <w:shd w:val="clear" w:color="auto" w:fill="FFFFFF"/>
        </w:rPr>
        <w:t xml:space="preserve"> We were unable to fully assess ethnicity due to small numbers, though over time this limitation can be resolved with increased case numbers.</w:t>
      </w:r>
      <w:r w:rsidR="009F37EC" w:rsidRPr="002961C2">
        <w:rPr>
          <w:sz w:val="24"/>
          <w:szCs w:val="24"/>
          <w:shd w:val="clear" w:color="auto" w:fill="FFFFFF"/>
        </w:rPr>
        <w:t xml:space="preserve"> </w:t>
      </w:r>
      <w:r w:rsidR="007248C9" w:rsidRPr="002961C2">
        <w:rPr>
          <w:rFonts w:cstheme="minorHAnsi"/>
          <w:sz w:val="24"/>
          <w:szCs w:val="24"/>
        </w:rPr>
        <w:t>Risk factor levels and mortality rates are lower than in the general population, although risk factor associations with mortality for a range of diseases are similar</w:t>
      </w:r>
      <w:r w:rsidR="00F65690" w:rsidRPr="002961C2">
        <w:rPr>
          <w:rFonts w:cstheme="minorHAnsi"/>
          <w:sz w:val="24"/>
          <w:szCs w:val="24"/>
        </w:rPr>
        <w:t>.</w:t>
      </w:r>
      <w:r w:rsidR="000A0096" w:rsidRPr="002961C2">
        <w:rPr>
          <w:rFonts w:cstheme="minorHAnsi"/>
          <w:sz w:val="24"/>
          <w:szCs w:val="24"/>
          <w:vertAlign w:val="superscript"/>
        </w:rPr>
        <w:t>3</w:t>
      </w:r>
      <w:r w:rsidR="00EC0FBE" w:rsidRPr="002961C2">
        <w:rPr>
          <w:rFonts w:cstheme="minorHAnsi"/>
          <w:sz w:val="24"/>
          <w:szCs w:val="24"/>
          <w:vertAlign w:val="superscript"/>
        </w:rPr>
        <w:t>0</w:t>
      </w:r>
      <w:r w:rsidR="00EF4488" w:rsidRPr="002961C2">
        <w:rPr>
          <w:sz w:val="24"/>
          <w:szCs w:val="24"/>
          <w:shd w:val="clear" w:color="auto" w:fill="FFFFFF"/>
        </w:rPr>
        <w:t xml:space="preserve"> </w:t>
      </w:r>
      <w:r w:rsidR="008667A8" w:rsidRPr="002961C2">
        <w:rPr>
          <w:sz w:val="24"/>
          <w:szCs w:val="24"/>
          <w:shd w:val="clear" w:color="auto" w:fill="FFFFFF"/>
        </w:rPr>
        <w:t>Hence</w:t>
      </w:r>
      <w:r w:rsidR="00EF4488" w:rsidRPr="002961C2">
        <w:rPr>
          <w:sz w:val="24"/>
          <w:szCs w:val="24"/>
          <w:shd w:val="clear" w:color="auto" w:fill="FFFFFF"/>
        </w:rPr>
        <w:t xml:space="preserve">, further studies </w:t>
      </w:r>
      <w:r w:rsidR="007C5B61" w:rsidRPr="002961C2">
        <w:rPr>
          <w:sz w:val="24"/>
          <w:szCs w:val="24"/>
          <w:shd w:val="clear" w:color="auto" w:fill="FFFFFF"/>
        </w:rPr>
        <w:t xml:space="preserve">are warranted </w:t>
      </w:r>
      <w:r w:rsidR="00EF4488" w:rsidRPr="002961C2">
        <w:rPr>
          <w:sz w:val="24"/>
          <w:szCs w:val="24"/>
          <w:shd w:val="clear" w:color="auto" w:fill="FFFFFF"/>
        </w:rPr>
        <w:t>in other populations</w:t>
      </w:r>
      <w:r w:rsidR="007248C9" w:rsidRPr="002961C2">
        <w:rPr>
          <w:sz w:val="24"/>
          <w:szCs w:val="24"/>
          <w:shd w:val="clear" w:color="auto" w:fill="FFFFFF"/>
        </w:rPr>
        <w:t xml:space="preserve">. </w:t>
      </w:r>
      <w:r w:rsidR="00835F83" w:rsidRPr="002961C2">
        <w:rPr>
          <w:sz w:val="24"/>
          <w:szCs w:val="24"/>
          <w:shd w:val="clear" w:color="auto" w:fill="FFFFFF"/>
        </w:rPr>
        <w:t>O</w:t>
      </w:r>
      <w:r w:rsidR="00C26141" w:rsidRPr="002961C2">
        <w:rPr>
          <w:sz w:val="24"/>
          <w:szCs w:val="24"/>
          <w:shd w:val="clear" w:color="auto" w:fill="FFFFFF"/>
        </w:rPr>
        <w:t xml:space="preserve">ur one-sample </w:t>
      </w:r>
      <w:r w:rsidR="00CE0CD3" w:rsidRPr="002961C2">
        <w:rPr>
          <w:sz w:val="24"/>
          <w:szCs w:val="24"/>
          <w:shd w:val="clear" w:color="auto" w:fill="FFFFFF"/>
        </w:rPr>
        <w:t>M</w:t>
      </w:r>
      <w:r w:rsidR="00BA2542" w:rsidRPr="002961C2">
        <w:rPr>
          <w:sz w:val="24"/>
          <w:szCs w:val="24"/>
          <w:shd w:val="clear" w:color="auto" w:fill="FFFFFF"/>
        </w:rPr>
        <w:t>endelian randomisation</w:t>
      </w:r>
      <w:r w:rsidR="00CE0CD3" w:rsidRPr="002961C2">
        <w:rPr>
          <w:sz w:val="24"/>
          <w:szCs w:val="24"/>
          <w:shd w:val="clear" w:color="auto" w:fill="FFFFFF"/>
        </w:rPr>
        <w:t xml:space="preserve"> analysis </w:t>
      </w:r>
      <w:r w:rsidR="00C26141" w:rsidRPr="002961C2">
        <w:rPr>
          <w:sz w:val="24"/>
          <w:szCs w:val="24"/>
          <w:shd w:val="clear" w:color="auto" w:fill="FFFFFF"/>
        </w:rPr>
        <w:t>in UKB had limited power to reliably estimate causal effects as fewer than one thousand participants had been hospitalised after a positive SARS-CoV-2 test</w:t>
      </w:r>
      <w:r w:rsidR="00BA5BC6" w:rsidRPr="002961C2">
        <w:rPr>
          <w:sz w:val="24"/>
          <w:szCs w:val="24"/>
          <w:shd w:val="clear" w:color="auto" w:fill="FFFFFF"/>
        </w:rPr>
        <w:t xml:space="preserve"> a</w:t>
      </w:r>
      <w:r w:rsidR="00573B47">
        <w:rPr>
          <w:sz w:val="24"/>
          <w:szCs w:val="24"/>
          <w:shd w:val="clear" w:color="auto" w:fill="FFFFFF"/>
        </w:rPr>
        <w:t>nd our genetic instrument of 130</w:t>
      </w:r>
      <w:r w:rsidR="00BA5BC6" w:rsidRPr="002961C2">
        <w:rPr>
          <w:sz w:val="24"/>
          <w:szCs w:val="24"/>
          <w:shd w:val="clear" w:color="auto" w:fill="FFFFFF"/>
        </w:rPr>
        <w:t xml:space="preserve"> variants, while using the most up to date information on LTL-associated variants, accounts for only ~4% of inter-individual variation in LTL</w:t>
      </w:r>
      <w:r w:rsidR="00F65690" w:rsidRPr="002961C2">
        <w:rPr>
          <w:sz w:val="24"/>
          <w:szCs w:val="24"/>
          <w:shd w:val="clear" w:color="auto" w:fill="FFFFFF"/>
        </w:rPr>
        <w:t>.</w:t>
      </w:r>
      <w:r w:rsidR="00EC0FBE" w:rsidRPr="002961C2">
        <w:rPr>
          <w:sz w:val="24"/>
          <w:szCs w:val="24"/>
          <w:shd w:val="clear" w:color="auto" w:fill="FFFFFF"/>
          <w:vertAlign w:val="superscript"/>
        </w:rPr>
        <w:t>15</w:t>
      </w:r>
      <w:r w:rsidR="00C26141" w:rsidRPr="002961C2">
        <w:rPr>
          <w:sz w:val="24"/>
          <w:szCs w:val="24"/>
          <w:shd w:val="clear" w:color="auto" w:fill="FFFFFF"/>
        </w:rPr>
        <w:t xml:space="preserve"> </w:t>
      </w:r>
      <w:r w:rsidR="00B16483" w:rsidRPr="002961C2">
        <w:rPr>
          <w:sz w:val="24"/>
          <w:szCs w:val="24"/>
          <w:shd w:val="clear" w:color="auto" w:fill="FFFFFF"/>
        </w:rPr>
        <w:t xml:space="preserve">While </w:t>
      </w:r>
      <w:r w:rsidR="000B6FE1" w:rsidRPr="002961C2">
        <w:rPr>
          <w:sz w:val="24"/>
          <w:szCs w:val="24"/>
          <w:shd w:val="clear" w:color="auto" w:fill="FFFFFF"/>
        </w:rPr>
        <w:t xml:space="preserve">there are </w:t>
      </w:r>
      <w:r w:rsidR="00B16483" w:rsidRPr="002961C2">
        <w:rPr>
          <w:sz w:val="24"/>
          <w:szCs w:val="24"/>
          <w:shd w:val="clear" w:color="auto" w:fill="FFFFFF"/>
        </w:rPr>
        <w:t>data from large genetic studies of COVID-19</w:t>
      </w:r>
      <w:r w:rsidR="00EC0FBE" w:rsidRPr="002961C2">
        <w:rPr>
          <w:sz w:val="24"/>
          <w:szCs w:val="24"/>
          <w:shd w:val="clear" w:color="auto" w:fill="FFFFFF"/>
          <w:vertAlign w:val="superscript"/>
        </w:rPr>
        <w:t>31</w:t>
      </w:r>
      <w:r w:rsidR="00B16483" w:rsidRPr="002961C2">
        <w:rPr>
          <w:sz w:val="24"/>
          <w:szCs w:val="24"/>
          <w:shd w:val="clear" w:color="auto" w:fill="FFFFFF"/>
        </w:rPr>
        <w:t>,</w:t>
      </w:r>
      <w:r w:rsidR="00835F83" w:rsidRPr="002961C2">
        <w:rPr>
          <w:sz w:val="24"/>
          <w:szCs w:val="24"/>
          <w:shd w:val="clear" w:color="auto" w:fill="FFFFFF"/>
        </w:rPr>
        <w:t xml:space="preserve"> </w:t>
      </w:r>
      <w:r w:rsidR="00B16483" w:rsidRPr="002961C2">
        <w:rPr>
          <w:sz w:val="24"/>
          <w:szCs w:val="24"/>
          <w:shd w:val="clear" w:color="auto" w:fill="FFFFFF"/>
        </w:rPr>
        <w:t>the</w:t>
      </w:r>
      <w:r w:rsidR="00835F83" w:rsidRPr="002961C2">
        <w:rPr>
          <w:sz w:val="24"/>
          <w:szCs w:val="24"/>
          <w:shd w:val="clear" w:color="auto" w:fill="FFFFFF"/>
        </w:rPr>
        <w:t xml:space="preserve">y could not be used </w:t>
      </w:r>
      <w:r w:rsidR="000B6FE1" w:rsidRPr="002961C2">
        <w:rPr>
          <w:sz w:val="24"/>
          <w:szCs w:val="24"/>
          <w:shd w:val="clear" w:color="auto" w:fill="FFFFFF"/>
        </w:rPr>
        <w:t>in our analysis</w:t>
      </w:r>
      <w:r w:rsidR="00835F83" w:rsidRPr="002961C2">
        <w:rPr>
          <w:sz w:val="24"/>
          <w:szCs w:val="24"/>
          <w:shd w:val="clear" w:color="auto" w:fill="FFFFFF"/>
        </w:rPr>
        <w:t xml:space="preserve"> because the outcome definitions differed substantially</w:t>
      </w:r>
      <w:r w:rsidR="000B6FE1" w:rsidRPr="002961C2">
        <w:rPr>
          <w:sz w:val="24"/>
          <w:szCs w:val="24"/>
          <w:shd w:val="clear" w:color="auto" w:fill="FFFFFF"/>
        </w:rPr>
        <w:t xml:space="preserve"> from those</w:t>
      </w:r>
      <w:r w:rsidR="00476F87" w:rsidRPr="002961C2">
        <w:rPr>
          <w:sz w:val="24"/>
          <w:szCs w:val="24"/>
          <w:shd w:val="clear" w:color="auto" w:fill="FFFFFF"/>
        </w:rPr>
        <w:t xml:space="preserve"> we used</w:t>
      </w:r>
      <w:r w:rsidR="00BA7371" w:rsidRPr="002961C2">
        <w:rPr>
          <w:sz w:val="24"/>
          <w:szCs w:val="24"/>
          <w:shd w:val="clear" w:color="auto" w:fill="FFFFFF"/>
        </w:rPr>
        <w:t>,</w:t>
      </w:r>
      <w:r w:rsidR="00AF44E8" w:rsidRPr="002961C2">
        <w:rPr>
          <w:sz w:val="24"/>
          <w:szCs w:val="24"/>
          <w:shd w:val="clear" w:color="auto" w:fill="FFFFFF"/>
        </w:rPr>
        <w:t xml:space="preserve"> and </w:t>
      </w:r>
      <w:r w:rsidR="00BA7371" w:rsidRPr="002961C2">
        <w:rPr>
          <w:sz w:val="24"/>
          <w:szCs w:val="24"/>
          <w:shd w:val="clear" w:color="auto" w:fill="FFFFFF"/>
        </w:rPr>
        <w:t xml:space="preserve">because of </w:t>
      </w:r>
      <w:r w:rsidR="00AF44E8" w:rsidRPr="002961C2">
        <w:rPr>
          <w:sz w:val="24"/>
          <w:szCs w:val="24"/>
          <w:shd w:val="clear" w:color="auto" w:fill="FFFFFF"/>
        </w:rPr>
        <w:t xml:space="preserve">their </w:t>
      </w:r>
      <w:r w:rsidR="00DE1E32" w:rsidRPr="002961C2">
        <w:rPr>
          <w:sz w:val="24"/>
          <w:szCs w:val="24"/>
          <w:shd w:val="clear" w:color="auto" w:fill="FFFFFF"/>
        </w:rPr>
        <w:t>inclusion of within hospital testing that is potentially a collider with LTL</w:t>
      </w:r>
      <w:r w:rsidR="00AF44E8" w:rsidRPr="002961C2">
        <w:rPr>
          <w:sz w:val="24"/>
          <w:szCs w:val="24"/>
          <w:shd w:val="clear" w:color="auto" w:fill="FFFFFF"/>
        </w:rPr>
        <w:t xml:space="preserve"> and </w:t>
      </w:r>
      <w:r w:rsidR="006D63CB" w:rsidRPr="002961C2">
        <w:rPr>
          <w:sz w:val="24"/>
          <w:szCs w:val="24"/>
          <w:shd w:val="clear" w:color="auto" w:fill="FFFFFF"/>
        </w:rPr>
        <w:t xml:space="preserve">COVID-19 </w:t>
      </w:r>
      <w:r w:rsidR="00AF44E8" w:rsidRPr="002961C2">
        <w:rPr>
          <w:sz w:val="24"/>
          <w:szCs w:val="24"/>
          <w:shd w:val="clear" w:color="auto" w:fill="FFFFFF"/>
        </w:rPr>
        <w:t>outcome</w:t>
      </w:r>
      <w:r w:rsidR="006D63CB" w:rsidRPr="002961C2">
        <w:rPr>
          <w:sz w:val="24"/>
          <w:szCs w:val="24"/>
          <w:shd w:val="clear" w:color="auto" w:fill="FFFFFF"/>
        </w:rPr>
        <w:t>s</w:t>
      </w:r>
      <w:r w:rsidR="00B16483" w:rsidRPr="002961C2">
        <w:rPr>
          <w:sz w:val="24"/>
          <w:szCs w:val="24"/>
          <w:shd w:val="clear" w:color="auto" w:fill="FFFFFF"/>
        </w:rPr>
        <w:t>. L</w:t>
      </w:r>
      <w:r w:rsidR="00BA2542" w:rsidRPr="002961C2">
        <w:rPr>
          <w:sz w:val="24"/>
          <w:szCs w:val="24"/>
          <w:shd w:val="clear" w:color="auto" w:fill="FFFFFF"/>
        </w:rPr>
        <w:t>arger</w:t>
      </w:r>
      <w:r w:rsidR="008667A8" w:rsidRPr="002961C2">
        <w:rPr>
          <w:sz w:val="24"/>
          <w:szCs w:val="24"/>
          <w:shd w:val="clear" w:color="auto" w:fill="FFFFFF"/>
        </w:rPr>
        <w:t xml:space="preserve"> sample sizes </w:t>
      </w:r>
      <w:r w:rsidR="00B16483" w:rsidRPr="002961C2">
        <w:rPr>
          <w:sz w:val="24"/>
          <w:szCs w:val="24"/>
          <w:shd w:val="clear" w:color="auto" w:fill="FFFFFF"/>
        </w:rPr>
        <w:t>with</w:t>
      </w:r>
      <w:r w:rsidR="008667A8" w:rsidRPr="002961C2">
        <w:rPr>
          <w:sz w:val="24"/>
          <w:szCs w:val="24"/>
          <w:shd w:val="clear" w:color="auto" w:fill="FFFFFF"/>
        </w:rPr>
        <w:t xml:space="preserve"> </w:t>
      </w:r>
      <w:r w:rsidR="00B16483" w:rsidRPr="002961C2">
        <w:rPr>
          <w:sz w:val="24"/>
          <w:szCs w:val="24"/>
          <w:shd w:val="clear" w:color="auto" w:fill="FFFFFF"/>
        </w:rPr>
        <w:t>comparable</w:t>
      </w:r>
      <w:r w:rsidR="00835F83" w:rsidRPr="002961C2">
        <w:rPr>
          <w:sz w:val="24"/>
          <w:szCs w:val="24"/>
          <w:shd w:val="clear" w:color="auto" w:fill="FFFFFF"/>
        </w:rPr>
        <w:t xml:space="preserve"> disease</w:t>
      </w:r>
      <w:r w:rsidR="00B16483" w:rsidRPr="002961C2">
        <w:rPr>
          <w:sz w:val="24"/>
          <w:szCs w:val="24"/>
          <w:shd w:val="clear" w:color="auto" w:fill="FFFFFF"/>
        </w:rPr>
        <w:t xml:space="preserve"> phenotypes </w:t>
      </w:r>
      <w:r w:rsidR="00835F83" w:rsidRPr="002961C2">
        <w:rPr>
          <w:sz w:val="24"/>
          <w:szCs w:val="24"/>
          <w:shd w:val="clear" w:color="auto" w:fill="FFFFFF"/>
        </w:rPr>
        <w:t>should, therefore,</w:t>
      </w:r>
      <w:r w:rsidR="00B16483" w:rsidRPr="002961C2">
        <w:rPr>
          <w:sz w:val="24"/>
          <w:szCs w:val="24"/>
          <w:shd w:val="clear" w:color="auto" w:fill="FFFFFF"/>
        </w:rPr>
        <w:t xml:space="preserve"> </w:t>
      </w:r>
      <w:r w:rsidR="008667A8" w:rsidRPr="002961C2">
        <w:rPr>
          <w:sz w:val="24"/>
          <w:szCs w:val="24"/>
          <w:shd w:val="clear" w:color="auto" w:fill="FFFFFF"/>
        </w:rPr>
        <w:t xml:space="preserve">enable </w:t>
      </w:r>
      <w:r w:rsidR="00BA2542" w:rsidRPr="002961C2">
        <w:rPr>
          <w:sz w:val="24"/>
          <w:szCs w:val="24"/>
          <w:shd w:val="clear" w:color="auto" w:fill="FFFFFF"/>
        </w:rPr>
        <w:t>more precise</w:t>
      </w:r>
      <w:r w:rsidR="008667A8" w:rsidRPr="002961C2">
        <w:rPr>
          <w:sz w:val="24"/>
          <w:szCs w:val="24"/>
          <w:shd w:val="clear" w:color="auto" w:fill="FFFFFF"/>
        </w:rPr>
        <w:t xml:space="preserve"> evaluation of a potential causal association between </w:t>
      </w:r>
      <w:r w:rsidR="009110D7" w:rsidRPr="002961C2">
        <w:rPr>
          <w:sz w:val="24"/>
          <w:szCs w:val="24"/>
          <w:shd w:val="clear" w:color="auto" w:fill="FFFFFF"/>
        </w:rPr>
        <w:t xml:space="preserve">shorter LTL </w:t>
      </w:r>
      <w:r w:rsidR="008667A8" w:rsidRPr="002961C2">
        <w:rPr>
          <w:sz w:val="24"/>
          <w:szCs w:val="24"/>
          <w:shd w:val="clear" w:color="auto" w:fill="FFFFFF"/>
        </w:rPr>
        <w:t>and adverse COVID-19 outcomes</w:t>
      </w:r>
      <w:r w:rsidR="009110D7" w:rsidRPr="002961C2">
        <w:rPr>
          <w:sz w:val="24"/>
          <w:szCs w:val="24"/>
          <w:shd w:val="clear" w:color="auto" w:fill="FFFFFF"/>
        </w:rPr>
        <w:t xml:space="preserve">. </w:t>
      </w:r>
    </w:p>
    <w:p w14:paraId="09CB12FF" w14:textId="04AA9DDD" w:rsidR="0076499A" w:rsidRPr="002961C2" w:rsidRDefault="00673488" w:rsidP="009D76FB">
      <w:pPr>
        <w:spacing w:line="480" w:lineRule="auto"/>
        <w:rPr>
          <w:rFonts w:cstheme="minorHAnsi"/>
          <w:sz w:val="24"/>
          <w:szCs w:val="24"/>
        </w:rPr>
      </w:pPr>
      <w:r w:rsidRPr="002961C2">
        <w:rPr>
          <w:sz w:val="24"/>
          <w:szCs w:val="24"/>
          <w:shd w:val="clear" w:color="auto" w:fill="FFFFFF"/>
        </w:rPr>
        <w:t xml:space="preserve">In conclusion, in the largest study to date, we </w:t>
      </w:r>
      <w:r w:rsidR="005024CC" w:rsidRPr="002961C2">
        <w:rPr>
          <w:sz w:val="24"/>
          <w:szCs w:val="24"/>
          <w:shd w:val="clear" w:color="auto" w:fill="FFFFFF"/>
        </w:rPr>
        <w:t>provide</w:t>
      </w:r>
      <w:r w:rsidRPr="002961C2">
        <w:rPr>
          <w:sz w:val="24"/>
          <w:szCs w:val="24"/>
          <w:shd w:val="clear" w:color="auto" w:fill="FFFFFF"/>
        </w:rPr>
        <w:t xml:space="preserve"> evidence that shorter LTL</w:t>
      </w:r>
      <w:r w:rsidR="00EC0FBE" w:rsidRPr="002961C2">
        <w:rPr>
          <w:sz w:val="24"/>
          <w:szCs w:val="24"/>
          <w:shd w:val="clear" w:color="auto" w:fill="FFFFFF"/>
        </w:rPr>
        <w:t xml:space="preserve"> </w:t>
      </w:r>
      <w:r w:rsidRPr="002961C2">
        <w:rPr>
          <w:sz w:val="24"/>
          <w:szCs w:val="24"/>
          <w:shd w:val="clear" w:color="auto" w:fill="FFFFFF"/>
        </w:rPr>
        <w:t xml:space="preserve">is </w:t>
      </w:r>
      <w:r w:rsidR="00D028E9" w:rsidRPr="002961C2">
        <w:rPr>
          <w:sz w:val="24"/>
          <w:szCs w:val="24"/>
          <w:shd w:val="clear" w:color="auto" w:fill="FFFFFF"/>
        </w:rPr>
        <w:t xml:space="preserve">associated with higher risk of adverse COVID-19 outcomes, independent of several major risk factors for COVID-19. </w:t>
      </w:r>
    </w:p>
    <w:p w14:paraId="4EA47E61" w14:textId="77777777" w:rsidR="00857DC7" w:rsidRPr="002961C2" w:rsidRDefault="00857DC7" w:rsidP="009D76FB">
      <w:pPr>
        <w:spacing w:line="480" w:lineRule="auto"/>
        <w:rPr>
          <w:sz w:val="24"/>
          <w:szCs w:val="24"/>
          <w:shd w:val="clear" w:color="auto" w:fill="FFFFFF"/>
        </w:rPr>
      </w:pPr>
    </w:p>
    <w:p w14:paraId="17911C7E" w14:textId="77777777" w:rsidR="00D50EC1" w:rsidRPr="002961C2" w:rsidRDefault="00D50EC1" w:rsidP="009D76FB">
      <w:pPr>
        <w:spacing w:line="480" w:lineRule="auto"/>
        <w:rPr>
          <w:sz w:val="24"/>
          <w:szCs w:val="24"/>
          <w:shd w:val="clear" w:color="auto" w:fill="FFFFFF"/>
        </w:rPr>
      </w:pPr>
      <w:r w:rsidRPr="002961C2">
        <w:rPr>
          <w:sz w:val="24"/>
          <w:szCs w:val="24"/>
          <w:shd w:val="clear" w:color="auto" w:fill="FFFFFF"/>
        </w:rPr>
        <w:br w:type="page"/>
      </w:r>
    </w:p>
    <w:p w14:paraId="34FECBAA" w14:textId="77777777" w:rsidR="000E3928" w:rsidRPr="002961C2" w:rsidRDefault="000E3928" w:rsidP="00AF1D41">
      <w:pPr>
        <w:spacing w:line="360" w:lineRule="auto"/>
        <w:rPr>
          <w:rFonts w:cstheme="minorHAnsi"/>
          <w:b/>
          <w:sz w:val="24"/>
          <w:szCs w:val="24"/>
          <w:shd w:val="clear" w:color="auto" w:fill="FFFFFF"/>
        </w:rPr>
      </w:pPr>
      <w:r w:rsidRPr="002961C2">
        <w:rPr>
          <w:rFonts w:cstheme="minorHAnsi"/>
          <w:b/>
          <w:sz w:val="24"/>
          <w:szCs w:val="24"/>
          <w:shd w:val="clear" w:color="auto" w:fill="FFFFFF"/>
        </w:rPr>
        <w:t>References</w:t>
      </w:r>
    </w:p>
    <w:p w14:paraId="6CCE78F3" w14:textId="77777777" w:rsidR="006473D6" w:rsidRPr="002961C2" w:rsidRDefault="006473D6" w:rsidP="006473D6">
      <w:pPr>
        <w:shd w:val="clear" w:color="auto" w:fill="FFFFFF"/>
        <w:spacing w:after="0" w:line="480" w:lineRule="auto"/>
        <w:textAlignment w:val="baseline"/>
        <w:rPr>
          <w:rFonts w:eastAsia="Times New Roman" w:cstheme="minorHAnsi"/>
          <w:sz w:val="24"/>
          <w:szCs w:val="24"/>
          <w:u w:val="single"/>
          <w:bdr w:val="none" w:sz="0" w:space="0" w:color="auto" w:frame="1"/>
          <w:lang w:eastAsia="en-GB"/>
        </w:rPr>
      </w:pPr>
      <w:r w:rsidRPr="002961C2">
        <w:rPr>
          <w:rFonts w:cstheme="minorHAnsi"/>
          <w:sz w:val="24"/>
          <w:szCs w:val="24"/>
        </w:rPr>
        <w:t xml:space="preserve">1. </w:t>
      </w:r>
      <w:r w:rsidRPr="002961C2">
        <w:rPr>
          <w:rFonts w:eastAsia="Times New Roman" w:cstheme="minorHAnsi"/>
          <w:iCs/>
          <w:sz w:val="24"/>
          <w:szCs w:val="24"/>
          <w:bdr w:val="none" w:sz="0" w:space="0" w:color="auto" w:frame="1"/>
          <w:lang w:eastAsia="en-GB"/>
        </w:rPr>
        <w:t xml:space="preserve">Petrilli CM, Jones SA, Yang J, et al. </w:t>
      </w:r>
      <w:r w:rsidRPr="002961C2">
        <w:rPr>
          <w:rFonts w:eastAsia="Times New Roman" w:cstheme="minorHAnsi"/>
          <w:bCs/>
          <w:kern w:val="36"/>
          <w:sz w:val="24"/>
          <w:szCs w:val="24"/>
          <w:lang w:eastAsia="en-GB"/>
        </w:rPr>
        <w:t>Factors associated with hospital admission and critical illness among 5279 people with coronavirus disease 2019 in New York City: prospective cohort study</w:t>
      </w:r>
      <w:r w:rsidRPr="002961C2">
        <w:rPr>
          <w:rFonts w:eastAsia="Times New Roman" w:cstheme="minorHAnsi"/>
          <w:iCs/>
          <w:sz w:val="24"/>
          <w:szCs w:val="24"/>
          <w:lang w:eastAsia="en-GB"/>
        </w:rPr>
        <w:t xml:space="preserve">. </w:t>
      </w:r>
      <w:r w:rsidRPr="002961C2">
        <w:rPr>
          <w:rFonts w:eastAsia="Times New Roman" w:cstheme="minorHAnsi"/>
          <w:i/>
          <w:iCs/>
          <w:sz w:val="24"/>
          <w:szCs w:val="24"/>
          <w:bdr w:val="none" w:sz="0" w:space="0" w:color="auto" w:frame="1"/>
          <w:shd w:val="clear" w:color="auto" w:fill="FFFFFF"/>
          <w:lang w:eastAsia="en-GB"/>
        </w:rPr>
        <w:t>BMJ</w:t>
      </w:r>
      <w:r w:rsidRPr="002961C2">
        <w:rPr>
          <w:rFonts w:eastAsia="Times New Roman" w:cstheme="minorHAnsi"/>
          <w:sz w:val="24"/>
          <w:szCs w:val="24"/>
          <w:shd w:val="clear" w:color="auto" w:fill="FFFFFF"/>
          <w:lang w:eastAsia="en-GB"/>
        </w:rPr>
        <w:t> </w:t>
      </w:r>
      <w:r w:rsidRPr="002961C2">
        <w:rPr>
          <w:rFonts w:eastAsia="Times New Roman" w:cstheme="minorHAnsi"/>
          <w:sz w:val="24"/>
          <w:szCs w:val="24"/>
          <w:bdr w:val="none" w:sz="0" w:space="0" w:color="auto" w:frame="1"/>
          <w:shd w:val="clear" w:color="auto" w:fill="FFFFFF"/>
          <w:lang w:eastAsia="en-GB"/>
        </w:rPr>
        <w:t>2020</w:t>
      </w:r>
      <w:r w:rsidRPr="002961C2">
        <w:rPr>
          <w:rFonts w:eastAsia="Times New Roman" w:cstheme="minorHAnsi"/>
          <w:sz w:val="24"/>
          <w:szCs w:val="24"/>
          <w:shd w:val="clear" w:color="auto" w:fill="FFFFFF"/>
          <w:lang w:eastAsia="en-GB"/>
        </w:rPr>
        <w:t>; </w:t>
      </w:r>
      <w:r w:rsidRPr="002961C2">
        <w:rPr>
          <w:rFonts w:eastAsia="Times New Roman" w:cstheme="minorHAnsi"/>
          <w:b/>
          <w:sz w:val="24"/>
          <w:szCs w:val="24"/>
          <w:bdr w:val="none" w:sz="0" w:space="0" w:color="auto" w:frame="1"/>
          <w:shd w:val="clear" w:color="auto" w:fill="FFFFFF"/>
          <w:lang w:eastAsia="en-GB"/>
        </w:rPr>
        <w:t>369</w:t>
      </w:r>
      <w:r w:rsidRPr="002961C2">
        <w:rPr>
          <w:rFonts w:eastAsia="Times New Roman" w:cstheme="minorHAnsi"/>
          <w:sz w:val="24"/>
          <w:szCs w:val="24"/>
          <w:bdr w:val="none" w:sz="0" w:space="0" w:color="auto" w:frame="1"/>
          <w:shd w:val="clear" w:color="auto" w:fill="FFFFFF"/>
          <w:lang w:eastAsia="en-GB"/>
        </w:rPr>
        <w:t>: m1966</w:t>
      </w:r>
      <w:r w:rsidRPr="002961C2">
        <w:rPr>
          <w:rFonts w:eastAsia="Times New Roman" w:cstheme="minorHAnsi"/>
          <w:sz w:val="24"/>
          <w:szCs w:val="24"/>
          <w:shd w:val="clear" w:color="auto" w:fill="FFFFFF"/>
          <w:lang w:eastAsia="en-GB"/>
        </w:rPr>
        <w:t> </w:t>
      </w:r>
      <w:r w:rsidRPr="002961C2">
        <w:rPr>
          <w:rFonts w:eastAsia="Times New Roman" w:cstheme="minorHAnsi"/>
          <w:sz w:val="24"/>
          <w:szCs w:val="24"/>
          <w:u w:val="single"/>
          <w:bdr w:val="none" w:sz="0" w:space="0" w:color="auto" w:frame="1"/>
          <w:lang w:eastAsia="en-GB"/>
        </w:rPr>
        <w:t xml:space="preserve"> </w:t>
      </w:r>
    </w:p>
    <w:p w14:paraId="4802F212" w14:textId="77777777" w:rsidR="006473D6" w:rsidRPr="002961C2" w:rsidRDefault="006473D6" w:rsidP="006473D6">
      <w:pPr>
        <w:shd w:val="clear" w:color="auto" w:fill="FFFFFF"/>
        <w:spacing w:after="0" w:line="480" w:lineRule="auto"/>
        <w:textAlignment w:val="baseline"/>
        <w:rPr>
          <w:rFonts w:cstheme="minorHAnsi"/>
          <w:sz w:val="24"/>
          <w:szCs w:val="24"/>
          <w:shd w:val="clear" w:color="auto" w:fill="FFFFFF"/>
          <w:lang w:val="it-IT"/>
        </w:rPr>
      </w:pPr>
      <w:r w:rsidRPr="002961C2">
        <w:rPr>
          <w:rFonts w:cstheme="minorHAnsi"/>
          <w:sz w:val="24"/>
          <w:szCs w:val="24"/>
          <w:shd w:val="clear" w:color="auto" w:fill="FFFFFF"/>
        </w:rPr>
        <w:t>2. Williamson EJ, Walker AJ, Bhaskaran K, </w:t>
      </w:r>
      <w:r w:rsidRPr="002961C2">
        <w:rPr>
          <w:rFonts w:cstheme="minorHAnsi"/>
          <w:i/>
          <w:iCs/>
          <w:sz w:val="24"/>
          <w:szCs w:val="24"/>
          <w:shd w:val="clear" w:color="auto" w:fill="FFFFFF"/>
        </w:rPr>
        <w:t>et al.</w:t>
      </w:r>
      <w:r w:rsidRPr="002961C2">
        <w:rPr>
          <w:rFonts w:cstheme="minorHAnsi"/>
          <w:sz w:val="24"/>
          <w:szCs w:val="24"/>
          <w:shd w:val="clear" w:color="auto" w:fill="FFFFFF"/>
        </w:rPr>
        <w:t> Factors associated with COVID-19-related death using OpenSAFELY. </w:t>
      </w:r>
      <w:r w:rsidRPr="002961C2">
        <w:rPr>
          <w:rFonts w:cstheme="minorHAnsi"/>
          <w:i/>
          <w:sz w:val="24"/>
          <w:szCs w:val="24"/>
          <w:shd w:val="clear" w:color="auto" w:fill="FFFFFF"/>
          <w:lang w:val="it-IT"/>
        </w:rPr>
        <w:t>Nature</w:t>
      </w:r>
      <w:r w:rsidRPr="002961C2">
        <w:rPr>
          <w:rFonts w:cstheme="minorHAnsi"/>
          <w:sz w:val="24"/>
          <w:szCs w:val="24"/>
          <w:shd w:val="clear" w:color="auto" w:fill="FFFFFF"/>
          <w:lang w:val="it-IT"/>
        </w:rPr>
        <w:t xml:space="preserve"> 2020; </w:t>
      </w:r>
      <w:r w:rsidRPr="002961C2">
        <w:rPr>
          <w:rFonts w:cstheme="minorHAnsi"/>
          <w:b/>
          <w:sz w:val="24"/>
          <w:szCs w:val="24"/>
          <w:shd w:val="clear" w:color="auto" w:fill="FFFFFF"/>
          <w:lang w:val="it-IT"/>
        </w:rPr>
        <w:t>584</w:t>
      </w:r>
      <w:r w:rsidRPr="002961C2">
        <w:rPr>
          <w:rFonts w:cstheme="minorHAnsi"/>
          <w:sz w:val="24"/>
          <w:szCs w:val="24"/>
          <w:shd w:val="clear" w:color="auto" w:fill="FFFFFF"/>
          <w:lang w:val="it-IT"/>
        </w:rPr>
        <w:t>:</w:t>
      </w:r>
      <w:r w:rsidRPr="002961C2">
        <w:rPr>
          <w:rFonts w:cstheme="minorHAnsi"/>
          <w:b/>
          <w:sz w:val="24"/>
          <w:szCs w:val="24"/>
          <w:shd w:val="clear" w:color="auto" w:fill="FFFFFF"/>
          <w:lang w:val="it-IT"/>
        </w:rPr>
        <w:t> </w:t>
      </w:r>
      <w:r w:rsidRPr="002961C2">
        <w:rPr>
          <w:rFonts w:cstheme="minorHAnsi"/>
          <w:sz w:val="24"/>
          <w:szCs w:val="24"/>
          <w:shd w:val="clear" w:color="auto" w:fill="FFFFFF"/>
          <w:lang w:val="it-IT"/>
        </w:rPr>
        <w:t xml:space="preserve">430–436. </w:t>
      </w:r>
    </w:p>
    <w:p w14:paraId="340D76AE" w14:textId="77777777" w:rsidR="006473D6" w:rsidRPr="002961C2" w:rsidRDefault="006473D6" w:rsidP="006473D6">
      <w:pPr>
        <w:spacing w:after="0" w:line="480" w:lineRule="auto"/>
        <w:rPr>
          <w:rFonts w:eastAsia="Times New Roman" w:cstheme="minorHAnsi"/>
          <w:iCs/>
          <w:sz w:val="24"/>
          <w:szCs w:val="24"/>
          <w:bdr w:val="none" w:sz="0" w:space="0" w:color="auto" w:frame="1"/>
          <w:lang w:eastAsia="en-GB"/>
        </w:rPr>
      </w:pPr>
      <w:r w:rsidRPr="002961C2">
        <w:rPr>
          <w:rFonts w:cstheme="minorHAnsi"/>
          <w:sz w:val="24"/>
          <w:szCs w:val="24"/>
          <w:bdr w:val="none" w:sz="0" w:space="0" w:color="auto" w:frame="1"/>
          <w:lang w:val="it-IT"/>
        </w:rPr>
        <w:t xml:space="preserve">3. De Biasi S, Meschiari M, Gibellini L, et al. </w:t>
      </w:r>
      <w:r w:rsidRPr="002961C2">
        <w:rPr>
          <w:rFonts w:eastAsia="Times New Roman" w:cstheme="minorHAnsi"/>
          <w:iCs/>
          <w:sz w:val="24"/>
          <w:szCs w:val="24"/>
          <w:bdr w:val="none" w:sz="0" w:space="0" w:color="auto" w:frame="1"/>
          <w:lang w:eastAsia="en-GB"/>
        </w:rPr>
        <w:t xml:space="preserve">Marked T cell activation, senescence, exhaustion and skewing towards TH17 in patients with COVID-19 pneumonia. </w:t>
      </w:r>
      <w:r w:rsidRPr="002961C2">
        <w:rPr>
          <w:rFonts w:eastAsia="Times New Roman" w:cstheme="minorHAnsi"/>
          <w:i/>
          <w:iCs/>
          <w:sz w:val="24"/>
          <w:szCs w:val="24"/>
          <w:bdr w:val="none" w:sz="0" w:space="0" w:color="auto" w:frame="1"/>
          <w:lang w:eastAsia="en-GB"/>
        </w:rPr>
        <w:t>Nature Comms</w:t>
      </w:r>
      <w:r w:rsidRPr="002961C2">
        <w:rPr>
          <w:rFonts w:eastAsia="Times New Roman" w:cstheme="minorHAnsi"/>
          <w:iCs/>
          <w:sz w:val="24"/>
          <w:szCs w:val="24"/>
          <w:bdr w:val="none" w:sz="0" w:space="0" w:color="auto" w:frame="1"/>
          <w:lang w:eastAsia="en-GB"/>
        </w:rPr>
        <w:t>.</w:t>
      </w:r>
      <w:r w:rsidRPr="002961C2">
        <w:rPr>
          <w:rFonts w:cstheme="minorHAnsi"/>
          <w:sz w:val="24"/>
          <w:szCs w:val="24"/>
        </w:rPr>
        <w:t xml:space="preserve"> 2020; </w:t>
      </w:r>
      <w:r w:rsidRPr="002961C2">
        <w:rPr>
          <w:rFonts w:eastAsia="Times New Roman" w:cstheme="minorHAnsi"/>
          <w:b/>
          <w:iCs/>
          <w:sz w:val="24"/>
          <w:szCs w:val="24"/>
          <w:bdr w:val="none" w:sz="0" w:space="0" w:color="auto" w:frame="1"/>
          <w:lang w:eastAsia="en-GB"/>
        </w:rPr>
        <w:t>11</w:t>
      </w:r>
      <w:r w:rsidRPr="002961C2">
        <w:rPr>
          <w:rFonts w:eastAsia="Times New Roman" w:cstheme="minorHAnsi"/>
          <w:iCs/>
          <w:sz w:val="24"/>
          <w:szCs w:val="24"/>
          <w:bdr w:val="none" w:sz="0" w:space="0" w:color="auto" w:frame="1"/>
          <w:lang w:eastAsia="en-GB"/>
        </w:rPr>
        <w:t>: 3434.</w:t>
      </w:r>
    </w:p>
    <w:p w14:paraId="038EB866" w14:textId="77777777" w:rsidR="006473D6" w:rsidRPr="002961C2" w:rsidRDefault="006473D6" w:rsidP="006473D6">
      <w:pPr>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 xml:space="preserve">4. Akbar AN &amp; Gilroy DW. Aging immunity may exacerbate COVID-19. Science 2020; </w:t>
      </w:r>
      <w:r w:rsidRPr="002961C2">
        <w:rPr>
          <w:rFonts w:eastAsia="Times New Roman" w:cstheme="minorHAnsi"/>
          <w:b/>
          <w:iCs/>
          <w:sz w:val="24"/>
          <w:szCs w:val="24"/>
          <w:bdr w:val="none" w:sz="0" w:space="0" w:color="auto" w:frame="1"/>
          <w:lang w:eastAsia="en-GB"/>
        </w:rPr>
        <w:t>369</w:t>
      </w:r>
      <w:r w:rsidRPr="002961C2">
        <w:rPr>
          <w:rFonts w:eastAsia="Times New Roman" w:cstheme="minorHAnsi"/>
          <w:iCs/>
          <w:sz w:val="24"/>
          <w:szCs w:val="24"/>
          <w:bdr w:val="none" w:sz="0" w:space="0" w:color="auto" w:frame="1"/>
          <w:lang w:eastAsia="en-GB"/>
        </w:rPr>
        <w:t>:  256–257.</w:t>
      </w:r>
    </w:p>
    <w:p w14:paraId="1544C399" w14:textId="77777777" w:rsidR="006473D6" w:rsidRPr="002961C2" w:rsidRDefault="006473D6" w:rsidP="006473D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 xml:space="preserve">5. Allsopp RC, Vaziri H, Patterson C, et al. Telomere length predicts replicative capacity of human fibroblasts. </w:t>
      </w:r>
      <w:r w:rsidRPr="002961C2">
        <w:rPr>
          <w:rFonts w:eastAsia="Times New Roman" w:cstheme="minorHAnsi"/>
          <w:i/>
          <w:iCs/>
          <w:sz w:val="24"/>
          <w:szCs w:val="24"/>
          <w:bdr w:val="none" w:sz="0" w:space="0" w:color="auto" w:frame="1"/>
          <w:lang w:eastAsia="en-GB"/>
        </w:rPr>
        <w:t>PNAS</w:t>
      </w:r>
      <w:r w:rsidRPr="002961C2">
        <w:rPr>
          <w:rFonts w:eastAsia="Times New Roman" w:cstheme="minorHAnsi"/>
          <w:iCs/>
          <w:sz w:val="24"/>
          <w:szCs w:val="24"/>
          <w:bdr w:val="none" w:sz="0" w:space="0" w:color="auto" w:frame="1"/>
          <w:lang w:eastAsia="en-GB"/>
        </w:rPr>
        <w:t xml:space="preserve"> 1992; </w:t>
      </w:r>
      <w:r w:rsidRPr="002961C2">
        <w:rPr>
          <w:rFonts w:eastAsia="Times New Roman" w:cstheme="minorHAnsi"/>
          <w:b/>
          <w:iCs/>
          <w:sz w:val="24"/>
          <w:szCs w:val="24"/>
          <w:bdr w:val="none" w:sz="0" w:space="0" w:color="auto" w:frame="1"/>
          <w:lang w:eastAsia="en-GB"/>
        </w:rPr>
        <w:t>89</w:t>
      </w:r>
      <w:r w:rsidRPr="002961C2">
        <w:rPr>
          <w:rFonts w:eastAsia="Times New Roman" w:cstheme="minorHAnsi"/>
          <w:iCs/>
          <w:sz w:val="24"/>
          <w:szCs w:val="24"/>
          <w:bdr w:val="none" w:sz="0" w:space="0" w:color="auto" w:frame="1"/>
          <w:lang w:eastAsia="en-GB"/>
        </w:rPr>
        <w:t>: 10114–10118.</w:t>
      </w:r>
    </w:p>
    <w:p w14:paraId="0A10944F" w14:textId="3FF84BBF" w:rsidR="006473D6" w:rsidRPr="002961C2" w:rsidRDefault="006473D6" w:rsidP="006473D6">
      <w:pPr>
        <w:widowControl w:val="0"/>
        <w:autoSpaceDE w:val="0"/>
        <w:autoSpaceDN w:val="0"/>
        <w:adjustRightInd w:val="0"/>
        <w:spacing w:after="0" w:line="480" w:lineRule="auto"/>
        <w:rPr>
          <w:rFonts w:cstheme="minorHAnsi"/>
          <w:sz w:val="24"/>
          <w:szCs w:val="24"/>
          <w:bdr w:val="none" w:sz="0" w:space="0" w:color="auto" w:frame="1"/>
          <w:lang w:val="it-IT"/>
        </w:rPr>
      </w:pPr>
      <w:r w:rsidRPr="002961C2">
        <w:rPr>
          <w:rFonts w:eastAsia="Times New Roman" w:cstheme="minorHAnsi"/>
          <w:iCs/>
          <w:sz w:val="24"/>
          <w:szCs w:val="24"/>
          <w:bdr w:val="none" w:sz="0" w:space="0" w:color="auto" w:frame="1"/>
          <w:lang w:eastAsia="en-GB"/>
        </w:rPr>
        <w:t xml:space="preserve">6. Codd V, Denniff M, Swinfield C, et al. A major population resource of 474,074 participants in UK Biobank to investigate determinants and biomedical consequences of leukocyte telomere length. </w:t>
      </w:r>
      <w:r w:rsidRPr="002961C2">
        <w:rPr>
          <w:rFonts w:cstheme="minorHAnsi"/>
          <w:i/>
          <w:sz w:val="24"/>
          <w:szCs w:val="24"/>
          <w:bdr w:val="none" w:sz="0" w:space="0" w:color="auto" w:frame="1"/>
          <w:lang w:val="it-IT"/>
        </w:rPr>
        <w:t>MedRxiv</w:t>
      </w:r>
      <w:r w:rsidR="00EC0FBE" w:rsidRPr="002961C2">
        <w:rPr>
          <w:rFonts w:cstheme="minorHAnsi"/>
          <w:i/>
          <w:sz w:val="24"/>
          <w:szCs w:val="24"/>
          <w:bdr w:val="none" w:sz="0" w:space="0" w:color="auto" w:frame="1"/>
          <w:lang w:val="it-IT"/>
        </w:rPr>
        <w:t>.</w:t>
      </w:r>
      <w:r w:rsidRPr="002961C2">
        <w:rPr>
          <w:rFonts w:cstheme="minorHAnsi"/>
          <w:sz w:val="24"/>
          <w:szCs w:val="24"/>
          <w:bdr w:val="none" w:sz="0" w:space="0" w:color="auto" w:frame="1"/>
          <w:lang w:val="it-IT"/>
        </w:rPr>
        <w:t xml:space="preserve"> 2021</w:t>
      </w:r>
      <w:r w:rsidR="00EC0FBE" w:rsidRPr="002961C2">
        <w:rPr>
          <w:rFonts w:cstheme="minorHAnsi"/>
          <w:sz w:val="24"/>
          <w:szCs w:val="24"/>
          <w:bdr w:val="none" w:sz="0" w:space="0" w:color="auto" w:frame="1"/>
          <w:lang w:val="it-IT"/>
        </w:rPr>
        <w:t>; https://doi.org/10.1101/2021.03.18.21253457</w:t>
      </w:r>
    </w:p>
    <w:p w14:paraId="1DE3FFB0" w14:textId="4F4B353B" w:rsidR="00904DE4" w:rsidRPr="002961C2" w:rsidRDefault="00904DE4" w:rsidP="006473D6">
      <w:pPr>
        <w:spacing w:after="0" w:line="480" w:lineRule="auto"/>
        <w:rPr>
          <w:rFonts w:cstheme="minorHAnsi"/>
          <w:sz w:val="24"/>
          <w:szCs w:val="24"/>
          <w:bdr w:val="none" w:sz="0" w:space="0" w:color="auto" w:frame="1"/>
          <w:lang w:val="it-IT"/>
        </w:rPr>
      </w:pPr>
      <w:r w:rsidRPr="002961C2">
        <w:rPr>
          <w:rFonts w:cstheme="minorHAnsi"/>
          <w:sz w:val="24"/>
          <w:szCs w:val="24"/>
          <w:bdr w:val="none" w:sz="0" w:space="0" w:color="auto" w:frame="1"/>
          <w:lang w:val="it-IT"/>
        </w:rPr>
        <w:t xml:space="preserve">7. Factor-Litvak P, </w:t>
      </w:r>
      <w:r w:rsidR="00657982" w:rsidRPr="002961C2">
        <w:rPr>
          <w:rFonts w:cstheme="minorHAnsi"/>
          <w:sz w:val="24"/>
          <w:szCs w:val="24"/>
          <w:bdr w:val="none" w:sz="0" w:space="0" w:color="auto" w:frame="1"/>
          <w:lang w:val="it-IT"/>
        </w:rPr>
        <w:t>et al</w:t>
      </w:r>
      <w:r w:rsidRPr="002961C2">
        <w:rPr>
          <w:rFonts w:cstheme="minorHAnsi"/>
          <w:sz w:val="24"/>
          <w:szCs w:val="24"/>
          <w:bdr w:val="none" w:sz="0" w:space="0" w:color="auto" w:frame="1"/>
          <w:lang w:val="it-IT"/>
        </w:rPr>
        <w:t xml:space="preserve">. Leukocyte Telomere Length in Newborns: Implications for the Role of Telomeres in Human Disease. </w:t>
      </w:r>
      <w:r w:rsidRPr="002961C2">
        <w:rPr>
          <w:rFonts w:cstheme="minorHAnsi"/>
          <w:i/>
          <w:sz w:val="24"/>
          <w:szCs w:val="24"/>
          <w:bdr w:val="none" w:sz="0" w:space="0" w:color="auto" w:frame="1"/>
          <w:lang w:val="it-IT"/>
        </w:rPr>
        <w:t>Pediatrics</w:t>
      </w:r>
      <w:r w:rsidRPr="002961C2">
        <w:rPr>
          <w:rFonts w:cstheme="minorHAnsi"/>
          <w:sz w:val="24"/>
          <w:szCs w:val="24"/>
          <w:bdr w:val="none" w:sz="0" w:space="0" w:color="auto" w:frame="1"/>
          <w:lang w:val="it-IT"/>
        </w:rPr>
        <w:t xml:space="preserve">. 2016; </w:t>
      </w:r>
      <w:r w:rsidRPr="002961C2">
        <w:rPr>
          <w:rFonts w:cstheme="minorHAnsi"/>
          <w:b/>
          <w:sz w:val="24"/>
          <w:szCs w:val="24"/>
          <w:bdr w:val="none" w:sz="0" w:space="0" w:color="auto" w:frame="1"/>
          <w:lang w:val="it-IT"/>
        </w:rPr>
        <w:t>137</w:t>
      </w:r>
      <w:r w:rsidRPr="002961C2">
        <w:rPr>
          <w:rFonts w:cstheme="minorHAnsi"/>
          <w:sz w:val="24"/>
          <w:szCs w:val="24"/>
          <w:bdr w:val="none" w:sz="0" w:space="0" w:color="auto" w:frame="1"/>
          <w:lang w:val="it-IT"/>
        </w:rPr>
        <w:t>. pii: e20153927.</w:t>
      </w:r>
    </w:p>
    <w:p w14:paraId="03E7301B" w14:textId="540FF5A5" w:rsidR="00904DE4" w:rsidRPr="002961C2" w:rsidRDefault="00904DE4" w:rsidP="00904DE4">
      <w:pPr>
        <w:spacing w:after="0" w:line="480" w:lineRule="auto"/>
        <w:rPr>
          <w:rFonts w:cstheme="minorHAnsi"/>
          <w:sz w:val="24"/>
          <w:szCs w:val="24"/>
          <w:bdr w:val="none" w:sz="0" w:space="0" w:color="auto" w:frame="1"/>
          <w:lang w:val="it-IT"/>
        </w:rPr>
      </w:pPr>
      <w:r w:rsidRPr="002961C2">
        <w:rPr>
          <w:rFonts w:cstheme="minorHAnsi"/>
          <w:sz w:val="24"/>
          <w:szCs w:val="24"/>
          <w:bdr w:val="none" w:sz="0" w:space="0" w:color="auto" w:frame="1"/>
          <w:lang w:val="it-IT"/>
        </w:rPr>
        <w:t>8. Aviv A, Shay JW. Reflections on telomere dynamics and ageing-related diseases in humans.</w:t>
      </w:r>
      <w:r w:rsidRPr="002961C2">
        <w:rPr>
          <w:rFonts w:cstheme="minorHAnsi"/>
          <w:i/>
          <w:sz w:val="24"/>
          <w:szCs w:val="24"/>
          <w:bdr w:val="none" w:sz="0" w:space="0" w:color="auto" w:frame="1"/>
          <w:lang w:val="it-IT"/>
        </w:rPr>
        <w:t xml:space="preserve"> Philos Trans R Soc B</w:t>
      </w:r>
      <w:r w:rsidRPr="002961C2">
        <w:rPr>
          <w:rFonts w:cstheme="minorHAnsi"/>
          <w:sz w:val="24"/>
          <w:szCs w:val="24"/>
          <w:bdr w:val="none" w:sz="0" w:space="0" w:color="auto" w:frame="1"/>
          <w:lang w:val="it-IT"/>
        </w:rPr>
        <w:t>. 2018;</w:t>
      </w:r>
      <w:r w:rsidRPr="002961C2">
        <w:rPr>
          <w:rFonts w:cstheme="minorHAnsi"/>
          <w:b/>
          <w:sz w:val="24"/>
          <w:szCs w:val="24"/>
          <w:bdr w:val="none" w:sz="0" w:space="0" w:color="auto" w:frame="1"/>
          <w:lang w:val="it-IT"/>
        </w:rPr>
        <w:t>373</w:t>
      </w:r>
      <w:r w:rsidRPr="002961C2">
        <w:rPr>
          <w:rFonts w:cstheme="minorHAnsi"/>
          <w:sz w:val="24"/>
          <w:szCs w:val="24"/>
          <w:bdr w:val="none" w:sz="0" w:space="0" w:color="auto" w:frame="1"/>
          <w:lang w:val="it-IT"/>
        </w:rPr>
        <w:t>.20160436</w:t>
      </w:r>
      <w:r w:rsidRPr="002961C2">
        <w:t xml:space="preserve"> </w:t>
      </w:r>
      <w:r w:rsidRPr="002961C2">
        <w:rPr>
          <w:rFonts w:cstheme="minorHAnsi"/>
          <w:sz w:val="24"/>
          <w:szCs w:val="24"/>
          <w:bdr w:val="none" w:sz="0" w:space="0" w:color="auto" w:frame="1"/>
          <w:lang w:val="it-IT"/>
        </w:rPr>
        <w:t>DOI: 10.1098/rstb.2016.0436</w:t>
      </w:r>
    </w:p>
    <w:p w14:paraId="3C319A9B" w14:textId="6038A5CB" w:rsidR="00904DE4" w:rsidRPr="002961C2" w:rsidRDefault="00904DE4" w:rsidP="006473D6">
      <w:pPr>
        <w:spacing w:after="0" w:line="480" w:lineRule="auto"/>
        <w:rPr>
          <w:rFonts w:cstheme="minorHAnsi"/>
          <w:sz w:val="24"/>
          <w:szCs w:val="24"/>
          <w:bdr w:val="none" w:sz="0" w:space="0" w:color="auto" w:frame="1"/>
          <w:lang w:val="it-IT"/>
        </w:rPr>
      </w:pPr>
      <w:r w:rsidRPr="002961C2">
        <w:rPr>
          <w:rFonts w:cstheme="minorHAnsi"/>
          <w:sz w:val="24"/>
          <w:szCs w:val="24"/>
          <w:bdr w:val="none" w:sz="0" w:space="0" w:color="auto" w:frame="1"/>
          <w:lang w:val="it-IT"/>
        </w:rPr>
        <w:t xml:space="preserve">9. Aviv A. Telomeres and COVID-19. </w:t>
      </w:r>
      <w:r w:rsidRPr="002961C2">
        <w:rPr>
          <w:rFonts w:cstheme="minorHAnsi"/>
          <w:i/>
          <w:sz w:val="24"/>
          <w:szCs w:val="24"/>
          <w:bdr w:val="none" w:sz="0" w:space="0" w:color="auto" w:frame="1"/>
          <w:lang w:val="it-IT"/>
        </w:rPr>
        <w:t>The FASEB Journal</w:t>
      </w:r>
      <w:r w:rsidRPr="002961C2">
        <w:rPr>
          <w:rFonts w:cstheme="minorHAnsi"/>
          <w:sz w:val="24"/>
          <w:szCs w:val="24"/>
          <w:bdr w:val="none" w:sz="0" w:space="0" w:color="auto" w:frame="1"/>
          <w:lang w:val="it-IT"/>
        </w:rPr>
        <w:t xml:space="preserve">. 2020; </w:t>
      </w:r>
      <w:r w:rsidRPr="002961C2">
        <w:rPr>
          <w:rFonts w:cstheme="minorHAnsi"/>
          <w:b/>
          <w:sz w:val="24"/>
          <w:szCs w:val="24"/>
          <w:bdr w:val="none" w:sz="0" w:space="0" w:color="auto" w:frame="1"/>
          <w:lang w:val="it-IT"/>
        </w:rPr>
        <w:t>34</w:t>
      </w:r>
      <w:r w:rsidRPr="002961C2">
        <w:rPr>
          <w:rFonts w:cstheme="minorHAnsi"/>
          <w:sz w:val="24"/>
          <w:szCs w:val="24"/>
          <w:bdr w:val="none" w:sz="0" w:space="0" w:color="auto" w:frame="1"/>
          <w:lang w:val="it-IT"/>
        </w:rPr>
        <w:t xml:space="preserve">: 7247– 7252. </w:t>
      </w:r>
    </w:p>
    <w:p w14:paraId="6F2FF45E" w14:textId="6B59DEC1" w:rsidR="00103EB6" w:rsidRPr="002961C2" w:rsidRDefault="00904DE4" w:rsidP="00904DE4">
      <w:pPr>
        <w:spacing w:after="0" w:line="480" w:lineRule="auto"/>
        <w:rPr>
          <w:rFonts w:cstheme="minorHAnsi"/>
          <w:sz w:val="24"/>
          <w:szCs w:val="24"/>
          <w:bdr w:val="none" w:sz="0" w:space="0" w:color="auto" w:frame="1"/>
          <w:lang w:val="it-IT"/>
        </w:rPr>
      </w:pPr>
      <w:r w:rsidRPr="002961C2">
        <w:rPr>
          <w:rFonts w:cstheme="minorHAnsi"/>
          <w:sz w:val="24"/>
          <w:szCs w:val="24"/>
          <w:bdr w:val="none" w:sz="0" w:space="0" w:color="auto" w:frame="1"/>
          <w:lang w:val="it-IT"/>
        </w:rPr>
        <w:t xml:space="preserve">10. Tsilingiris D, Tentolouris A, Eleftheriadou I, Tentolouris N. Telomere length, epidemiology and pathogenesis of severe COVID-19. Eur J Clin Invest. 2020; </w:t>
      </w:r>
      <w:r w:rsidRPr="002961C2">
        <w:rPr>
          <w:rFonts w:cstheme="minorHAnsi"/>
          <w:b/>
          <w:sz w:val="24"/>
          <w:szCs w:val="24"/>
          <w:bdr w:val="none" w:sz="0" w:space="0" w:color="auto" w:frame="1"/>
          <w:lang w:val="it-IT"/>
        </w:rPr>
        <w:t>50:</w:t>
      </w:r>
      <w:r w:rsidRPr="002961C2">
        <w:rPr>
          <w:rFonts w:cstheme="minorHAnsi"/>
          <w:sz w:val="24"/>
          <w:szCs w:val="24"/>
          <w:bdr w:val="none" w:sz="0" w:space="0" w:color="auto" w:frame="1"/>
          <w:lang w:val="it-IT"/>
        </w:rPr>
        <w:t>e13376.</w:t>
      </w:r>
    </w:p>
    <w:p w14:paraId="3916585E" w14:textId="16432CA9" w:rsidR="006473D6" w:rsidRPr="002961C2" w:rsidRDefault="00103EB6" w:rsidP="006473D6">
      <w:pPr>
        <w:spacing w:after="0" w:line="480" w:lineRule="auto"/>
        <w:rPr>
          <w:rFonts w:eastAsia="Times New Roman" w:cstheme="minorHAnsi"/>
          <w:iCs/>
          <w:sz w:val="24"/>
          <w:szCs w:val="24"/>
          <w:bdr w:val="none" w:sz="0" w:space="0" w:color="auto" w:frame="1"/>
          <w:lang w:eastAsia="en-GB"/>
        </w:rPr>
      </w:pPr>
      <w:r w:rsidRPr="002961C2">
        <w:rPr>
          <w:rFonts w:cstheme="minorHAnsi"/>
          <w:sz w:val="24"/>
          <w:szCs w:val="24"/>
          <w:bdr w:val="none" w:sz="0" w:space="0" w:color="auto" w:frame="1"/>
          <w:lang w:val="it-IT"/>
        </w:rPr>
        <w:t>11</w:t>
      </w:r>
      <w:r w:rsidR="006473D6" w:rsidRPr="002961C2">
        <w:rPr>
          <w:rFonts w:cstheme="minorHAnsi"/>
          <w:sz w:val="24"/>
          <w:szCs w:val="24"/>
          <w:bdr w:val="none" w:sz="0" w:space="0" w:color="auto" w:frame="1"/>
          <w:lang w:val="it-IT"/>
        </w:rPr>
        <w:t xml:space="preserve">. Sanchez-Vazquez R, Guío-Carrión A, Zapatero-Gaviria A, Martínez P, Blasco MA. </w:t>
      </w:r>
      <w:r w:rsidR="006473D6" w:rsidRPr="002961C2">
        <w:rPr>
          <w:rFonts w:eastAsia="Times New Roman" w:cstheme="minorHAnsi"/>
          <w:iCs/>
          <w:sz w:val="24"/>
          <w:szCs w:val="24"/>
          <w:bdr w:val="none" w:sz="0" w:space="0" w:color="auto" w:frame="1"/>
          <w:lang w:eastAsia="en-GB"/>
        </w:rPr>
        <w:t xml:space="preserve">Shorter telomere lengths in patients with severe COVID-19 disease. </w:t>
      </w:r>
      <w:r w:rsidR="006473D6" w:rsidRPr="002961C2">
        <w:rPr>
          <w:rFonts w:eastAsia="Times New Roman" w:cstheme="minorHAnsi"/>
          <w:i/>
          <w:iCs/>
          <w:sz w:val="24"/>
          <w:szCs w:val="24"/>
          <w:bdr w:val="none" w:sz="0" w:space="0" w:color="auto" w:frame="1"/>
          <w:lang w:eastAsia="en-GB"/>
        </w:rPr>
        <w:t>Aging</w:t>
      </w:r>
      <w:r w:rsidR="006473D6" w:rsidRPr="002961C2">
        <w:rPr>
          <w:rFonts w:eastAsia="Times New Roman" w:cstheme="minorHAnsi"/>
          <w:iCs/>
          <w:sz w:val="24"/>
          <w:szCs w:val="24"/>
          <w:bdr w:val="none" w:sz="0" w:space="0" w:color="auto" w:frame="1"/>
          <w:lang w:eastAsia="en-GB"/>
        </w:rPr>
        <w:t xml:space="preserve"> 2021; </w:t>
      </w:r>
      <w:r w:rsidR="006473D6" w:rsidRPr="002961C2">
        <w:rPr>
          <w:rFonts w:eastAsia="Times New Roman" w:cstheme="minorHAnsi"/>
          <w:b/>
          <w:iCs/>
          <w:sz w:val="24"/>
          <w:szCs w:val="24"/>
          <w:bdr w:val="none" w:sz="0" w:space="0" w:color="auto" w:frame="1"/>
          <w:lang w:eastAsia="en-GB"/>
        </w:rPr>
        <w:t>13</w:t>
      </w:r>
      <w:r w:rsidR="006473D6" w:rsidRPr="002961C2">
        <w:rPr>
          <w:rFonts w:eastAsia="Times New Roman" w:cstheme="minorHAnsi"/>
          <w:iCs/>
          <w:sz w:val="24"/>
          <w:szCs w:val="24"/>
          <w:bdr w:val="none" w:sz="0" w:space="0" w:color="auto" w:frame="1"/>
          <w:lang w:eastAsia="en-GB"/>
        </w:rPr>
        <w:t>:1–15.</w:t>
      </w:r>
    </w:p>
    <w:p w14:paraId="2948D46F" w14:textId="0257DB40" w:rsidR="006473D6" w:rsidRPr="002961C2" w:rsidRDefault="00103EB6" w:rsidP="006473D6">
      <w:pPr>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12</w:t>
      </w:r>
      <w:r w:rsidR="006473D6" w:rsidRPr="002961C2">
        <w:rPr>
          <w:rFonts w:eastAsia="Times New Roman" w:cstheme="minorHAnsi"/>
          <w:iCs/>
          <w:sz w:val="24"/>
          <w:szCs w:val="24"/>
          <w:bdr w:val="none" w:sz="0" w:space="0" w:color="auto" w:frame="1"/>
          <w:lang w:eastAsia="en-GB"/>
        </w:rPr>
        <w:t>.</w:t>
      </w:r>
      <w:r w:rsidR="006473D6" w:rsidRPr="002961C2">
        <w:rPr>
          <w:rFonts w:cstheme="minorHAnsi"/>
          <w:sz w:val="24"/>
          <w:szCs w:val="24"/>
        </w:rPr>
        <w:t xml:space="preserve"> </w:t>
      </w:r>
      <w:r w:rsidR="006473D6" w:rsidRPr="002961C2">
        <w:rPr>
          <w:rFonts w:eastAsia="Times New Roman" w:cstheme="minorHAnsi"/>
          <w:iCs/>
          <w:sz w:val="24"/>
          <w:szCs w:val="24"/>
          <w:bdr w:val="none" w:sz="0" w:space="0" w:color="auto" w:frame="1"/>
          <w:lang w:eastAsia="en-GB"/>
        </w:rPr>
        <w:t xml:space="preserve">Benetos A, Lai TP, Toupance S, et al. The Nexus Between Telomere Length and Lymphocyte Count in Seniors Hospitalized With COVID-19. </w:t>
      </w:r>
      <w:r w:rsidR="006473D6" w:rsidRPr="002961C2">
        <w:rPr>
          <w:rFonts w:eastAsia="Times New Roman" w:cstheme="minorHAnsi"/>
          <w:i/>
          <w:iCs/>
          <w:sz w:val="24"/>
          <w:szCs w:val="24"/>
          <w:bdr w:val="none" w:sz="0" w:space="0" w:color="auto" w:frame="1"/>
          <w:lang w:eastAsia="en-GB"/>
        </w:rPr>
        <w:t>The Journals of Gerontology: Series A</w:t>
      </w:r>
      <w:r w:rsidR="006473D6" w:rsidRPr="002961C2">
        <w:rPr>
          <w:rFonts w:eastAsia="Times New Roman" w:cstheme="minorHAnsi"/>
          <w:iCs/>
          <w:sz w:val="24"/>
          <w:szCs w:val="24"/>
          <w:bdr w:val="none" w:sz="0" w:space="0" w:color="auto" w:frame="1"/>
          <w:lang w:eastAsia="en-GB"/>
        </w:rPr>
        <w:t>; 2021: glab026</w:t>
      </w:r>
    </w:p>
    <w:p w14:paraId="6A0A6855" w14:textId="4B4FD278" w:rsidR="006473D6" w:rsidRPr="002961C2" w:rsidRDefault="00103EB6" w:rsidP="006473D6">
      <w:pPr>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13</w:t>
      </w:r>
      <w:r w:rsidR="006473D6" w:rsidRPr="002961C2">
        <w:rPr>
          <w:rFonts w:eastAsia="Times New Roman" w:cstheme="minorHAnsi"/>
          <w:iCs/>
          <w:sz w:val="24"/>
          <w:szCs w:val="24"/>
          <w:bdr w:val="none" w:sz="0" w:space="0" w:color="auto" w:frame="1"/>
          <w:lang w:eastAsia="en-GB"/>
        </w:rPr>
        <w:t xml:space="preserve">. Froidure A, Mahieu M, Hoton D, et al. Short telomeres increase the risk of severe COVID-19. </w:t>
      </w:r>
      <w:r w:rsidR="006473D6" w:rsidRPr="002961C2">
        <w:rPr>
          <w:rFonts w:eastAsia="Times New Roman" w:cstheme="minorHAnsi"/>
          <w:i/>
          <w:iCs/>
          <w:sz w:val="24"/>
          <w:szCs w:val="24"/>
          <w:bdr w:val="none" w:sz="0" w:space="0" w:color="auto" w:frame="1"/>
          <w:lang w:eastAsia="en-GB"/>
        </w:rPr>
        <w:t xml:space="preserve">Aging </w:t>
      </w:r>
      <w:r w:rsidR="006473D6" w:rsidRPr="002961C2">
        <w:rPr>
          <w:rFonts w:eastAsia="Times New Roman" w:cstheme="minorHAnsi"/>
          <w:iCs/>
          <w:sz w:val="24"/>
          <w:szCs w:val="24"/>
          <w:bdr w:val="none" w:sz="0" w:space="0" w:color="auto" w:frame="1"/>
          <w:lang w:eastAsia="en-GB"/>
        </w:rPr>
        <w:t xml:space="preserve">2020; </w:t>
      </w:r>
      <w:r w:rsidR="006473D6" w:rsidRPr="002961C2">
        <w:rPr>
          <w:rFonts w:eastAsia="Times New Roman" w:cstheme="minorHAnsi"/>
          <w:b/>
          <w:iCs/>
          <w:sz w:val="24"/>
          <w:szCs w:val="24"/>
          <w:bdr w:val="none" w:sz="0" w:space="0" w:color="auto" w:frame="1"/>
          <w:lang w:eastAsia="en-GB"/>
        </w:rPr>
        <w:t>12</w:t>
      </w:r>
      <w:r w:rsidR="006473D6" w:rsidRPr="002961C2">
        <w:rPr>
          <w:rFonts w:eastAsia="Times New Roman" w:cstheme="minorHAnsi"/>
          <w:iCs/>
          <w:sz w:val="24"/>
          <w:szCs w:val="24"/>
          <w:bdr w:val="none" w:sz="0" w:space="0" w:color="auto" w:frame="1"/>
          <w:lang w:eastAsia="en-GB"/>
        </w:rPr>
        <w:t>: 19911</w:t>
      </w:r>
      <w:r w:rsidR="006473D6" w:rsidRPr="002961C2">
        <w:rPr>
          <w:rFonts w:eastAsia="Times New Roman" w:cstheme="minorHAnsi"/>
          <w:iCs/>
          <w:sz w:val="24"/>
          <w:szCs w:val="24"/>
          <w:bdr w:val="none" w:sz="0" w:space="0" w:color="auto" w:frame="1"/>
          <w:lang w:eastAsia="en-GB"/>
        </w:rPr>
        <w:softHyphen/>
      </w:r>
      <w:r w:rsidR="006473D6" w:rsidRPr="002961C2">
        <w:rPr>
          <w:rFonts w:eastAsia="Times New Roman" w:cstheme="minorHAnsi"/>
          <w:iCs/>
          <w:sz w:val="24"/>
          <w:szCs w:val="24"/>
          <w:bdr w:val="none" w:sz="0" w:space="0" w:color="auto" w:frame="1"/>
          <w:lang w:eastAsia="en-GB"/>
        </w:rPr>
        <w:softHyphen/>
        <w:t>–19922.</w:t>
      </w:r>
    </w:p>
    <w:p w14:paraId="2C51860F" w14:textId="7D1A19C2" w:rsidR="006473D6" w:rsidRPr="002961C2" w:rsidRDefault="006473D6" w:rsidP="006473D6">
      <w:pPr>
        <w:spacing w:after="0" w:line="480" w:lineRule="auto"/>
        <w:rPr>
          <w:rFonts w:eastAsia="Times New Roman" w:cstheme="minorHAnsi"/>
          <w:iCs/>
          <w:sz w:val="24"/>
          <w:szCs w:val="24"/>
          <w:bdr w:val="none" w:sz="0" w:space="0" w:color="auto" w:frame="1"/>
          <w:lang w:val="it-IT" w:eastAsia="en-GB"/>
        </w:rPr>
      </w:pPr>
      <w:r w:rsidRPr="002961C2">
        <w:rPr>
          <w:rFonts w:eastAsia="Times New Roman" w:cstheme="minorHAnsi"/>
          <w:iCs/>
          <w:sz w:val="24"/>
          <w:szCs w:val="24"/>
          <w:bdr w:val="none" w:sz="0" w:space="0" w:color="auto" w:frame="1"/>
          <w:lang w:eastAsia="en-GB"/>
        </w:rPr>
        <w:t>1</w:t>
      </w:r>
      <w:r w:rsidR="00103EB6" w:rsidRPr="002961C2">
        <w:rPr>
          <w:rFonts w:eastAsia="Times New Roman" w:cstheme="minorHAnsi"/>
          <w:iCs/>
          <w:sz w:val="24"/>
          <w:szCs w:val="24"/>
          <w:bdr w:val="none" w:sz="0" w:space="0" w:color="auto" w:frame="1"/>
          <w:lang w:eastAsia="en-GB"/>
        </w:rPr>
        <w:t>4</w:t>
      </w:r>
      <w:r w:rsidRPr="002961C2">
        <w:rPr>
          <w:rFonts w:eastAsia="Times New Roman" w:cstheme="minorHAnsi"/>
          <w:iCs/>
          <w:sz w:val="24"/>
          <w:szCs w:val="24"/>
          <w:bdr w:val="none" w:sz="0" w:space="0" w:color="auto" w:frame="1"/>
          <w:lang w:eastAsia="en-GB"/>
        </w:rPr>
        <w:t xml:space="preserve">. Sudlow C, Gallacher J, Allen N, et al. UK Biobank : An Open Access Resource for Identifying the Causes of a Wide Range of Complex Diseases of Middle and Old Age. </w:t>
      </w:r>
      <w:r w:rsidRPr="002961C2">
        <w:rPr>
          <w:rFonts w:eastAsia="Times New Roman" w:cstheme="minorHAnsi"/>
          <w:i/>
          <w:iCs/>
          <w:sz w:val="24"/>
          <w:szCs w:val="24"/>
          <w:bdr w:val="none" w:sz="0" w:space="0" w:color="auto" w:frame="1"/>
          <w:lang w:val="it-IT" w:eastAsia="en-GB"/>
        </w:rPr>
        <w:t>PloS Med</w:t>
      </w:r>
      <w:r w:rsidRPr="002961C2">
        <w:rPr>
          <w:rFonts w:eastAsia="Times New Roman" w:cstheme="minorHAnsi"/>
          <w:iCs/>
          <w:sz w:val="24"/>
          <w:szCs w:val="24"/>
          <w:bdr w:val="none" w:sz="0" w:space="0" w:color="auto" w:frame="1"/>
          <w:lang w:val="it-IT" w:eastAsia="en-GB"/>
        </w:rPr>
        <w:t xml:space="preserve">. 2015; </w:t>
      </w:r>
      <w:r w:rsidRPr="002961C2">
        <w:rPr>
          <w:rFonts w:eastAsia="Times New Roman" w:cstheme="minorHAnsi"/>
          <w:b/>
          <w:iCs/>
          <w:sz w:val="24"/>
          <w:szCs w:val="24"/>
          <w:bdr w:val="none" w:sz="0" w:space="0" w:color="auto" w:frame="1"/>
          <w:lang w:val="it-IT" w:eastAsia="en-GB"/>
        </w:rPr>
        <w:t>12:</w:t>
      </w:r>
      <w:r w:rsidRPr="002961C2">
        <w:rPr>
          <w:rFonts w:eastAsia="Times New Roman" w:cstheme="minorHAnsi"/>
          <w:iCs/>
          <w:sz w:val="24"/>
          <w:szCs w:val="24"/>
          <w:bdr w:val="none" w:sz="0" w:space="0" w:color="auto" w:frame="1"/>
          <w:lang w:val="it-IT" w:eastAsia="en-GB"/>
        </w:rPr>
        <w:t xml:space="preserve"> e1001779.</w:t>
      </w:r>
    </w:p>
    <w:p w14:paraId="4E90A69E" w14:textId="18FDB358" w:rsidR="006473D6" w:rsidRPr="002961C2" w:rsidRDefault="00103EB6" w:rsidP="006473D6">
      <w:pPr>
        <w:spacing w:after="0" w:line="480" w:lineRule="auto"/>
        <w:rPr>
          <w:rFonts w:cstheme="minorHAnsi"/>
          <w:sz w:val="24"/>
          <w:szCs w:val="24"/>
          <w:bdr w:val="none" w:sz="0" w:space="0" w:color="auto" w:frame="1"/>
          <w:lang w:val="it-IT"/>
        </w:rPr>
      </w:pPr>
      <w:r w:rsidRPr="002961C2">
        <w:rPr>
          <w:rFonts w:eastAsia="Times New Roman" w:cstheme="minorHAnsi"/>
          <w:iCs/>
          <w:sz w:val="24"/>
          <w:szCs w:val="24"/>
          <w:bdr w:val="none" w:sz="0" w:space="0" w:color="auto" w:frame="1"/>
          <w:lang w:val="it-IT" w:eastAsia="en-GB"/>
        </w:rPr>
        <w:t>15</w:t>
      </w:r>
      <w:r w:rsidR="006473D6" w:rsidRPr="002961C2">
        <w:rPr>
          <w:rFonts w:eastAsia="Times New Roman" w:cstheme="minorHAnsi"/>
          <w:iCs/>
          <w:sz w:val="24"/>
          <w:szCs w:val="24"/>
          <w:bdr w:val="none" w:sz="0" w:space="0" w:color="auto" w:frame="1"/>
          <w:lang w:val="it-IT" w:eastAsia="en-GB"/>
        </w:rPr>
        <w:t xml:space="preserve">. Codd V, Wang Q, Allara E, et al. </w:t>
      </w:r>
      <w:r w:rsidR="006473D6" w:rsidRPr="002961C2">
        <w:rPr>
          <w:rFonts w:eastAsia="Times New Roman" w:cstheme="minorHAnsi"/>
          <w:iCs/>
          <w:sz w:val="24"/>
          <w:szCs w:val="24"/>
          <w:bdr w:val="none" w:sz="0" w:space="0" w:color="auto" w:frame="1"/>
          <w:lang w:eastAsia="en-GB"/>
        </w:rPr>
        <w:t xml:space="preserve">Polygenic basis and biomedical consequences of telomere length variation. </w:t>
      </w:r>
      <w:r w:rsidR="006473D6" w:rsidRPr="002961C2">
        <w:rPr>
          <w:rFonts w:cstheme="minorHAnsi"/>
          <w:i/>
          <w:sz w:val="24"/>
          <w:szCs w:val="24"/>
          <w:bdr w:val="none" w:sz="0" w:space="0" w:color="auto" w:frame="1"/>
          <w:lang w:val="it-IT"/>
        </w:rPr>
        <w:t>MedRxiv</w:t>
      </w:r>
      <w:r w:rsidR="006473D6" w:rsidRPr="002961C2">
        <w:rPr>
          <w:rFonts w:cstheme="minorHAnsi"/>
          <w:sz w:val="24"/>
          <w:szCs w:val="24"/>
          <w:bdr w:val="none" w:sz="0" w:space="0" w:color="auto" w:frame="1"/>
          <w:lang w:val="it-IT"/>
        </w:rPr>
        <w:t xml:space="preserve"> 2021</w:t>
      </w:r>
      <w:r w:rsidR="00EC0FBE" w:rsidRPr="002961C2">
        <w:rPr>
          <w:rFonts w:cstheme="minorHAnsi"/>
          <w:sz w:val="24"/>
          <w:szCs w:val="24"/>
          <w:bdr w:val="none" w:sz="0" w:space="0" w:color="auto" w:frame="1"/>
          <w:lang w:val="it-IT"/>
        </w:rPr>
        <w:t>; https://doi.org/10.1101/2021.03.18.21253457</w:t>
      </w:r>
      <w:r w:rsidR="006473D6" w:rsidRPr="002961C2">
        <w:rPr>
          <w:rFonts w:cstheme="minorHAnsi"/>
          <w:sz w:val="24"/>
          <w:szCs w:val="24"/>
          <w:bdr w:val="none" w:sz="0" w:space="0" w:color="auto" w:frame="1"/>
          <w:lang w:val="it-IT"/>
        </w:rPr>
        <w:t xml:space="preserve"> </w:t>
      </w:r>
    </w:p>
    <w:p w14:paraId="1E54EBF1" w14:textId="0187E906" w:rsidR="006473D6" w:rsidRPr="002961C2" w:rsidRDefault="00103EB6" w:rsidP="006473D6">
      <w:pPr>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16</w:t>
      </w:r>
      <w:r w:rsidR="006473D6" w:rsidRPr="002961C2">
        <w:rPr>
          <w:rFonts w:eastAsia="Times New Roman" w:cstheme="minorHAnsi"/>
          <w:iCs/>
          <w:sz w:val="24"/>
          <w:szCs w:val="24"/>
          <w:bdr w:val="none" w:sz="0" w:space="0" w:color="auto" w:frame="1"/>
          <w:lang w:eastAsia="en-GB"/>
        </w:rPr>
        <w:t xml:space="preserve">. Bycroft C, Freeman C, Petkova D, et al. The UK Biobank resource with deep phenotyping and genomic data. </w:t>
      </w:r>
      <w:r w:rsidR="006473D6" w:rsidRPr="002961C2">
        <w:rPr>
          <w:rFonts w:eastAsia="Times New Roman" w:cstheme="minorHAnsi"/>
          <w:i/>
          <w:iCs/>
          <w:sz w:val="24"/>
          <w:szCs w:val="24"/>
          <w:bdr w:val="none" w:sz="0" w:space="0" w:color="auto" w:frame="1"/>
          <w:lang w:eastAsia="en-GB"/>
        </w:rPr>
        <w:t>Nature</w:t>
      </w:r>
      <w:r w:rsidR="006473D6" w:rsidRPr="002961C2">
        <w:rPr>
          <w:rFonts w:eastAsia="Times New Roman" w:cstheme="minorHAnsi"/>
          <w:iCs/>
          <w:sz w:val="24"/>
          <w:szCs w:val="24"/>
          <w:bdr w:val="none" w:sz="0" w:space="0" w:color="auto" w:frame="1"/>
          <w:lang w:eastAsia="en-GB"/>
        </w:rPr>
        <w:t xml:space="preserve"> 2018; </w:t>
      </w:r>
      <w:r w:rsidR="006473D6" w:rsidRPr="002961C2">
        <w:rPr>
          <w:rFonts w:eastAsia="Times New Roman" w:cstheme="minorHAnsi"/>
          <w:b/>
          <w:iCs/>
          <w:sz w:val="24"/>
          <w:szCs w:val="24"/>
          <w:bdr w:val="none" w:sz="0" w:space="0" w:color="auto" w:frame="1"/>
          <w:lang w:eastAsia="en-GB"/>
        </w:rPr>
        <w:t>562</w:t>
      </w:r>
      <w:r w:rsidR="006473D6" w:rsidRPr="002961C2">
        <w:rPr>
          <w:rFonts w:eastAsia="Times New Roman" w:cstheme="minorHAnsi"/>
          <w:iCs/>
          <w:sz w:val="24"/>
          <w:szCs w:val="24"/>
          <w:bdr w:val="none" w:sz="0" w:space="0" w:color="auto" w:frame="1"/>
          <w:lang w:eastAsia="en-GB"/>
        </w:rPr>
        <w:t>: 203–209.</w:t>
      </w:r>
    </w:p>
    <w:p w14:paraId="3AEC4FA6" w14:textId="27101C43" w:rsidR="006473D6" w:rsidRPr="002961C2" w:rsidRDefault="006473D6" w:rsidP="006473D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1</w:t>
      </w:r>
      <w:r w:rsidR="00103EB6" w:rsidRPr="002961C2">
        <w:rPr>
          <w:rFonts w:eastAsia="Times New Roman" w:cstheme="minorHAnsi"/>
          <w:iCs/>
          <w:sz w:val="24"/>
          <w:szCs w:val="24"/>
          <w:bdr w:val="none" w:sz="0" w:space="0" w:color="auto" w:frame="1"/>
          <w:lang w:eastAsia="en-GB"/>
        </w:rPr>
        <w:t>7</w:t>
      </w:r>
      <w:r w:rsidRPr="002961C2">
        <w:rPr>
          <w:rFonts w:eastAsia="Times New Roman" w:cstheme="minorHAnsi"/>
          <w:iCs/>
          <w:sz w:val="24"/>
          <w:szCs w:val="24"/>
          <w:bdr w:val="none" w:sz="0" w:space="0" w:color="auto" w:frame="1"/>
          <w:lang w:eastAsia="en-GB"/>
        </w:rPr>
        <w:t xml:space="preserve">. Armstrong J, Rudkin J, Allen N, et al.  Dynamic linkage of COVID-19 test results between Public Health England’s Second Generation Surveillance System and UK Biobank. </w:t>
      </w:r>
      <w:r w:rsidRPr="002961C2">
        <w:rPr>
          <w:rFonts w:eastAsia="Times New Roman" w:cstheme="minorHAnsi"/>
          <w:i/>
          <w:iCs/>
          <w:sz w:val="24"/>
          <w:szCs w:val="24"/>
          <w:bdr w:val="none" w:sz="0" w:space="0" w:color="auto" w:frame="1"/>
          <w:lang w:eastAsia="en-GB"/>
        </w:rPr>
        <w:t>Microb Genom</w:t>
      </w:r>
      <w:r w:rsidRPr="002961C2">
        <w:rPr>
          <w:rFonts w:eastAsia="Times New Roman" w:cstheme="minorHAnsi"/>
          <w:iCs/>
          <w:sz w:val="24"/>
          <w:szCs w:val="24"/>
          <w:bdr w:val="none" w:sz="0" w:space="0" w:color="auto" w:frame="1"/>
          <w:lang w:eastAsia="en-GB"/>
        </w:rPr>
        <w:t xml:space="preserve"> 2020; </w:t>
      </w:r>
      <w:r w:rsidRPr="002961C2">
        <w:rPr>
          <w:rFonts w:eastAsia="Times New Roman" w:cstheme="minorHAnsi"/>
          <w:b/>
          <w:iCs/>
          <w:sz w:val="24"/>
          <w:szCs w:val="24"/>
          <w:bdr w:val="none" w:sz="0" w:space="0" w:color="auto" w:frame="1"/>
          <w:lang w:eastAsia="en-GB"/>
        </w:rPr>
        <w:t>6</w:t>
      </w:r>
      <w:r w:rsidRPr="002961C2">
        <w:rPr>
          <w:rFonts w:eastAsia="Times New Roman" w:cstheme="minorHAnsi"/>
          <w:iCs/>
          <w:sz w:val="24"/>
          <w:szCs w:val="24"/>
          <w:bdr w:val="none" w:sz="0" w:space="0" w:color="auto" w:frame="1"/>
          <w:lang w:eastAsia="en-GB"/>
        </w:rPr>
        <w:t>: mgen000397.</w:t>
      </w:r>
    </w:p>
    <w:p w14:paraId="16B857A4" w14:textId="295AB07B" w:rsidR="006473D6" w:rsidRPr="002961C2" w:rsidRDefault="00103EB6" w:rsidP="006473D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18</w:t>
      </w:r>
      <w:r w:rsidR="006473D6" w:rsidRPr="002961C2">
        <w:rPr>
          <w:rFonts w:eastAsia="Times New Roman" w:cstheme="minorHAnsi"/>
          <w:iCs/>
          <w:sz w:val="24"/>
          <w:szCs w:val="24"/>
          <w:bdr w:val="none" w:sz="0" w:space="0" w:color="auto" w:frame="1"/>
          <w:lang w:eastAsia="en-GB"/>
        </w:rPr>
        <w:t xml:space="preserve">. Cole SR, Platt RW, Schisterman EF, et al. Illustrating bias due to conditioning on a collider. </w:t>
      </w:r>
      <w:r w:rsidR="006473D6" w:rsidRPr="002961C2">
        <w:rPr>
          <w:rFonts w:eastAsia="Times New Roman" w:cstheme="minorHAnsi"/>
          <w:i/>
          <w:iCs/>
          <w:sz w:val="24"/>
          <w:szCs w:val="24"/>
          <w:bdr w:val="none" w:sz="0" w:space="0" w:color="auto" w:frame="1"/>
          <w:lang w:eastAsia="en-GB"/>
        </w:rPr>
        <w:t>Int J. Epidemiol</w:t>
      </w:r>
      <w:r w:rsidR="006473D6" w:rsidRPr="002961C2">
        <w:rPr>
          <w:rFonts w:eastAsia="Times New Roman" w:cstheme="minorHAnsi"/>
          <w:iCs/>
          <w:sz w:val="24"/>
          <w:szCs w:val="24"/>
          <w:bdr w:val="none" w:sz="0" w:space="0" w:color="auto" w:frame="1"/>
          <w:lang w:eastAsia="en-GB"/>
        </w:rPr>
        <w:t xml:space="preserve">. 2010; </w:t>
      </w:r>
      <w:r w:rsidR="006473D6" w:rsidRPr="002961C2">
        <w:rPr>
          <w:rFonts w:eastAsia="Times New Roman" w:cstheme="minorHAnsi"/>
          <w:b/>
          <w:iCs/>
          <w:sz w:val="24"/>
          <w:szCs w:val="24"/>
          <w:bdr w:val="none" w:sz="0" w:space="0" w:color="auto" w:frame="1"/>
          <w:lang w:eastAsia="en-GB"/>
        </w:rPr>
        <w:t>39</w:t>
      </w:r>
      <w:r w:rsidR="006473D6" w:rsidRPr="002961C2">
        <w:rPr>
          <w:rFonts w:eastAsia="Times New Roman" w:cstheme="minorHAnsi"/>
          <w:iCs/>
          <w:sz w:val="24"/>
          <w:szCs w:val="24"/>
          <w:bdr w:val="none" w:sz="0" w:space="0" w:color="auto" w:frame="1"/>
          <w:lang w:eastAsia="en-GB"/>
        </w:rPr>
        <w:t xml:space="preserve">: 417–20. </w:t>
      </w:r>
    </w:p>
    <w:p w14:paraId="3906FB3B" w14:textId="7CDF704B" w:rsidR="006473D6" w:rsidRPr="002961C2" w:rsidRDefault="00103EB6" w:rsidP="006473D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19</w:t>
      </w:r>
      <w:r w:rsidR="00657982" w:rsidRPr="002961C2">
        <w:rPr>
          <w:rFonts w:eastAsia="Times New Roman" w:cstheme="minorHAnsi"/>
          <w:iCs/>
          <w:sz w:val="24"/>
          <w:szCs w:val="24"/>
          <w:bdr w:val="none" w:sz="0" w:space="0" w:color="auto" w:frame="1"/>
          <w:lang w:eastAsia="en-GB"/>
        </w:rPr>
        <w:t>. Griffith GJ,  Morris TT,  Tudball</w:t>
      </w:r>
      <w:r w:rsidR="006473D6" w:rsidRPr="002961C2">
        <w:rPr>
          <w:rFonts w:eastAsia="Times New Roman" w:cstheme="minorHAnsi"/>
          <w:iCs/>
          <w:sz w:val="24"/>
          <w:szCs w:val="24"/>
          <w:bdr w:val="none" w:sz="0" w:space="0" w:color="auto" w:frame="1"/>
          <w:lang w:eastAsia="en-GB"/>
        </w:rPr>
        <w:t xml:space="preserve"> MJ</w:t>
      </w:r>
      <w:r w:rsidR="00657982" w:rsidRPr="002961C2">
        <w:rPr>
          <w:rFonts w:eastAsia="Times New Roman" w:cstheme="minorHAnsi"/>
          <w:iCs/>
          <w:sz w:val="24"/>
          <w:szCs w:val="24"/>
          <w:bdr w:val="none" w:sz="0" w:space="0" w:color="auto" w:frame="1"/>
          <w:lang w:eastAsia="en-GB"/>
        </w:rPr>
        <w:t>,</w:t>
      </w:r>
      <w:r w:rsidR="006473D6" w:rsidRPr="002961C2">
        <w:rPr>
          <w:rFonts w:eastAsia="Times New Roman" w:cstheme="minorHAnsi"/>
          <w:iCs/>
          <w:sz w:val="24"/>
          <w:szCs w:val="24"/>
          <w:bdr w:val="none" w:sz="0" w:space="0" w:color="auto" w:frame="1"/>
          <w:lang w:eastAsia="en-GB"/>
        </w:rPr>
        <w:t xml:space="preserve"> et al. Collider bias undermines our understanding of COVID-19 disease risk and severity. </w:t>
      </w:r>
      <w:r w:rsidR="006473D6" w:rsidRPr="002961C2">
        <w:rPr>
          <w:rFonts w:eastAsia="Times New Roman" w:cstheme="minorHAnsi"/>
          <w:i/>
          <w:iCs/>
          <w:sz w:val="24"/>
          <w:szCs w:val="24"/>
          <w:bdr w:val="none" w:sz="0" w:space="0" w:color="auto" w:frame="1"/>
          <w:lang w:eastAsia="en-GB"/>
        </w:rPr>
        <w:t>Nature Comms</w:t>
      </w:r>
      <w:r w:rsidR="006473D6" w:rsidRPr="002961C2">
        <w:rPr>
          <w:rFonts w:eastAsia="Times New Roman" w:cstheme="minorHAnsi"/>
          <w:iCs/>
          <w:sz w:val="24"/>
          <w:szCs w:val="24"/>
          <w:bdr w:val="none" w:sz="0" w:space="0" w:color="auto" w:frame="1"/>
          <w:lang w:eastAsia="en-GB"/>
        </w:rPr>
        <w:t xml:space="preserve">. 2020; </w:t>
      </w:r>
      <w:r w:rsidR="006473D6" w:rsidRPr="002961C2">
        <w:rPr>
          <w:rFonts w:eastAsia="Times New Roman" w:cstheme="minorHAnsi"/>
          <w:b/>
          <w:iCs/>
          <w:sz w:val="24"/>
          <w:szCs w:val="24"/>
          <w:bdr w:val="none" w:sz="0" w:space="0" w:color="auto" w:frame="1"/>
          <w:lang w:eastAsia="en-GB"/>
        </w:rPr>
        <w:t>11</w:t>
      </w:r>
      <w:r w:rsidR="006473D6" w:rsidRPr="002961C2">
        <w:rPr>
          <w:rFonts w:eastAsia="Times New Roman" w:cstheme="minorHAnsi"/>
          <w:iCs/>
          <w:sz w:val="24"/>
          <w:szCs w:val="24"/>
          <w:bdr w:val="none" w:sz="0" w:space="0" w:color="auto" w:frame="1"/>
          <w:lang w:eastAsia="en-GB"/>
        </w:rPr>
        <w:t>: 5749.</w:t>
      </w:r>
    </w:p>
    <w:p w14:paraId="743F1E96" w14:textId="7C3EC8B4" w:rsidR="00103EB6" w:rsidRPr="002961C2" w:rsidRDefault="00103EB6" w:rsidP="006473D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 xml:space="preserve">20. </w:t>
      </w:r>
      <w:r w:rsidR="00657982" w:rsidRPr="002961C2">
        <w:rPr>
          <w:rFonts w:eastAsia="Times New Roman" w:cstheme="minorHAnsi"/>
          <w:iCs/>
          <w:sz w:val="24"/>
          <w:szCs w:val="24"/>
          <w:bdr w:val="none" w:sz="0" w:space="0" w:color="auto" w:frame="1"/>
          <w:lang w:eastAsia="en-GB"/>
        </w:rPr>
        <w:t>Minelli C, Del Greco M</w:t>
      </w:r>
      <w:r w:rsidRPr="002961C2">
        <w:rPr>
          <w:rFonts w:eastAsia="Times New Roman" w:cstheme="minorHAnsi"/>
          <w:iCs/>
          <w:sz w:val="24"/>
          <w:szCs w:val="24"/>
          <w:bdr w:val="none" w:sz="0" w:space="0" w:color="auto" w:frame="1"/>
          <w:lang w:eastAsia="en-GB"/>
        </w:rPr>
        <w:t>F, van der Plaat DA, Bowden J, Sheehan NA, Thompson J. The use of two-sample methods for Mendelian randomization analyses on single large datasets</w:t>
      </w:r>
      <w:r w:rsidRPr="002961C2">
        <w:rPr>
          <w:rFonts w:eastAsia="Times New Roman" w:cstheme="minorHAnsi"/>
          <w:i/>
          <w:iCs/>
          <w:sz w:val="24"/>
          <w:szCs w:val="24"/>
          <w:bdr w:val="none" w:sz="0" w:space="0" w:color="auto" w:frame="1"/>
          <w:lang w:eastAsia="en-GB"/>
        </w:rPr>
        <w:t>. Int J Epidemiol.</w:t>
      </w:r>
      <w:r w:rsidRPr="002961C2">
        <w:rPr>
          <w:rFonts w:eastAsia="Times New Roman" w:cstheme="minorHAnsi"/>
          <w:iCs/>
          <w:sz w:val="24"/>
          <w:szCs w:val="24"/>
          <w:bdr w:val="none" w:sz="0" w:space="0" w:color="auto" w:frame="1"/>
          <w:lang w:eastAsia="en-GB"/>
        </w:rPr>
        <w:t xml:space="preserve"> 2021; </w:t>
      </w:r>
      <w:r w:rsidRPr="002961C2">
        <w:rPr>
          <w:rFonts w:eastAsia="Times New Roman" w:cstheme="minorHAnsi"/>
          <w:b/>
          <w:iCs/>
          <w:sz w:val="24"/>
          <w:szCs w:val="24"/>
          <w:bdr w:val="none" w:sz="0" w:space="0" w:color="auto" w:frame="1"/>
          <w:lang w:eastAsia="en-GB"/>
        </w:rPr>
        <w:t>26</w:t>
      </w:r>
      <w:r w:rsidRPr="002961C2">
        <w:rPr>
          <w:rFonts w:eastAsia="Times New Roman" w:cstheme="minorHAnsi"/>
          <w:iCs/>
          <w:sz w:val="24"/>
          <w:szCs w:val="24"/>
          <w:bdr w:val="none" w:sz="0" w:space="0" w:color="auto" w:frame="1"/>
          <w:lang w:eastAsia="en-GB"/>
        </w:rPr>
        <w:t xml:space="preserve">:dyab084. Epub ahead of print. </w:t>
      </w:r>
    </w:p>
    <w:p w14:paraId="5BE0D94E" w14:textId="0350AA6C" w:rsidR="006473D6" w:rsidRPr="002961C2" w:rsidRDefault="00EC0FBE" w:rsidP="006473D6">
      <w:pPr>
        <w:spacing w:after="0" w:line="480" w:lineRule="auto"/>
        <w:rPr>
          <w:rFonts w:cstheme="minorHAnsi"/>
          <w:sz w:val="24"/>
          <w:szCs w:val="24"/>
        </w:rPr>
      </w:pPr>
      <w:r w:rsidRPr="002961C2">
        <w:rPr>
          <w:rFonts w:cstheme="minorHAnsi"/>
          <w:sz w:val="24"/>
          <w:szCs w:val="24"/>
        </w:rPr>
        <w:t>21</w:t>
      </w:r>
      <w:r w:rsidR="006473D6" w:rsidRPr="002961C2">
        <w:rPr>
          <w:rFonts w:cstheme="minorHAnsi"/>
          <w:sz w:val="24"/>
          <w:szCs w:val="24"/>
        </w:rPr>
        <w:t xml:space="preserve">. Burgess S, Butterworth A, Thompson S.G. Mendelian randomization analysis with multiple genetic variants using summarized data. </w:t>
      </w:r>
      <w:r w:rsidR="006473D6" w:rsidRPr="002961C2">
        <w:rPr>
          <w:rFonts w:cstheme="minorHAnsi"/>
          <w:i/>
          <w:sz w:val="24"/>
          <w:szCs w:val="24"/>
        </w:rPr>
        <w:t>Genet Epidemiol</w:t>
      </w:r>
      <w:r w:rsidR="006473D6" w:rsidRPr="002961C2">
        <w:rPr>
          <w:rFonts w:cstheme="minorHAnsi"/>
          <w:sz w:val="24"/>
          <w:szCs w:val="24"/>
        </w:rPr>
        <w:t xml:space="preserve">. 2013; </w:t>
      </w:r>
      <w:r w:rsidR="006473D6" w:rsidRPr="002961C2">
        <w:rPr>
          <w:rFonts w:cstheme="minorHAnsi"/>
          <w:b/>
          <w:sz w:val="24"/>
          <w:szCs w:val="24"/>
        </w:rPr>
        <w:t>37</w:t>
      </w:r>
      <w:r w:rsidR="006473D6" w:rsidRPr="002961C2">
        <w:rPr>
          <w:rFonts w:cstheme="minorHAnsi"/>
          <w:sz w:val="24"/>
          <w:szCs w:val="24"/>
        </w:rPr>
        <w:t>:</w:t>
      </w:r>
      <w:r w:rsidR="006473D6" w:rsidRPr="002961C2">
        <w:rPr>
          <w:rFonts w:cstheme="minorHAnsi"/>
          <w:b/>
          <w:sz w:val="24"/>
          <w:szCs w:val="24"/>
        </w:rPr>
        <w:t xml:space="preserve"> </w:t>
      </w:r>
      <w:r w:rsidR="006473D6" w:rsidRPr="002961C2">
        <w:rPr>
          <w:rFonts w:cstheme="minorHAnsi"/>
          <w:sz w:val="24"/>
          <w:szCs w:val="24"/>
        </w:rPr>
        <w:t>658</w:t>
      </w:r>
      <w:r w:rsidR="006473D6" w:rsidRPr="002961C2">
        <w:rPr>
          <w:rFonts w:eastAsia="Times New Roman" w:cstheme="minorHAnsi"/>
          <w:iCs/>
          <w:sz w:val="24"/>
          <w:szCs w:val="24"/>
          <w:bdr w:val="none" w:sz="0" w:space="0" w:color="auto" w:frame="1"/>
          <w:lang w:eastAsia="en-GB"/>
        </w:rPr>
        <w:t>–</w:t>
      </w:r>
      <w:r w:rsidR="006473D6" w:rsidRPr="002961C2">
        <w:rPr>
          <w:rFonts w:cstheme="minorHAnsi"/>
          <w:sz w:val="24"/>
          <w:szCs w:val="24"/>
        </w:rPr>
        <w:t>65.</w:t>
      </w:r>
    </w:p>
    <w:p w14:paraId="5BFD5B21" w14:textId="018FAA0C" w:rsidR="006473D6" w:rsidRPr="002961C2" w:rsidRDefault="00EC0FBE" w:rsidP="006473D6">
      <w:pPr>
        <w:spacing w:after="0" w:line="480" w:lineRule="auto"/>
        <w:rPr>
          <w:rFonts w:cstheme="minorHAnsi"/>
          <w:sz w:val="24"/>
          <w:szCs w:val="24"/>
        </w:rPr>
      </w:pPr>
      <w:r w:rsidRPr="002961C2">
        <w:rPr>
          <w:rFonts w:cstheme="minorHAnsi"/>
          <w:sz w:val="24"/>
          <w:szCs w:val="24"/>
        </w:rPr>
        <w:t>22</w:t>
      </w:r>
      <w:r w:rsidR="006473D6" w:rsidRPr="002961C2">
        <w:rPr>
          <w:rFonts w:cstheme="minorHAnsi"/>
          <w:sz w:val="24"/>
          <w:szCs w:val="24"/>
        </w:rPr>
        <w:t xml:space="preserve">. Bowden J, Davey Smith G, Haycock PC, Burgess S. Consistent Estimation in Mendelian Randomization with Some Invalid Instruments Using a Weighted Median Estimator. </w:t>
      </w:r>
      <w:r w:rsidR="006473D6" w:rsidRPr="002961C2">
        <w:rPr>
          <w:rFonts w:cstheme="minorHAnsi"/>
          <w:i/>
          <w:sz w:val="24"/>
          <w:szCs w:val="24"/>
        </w:rPr>
        <w:t>Genet Epidemiol</w:t>
      </w:r>
      <w:r w:rsidR="006473D6" w:rsidRPr="002961C2">
        <w:rPr>
          <w:rFonts w:cstheme="minorHAnsi"/>
          <w:sz w:val="24"/>
          <w:szCs w:val="24"/>
        </w:rPr>
        <w:t xml:space="preserve">. 2016; </w:t>
      </w:r>
      <w:r w:rsidR="006473D6" w:rsidRPr="002961C2">
        <w:rPr>
          <w:rFonts w:cstheme="minorHAnsi"/>
          <w:b/>
          <w:sz w:val="24"/>
          <w:szCs w:val="24"/>
        </w:rPr>
        <w:t>40</w:t>
      </w:r>
      <w:r w:rsidR="006473D6" w:rsidRPr="002961C2">
        <w:rPr>
          <w:rFonts w:cstheme="minorHAnsi"/>
          <w:sz w:val="24"/>
          <w:szCs w:val="24"/>
        </w:rPr>
        <w:t>: 304</w:t>
      </w:r>
      <w:r w:rsidR="006473D6" w:rsidRPr="002961C2">
        <w:rPr>
          <w:rFonts w:eastAsia="Times New Roman" w:cstheme="minorHAnsi"/>
          <w:iCs/>
          <w:sz w:val="24"/>
          <w:szCs w:val="24"/>
          <w:bdr w:val="none" w:sz="0" w:space="0" w:color="auto" w:frame="1"/>
          <w:lang w:eastAsia="en-GB"/>
        </w:rPr>
        <w:t>–</w:t>
      </w:r>
      <w:r w:rsidR="006473D6" w:rsidRPr="002961C2">
        <w:rPr>
          <w:rFonts w:cstheme="minorHAnsi"/>
          <w:sz w:val="24"/>
          <w:szCs w:val="24"/>
        </w:rPr>
        <w:t>14 (2016).</w:t>
      </w:r>
    </w:p>
    <w:p w14:paraId="219DDA01" w14:textId="52DE6634" w:rsidR="006473D6" w:rsidRPr="002961C2" w:rsidRDefault="00EC0FBE" w:rsidP="006473D6">
      <w:pPr>
        <w:spacing w:after="0" w:line="480" w:lineRule="auto"/>
        <w:rPr>
          <w:rFonts w:cstheme="minorHAnsi"/>
          <w:sz w:val="24"/>
          <w:szCs w:val="24"/>
        </w:rPr>
      </w:pPr>
      <w:r w:rsidRPr="002961C2">
        <w:rPr>
          <w:rFonts w:cstheme="minorHAnsi"/>
          <w:sz w:val="24"/>
          <w:szCs w:val="24"/>
        </w:rPr>
        <w:t>23</w:t>
      </w:r>
      <w:r w:rsidR="006473D6" w:rsidRPr="002961C2">
        <w:rPr>
          <w:rFonts w:cstheme="minorHAnsi"/>
          <w:sz w:val="24"/>
          <w:szCs w:val="24"/>
        </w:rPr>
        <w:t xml:space="preserve">. Bowden J, Davey Smith G and Burgess S. Mendelian randomization with invalid instruments: effect estimation and bias detection through Egger regression. </w:t>
      </w:r>
      <w:r w:rsidR="006473D6" w:rsidRPr="002961C2">
        <w:rPr>
          <w:rFonts w:cstheme="minorHAnsi"/>
          <w:i/>
          <w:sz w:val="24"/>
          <w:szCs w:val="24"/>
        </w:rPr>
        <w:t>Int J Epidemiol</w:t>
      </w:r>
      <w:r w:rsidR="006473D6" w:rsidRPr="002961C2">
        <w:rPr>
          <w:rFonts w:cstheme="minorHAnsi"/>
          <w:sz w:val="24"/>
          <w:szCs w:val="24"/>
        </w:rPr>
        <w:t xml:space="preserve">. 2015; </w:t>
      </w:r>
      <w:r w:rsidR="006473D6" w:rsidRPr="002961C2">
        <w:rPr>
          <w:rFonts w:cstheme="minorHAnsi"/>
          <w:b/>
          <w:sz w:val="24"/>
          <w:szCs w:val="24"/>
        </w:rPr>
        <w:t>44</w:t>
      </w:r>
      <w:r w:rsidR="006473D6" w:rsidRPr="002961C2">
        <w:rPr>
          <w:rFonts w:cstheme="minorHAnsi"/>
          <w:sz w:val="24"/>
          <w:szCs w:val="24"/>
        </w:rPr>
        <w:t>: 512</w:t>
      </w:r>
      <w:r w:rsidR="006473D6" w:rsidRPr="002961C2">
        <w:rPr>
          <w:rFonts w:eastAsia="Times New Roman" w:cstheme="minorHAnsi"/>
          <w:iCs/>
          <w:sz w:val="24"/>
          <w:szCs w:val="24"/>
          <w:bdr w:val="none" w:sz="0" w:space="0" w:color="auto" w:frame="1"/>
          <w:lang w:eastAsia="en-GB"/>
        </w:rPr>
        <w:t>–</w:t>
      </w:r>
      <w:r w:rsidR="006473D6" w:rsidRPr="002961C2">
        <w:rPr>
          <w:rFonts w:cstheme="minorHAnsi"/>
          <w:sz w:val="24"/>
          <w:szCs w:val="24"/>
        </w:rPr>
        <w:t xml:space="preserve">25. </w:t>
      </w:r>
    </w:p>
    <w:p w14:paraId="0AF54BB5" w14:textId="3302D94F" w:rsidR="006D0470" w:rsidRPr="002961C2" w:rsidRDefault="00EC0FBE" w:rsidP="006473D6">
      <w:pPr>
        <w:spacing w:after="0" w:line="480" w:lineRule="auto"/>
        <w:rPr>
          <w:rFonts w:cstheme="minorHAnsi"/>
          <w:sz w:val="24"/>
          <w:szCs w:val="24"/>
        </w:rPr>
      </w:pPr>
      <w:r w:rsidRPr="002961C2">
        <w:rPr>
          <w:rFonts w:cstheme="minorHAnsi"/>
          <w:sz w:val="24"/>
          <w:szCs w:val="24"/>
        </w:rPr>
        <w:t>24</w:t>
      </w:r>
      <w:r w:rsidR="006D0470" w:rsidRPr="002961C2">
        <w:rPr>
          <w:rFonts w:cstheme="minorHAnsi"/>
          <w:sz w:val="24"/>
          <w:szCs w:val="24"/>
        </w:rPr>
        <w:t>. Moro-Garcia MA, Alonso Arias R, Lopez-Larrea C. Molecular mechanisms involved in the aging of the T cell immune response. Curr Genom. 2012; 13: 589–602 (2012).</w:t>
      </w:r>
    </w:p>
    <w:p w14:paraId="3FC12A1C" w14:textId="1AD3F066" w:rsidR="006473D6" w:rsidRPr="002961C2" w:rsidRDefault="00EC0FBE" w:rsidP="006473D6">
      <w:pPr>
        <w:spacing w:after="0" w:line="480" w:lineRule="auto"/>
        <w:rPr>
          <w:rFonts w:cstheme="minorHAnsi"/>
          <w:sz w:val="24"/>
          <w:szCs w:val="24"/>
        </w:rPr>
      </w:pPr>
      <w:r w:rsidRPr="002961C2">
        <w:rPr>
          <w:rFonts w:cstheme="minorHAnsi"/>
          <w:sz w:val="24"/>
          <w:szCs w:val="24"/>
        </w:rPr>
        <w:t>25</w:t>
      </w:r>
      <w:r w:rsidR="006473D6" w:rsidRPr="002961C2">
        <w:rPr>
          <w:rFonts w:cstheme="minorHAnsi"/>
          <w:sz w:val="24"/>
          <w:szCs w:val="24"/>
        </w:rPr>
        <w:t>.</w:t>
      </w:r>
      <w:r w:rsidR="006473D6" w:rsidRPr="002961C2">
        <w:t xml:space="preserve"> </w:t>
      </w:r>
      <w:r w:rsidR="006473D6" w:rsidRPr="002961C2">
        <w:rPr>
          <w:rFonts w:cstheme="minorHAnsi"/>
          <w:sz w:val="24"/>
          <w:szCs w:val="24"/>
        </w:rPr>
        <w:t xml:space="preserve">Nehme J, Borghesan M, Mackedenski S, Bird TG, Demaria M. Cellular senescence as a potential mediator of COVID-19 severity in the elderly. </w:t>
      </w:r>
      <w:r w:rsidR="006473D6" w:rsidRPr="002961C2">
        <w:rPr>
          <w:rFonts w:cstheme="minorHAnsi"/>
          <w:i/>
          <w:sz w:val="24"/>
          <w:szCs w:val="24"/>
        </w:rPr>
        <w:t>Aging Cell</w:t>
      </w:r>
      <w:r w:rsidR="006473D6" w:rsidRPr="002961C2">
        <w:rPr>
          <w:rFonts w:cstheme="minorHAnsi"/>
          <w:sz w:val="24"/>
          <w:szCs w:val="24"/>
        </w:rPr>
        <w:t xml:space="preserve"> 2020; </w:t>
      </w:r>
      <w:r w:rsidR="006473D6" w:rsidRPr="002961C2">
        <w:rPr>
          <w:rFonts w:cstheme="minorHAnsi"/>
          <w:b/>
          <w:sz w:val="24"/>
          <w:szCs w:val="24"/>
        </w:rPr>
        <w:t>19</w:t>
      </w:r>
      <w:r w:rsidR="006473D6" w:rsidRPr="002961C2">
        <w:rPr>
          <w:rFonts w:cstheme="minorHAnsi"/>
          <w:sz w:val="24"/>
          <w:szCs w:val="24"/>
        </w:rPr>
        <w:t>: e13237.</w:t>
      </w:r>
    </w:p>
    <w:p w14:paraId="79ACAF82" w14:textId="549C8369" w:rsidR="006473D6" w:rsidRPr="002961C2" w:rsidRDefault="00EC0FBE" w:rsidP="006473D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26</w:t>
      </w:r>
      <w:r w:rsidR="006473D6" w:rsidRPr="002961C2">
        <w:rPr>
          <w:rFonts w:eastAsia="Times New Roman" w:cstheme="minorHAnsi"/>
          <w:iCs/>
          <w:sz w:val="24"/>
          <w:szCs w:val="24"/>
          <w:bdr w:val="none" w:sz="0" w:space="0" w:color="auto" w:frame="1"/>
          <w:lang w:eastAsia="en-GB"/>
        </w:rPr>
        <w:t>. Bellon M. &amp; Nicot C. Telomere Dynamics in Immune Senescence and Exhaustion Triggered by Chronic Viral Infection</w:t>
      </w:r>
      <w:r w:rsidR="006473D6" w:rsidRPr="002961C2">
        <w:rPr>
          <w:rFonts w:eastAsia="Times New Roman" w:cstheme="minorHAnsi"/>
          <w:i/>
          <w:iCs/>
          <w:sz w:val="24"/>
          <w:szCs w:val="24"/>
          <w:bdr w:val="none" w:sz="0" w:space="0" w:color="auto" w:frame="1"/>
          <w:lang w:eastAsia="en-GB"/>
        </w:rPr>
        <w:t xml:space="preserve">. Viruses. </w:t>
      </w:r>
      <w:r w:rsidR="006473D6" w:rsidRPr="002961C2">
        <w:rPr>
          <w:rFonts w:eastAsia="Times New Roman" w:cstheme="minorHAnsi"/>
          <w:iCs/>
          <w:sz w:val="24"/>
          <w:szCs w:val="24"/>
          <w:bdr w:val="none" w:sz="0" w:space="0" w:color="auto" w:frame="1"/>
          <w:lang w:eastAsia="en-GB"/>
        </w:rPr>
        <w:t xml:space="preserve">2017; </w:t>
      </w:r>
      <w:r w:rsidR="006473D6" w:rsidRPr="002961C2">
        <w:rPr>
          <w:rFonts w:eastAsia="Times New Roman" w:cstheme="minorHAnsi"/>
          <w:b/>
          <w:iCs/>
          <w:sz w:val="24"/>
          <w:szCs w:val="24"/>
          <w:bdr w:val="none" w:sz="0" w:space="0" w:color="auto" w:frame="1"/>
          <w:lang w:eastAsia="en-GB"/>
        </w:rPr>
        <w:t>9</w:t>
      </w:r>
      <w:r w:rsidR="006473D6" w:rsidRPr="002961C2">
        <w:rPr>
          <w:rFonts w:eastAsia="Times New Roman" w:cstheme="minorHAnsi"/>
          <w:iCs/>
          <w:sz w:val="24"/>
          <w:szCs w:val="24"/>
          <w:bdr w:val="none" w:sz="0" w:space="0" w:color="auto" w:frame="1"/>
          <w:lang w:eastAsia="en-GB"/>
        </w:rPr>
        <w:t>: 289.</w:t>
      </w:r>
    </w:p>
    <w:p w14:paraId="3AC94003" w14:textId="554EA0D4" w:rsidR="00EC0FBE" w:rsidRPr="002961C2" w:rsidRDefault="00EC0FBE" w:rsidP="00EC0FBE">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27. Gadalla</w:t>
      </w:r>
      <w:r w:rsidR="000649CE" w:rsidRPr="002961C2">
        <w:rPr>
          <w:rFonts w:eastAsia="Times New Roman" w:cstheme="minorHAnsi"/>
          <w:iCs/>
          <w:sz w:val="24"/>
          <w:szCs w:val="24"/>
          <w:bdr w:val="none" w:sz="0" w:space="0" w:color="auto" w:frame="1"/>
          <w:lang w:eastAsia="en-GB"/>
        </w:rPr>
        <w:t xml:space="preserve"> SM</w:t>
      </w:r>
      <w:r w:rsidRPr="002961C2">
        <w:rPr>
          <w:rFonts w:eastAsia="Times New Roman" w:cstheme="minorHAnsi"/>
          <w:iCs/>
          <w:sz w:val="24"/>
          <w:szCs w:val="24"/>
          <w:bdr w:val="none" w:sz="0" w:space="0" w:color="auto" w:frame="1"/>
          <w:lang w:eastAsia="en-GB"/>
        </w:rPr>
        <w:t xml:space="preserve">, et al. Donor telomere length and causes of death after unrelated hematopoietic cell transplantation in patients with marrow failure. </w:t>
      </w:r>
      <w:r w:rsidRPr="002961C2">
        <w:rPr>
          <w:rFonts w:eastAsia="Times New Roman" w:cstheme="minorHAnsi"/>
          <w:i/>
          <w:iCs/>
          <w:sz w:val="24"/>
          <w:szCs w:val="24"/>
          <w:bdr w:val="none" w:sz="0" w:space="0" w:color="auto" w:frame="1"/>
          <w:lang w:eastAsia="en-GB"/>
        </w:rPr>
        <w:t>Blood.</w:t>
      </w:r>
      <w:r w:rsidRPr="002961C2">
        <w:rPr>
          <w:rFonts w:eastAsia="Times New Roman" w:cstheme="minorHAnsi"/>
          <w:iCs/>
          <w:sz w:val="24"/>
          <w:szCs w:val="24"/>
          <w:bdr w:val="none" w:sz="0" w:space="0" w:color="auto" w:frame="1"/>
          <w:lang w:eastAsia="en-GB"/>
        </w:rPr>
        <w:t xml:space="preserve"> 2018; </w:t>
      </w:r>
      <w:r w:rsidRPr="002961C2">
        <w:rPr>
          <w:rFonts w:eastAsia="Times New Roman" w:cstheme="minorHAnsi"/>
          <w:b/>
          <w:iCs/>
          <w:sz w:val="24"/>
          <w:szCs w:val="24"/>
          <w:bdr w:val="none" w:sz="0" w:space="0" w:color="auto" w:frame="1"/>
          <w:lang w:eastAsia="en-GB"/>
        </w:rPr>
        <w:t>131</w:t>
      </w:r>
      <w:r w:rsidRPr="002961C2">
        <w:rPr>
          <w:rFonts w:eastAsia="Times New Roman" w:cstheme="minorHAnsi"/>
          <w:iCs/>
          <w:sz w:val="24"/>
          <w:szCs w:val="24"/>
          <w:bdr w:val="none" w:sz="0" w:space="0" w:color="auto" w:frame="1"/>
          <w:lang w:eastAsia="en-GB"/>
        </w:rPr>
        <w:t>:2393-2398.</w:t>
      </w:r>
    </w:p>
    <w:p w14:paraId="136A2F16" w14:textId="76FA71C4" w:rsidR="00EC0FBE" w:rsidRPr="002961C2" w:rsidRDefault="00EC0FBE" w:rsidP="00EC0FBE">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28. Cawthon</w:t>
      </w:r>
      <w:r w:rsidR="000649CE" w:rsidRPr="002961C2">
        <w:rPr>
          <w:rFonts w:eastAsia="Times New Roman" w:cstheme="minorHAnsi"/>
          <w:iCs/>
          <w:sz w:val="24"/>
          <w:szCs w:val="24"/>
          <w:bdr w:val="none" w:sz="0" w:space="0" w:color="auto" w:frame="1"/>
          <w:lang w:eastAsia="en-GB"/>
        </w:rPr>
        <w:t xml:space="preserve"> RM</w:t>
      </w:r>
      <w:r w:rsidRPr="002961C2">
        <w:rPr>
          <w:rFonts w:eastAsia="Times New Roman" w:cstheme="minorHAnsi"/>
          <w:iCs/>
          <w:sz w:val="24"/>
          <w:szCs w:val="24"/>
          <w:bdr w:val="none" w:sz="0" w:space="0" w:color="auto" w:frame="1"/>
          <w:lang w:eastAsia="en-GB"/>
        </w:rPr>
        <w:t>, Smith</w:t>
      </w:r>
      <w:r w:rsidR="000649CE" w:rsidRPr="002961C2">
        <w:rPr>
          <w:rFonts w:eastAsia="Times New Roman" w:cstheme="minorHAnsi"/>
          <w:iCs/>
          <w:sz w:val="24"/>
          <w:szCs w:val="24"/>
          <w:bdr w:val="none" w:sz="0" w:space="0" w:color="auto" w:frame="1"/>
          <w:lang w:eastAsia="en-GB"/>
        </w:rPr>
        <w:t xml:space="preserve"> KR</w:t>
      </w:r>
      <w:r w:rsidRPr="002961C2">
        <w:rPr>
          <w:rFonts w:eastAsia="Times New Roman" w:cstheme="minorHAnsi"/>
          <w:iCs/>
          <w:sz w:val="24"/>
          <w:szCs w:val="24"/>
          <w:bdr w:val="none" w:sz="0" w:space="0" w:color="auto" w:frame="1"/>
          <w:lang w:eastAsia="en-GB"/>
        </w:rPr>
        <w:t>, O'Brien</w:t>
      </w:r>
      <w:r w:rsidR="000649CE" w:rsidRPr="002961C2">
        <w:rPr>
          <w:rFonts w:eastAsia="Times New Roman" w:cstheme="minorHAnsi"/>
          <w:iCs/>
          <w:sz w:val="24"/>
          <w:szCs w:val="24"/>
          <w:bdr w:val="none" w:sz="0" w:space="0" w:color="auto" w:frame="1"/>
          <w:lang w:eastAsia="en-GB"/>
        </w:rPr>
        <w:t xml:space="preserve"> E</w:t>
      </w:r>
      <w:r w:rsidRPr="002961C2">
        <w:rPr>
          <w:rFonts w:eastAsia="Times New Roman" w:cstheme="minorHAnsi"/>
          <w:iCs/>
          <w:sz w:val="24"/>
          <w:szCs w:val="24"/>
          <w:bdr w:val="none" w:sz="0" w:space="0" w:color="auto" w:frame="1"/>
          <w:lang w:eastAsia="en-GB"/>
        </w:rPr>
        <w:t>, Sivatchenko</w:t>
      </w:r>
      <w:r w:rsidR="000649CE" w:rsidRPr="002961C2">
        <w:rPr>
          <w:rFonts w:eastAsia="Times New Roman" w:cstheme="minorHAnsi"/>
          <w:iCs/>
          <w:sz w:val="24"/>
          <w:szCs w:val="24"/>
          <w:bdr w:val="none" w:sz="0" w:space="0" w:color="auto" w:frame="1"/>
          <w:lang w:eastAsia="en-GB"/>
        </w:rPr>
        <w:t xml:space="preserve"> A</w:t>
      </w:r>
      <w:r w:rsidRPr="002961C2">
        <w:rPr>
          <w:rFonts w:eastAsia="Times New Roman" w:cstheme="minorHAnsi"/>
          <w:iCs/>
          <w:sz w:val="24"/>
          <w:szCs w:val="24"/>
          <w:bdr w:val="none" w:sz="0" w:space="0" w:color="auto" w:frame="1"/>
          <w:lang w:eastAsia="en-GB"/>
        </w:rPr>
        <w:t>, Kerber</w:t>
      </w:r>
      <w:r w:rsidR="000649CE" w:rsidRPr="002961C2">
        <w:rPr>
          <w:rFonts w:eastAsia="Times New Roman" w:cstheme="minorHAnsi"/>
          <w:iCs/>
          <w:sz w:val="24"/>
          <w:szCs w:val="24"/>
          <w:bdr w:val="none" w:sz="0" w:space="0" w:color="auto" w:frame="1"/>
          <w:lang w:eastAsia="en-GB"/>
        </w:rPr>
        <w:t xml:space="preserve"> RA</w:t>
      </w:r>
      <w:r w:rsidRPr="002961C2">
        <w:rPr>
          <w:rFonts w:eastAsia="Times New Roman" w:cstheme="minorHAnsi"/>
          <w:iCs/>
          <w:sz w:val="24"/>
          <w:szCs w:val="24"/>
          <w:bdr w:val="none" w:sz="0" w:space="0" w:color="auto" w:frame="1"/>
          <w:lang w:eastAsia="en-GB"/>
        </w:rPr>
        <w:t xml:space="preserve">. Association between telomere length in blood and mortality in people aged 60 years or older. </w:t>
      </w:r>
      <w:r w:rsidRPr="002961C2">
        <w:rPr>
          <w:rFonts w:eastAsia="Times New Roman" w:cstheme="minorHAnsi"/>
          <w:i/>
          <w:iCs/>
          <w:sz w:val="24"/>
          <w:szCs w:val="24"/>
          <w:bdr w:val="none" w:sz="0" w:space="0" w:color="auto" w:frame="1"/>
          <w:lang w:eastAsia="en-GB"/>
        </w:rPr>
        <w:t>Lancet</w:t>
      </w:r>
      <w:r w:rsidRPr="002961C2">
        <w:rPr>
          <w:rFonts w:eastAsia="Times New Roman" w:cstheme="minorHAnsi"/>
          <w:iCs/>
          <w:sz w:val="24"/>
          <w:szCs w:val="24"/>
          <w:bdr w:val="none" w:sz="0" w:space="0" w:color="auto" w:frame="1"/>
          <w:lang w:eastAsia="en-GB"/>
        </w:rPr>
        <w:t xml:space="preserve"> 2003;</w:t>
      </w:r>
      <w:r w:rsidRPr="002961C2">
        <w:rPr>
          <w:rFonts w:eastAsia="Times New Roman" w:cstheme="minorHAnsi"/>
          <w:b/>
          <w:iCs/>
          <w:sz w:val="24"/>
          <w:szCs w:val="24"/>
          <w:bdr w:val="none" w:sz="0" w:space="0" w:color="auto" w:frame="1"/>
          <w:lang w:eastAsia="en-GB"/>
        </w:rPr>
        <w:t>361</w:t>
      </w:r>
      <w:r w:rsidRPr="002961C2">
        <w:rPr>
          <w:rFonts w:eastAsia="Times New Roman" w:cstheme="minorHAnsi"/>
          <w:iCs/>
          <w:sz w:val="24"/>
          <w:szCs w:val="24"/>
          <w:bdr w:val="none" w:sz="0" w:space="0" w:color="auto" w:frame="1"/>
          <w:lang w:eastAsia="en-GB"/>
        </w:rPr>
        <w:t>:393-395.</w:t>
      </w:r>
    </w:p>
    <w:p w14:paraId="70D600CA" w14:textId="5F3D7DBE" w:rsidR="006473D6" w:rsidRPr="002961C2" w:rsidRDefault="006473D6" w:rsidP="006473D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2</w:t>
      </w:r>
      <w:r w:rsidR="00EC0FBE" w:rsidRPr="002961C2">
        <w:rPr>
          <w:rFonts w:eastAsia="Times New Roman" w:cstheme="minorHAnsi"/>
          <w:iCs/>
          <w:sz w:val="24"/>
          <w:szCs w:val="24"/>
          <w:bdr w:val="none" w:sz="0" w:space="0" w:color="auto" w:frame="1"/>
          <w:lang w:eastAsia="en-GB"/>
        </w:rPr>
        <w:t>9</w:t>
      </w:r>
      <w:r w:rsidRPr="002961C2">
        <w:rPr>
          <w:rFonts w:eastAsia="Times New Roman" w:cstheme="minorHAnsi"/>
          <w:iCs/>
          <w:sz w:val="24"/>
          <w:szCs w:val="24"/>
          <w:bdr w:val="none" w:sz="0" w:space="0" w:color="auto" w:frame="1"/>
          <w:lang w:eastAsia="en-GB"/>
        </w:rPr>
        <w:t xml:space="preserve">. Fry A. et al. Comparison of sociodemographic and health-related characteristics of UK Biobank participants with those of the general population. </w:t>
      </w:r>
      <w:r w:rsidRPr="002961C2">
        <w:rPr>
          <w:rFonts w:eastAsia="Times New Roman" w:cstheme="minorHAnsi"/>
          <w:i/>
          <w:iCs/>
          <w:sz w:val="24"/>
          <w:szCs w:val="24"/>
          <w:bdr w:val="none" w:sz="0" w:space="0" w:color="auto" w:frame="1"/>
          <w:lang w:eastAsia="en-GB"/>
        </w:rPr>
        <w:t>Am J Epidemiol</w:t>
      </w:r>
      <w:r w:rsidRPr="002961C2">
        <w:rPr>
          <w:rFonts w:eastAsia="Times New Roman" w:cstheme="minorHAnsi"/>
          <w:iCs/>
          <w:sz w:val="24"/>
          <w:szCs w:val="24"/>
          <w:bdr w:val="none" w:sz="0" w:space="0" w:color="auto" w:frame="1"/>
          <w:lang w:eastAsia="en-GB"/>
        </w:rPr>
        <w:t xml:space="preserve"> 2017; </w:t>
      </w:r>
      <w:r w:rsidRPr="002961C2">
        <w:rPr>
          <w:rFonts w:eastAsia="Times New Roman" w:cstheme="minorHAnsi"/>
          <w:b/>
          <w:iCs/>
          <w:sz w:val="24"/>
          <w:szCs w:val="24"/>
          <w:bdr w:val="none" w:sz="0" w:space="0" w:color="auto" w:frame="1"/>
          <w:lang w:eastAsia="en-GB"/>
        </w:rPr>
        <w:t>186</w:t>
      </w:r>
      <w:r w:rsidRPr="002961C2">
        <w:rPr>
          <w:rFonts w:eastAsia="Times New Roman" w:cstheme="minorHAnsi"/>
          <w:iCs/>
          <w:sz w:val="24"/>
          <w:szCs w:val="24"/>
          <w:bdr w:val="none" w:sz="0" w:space="0" w:color="auto" w:frame="1"/>
          <w:lang w:eastAsia="en-GB"/>
        </w:rPr>
        <w:t>: 1026–</w:t>
      </w:r>
      <w:r w:rsidR="00EC0FBE" w:rsidRPr="002961C2">
        <w:rPr>
          <w:rFonts w:eastAsia="Times New Roman" w:cstheme="minorHAnsi"/>
          <w:iCs/>
          <w:sz w:val="24"/>
          <w:szCs w:val="24"/>
          <w:bdr w:val="none" w:sz="0" w:space="0" w:color="auto" w:frame="1"/>
          <w:lang w:eastAsia="en-GB"/>
        </w:rPr>
        <w:t>10</w:t>
      </w:r>
      <w:r w:rsidRPr="002961C2">
        <w:rPr>
          <w:rFonts w:eastAsia="Times New Roman" w:cstheme="minorHAnsi"/>
          <w:iCs/>
          <w:sz w:val="24"/>
          <w:szCs w:val="24"/>
          <w:bdr w:val="none" w:sz="0" w:space="0" w:color="auto" w:frame="1"/>
          <w:lang w:eastAsia="en-GB"/>
        </w:rPr>
        <w:t>34.</w:t>
      </w:r>
    </w:p>
    <w:p w14:paraId="5CE93B3E" w14:textId="71897CF8" w:rsidR="006473D6" w:rsidRPr="002961C2" w:rsidRDefault="00EC0FBE" w:rsidP="006473D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30</w:t>
      </w:r>
      <w:r w:rsidR="006473D6" w:rsidRPr="002961C2">
        <w:rPr>
          <w:rFonts w:eastAsia="Times New Roman" w:cstheme="minorHAnsi"/>
          <w:iCs/>
          <w:sz w:val="24"/>
          <w:szCs w:val="24"/>
          <w:bdr w:val="none" w:sz="0" w:space="0" w:color="auto" w:frame="1"/>
          <w:lang w:eastAsia="en-GB"/>
        </w:rPr>
        <w:t>. Batty GD, Gale CR, Kivimäk</w:t>
      </w:r>
      <w:r w:rsidR="00E37E08">
        <w:rPr>
          <w:rFonts w:eastAsia="Times New Roman" w:cstheme="minorHAnsi"/>
          <w:iCs/>
          <w:sz w:val="24"/>
          <w:szCs w:val="24"/>
          <w:bdr w:val="none" w:sz="0" w:space="0" w:color="auto" w:frame="1"/>
          <w:lang w:eastAsia="en-GB"/>
        </w:rPr>
        <w:t>i</w:t>
      </w:r>
      <w:r w:rsidR="006473D6" w:rsidRPr="002961C2">
        <w:rPr>
          <w:rFonts w:eastAsia="Times New Roman" w:cstheme="minorHAnsi"/>
          <w:iCs/>
          <w:sz w:val="24"/>
          <w:szCs w:val="24"/>
          <w:bdr w:val="none" w:sz="0" w:space="0" w:color="auto" w:frame="1"/>
          <w:lang w:eastAsia="en-GB"/>
        </w:rPr>
        <w:t>, M, Deary IJ</w:t>
      </w:r>
      <w:r w:rsidR="00657982" w:rsidRPr="002961C2">
        <w:rPr>
          <w:rFonts w:eastAsia="Times New Roman" w:cstheme="minorHAnsi"/>
          <w:iCs/>
          <w:sz w:val="24"/>
          <w:szCs w:val="24"/>
          <w:bdr w:val="none" w:sz="0" w:space="0" w:color="auto" w:frame="1"/>
          <w:lang w:eastAsia="en-GB"/>
        </w:rPr>
        <w:t>, Bell</w:t>
      </w:r>
      <w:r w:rsidR="006473D6" w:rsidRPr="002961C2">
        <w:rPr>
          <w:rFonts w:eastAsia="Times New Roman" w:cstheme="minorHAnsi"/>
          <w:iCs/>
          <w:sz w:val="24"/>
          <w:szCs w:val="24"/>
          <w:bdr w:val="none" w:sz="0" w:space="0" w:color="auto" w:frame="1"/>
          <w:lang w:eastAsia="en-GB"/>
        </w:rPr>
        <w:t xml:space="preserve"> S. Comparison of risk factor associations in UK Biobank against representative, general population based studies with conventional response rates: prospective cohort study and individual participant meta-analysis. </w:t>
      </w:r>
      <w:r w:rsidR="006473D6" w:rsidRPr="00E37E08">
        <w:rPr>
          <w:rFonts w:eastAsia="Times New Roman" w:cstheme="minorHAnsi"/>
          <w:i/>
          <w:iCs/>
          <w:sz w:val="24"/>
          <w:szCs w:val="24"/>
          <w:bdr w:val="none" w:sz="0" w:space="0" w:color="auto" w:frame="1"/>
          <w:lang w:eastAsia="en-GB"/>
        </w:rPr>
        <w:t>BMJ</w:t>
      </w:r>
      <w:r w:rsidR="006473D6" w:rsidRPr="002961C2">
        <w:rPr>
          <w:rFonts w:eastAsia="Times New Roman" w:cstheme="minorHAnsi"/>
          <w:iCs/>
          <w:sz w:val="24"/>
          <w:szCs w:val="24"/>
          <w:bdr w:val="none" w:sz="0" w:space="0" w:color="auto" w:frame="1"/>
          <w:lang w:eastAsia="en-GB"/>
        </w:rPr>
        <w:t xml:space="preserve"> </w:t>
      </w:r>
      <w:r w:rsidR="00E37E08">
        <w:rPr>
          <w:rFonts w:eastAsia="Times New Roman" w:cstheme="minorHAnsi"/>
          <w:iCs/>
          <w:sz w:val="24"/>
          <w:szCs w:val="24"/>
          <w:bdr w:val="none" w:sz="0" w:space="0" w:color="auto" w:frame="1"/>
          <w:lang w:eastAsia="en-GB"/>
        </w:rPr>
        <w:t>2020; 368:m131</w:t>
      </w:r>
      <w:r w:rsidR="006473D6" w:rsidRPr="002961C2">
        <w:rPr>
          <w:rFonts w:eastAsia="Times New Roman" w:cstheme="minorHAnsi"/>
          <w:iCs/>
          <w:sz w:val="24"/>
          <w:szCs w:val="24"/>
          <w:bdr w:val="none" w:sz="0" w:space="0" w:color="auto" w:frame="1"/>
          <w:lang w:eastAsia="en-GB"/>
        </w:rPr>
        <w:t>.</w:t>
      </w:r>
    </w:p>
    <w:p w14:paraId="6F96528D" w14:textId="44F396AE" w:rsidR="00E37E08" w:rsidRPr="00612AA9" w:rsidRDefault="00E37E08" w:rsidP="006473D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r w:rsidRPr="00612AA9">
        <w:rPr>
          <w:rFonts w:eastAsia="Times New Roman" w:cstheme="minorHAnsi"/>
          <w:iCs/>
          <w:sz w:val="24"/>
          <w:szCs w:val="24"/>
          <w:bdr w:val="none" w:sz="0" w:space="0" w:color="auto" w:frame="1"/>
          <w:lang w:eastAsia="en-GB"/>
        </w:rPr>
        <w:t xml:space="preserve">31. The COVID-19 Host Genetics Initiative. The COVID-19 Host Genetics Initiative, a global initiative to elucidate the role of host genetic factors in susceptibility and severity of the SARS-CoV-2 virus pandemic. </w:t>
      </w:r>
      <w:r w:rsidRPr="00612AA9">
        <w:rPr>
          <w:rFonts w:eastAsia="Times New Roman" w:cstheme="minorHAnsi"/>
          <w:i/>
          <w:iCs/>
          <w:sz w:val="24"/>
          <w:szCs w:val="24"/>
          <w:bdr w:val="none" w:sz="0" w:space="0" w:color="auto" w:frame="1"/>
          <w:lang w:eastAsia="en-GB"/>
        </w:rPr>
        <w:t>Eur J Hum Genet</w:t>
      </w:r>
      <w:r w:rsidRPr="00612AA9">
        <w:rPr>
          <w:rFonts w:eastAsia="Times New Roman" w:cstheme="minorHAnsi"/>
          <w:iCs/>
          <w:sz w:val="24"/>
          <w:szCs w:val="24"/>
          <w:bdr w:val="none" w:sz="0" w:space="0" w:color="auto" w:frame="1"/>
          <w:lang w:eastAsia="en-GB"/>
        </w:rPr>
        <w:t xml:space="preserve"> 2020; </w:t>
      </w:r>
      <w:r w:rsidRPr="00612AA9">
        <w:rPr>
          <w:rFonts w:eastAsia="Times New Roman" w:cstheme="minorHAnsi"/>
          <w:b/>
          <w:iCs/>
          <w:sz w:val="24"/>
          <w:szCs w:val="24"/>
          <w:bdr w:val="none" w:sz="0" w:space="0" w:color="auto" w:frame="1"/>
          <w:lang w:eastAsia="en-GB"/>
        </w:rPr>
        <w:t>28</w:t>
      </w:r>
      <w:r w:rsidRPr="00612AA9">
        <w:rPr>
          <w:rFonts w:eastAsia="Times New Roman" w:cstheme="minorHAnsi"/>
          <w:iCs/>
          <w:sz w:val="24"/>
          <w:szCs w:val="24"/>
          <w:bdr w:val="none" w:sz="0" w:space="0" w:color="auto" w:frame="1"/>
          <w:lang w:eastAsia="en-GB"/>
        </w:rPr>
        <w:t xml:space="preserve">: 715–718. </w:t>
      </w:r>
    </w:p>
    <w:p w14:paraId="49FB4D60" w14:textId="77777777" w:rsidR="000042F5" w:rsidRPr="002961C2" w:rsidRDefault="000042F5" w:rsidP="00BA5BC6">
      <w:pPr>
        <w:widowControl w:val="0"/>
        <w:autoSpaceDE w:val="0"/>
        <w:autoSpaceDN w:val="0"/>
        <w:adjustRightInd w:val="0"/>
        <w:spacing w:after="0" w:line="480" w:lineRule="auto"/>
        <w:rPr>
          <w:rFonts w:eastAsia="Times New Roman" w:cstheme="minorHAnsi"/>
          <w:iCs/>
          <w:sz w:val="24"/>
          <w:szCs w:val="24"/>
          <w:bdr w:val="none" w:sz="0" w:space="0" w:color="auto" w:frame="1"/>
          <w:lang w:eastAsia="en-GB"/>
        </w:rPr>
      </w:pPr>
    </w:p>
    <w:p w14:paraId="48D43258" w14:textId="77777777" w:rsidR="006B268C" w:rsidRPr="003950A0" w:rsidRDefault="006B268C" w:rsidP="006B268C">
      <w:pPr>
        <w:widowControl w:val="0"/>
        <w:autoSpaceDE w:val="0"/>
        <w:autoSpaceDN w:val="0"/>
        <w:adjustRightInd w:val="0"/>
        <w:spacing w:after="0" w:line="360" w:lineRule="auto"/>
        <w:rPr>
          <w:rFonts w:eastAsia="Times New Roman" w:cstheme="minorHAnsi"/>
          <w:iCs/>
          <w:sz w:val="24"/>
          <w:szCs w:val="24"/>
          <w:bdr w:val="none" w:sz="0" w:space="0" w:color="auto" w:frame="1"/>
          <w:lang w:eastAsia="en-GB"/>
        </w:rPr>
      </w:pPr>
    </w:p>
    <w:p w14:paraId="4FC2BA39" w14:textId="2B1CDBEF" w:rsidR="00082B6F" w:rsidRDefault="00E5017C" w:rsidP="00E5017C">
      <w:pPr>
        <w:rPr>
          <w:rFonts w:eastAsia="Times New Roman" w:cstheme="minorHAnsi"/>
          <w:b/>
          <w:iCs/>
          <w:sz w:val="24"/>
          <w:szCs w:val="24"/>
          <w:bdr w:val="none" w:sz="0" w:space="0" w:color="auto" w:frame="1"/>
          <w:lang w:eastAsia="en-GB"/>
        </w:rPr>
      </w:pPr>
      <w:r>
        <w:rPr>
          <w:rFonts w:eastAsia="Times New Roman" w:cstheme="minorHAnsi"/>
          <w:b/>
          <w:iCs/>
          <w:szCs w:val="24"/>
          <w:bdr w:val="none" w:sz="0" w:space="0" w:color="auto" w:frame="1"/>
          <w:lang w:eastAsia="en-GB"/>
        </w:rPr>
        <w:t>D</w:t>
      </w:r>
      <w:r w:rsidR="00082B6F">
        <w:rPr>
          <w:rFonts w:eastAsia="Times New Roman" w:cstheme="minorHAnsi"/>
          <w:b/>
          <w:iCs/>
          <w:sz w:val="24"/>
          <w:szCs w:val="24"/>
          <w:bdr w:val="none" w:sz="0" w:space="0" w:color="auto" w:frame="1"/>
          <w:lang w:eastAsia="en-GB"/>
        </w:rPr>
        <w:t>ata sharing</w:t>
      </w:r>
    </w:p>
    <w:p w14:paraId="0EED4400" w14:textId="2CF3C834" w:rsidR="00082B6F" w:rsidRDefault="00082B6F" w:rsidP="00082B6F">
      <w:pPr>
        <w:spacing w:line="480" w:lineRule="auto"/>
        <w:rPr>
          <w:rFonts w:eastAsia="Times New Roman" w:cstheme="minorHAnsi"/>
          <w:iCs/>
          <w:sz w:val="24"/>
          <w:szCs w:val="24"/>
          <w:bdr w:val="none" w:sz="0" w:space="0" w:color="auto" w:frame="1"/>
          <w:lang w:eastAsia="en-GB"/>
        </w:rPr>
      </w:pPr>
      <w:r w:rsidRPr="00082B6F">
        <w:rPr>
          <w:rFonts w:eastAsia="Times New Roman" w:cstheme="minorHAnsi"/>
          <w:iCs/>
          <w:sz w:val="24"/>
          <w:szCs w:val="24"/>
          <w:bdr w:val="none" w:sz="0" w:space="0" w:color="auto" w:frame="1"/>
          <w:lang w:eastAsia="en-GB"/>
        </w:rPr>
        <w:t>Source data is accessible via application to</w:t>
      </w:r>
      <w:r w:rsidR="00E5017C">
        <w:rPr>
          <w:rFonts w:eastAsia="Times New Roman" w:cstheme="minorHAnsi"/>
          <w:iCs/>
          <w:sz w:val="24"/>
          <w:szCs w:val="24"/>
          <w:bdr w:val="none" w:sz="0" w:space="0" w:color="auto" w:frame="1"/>
          <w:lang w:eastAsia="en-GB"/>
        </w:rPr>
        <w:t xml:space="preserve"> the</w:t>
      </w:r>
      <w:r w:rsidRPr="00082B6F">
        <w:rPr>
          <w:rFonts w:eastAsia="Times New Roman" w:cstheme="minorHAnsi"/>
          <w:iCs/>
          <w:sz w:val="24"/>
          <w:szCs w:val="24"/>
          <w:bdr w:val="none" w:sz="0" w:space="0" w:color="auto" w:frame="1"/>
          <w:lang w:eastAsia="en-GB"/>
        </w:rPr>
        <w:t xml:space="preserve"> UK Biobank. </w:t>
      </w:r>
    </w:p>
    <w:p w14:paraId="7443377A" w14:textId="2E4101C2" w:rsidR="009B2B62" w:rsidRPr="005024CC" w:rsidRDefault="009B2B62" w:rsidP="00082B6F">
      <w:pPr>
        <w:spacing w:line="480" w:lineRule="auto"/>
        <w:rPr>
          <w:rFonts w:eastAsia="Times New Roman" w:cstheme="minorHAnsi"/>
          <w:b/>
          <w:iCs/>
          <w:sz w:val="24"/>
          <w:szCs w:val="24"/>
          <w:bdr w:val="none" w:sz="0" w:space="0" w:color="auto" w:frame="1"/>
          <w:lang w:eastAsia="en-GB"/>
        </w:rPr>
      </w:pPr>
      <w:r w:rsidRPr="005024CC">
        <w:rPr>
          <w:rFonts w:eastAsia="Times New Roman" w:cstheme="minorHAnsi"/>
          <w:b/>
          <w:iCs/>
          <w:sz w:val="24"/>
          <w:szCs w:val="24"/>
          <w:bdr w:val="none" w:sz="0" w:space="0" w:color="auto" w:frame="1"/>
          <w:lang w:eastAsia="en-GB"/>
        </w:rPr>
        <w:t>Acknowledgements</w:t>
      </w:r>
    </w:p>
    <w:p w14:paraId="00245827" w14:textId="5BDA5961" w:rsidR="00082B6F" w:rsidRDefault="009B2B62" w:rsidP="00082B6F">
      <w:pPr>
        <w:spacing w:line="480" w:lineRule="auto"/>
        <w:rPr>
          <w:rFonts w:eastAsia="Times New Roman" w:cstheme="minorHAnsi"/>
          <w:b/>
          <w:iCs/>
          <w:sz w:val="24"/>
          <w:szCs w:val="24"/>
          <w:bdr w:val="none" w:sz="0" w:space="0" w:color="auto" w:frame="1"/>
          <w:lang w:eastAsia="en-GB"/>
        </w:rPr>
      </w:pPr>
      <w:r w:rsidRPr="005024CC">
        <w:rPr>
          <w:rFonts w:eastAsia="Times New Roman" w:cstheme="minorHAnsi"/>
          <w:iCs/>
          <w:sz w:val="24"/>
          <w:szCs w:val="24"/>
          <w:bdr w:val="none" w:sz="0" w:space="0" w:color="auto" w:frame="1"/>
          <w:lang w:eastAsia="en-GB"/>
        </w:rPr>
        <w:t xml:space="preserve">This research has been conducted using the UK Biobank Resource under Application Number 6077 and was funded by the UK Medical Research Council (MRC), Biotechnology and Biological Sciences Research Council and British Heart Foundation (BHF) through MRC grant MR/M012816/1. C.P.N is funded by the BHF (SP/16/4/32697). V.C., C.M., V.B., Q.W., C.P.N. and N.J.S. are supported by the National Institute for Health Research (NIHR) Leicester Cardiovascular Biomedical Research Centre (BRC-1215-20010). Cambridge University investigators are supported by the B.H.F (RG/13/13/30194; RG/18/13/33946), Health Data Research UK, NIHR Cambridge Biomedical Research Centre (BRC-1215-20014), NIHR Blood and Transplant Research Unit in Donor Health and Genomics (NIHR BTRU-2014-10024) and MRC (MR/L003120/1). J.D. holds a BHF Personal Professorship and NIHR Senior Investigator Award. A.M.W. and E.A. received support from the EU/EFPIA Innovative Medicines Initiative Joint Undertaking BigData@Heart (11607). </w:t>
      </w:r>
      <w:r w:rsidR="00082B6F" w:rsidRPr="00082B6F">
        <w:rPr>
          <w:rFonts w:eastAsia="Times New Roman" w:cstheme="minorHAnsi"/>
          <w:iCs/>
          <w:sz w:val="24"/>
          <w:szCs w:val="24"/>
          <w:bdr w:val="none" w:sz="0" w:space="0" w:color="auto" w:frame="1"/>
          <w:lang w:eastAsia="en-GB"/>
        </w:rPr>
        <w:t xml:space="preserve">Z.R.E. </w:t>
      </w:r>
      <w:r w:rsidR="009B6F3E">
        <w:rPr>
          <w:rFonts w:eastAsia="Times New Roman" w:cstheme="minorHAnsi"/>
          <w:iCs/>
          <w:sz w:val="24"/>
          <w:szCs w:val="24"/>
          <w:bdr w:val="none" w:sz="0" w:space="0" w:color="auto" w:frame="1"/>
          <w:lang w:eastAsia="en-GB"/>
        </w:rPr>
        <w:t>is</w:t>
      </w:r>
      <w:r w:rsidR="00082B6F" w:rsidRPr="00082B6F">
        <w:rPr>
          <w:rFonts w:eastAsia="Times New Roman" w:cstheme="minorHAnsi"/>
          <w:iCs/>
          <w:sz w:val="24"/>
          <w:szCs w:val="24"/>
          <w:bdr w:val="none" w:sz="0" w:space="0" w:color="auto" w:frame="1"/>
          <w:lang w:eastAsia="en-GB"/>
        </w:rPr>
        <w:t xml:space="preserve"> supported by B</w:t>
      </w:r>
      <w:r w:rsidR="009B6F3E">
        <w:rPr>
          <w:rFonts w:eastAsia="Times New Roman" w:cstheme="minorHAnsi"/>
          <w:iCs/>
          <w:sz w:val="24"/>
          <w:szCs w:val="24"/>
          <w:bdr w:val="none" w:sz="0" w:space="0" w:color="auto" w:frame="1"/>
          <w:lang w:eastAsia="en-GB"/>
        </w:rPr>
        <w:t>HF</w:t>
      </w:r>
      <w:r w:rsidR="00082B6F" w:rsidRPr="00082B6F">
        <w:rPr>
          <w:rFonts w:eastAsia="Times New Roman" w:cstheme="minorHAnsi"/>
          <w:iCs/>
          <w:sz w:val="24"/>
          <w:szCs w:val="24"/>
          <w:bdr w:val="none" w:sz="0" w:space="0" w:color="auto" w:frame="1"/>
          <w:lang w:eastAsia="en-GB"/>
        </w:rPr>
        <w:t xml:space="preserve"> Clinical Research Training Fellowship No. FS/17/81/33318. </w:t>
      </w:r>
      <w:r w:rsidR="00082B6F">
        <w:rPr>
          <w:rFonts w:eastAsia="Times New Roman" w:cstheme="minorHAnsi"/>
          <w:iCs/>
          <w:sz w:val="24"/>
          <w:szCs w:val="24"/>
          <w:bdr w:val="none" w:sz="0" w:space="0" w:color="auto" w:frame="1"/>
          <w:lang w:eastAsia="en-GB"/>
        </w:rPr>
        <w:t>S.</w:t>
      </w:r>
      <w:r w:rsidR="00082B6F" w:rsidRPr="00082B6F">
        <w:rPr>
          <w:rFonts w:eastAsia="Times New Roman" w:cstheme="minorHAnsi"/>
          <w:iCs/>
          <w:sz w:val="24"/>
          <w:szCs w:val="24"/>
          <w:bdr w:val="none" w:sz="0" w:space="0" w:color="auto" w:frame="1"/>
          <w:lang w:eastAsia="en-GB"/>
        </w:rPr>
        <w:t>E</w:t>
      </w:r>
      <w:r w:rsidR="00082B6F">
        <w:rPr>
          <w:rFonts w:eastAsia="Times New Roman" w:cstheme="minorHAnsi"/>
          <w:iCs/>
          <w:sz w:val="24"/>
          <w:szCs w:val="24"/>
          <w:bdr w:val="none" w:sz="0" w:space="0" w:color="auto" w:frame="1"/>
          <w:lang w:eastAsia="en-GB"/>
        </w:rPr>
        <w:t>.</w:t>
      </w:r>
      <w:r w:rsidR="00082B6F" w:rsidRPr="00082B6F">
        <w:rPr>
          <w:rFonts w:eastAsia="Times New Roman" w:cstheme="minorHAnsi"/>
          <w:iCs/>
          <w:sz w:val="24"/>
          <w:szCs w:val="24"/>
          <w:bdr w:val="none" w:sz="0" w:space="0" w:color="auto" w:frame="1"/>
          <w:lang w:eastAsia="en-GB"/>
        </w:rPr>
        <w:t>P</w:t>
      </w:r>
      <w:r w:rsidR="00082B6F">
        <w:rPr>
          <w:rFonts w:eastAsia="Times New Roman" w:cstheme="minorHAnsi"/>
          <w:iCs/>
          <w:sz w:val="24"/>
          <w:szCs w:val="24"/>
          <w:bdr w:val="none" w:sz="0" w:space="0" w:color="auto" w:frame="1"/>
          <w:lang w:eastAsia="en-GB"/>
        </w:rPr>
        <w:t>.</w:t>
      </w:r>
      <w:r w:rsidR="00082B6F" w:rsidRPr="00082B6F">
        <w:rPr>
          <w:rFonts w:eastAsia="Times New Roman" w:cstheme="minorHAnsi"/>
          <w:iCs/>
          <w:sz w:val="24"/>
          <w:szCs w:val="24"/>
          <w:bdr w:val="none" w:sz="0" w:space="0" w:color="auto" w:frame="1"/>
          <w:lang w:eastAsia="en-GB"/>
        </w:rPr>
        <w:t xml:space="preserve"> acknowledges support from the N</w:t>
      </w:r>
      <w:r w:rsidR="009B6F3E">
        <w:rPr>
          <w:rFonts w:eastAsia="Times New Roman" w:cstheme="minorHAnsi"/>
          <w:iCs/>
          <w:sz w:val="24"/>
          <w:szCs w:val="24"/>
          <w:bdr w:val="none" w:sz="0" w:space="0" w:color="auto" w:frame="1"/>
          <w:lang w:eastAsia="en-GB"/>
        </w:rPr>
        <w:t>IHR</w:t>
      </w:r>
      <w:r w:rsidR="00082B6F" w:rsidRPr="00082B6F">
        <w:rPr>
          <w:rFonts w:eastAsia="Times New Roman" w:cstheme="minorHAnsi"/>
          <w:iCs/>
          <w:sz w:val="24"/>
          <w:szCs w:val="24"/>
          <w:bdr w:val="none" w:sz="0" w:space="0" w:color="auto" w:frame="1"/>
          <w:lang w:eastAsia="en-GB"/>
        </w:rPr>
        <w:t xml:space="preserve"> Barts Biomedical Research Centre.</w:t>
      </w:r>
      <w:r w:rsidR="00082B6F" w:rsidRPr="00082B6F">
        <w:rPr>
          <w:rFonts w:eastAsia="Times New Roman" w:cstheme="minorHAnsi"/>
          <w:b/>
          <w:iCs/>
          <w:sz w:val="24"/>
          <w:szCs w:val="24"/>
          <w:bdr w:val="none" w:sz="0" w:space="0" w:color="auto" w:frame="1"/>
          <w:lang w:eastAsia="en-GB"/>
        </w:rPr>
        <w:t xml:space="preserve"> </w:t>
      </w:r>
    </w:p>
    <w:p w14:paraId="60AF3080" w14:textId="16C78ACB" w:rsidR="009B2B62" w:rsidRPr="005024CC" w:rsidRDefault="009B2B62" w:rsidP="00082B6F">
      <w:pPr>
        <w:spacing w:line="480" w:lineRule="auto"/>
        <w:rPr>
          <w:rFonts w:eastAsia="Times New Roman" w:cstheme="minorHAnsi"/>
          <w:b/>
          <w:iCs/>
          <w:sz w:val="24"/>
          <w:szCs w:val="24"/>
          <w:bdr w:val="none" w:sz="0" w:space="0" w:color="auto" w:frame="1"/>
          <w:lang w:eastAsia="en-GB"/>
        </w:rPr>
      </w:pPr>
      <w:r w:rsidRPr="005024CC">
        <w:rPr>
          <w:rFonts w:eastAsia="Times New Roman" w:cstheme="minorHAnsi"/>
          <w:b/>
          <w:iCs/>
          <w:sz w:val="24"/>
          <w:szCs w:val="24"/>
          <w:bdr w:val="none" w:sz="0" w:space="0" w:color="auto" w:frame="1"/>
          <w:lang w:eastAsia="en-GB"/>
        </w:rPr>
        <w:t>Author Contributions</w:t>
      </w:r>
    </w:p>
    <w:p w14:paraId="3BE49A0F" w14:textId="77777777" w:rsidR="009B2B62" w:rsidRPr="005024CC" w:rsidRDefault="005024CC" w:rsidP="005024CC">
      <w:pPr>
        <w:spacing w:line="480" w:lineRule="auto"/>
        <w:rPr>
          <w:rFonts w:eastAsia="Times New Roman" w:cstheme="minorHAnsi"/>
          <w:iCs/>
          <w:sz w:val="24"/>
          <w:szCs w:val="24"/>
          <w:bdr w:val="none" w:sz="0" w:space="0" w:color="auto" w:frame="1"/>
          <w:lang w:eastAsia="en-GB"/>
        </w:rPr>
      </w:pPr>
      <w:r w:rsidRPr="005024CC">
        <w:rPr>
          <w:rFonts w:eastAsia="Times New Roman" w:cstheme="minorHAnsi"/>
          <w:iCs/>
          <w:sz w:val="24"/>
          <w:szCs w:val="24"/>
          <w:bdr w:val="none" w:sz="0" w:space="0" w:color="auto" w:frame="1"/>
          <w:lang w:eastAsia="en-GB"/>
        </w:rPr>
        <w:t>V.C., C.P.N., J.N.D, S.E.P, N.</w:t>
      </w:r>
      <w:r>
        <w:rPr>
          <w:rFonts w:eastAsia="Times New Roman" w:cstheme="minorHAnsi"/>
          <w:iCs/>
          <w:sz w:val="24"/>
          <w:szCs w:val="24"/>
          <w:bdr w:val="none" w:sz="0" w:space="0" w:color="auto" w:frame="1"/>
          <w:lang w:eastAsia="en-GB"/>
        </w:rPr>
        <w:t>C</w:t>
      </w:r>
      <w:r w:rsidRPr="005024CC">
        <w:rPr>
          <w:rFonts w:eastAsia="Times New Roman" w:cstheme="minorHAnsi"/>
          <w:iCs/>
          <w:sz w:val="24"/>
          <w:szCs w:val="24"/>
          <w:bdr w:val="none" w:sz="0" w:space="0" w:color="auto" w:frame="1"/>
          <w:lang w:eastAsia="en-GB"/>
        </w:rPr>
        <w:t>.H.</w:t>
      </w:r>
      <w:r>
        <w:rPr>
          <w:rFonts w:eastAsia="Times New Roman" w:cstheme="minorHAnsi"/>
          <w:iCs/>
          <w:sz w:val="24"/>
          <w:szCs w:val="24"/>
          <w:bdr w:val="none" w:sz="0" w:space="0" w:color="auto" w:frame="1"/>
          <w:lang w:eastAsia="en-GB"/>
        </w:rPr>
        <w:t xml:space="preserve"> and N.J.S conceived the project. </w:t>
      </w:r>
      <w:r w:rsidR="00D91451" w:rsidRPr="005024CC">
        <w:rPr>
          <w:rFonts w:eastAsia="Times New Roman" w:cstheme="minorHAnsi"/>
          <w:iCs/>
          <w:sz w:val="24"/>
          <w:szCs w:val="24"/>
          <w:bdr w:val="none" w:sz="0" w:space="0" w:color="auto" w:frame="1"/>
          <w:lang w:eastAsia="en-GB"/>
        </w:rPr>
        <w:t xml:space="preserve">All authors contributed to the </w:t>
      </w:r>
      <w:r w:rsidR="009B2B62" w:rsidRPr="005024CC">
        <w:rPr>
          <w:rFonts w:eastAsia="Times New Roman" w:cstheme="minorHAnsi"/>
          <w:iCs/>
          <w:sz w:val="24"/>
          <w:szCs w:val="24"/>
          <w:bdr w:val="none" w:sz="0" w:space="0" w:color="auto" w:frame="1"/>
          <w:lang w:eastAsia="en-GB"/>
        </w:rPr>
        <w:t xml:space="preserve">sample </w:t>
      </w:r>
      <w:r w:rsidR="00D91451" w:rsidRPr="005024CC">
        <w:rPr>
          <w:rFonts w:eastAsia="Times New Roman" w:cstheme="minorHAnsi"/>
          <w:iCs/>
          <w:sz w:val="24"/>
          <w:szCs w:val="24"/>
          <w:bdr w:val="none" w:sz="0" w:space="0" w:color="auto" w:frame="1"/>
          <w:lang w:eastAsia="en-GB"/>
        </w:rPr>
        <w:t xml:space="preserve">definition </w:t>
      </w:r>
      <w:r w:rsidR="009B2B62" w:rsidRPr="005024CC">
        <w:rPr>
          <w:rFonts w:eastAsia="Times New Roman" w:cstheme="minorHAnsi"/>
          <w:iCs/>
          <w:sz w:val="24"/>
          <w:szCs w:val="24"/>
          <w:bdr w:val="none" w:sz="0" w:space="0" w:color="auto" w:frame="1"/>
          <w:lang w:eastAsia="en-GB"/>
        </w:rPr>
        <w:t>and the analysis plan. Q.W</w:t>
      </w:r>
      <w:r w:rsidR="00D91451" w:rsidRPr="005024CC">
        <w:rPr>
          <w:rFonts w:eastAsia="Times New Roman" w:cstheme="minorHAnsi"/>
          <w:iCs/>
          <w:sz w:val="24"/>
          <w:szCs w:val="24"/>
          <w:bdr w:val="none" w:sz="0" w:space="0" w:color="auto" w:frame="1"/>
          <w:lang w:eastAsia="en-GB"/>
        </w:rPr>
        <w:t>., C.M.</w:t>
      </w:r>
      <w:r w:rsidR="009B2B62" w:rsidRPr="005024CC">
        <w:rPr>
          <w:rFonts w:eastAsia="Times New Roman" w:cstheme="minorHAnsi"/>
          <w:iCs/>
          <w:sz w:val="24"/>
          <w:szCs w:val="24"/>
          <w:bdr w:val="none" w:sz="0" w:space="0" w:color="auto" w:frame="1"/>
          <w:lang w:eastAsia="en-GB"/>
        </w:rPr>
        <w:t xml:space="preserve"> and C.P.N. performed the analyses. V.C., C.P.N.,</w:t>
      </w:r>
      <w:r w:rsidR="00D91451" w:rsidRPr="005024CC">
        <w:rPr>
          <w:rFonts w:eastAsia="Times New Roman" w:cstheme="minorHAnsi"/>
          <w:iCs/>
          <w:sz w:val="24"/>
          <w:szCs w:val="24"/>
          <w:bdr w:val="none" w:sz="0" w:space="0" w:color="auto" w:frame="1"/>
          <w:lang w:eastAsia="en-GB"/>
        </w:rPr>
        <w:t xml:space="preserve"> Q.W.</w:t>
      </w:r>
      <w:r w:rsidR="009B2B62" w:rsidRPr="005024CC">
        <w:rPr>
          <w:rFonts w:eastAsia="Times New Roman" w:cstheme="minorHAnsi"/>
          <w:iCs/>
          <w:sz w:val="24"/>
          <w:szCs w:val="24"/>
          <w:bdr w:val="none" w:sz="0" w:space="0" w:color="auto" w:frame="1"/>
          <w:lang w:eastAsia="en-GB"/>
        </w:rPr>
        <w:t xml:space="preserve"> and N.J.S. prepared the manuscript and all authors revised it. V.C., C.P.N., J.R.T., J.N.D. and N.J.S. (Principal</w:t>
      </w:r>
      <w:r w:rsidR="00D91451" w:rsidRPr="005024CC">
        <w:rPr>
          <w:rFonts w:eastAsia="Times New Roman" w:cstheme="minorHAnsi"/>
          <w:iCs/>
          <w:sz w:val="24"/>
          <w:szCs w:val="24"/>
          <w:bdr w:val="none" w:sz="0" w:space="0" w:color="auto" w:frame="1"/>
          <w:lang w:eastAsia="en-GB"/>
        </w:rPr>
        <w:t xml:space="preserve"> </w:t>
      </w:r>
      <w:r w:rsidR="009B2B62" w:rsidRPr="005024CC">
        <w:rPr>
          <w:rFonts w:eastAsia="Times New Roman" w:cstheme="minorHAnsi"/>
          <w:iCs/>
          <w:sz w:val="24"/>
          <w:szCs w:val="24"/>
          <w:bdr w:val="none" w:sz="0" w:space="0" w:color="auto" w:frame="1"/>
          <w:lang w:eastAsia="en-GB"/>
        </w:rPr>
        <w:t>investigator) secured funding and oversaw the project.</w:t>
      </w:r>
    </w:p>
    <w:p w14:paraId="4BF6F915" w14:textId="20EE182D" w:rsidR="009B2B62" w:rsidRPr="005024CC" w:rsidRDefault="00893B8F" w:rsidP="005024CC">
      <w:pPr>
        <w:spacing w:line="480" w:lineRule="auto"/>
        <w:rPr>
          <w:rFonts w:eastAsia="Times New Roman" w:cstheme="minorHAnsi"/>
          <w:b/>
          <w:iCs/>
          <w:sz w:val="24"/>
          <w:szCs w:val="24"/>
          <w:bdr w:val="none" w:sz="0" w:space="0" w:color="auto" w:frame="1"/>
          <w:lang w:eastAsia="en-GB"/>
        </w:rPr>
      </w:pPr>
      <w:r>
        <w:rPr>
          <w:rFonts w:eastAsia="Times New Roman" w:cstheme="minorHAnsi"/>
          <w:b/>
          <w:iCs/>
          <w:sz w:val="24"/>
          <w:szCs w:val="24"/>
          <w:bdr w:val="none" w:sz="0" w:space="0" w:color="auto" w:frame="1"/>
          <w:lang w:eastAsia="en-GB"/>
        </w:rPr>
        <w:t xml:space="preserve">Competing Interests Declaration  </w:t>
      </w:r>
    </w:p>
    <w:p w14:paraId="5CBE66FB" w14:textId="6A94FE3D" w:rsidR="009B2B62" w:rsidRPr="005024CC" w:rsidRDefault="009B2B62" w:rsidP="005024CC">
      <w:pPr>
        <w:spacing w:line="480" w:lineRule="auto"/>
        <w:rPr>
          <w:rFonts w:eastAsia="Times New Roman" w:cstheme="minorHAnsi"/>
          <w:iCs/>
          <w:sz w:val="24"/>
          <w:szCs w:val="24"/>
          <w:bdr w:val="none" w:sz="0" w:space="0" w:color="auto" w:frame="1"/>
          <w:lang w:eastAsia="en-GB"/>
        </w:rPr>
      </w:pPr>
      <w:r w:rsidRPr="005024CC">
        <w:rPr>
          <w:rFonts w:eastAsia="Times New Roman" w:cstheme="minorHAnsi"/>
          <w:iCs/>
          <w:sz w:val="24"/>
          <w:szCs w:val="24"/>
          <w:bdr w:val="none" w:sz="0" w:space="0" w:color="auto" w:frame="1"/>
          <w:lang w:eastAsia="en-GB"/>
        </w:rPr>
        <w:t>The authors declare no competing interests</w:t>
      </w:r>
      <w:r w:rsidR="00893B8F">
        <w:rPr>
          <w:rFonts w:eastAsia="Times New Roman" w:cstheme="minorHAnsi"/>
          <w:iCs/>
          <w:sz w:val="24"/>
          <w:szCs w:val="24"/>
          <w:bdr w:val="none" w:sz="0" w:space="0" w:color="auto" w:frame="1"/>
          <w:lang w:eastAsia="en-GB"/>
        </w:rPr>
        <w:t xml:space="preserve">. </w:t>
      </w:r>
    </w:p>
    <w:p w14:paraId="0F81888C" w14:textId="77777777" w:rsidR="00061432" w:rsidRDefault="00061432" w:rsidP="005024CC">
      <w:pPr>
        <w:spacing w:line="480" w:lineRule="auto"/>
        <w:rPr>
          <w:rFonts w:eastAsia="Times New Roman" w:cstheme="minorHAnsi"/>
          <w:iCs/>
          <w:sz w:val="24"/>
          <w:szCs w:val="24"/>
          <w:bdr w:val="none" w:sz="0" w:space="0" w:color="auto" w:frame="1"/>
          <w:lang w:eastAsia="en-GB"/>
        </w:rPr>
      </w:pPr>
    </w:p>
    <w:p w14:paraId="506148A2" w14:textId="77777777" w:rsidR="00082B6F" w:rsidRDefault="00082B6F">
      <w:pPr>
        <w:rPr>
          <w:rFonts w:eastAsia="Times New Roman" w:cstheme="minorHAnsi"/>
          <w:b/>
          <w:iCs/>
          <w:sz w:val="24"/>
          <w:szCs w:val="24"/>
          <w:bdr w:val="none" w:sz="0" w:space="0" w:color="auto" w:frame="1"/>
          <w:lang w:eastAsia="en-GB"/>
        </w:rPr>
      </w:pPr>
      <w:r>
        <w:rPr>
          <w:rFonts w:eastAsia="Times New Roman" w:cstheme="minorHAnsi"/>
          <w:b/>
          <w:iCs/>
          <w:sz w:val="24"/>
          <w:szCs w:val="24"/>
          <w:bdr w:val="none" w:sz="0" w:space="0" w:color="auto" w:frame="1"/>
          <w:lang w:eastAsia="en-GB"/>
        </w:rPr>
        <w:br w:type="page"/>
      </w:r>
    </w:p>
    <w:p w14:paraId="776022C5" w14:textId="2CC9AF92" w:rsidR="00553B75" w:rsidRPr="002961C2" w:rsidRDefault="005024CC" w:rsidP="009B2B62">
      <w:pPr>
        <w:spacing w:line="276" w:lineRule="auto"/>
        <w:rPr>
          <w:rFonts w:eastAsia="Times New Roman" w:cstheme="minorHAnsi"/>
          <w:b/>
          <w:iCs/>
          <w:sz w:val="24"/>
          <w:szCs w:val="24"/>
          <w:bdr w:val="none" w:sz="0" w:space="0" w:color="auto" w:frame="1"/>
          <w:lang w:eastAsia="en-GB"/>
        </w:rPr>
      </w:pPr>
      <w:r w:rsidRPr="005024CC">
        <w:rPr>
          <w:rFonts w:eastAsia="Times New Roman" w:cstheme="minorHAnsi"/>
          <w:b/>
          <w:iCs/>
          <w:sz w:val="24"/>
          <w:szCs w:val="24"/>
          <w:bdr w:val="none" w:sz="0" w:space="0" w:color="auto" w:frame="1"/>
          <w:lang w:eastAsia="en-GB"/>
        </w:rPr>
        <w:t xml:space="preserve">Table 1. Characteristics </w:t>
      </w:r>
      <w:r w:rsidRPr="002961C2">
        <w:rPr>
          <w:rFonts w:eastAsia="Times New Roman" w:cstheme="minorHAnsi"/>
          <w:b/>
          <w:iCs/>
          <w:sz w:val="24"/>
          <w:szCs w:val="24"/>
          <w:bdr w:val="none" w:sz="0" w:space="0" w:color="auto" w:frame="1"/>
          <w:lang w:eastAsia="en-GB"/>
        </w:rPr>
        <w:t>of participants by case status.</w:t>
      </w:r>
    </w:p>
    <w:tbl>
      <w:tblPr>
        <w:tblW w:w="6493" w:type="dxa"/>
        <w:jc w:val="center"/>
        <w:tblLook w:val="04A0" w:firstRow="1" w:lastRow="0" w:firstColumn="1" w:lastColumn="0" w:noHBand="0" w:noVBand="1"/>
      </w:tblPr>
      <w:tblGrid>
        <w:gridCol w:w="1005"/>
        <w:gridCol w:w="1250"/>
        <w:gridCol w:w="1414"/>
        <w:gridCol w:w="1769"/>
        <w:gridCol w:w="1055"/>
      </w:tblGrid>
      <w:tr w:rsidR="002961C2" w:rsidRPr="002961C2" w14:paraId="596EFE8C" w14:textId="77777777" w:rsidTr="006F474D">
        <w:trPr>
          <w:trHeight w:val="510"/>
          <w:jc w:val="center"/>
        </w:trPr>
        <w:tc>
          <w:tcPr>
            <w:tcW w:w="2255" w:type="dxa"/>
            <w:gridSpan w:val="2"/>
            <w:tcBorders>
              <w:top w:val="single" w:sz="4" w:space="0" w:color="auto"/>
              <w:left w:val="nil"/>
              <w:bottom w:val="single" w:sz="4" w:space="0" w:color="auto"/>
              <w:right w:val="nil"/>
            </w:tcBorders>
            <w:shd w:val="clear" w:color="auto" w:fill="auto"/>
            <w:vAlign w:val="center"/>
            <w:hideMark/>
          </w:tcPr>
          <w:p w14:paraId="68A0C9D5"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Trait</w:t>
            </w:r>
          </w:p>
        </w:tc>
        <w:tc>
          <w:tcPr>
            <w:tcW w:w="1414" w:type="dxa"/>
            <w:tcBorders>
              <w:top w:val="single" w:sz="4" w:space="0" w:color="auto"/>
              <w:left w:val="nil"/>
              <w:bottom w:val="single" w:sz="4" w:space="0" w:color="auto"/>
              <w:right w:val="nil"/>
            </w:tcBorders>
            <w:shd w:val="clear" w:color="auto" w:fill="auto"/>
            <w:vAlign w:val="center"/>
            <w:hideMark/>
          </w:tcPr>
          <w:p w14:paraId="7B6BEDA8" w14:textId="77777777" w:rsidR="006F474D" w:rsidRPr="002961C2" w:rsidRDefault="006F474D" w:rsidP="006F474D">
            <w:pPr>
              <w:spacing w:after="0" w:line="240" w:lineRule="auto"/>
              <w:jc w:val="center"/>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Cases N=914</w:t>
            </w:r>
          </w:p>
        </w:tc>
        <w:tc>
          <w:tcPr>
            <w:tcW w:w="1769" w:type="dxa"/>
            <w:tcBorders>
              <w:top w:val="single" w:sz="4" w:space="0" w:color="auto"/>
              <w:left w:val="nil"/>
              <w:bottom w:val="single" w:sz="4" w:space="0" w:color="auto"/>
              <w:right w:val="nil"/>
            </w:tcBorders>
            <w:shd w:val="clear" w:color="auto" w:fill="auto"/>
            <w:vAlign w:val="center"/>
            <w:hideMark/>
          </w:tcPr>
          <w:p w14:paraId="76893AD7" w14:textId="77777777" w:rsidR="006F474D" w:rsidRPr="002961C2" w:rsidRDefault="006F474D" w:rsidP="006F474D">
            <w:pPr>
              <w:spacing w:after="0" w:line="240" w:lineRule="auto"/>
              <w:jc w:val="center"/>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Controls N=5861</w:t>
            </w:r>
          </w:p>
        </w:tc>
        <w:tc>
          <w:tcPr>
            <w:tcW w:w="1055" w:type="dxa"/>
            <w:tcBorders>
              <w:top w:val="single" w:sz="4" w:space="0" w:color="auto"/>
              <w:left w:val="nil"/>
              <w:bottom w:val="single" w:sz="4" w:space="0" w:color="auto"/>
              <w:right w:val="nil"/>
            </w:tcBorders>
            <w:shd w:val="clear" w:color="auto" w:fill="auto"/>
            <w:vAlign w:val="center"/>
            <w:hideMark/>
          </w:tcPr>
          <w:p w14:paraId="09A35134" w14:textId="77777777" w:rsidR="006F474D" w:rsidRPr="002961C2" w:rsidRDefault="006F474D" w:rsidP="006F474D">
            <w:pPr>
              <w:spacing w:after="0" w:line="240" w:lineRule="auto"/>
              <w:jc w:val="center"/>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P-value</w:t>
            </w:r>
          </w:p>
        </w:tc>
      </w:tr>
      <w:tr w:rsidR="002961C2" w:rsidRPr="002961C2" w14:paraId="5C0BCB27" w14:textId="77777777" w:rsidTr="006F474D">
        <w:trPr>
          <w:trHeight w:val="330"/>
          <w:jc w:val="center"/>
        </w:trPr>
        <w:tc>
          <w:tcPr>
            <w:tcW w:w="2255" w:type="dxa"/>
            <w:gridSpan w:val="2"/>
            <w:tcBorders>
              <w:top w:val="nil"/>
              <w:left w:val="nil"/>
              <w:bottom w:val="nil"/>
              <w:right w:val="nil"/>
            </w:tcBorders>
            <w:shd w:val="clear" w:color="auto" w:fill="auto"/>
            <w:vAlign w:val="center"/>
            <w:hideMark/>
          </w:tcPr>
          <w:p w14:paraId="122825B7"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Age at COVID-19 test</w:t>
            </w:r>
          </w:p>
        </w:tc>
        <w:tc>
          <w:tcPr>
            <w:tcW w:w="1414" w:type="dxa"/>
            <w:tcBorders>
              <w:top w:val="nil"/>
              <w:left w:val="nil"/>
              <w:bottom w:val="nil"/>
              <w:right w:val="nil"/>
            </w:tcBorders>
            <w:shd w:val="clear" w:color="auto" w:fill="auto"/>
            <w:noWrap/>
            <w:vAlign w:val="center"/>
            <w:hideMark/>
          </w:tcPr>
          <w:p w14:paraId="293BA3B1"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70 (8.00)</w:t>
            </w:r>
          </w:p>
        </w:tc>
        <w:tc>
          <w:tcPr>
            <w:tcW w:w="1769" w:type="dxa"/>
            <w:tcBorders>
              <w:top w:val="nil"/>
              <w:left w:val="nil"/>
              <w:bottom w:val="nil"/>
              <w:right w:val="nil"/>
            </w:tcBorders>
            <w:shd w:val="clear" w:color="auto" w:fill="auto"/>
            <w:noWrap/>
            <w:vAlign w:val="center"/>
            <w:hideMark/>
          </w:tcPr>
          <w:p w14:paraId="70037857"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64 (8.00)</w:t>
            </w:r>
          </w:p>
        </w:tc>
        <w:tc>
          <w:tcPr>
            <w:tcW w:w="1055" w:type="dxa"/>
            <w:tcBorders>
              <w:top w:val="nil"/>
              <w:left w:val="nil"/>
              <w:bottom w:val="nil"/>
              <w:right w:val="nil"/>
            </w:tcBorders>
            <w:shd w:val="clear" w:color="auto" w:fill="auto"/>
            <w:noWrap/>
            <w:vAlign w:val="bottom"/>
            <w:hideMark/>
          </w:tcPr>
          <w:p w14:paraId="502CA6E7"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1.85E-95</w:t>
            </w:r>
          </w:p>
        </w:tc>
      </w:tr>
      <w:tr w:rsidR="002961C2" w:rsidRPr="002961C2" w14:paraId="421B52DF" w14:textId="77777777" w:rsidTr="006F474D">
        <w:trPr>
          <w:trHeight w:val="330"/>
          <w:jc w:val="center"/>
        </w:trPr>
        <w:tc>
          <w:tcPr>
            <w:tcW w:w="2255" w:type="dxa"/>
            <w:gridSpan w:val="2"/>
            <w:tcBorders>
              <w:top w:val="nil"/>
              <w:left w:val="nil"/>
              <w:bottom w:val="nil"/>
              <w:right w:val="nil"/>
            </w:tcBorders>
            <w:shd w:val="clear" w:color="auto" w:fill="auto"/>
            <w:vAlign w:val="center"/>
            <w:hideMark/>
          </w:tcPr>
          <w:p w14:paraId="4B7D6BD6"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BMI</w:t>
            </w:r>
          </w:p>
        </w:tc>
        <w:tc>
          <w:tcPr>
            <w:tcW w:w="1414" w:type="dxa"/>
            <w:tcBorders>
              <w:top w:val="nil"/>
              <w:left w:val="nil"/>
              <w:bottom w:val="nil"/>
              <w:right w:val="nil"/>
            </w:tcBorders>
            <w:shd w:val="clear" w:color="auto" w:fill="auto"/>
            <w:noWrap/>
            <w:vAlign w:val="center"/>
            <w:hideMark/>
          </w:tcPr>
          <w:p w14:paraId="259ED453"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29.61 (5.39)</w:t>
            </w:r>
          </w:p>
        </w:tc>
        <w:tc>
          <w:tcPr>
            <w:tcW w:w="1769" w:type="dxa"/>
            <w:tcBorders>
              <w:top w:val="nil"/>
              <w:left w:val="nil"/>
              <w:bottom w:val="nil"/>
              <w:right w:val="nil"/>
            </w:tcBorders>
            <w:shd w:val="clear" w:color="auto" w:fill="auto"/>
            <w:noWrap/>
            <w:vAlign w:val="center"/>
            <w:hideMark/>
          </w:tcPr>
          <w:p w14:paraId="594436FD"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27.97 (4.86)</w:t>
            </w:r>
          </w:p>
        </w:tc>
        <w:tc>
          <w:tcPr>
            <w:tcW w:w="1055" w:type="dxa"/>
            <w:tcBorders>
              <w:top w:val="nil"/>
              <w:left w:val="nil"/>
              <w:bottom w:val="nil"/>
              <w:right w:val="nil"/>
            </w:tcBorders>
            <w:shd w:val="clear" w:color="auto" w:fill="auto"/>
            <w:noWrap/>
            <w:vAlign w:val="bottom"/>
            <w:hideMark/>
          </w:tcPr>
          <w:p w14:paraId="28FE62A6"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1.55E-20</w:t>
            </w:r>
          </w:p>
        </w:tc>
      </w:tr>
      <w:tr w:rsidR="002961C2" w:rsidRPr="002961C2" w14:paraId="5BB48D3B" w14:textId="77777777" w:rsidTr="006F474D">
        <w:trPr>
          <w:trHeight w:val="330"/>
          <w:jc w:val="center"/>
        </w:trPr>
        <w:tc>
          <w:tcPr>
            <w:tcW w:w="1005" w:type="dxa"/>
            <w:vMerge w:val="restart"/>
            <w:tcBorders>
              <w:top w:val="nil"/>
              <w:left w:val="nil"/>
              <w:bottom w:val="nil"/>
              <w:right w:val="nil"/>
            </w:tcBorders>
            <w:shd w:val="clear" w:color="auto" w:fill="auto"/>
            <w:hideMark/>
          </w:tcPr>
          <w:p w14:paraId="2D470350"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Sex</w:t>
            </w:r>
          </w:p>
        </w:tc>
        <w:tc>
          <w:tcPr>
            <w:tcW w:w="1250" w:type="dxa"/>
            <w:tcBorders>
              <w:top w:val="nil"/>
              <w:left w:val="nil"/>
              <w:bottom w:val="nil"/>
              <w:right w:val="nil"/>
            </w:tcBorders>
            <w:shd w:val="clear" w:color="auto" w:fill="auto"/>
            <w:vAlign w:val="center"/>
            <w:hideMark/>
          </w:tcPr>
          <w:p w14:paraId="1856E6C9"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Male</w:t>
            </w:r>
          </w:p>
        </w:tc>
        <w:tc>
          <w:tcPr>
            <w:tcW w:w="1414" w:type="dxa"/>
            <w:tcBorders>
              <w:top w:val="nil"/>
              <w:left w:val="nil"/>
              <w:bottom w:val="nil"/>
              <w:right w:val="nil"/>
            </w:tcBorders>
            <w:shd w:val="clear" w:color="auto" w:fill="auto"/>
            <w:noWrap/>
            <w:vAlign w:val="center"/>
            <w:hideMark/>
          </w:tcPr>
          <w:p w14:paraId="58E074E0"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573 (62.69)</w:t>
            </w:r>
          </w:p>
        </w:tc>
        <w:tc>
          <w:tcPr>
            <w:tcW w:w="1769" w:type="dxa"/>
            <w:tcBorders>
              <w:top w:val="nil"/>
              <w:left w:val="nil"/>
              <w:bottom w:val="nil"/>
              <w:right w:val="nil"/>
            </w:tcBorders>
            <w:shd w:val="clear" w:color="auto" w:fill="auto"/>
            <w:noWrap/>
            <w:vAlign w:val="center"/>
            <w:hideMark/>
          </w:tcPr>
          <w:p w14:paraId="35F096A2"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2675 (45.64)</w:t>
            </w:r>
          </w:p>
        </w:tc>
        <w:tc>
          <w:tcPr>
            <w:tcW w:w="1055" w:type="dxa"/>
            <w:vMerge w:val="restart"/>
            <w:tcBorders>
              <w:top w:val="nil"/>
              <w:left w:val="nil"/>
              <w:bottom w:val="nil"/>
              <w:right w:val="nil"/>
            </w:tcBorders>
            <w:shd w:val="clear" w:color="auto" w:fill="auto"/>
            <w:noWrap/>
            <w:vAlign w:val="bottom"/>
            <w:hideMark/>
          </w:tcPr>
          <w:p w14:paraId="69CF95D9"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8.20E-22</w:t>
            </w:r>
          </w:p>
        </w:tc>
      </w:tr>
      <w:tr w:rsidR="002961C2" w:rsidRPr="002961C2" w14:paraId="32371C00" w14:textId="77777777" w:rsidTr="006F474D">
        <w:trPr>
          <w:trHeight w:val="330"/>
          <w:jc w:val="center"/>
        </w:trPr>
        <w:tc>
          <w:tcPr>
            <w:tcW w:w="1005" w:type="dxa"/>
            <w:vMerge/>
            <w:tcBorders>
              <w:top w:val="nil"/>
              <w:left w:val="nil"/>
              <w:bottom w:val="nil"/>
              <w:right w:val="nil"/>
            </w:tcBorders>
            <w:hideMark/>
          </w:tcPr>
          <w:p w14:paraId="389B03C0"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p>
        </w:tc>
        <w:tc>
          <w:tcPr>
            <w:tcW w:w="1250" w:type="dxa"/>
            <w:tcBorders>
              <w:top w:val="nil"/>
              <w:left w:val="nil"/>
              <w:bottom w:val="nil"/>
              <w:right w:val="nil"/>
            </w:tcBorders>
            <w:shd w:val="clear" w:color="auto" w:fill="auto"/>
            <w:vAlign w:val="center"/>
            <w:hideMark/>
          </w:tcPr>
          <w:p w14:paraId="2DEBA522"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Female</w:t>
            </w:r>
          </w:p>
        </w:tc>
        <w:tc>
          <w:tcPr>
            <w:tcW w:w="1414" w:type="dxa"/>
            <w:tcBorders>
              <w:top w:val="nil"/>
              <w:left w:val="nil"/>
              <w:bottom w:val="nil"/>
              <w:right w:val="nil"/>
            </w:tcBorders>
            <w:shd w:val="clear" w:color="auto" w:fill="auto"/>
            <w:noWrap/>
            <w:vAlign w:val="center"/>
            <w:hideMark/>
          </w:tcPr>
          <w:p w14:paraId="442ACEA9"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341 (37.31)</w:t>
            </w:r>
          </w:p>
        </w:tc>
        <w:tc>
          <w:tcPr>
            <w:tcW w:w="1769" w:type="dxa"/>
            <w:tcBorders>
              <w:top w:val="nil"/>
              <w:left w:val="nil"/>
              <w:bottom w:val="nil"/>
              <w:right w:val="nil"/>
            </w:tcBorders>
            <w:shd w:val="clear" w:color="auto" w:fill="auto"/>
            <w:noWrap/>
            <w:vAlign w:val="center"/>
            <w:hideMark/>
          </w:tcPr>
          <w:p w14:paraId="394703E9"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3186 (54.36)</w:t>
            </w:r>
          </w:p>
        </w:tc>
        <w:tc>
          <w:tcPr>
            <w:tcW w:w="1055" w:type="dxa"/>
            <w:vMerge/>
            <w:tcBorders>
              <w:top w:val="nil"/>
              <w:left w:val="nil"/>
              <w:bottom w:val="nil"/>
              <w:right w:val="nil"/>
            </w:tcBorders>
            <w:vAlign w:val="center"/>
            <w:hideMark/>
          </w:tcPr>
          <w:p w14:paraId="746DC54D" w14:textId="77777777" w:rsidR="006F474D" w:rsidRPr="002961C2" w:rsidRDefault="006F474D" w:rsidP="006F474D">
            <w:pPr>
              <w:spacing w:after="0" w:line="240" w:lineRule="auto"/>
              <w:rPr>
                <w:rFonts w:ascii="Times New Roman" w:eastAsia="Times New Roman" w:hAnsi="Times New Roman" w:cs="Times New Roman"/>
                <w:sz w:val="20"/>
                <w:szCs w:val="20"/>
                <w:lang w:eastAsia="en-GB"/>
              </w:rPr>
            </w:pPr>
          </w:p>
        </w:tc>
      </w:tr>
      <w:tr w:rsidR="002961C2" w:rsidRPr="002961C2" w14:paraId="2E5B0727" w14:textId="77777777" w:rsidTr="006F474D">
        <w:trPr>
          <w:trHeight w:val="330"/>
          <w:jc w:val="center"/>
        </w:trPr>
        <w:tc>
          <w:tcPr>
            <w:tcW w:w="1005" w:type="dxa"/>
            <w:vMerge w:val="restart"/>
            <w:tcBorders>
              <w:top w:val="nil"/>
              <w:left w:val="nil"/>
              <w:bottom w:val="nil"/>
              <w:right w:val="nil"/>
            </w:tcBorders>
            <w:shd w:val="clear" w:color="auto" w:fill="auto"/>
            <w:hideMark/>
          </w:tcPr>
          <w:p w14:paraId="0739FDC0"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Ethnicity</w:t>
            </w:r>
          </w:p>
        </w:tc>
        <w:tc>
          <w:tcPr>
            <w:tcW w:w="1250" w:type="dxa"/>
            <w:tcBorders>
              <w:top w:val="nil"/>
              <w:left w:val="nil"/>
              <w:bottom w:val="nil"/>
              <w:right w:val="nil"/>
            </w:tcBorders>
            <w:shd w:val="clear" w:color="auto" w:fill="auto"/>
            <w:vAlign w:val="center"/>
            <w:hideMark/>
          </w:tcPr>
          <w:p w14:paraId="56C868BE"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Asian</w:t>
            </w:r>
          </w:p>
        </w:tc>
        <w:tc>
          <w:tcPr>
            <w:tcW w:w="1414" w:type="dxa"/>
            <w:tcBorders>
              <w:top w:val="nil"/>
              <w:left w:val="nil"/>
              <w:bottom w:val="nil"/>
              <w:right w:val="nil"/>
            </w:tcBorders>
            <w:shd w:val="clear" w:color="auto" w:fill="auto"/>
            <w:noWrap/>
            <w:vAlign w:val="center"/>
            <w:hideMark/>
          </w:tcPr>
          <w:p w14:paraId="6167317D"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33 (3.61)</w:t>
            </w:r>
          </w:p>
        </w:tc>
        <w:tc>
          <w:tcPr>
            <w:tcW w:w="1769" w:type="dxa"/>
            <w:tcBorders>
              <w:top w:val="nil"/>
              <w:left w:val="nil"/>
              <w:bottom w:val="nil"/>
              <w:right w:val="nil"/>
            </w:tcBorders>
            <w:shd w:val="clear" w:color="auto" w:fill="auto"/>
            <w:noWrap/>
            <w:vAlign w:val="center"/>
            <w:hideMark/>
          </w:tcPr>
          <w:p w14:paraId="4EE27AE6"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217 (3.70)</w:t>
            </w:r>
          </w:p>
        </w:tc>
        <w:tc>
          <w:tcPr>
            <w:tcW w:w="1055" w:type="dxa"/>
            <w:vMerge w:val="restart"/>
            <w:tcBorders>
              <w:top w:val="nil"/>
              <w:left w:val="nil"/>
              <w:bottom w:val="nil"/>
              <w:right w:val="nil"/>
            </w:tcBorders>
            <w:shd w:val="clear" w:color="auto" w:fill="auto"/>
            <w:noWrap/>
            <w:vAlign w:val="bottom"/>
            <w:hideMark/>
          </w:tcPr>
          <w:p w14:paraId="6191B85F"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0.006</w:t>
            </w:r>
          </w:p>
        </w:tc>
      </w:tr>
      <w:tr w:rsidR="002961C2" w:rsidRPr="002961C2" w14:paraId="44F3E229" w14:textId="77777777" w:rsidTr="006F474D">
        <w:trPr>
          <w:trHeight w:val="330"/>
          <w:jc w:val="center"/>
        </w:trPr>
        <w:tc>
          <w:tcPr>
            <w:tcW w:w="1005" w:type="dxa"/>
            <w:vMerge/>
            <w:tcBorders>
              <w:top w:val="nil"/>
              <w:left w:val="nil"/>
              <w:bottom w:val="nil"/>
              <w:right w:val="nil"/>
            </w:tcBorders>
            <w:hideMark/>
          </w:tcPr>
          <w:p w14:paraId="752E398F"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p>
        </w:tc>
        <w:tc>
          <w:tcPr>
            <w:tcW w:w="1250" w:type="dxa"/>
            <w:tcBorders>
              <w:top w:val="nil"/>
              <w:left w:val="nil"/>
              <w:bottom w:val="nil"/>
              <w:right w:val="nil"/>
            </w:tcBorders>
            <w:shd w:val="clear" w:color="auto" w:fill="auto"/>
            <w:vAlign w:val="center"/>
            <w:hideMark/>
          </w:tcPr>
          <w:p w14:paraId="09630D5A"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Black</w:t>
            </w:r>
          </w:p>
        </w:tc>
        <w:tc>
          <w:tcPr>
            <w:tcW w:w="1414" w:type="dxa"/>
            <w:tcBorders>
              <w:top w:val="nil"/>
              <w:left w:val="nil"/>
              <w:bottom w:val="nil"/>
              <w:right w:val="nil"/>
            </w:tcBorders>
            <w:shd w:val="clear" w:color="auto" w:fill="auto"/>
            <w:noWrap/>
            <w:vAlign w:val="center"/>
            <w:hideMark/>
          </w:tcPr>
          <w:p w14:paraId="3803E679"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5 (0.55)</w:t>
            </w:r>
          </w:p>
        </w:tc>
        <w:tc>
          <w:tcPr>
            <w:tcW w:w="1769" w:type="dxa"/>
            <w:tcBorders>
              <w:top w:val="nil"/>
              <w:left w:val="nil"/>
              <w:bottom w:val="nil"/>
              <w:right w:val="nil"/>
            </w:tcBorders>
            <w:shd w:val="clear" w:color="auto" w:fill="auto"/>
            <w:noWrap/>
            <w:vAlign w:val="center"/>
            <w:hideMark/>
          </w:tcPr>
          <w:p w14:paraId="08AD9351"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38 (0.65)</w:t>
            </w:r>
          </w:p>
        </w:tc>
        <w:tc>
          <w:tcPr>
            <w:tcW w:w="1055" w:type="dxa"/>
            <w:vMerge/>
            <w:tcBorders>
              <w:top w:val="nil"/>
              <w:left w:val="nil"/>
              <w:bottom w:val="nil"/>
              <w:right w:val="nil"/>
            </w:tcBorders>
            <w:vAlign w:val="center"/>
            <w:hideMark/>
          </w:tcPr>
          <w:p w14:paraId="05F9385C" w14:textId="77777777" w:rsidR="006F474D" w:rsidRPr="002961C2" w:rsidRDefault="006F474D" w:rsidP="006F474D">
            <w:pPr>
              <w:spacing w:after="0" w:line="240" w:lineRule="auto"/>
              <w:rPr>
                <w:rFonts w:ascii="Times New Roman" w:eastAsia="Times New Roman" w:hAnsi="Times New Roman" w:cs="Times New Roman"/>
                <w:sz w:val="20"/>
                <w:szCs w:val="20"/>
                <w:lang w:eastAsia="en-GB"/>
              </w:rPr>
            </w:pPr>
          </w:p>
        </w:tc>
      </w:tr>
      <w:tr w:rsidR="002961C2" w:rsidRPr="002961C2" w14:paraId="01748E0D" w14:textId="77777777" w:rsidTr="006F474D">
        <w:trPr>
          <w:trHeight w:val="330"/>
          <w:jc w:val="center"/>
        </w:trPr>
        <w:tc>
          <w:tcPr>
            <w:tcW w:w="1005" w:type="dxa"/>
            <w:vMerge/>
            <w:tcBorders>
              <w:top w:val="nil"/>
              <w:left w:val="nil"/>
              <w:bottom w:val="nil"/>
              <w:right w:val="nil"/>
            </w:tcBorders>
            <w:hideMark/>
          </w:tcPr>
          <w:p w14:paraId="5B381656"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p>
        </w:tc>
        <w:tc>
          <w:tcPr>
            <w:tcW w:w="1250" w:type="dxa"/>
            <w:tcBorders>
              <w:top w:val="nil"/>
              <w:left w:val="nil"/>
              <w:bottom w:val="nil"/>
              <w:right w:val="nil"/>
            </w:tcBorders>
            <w:shd w:val="clear" w:color="auto" w:fill="auto"/>
            <w:vAlign w:val="center"/>
            <w:hideMark/>
          </w:tcPr>
          <w:p w14:paraId="11BDBA1C"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Chinese</w:t>
            </w:r>
          </w:p>
        </w:tc>
        <w:tc>
          <w:tcPr>
            <w:tcW w:w="1414" w:type="dxa"/>
            <w:tcBorders>
              <w:top w:val="nil"/>
              <w:left w:val="nil"/>
              <w:bottom w:val="nil"/>
              <w:right w:val="nil"/>
            </w:tcBorders>
            <w:shd w:val="clear" w:color="auto" w:fill="auto"/>
            <w:noWrap/>
            <w:vAlign w:val="center"/>
            <w:hideMark/>
          </w:tcPr>
          <w:p w14:paraId="369987FC"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3 (0.33)</w:t>
            </w:r>
          </w:p>
        </w:tc>
        <w:tc>
          <w:tcPr>
            <w:tcW w:w="1769" w:type="dxa"/>
            <w:tcBorders>
              <w:top w:val="nil"/>
              <w:left w:val="nil"/>
              <w:bottom w:val="nil"/>
              <w:right w:val="nil"/>
            </w:tcBorders>
            <w:shd w:val="clear" w:color="auto" w:fill="auto"/>
            <w:noWrap/>
            <w:vAlign w:val="center"/>
            <w:hideMark/>
          </w:tcPr>
          <w:p w14:paraId="3B0290C9"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9 (0.15)</w:t>
            </w:r>
          </w:p>
        </w:tc>
        <w:tc>
          <w:tcPr>
            <w:tcW w:w="1055" w:type="dxa"/>
            <w:vMerge/>
            <w:tcBorders>
              <w:top w:val="nil"/>
              <w:left w:val="nil"/>
              <w:bottom w:val="nil"/>
              <w:right w:val="nil"/>
            </w:tcBorders>
            <w:vAlign w:val="center"/>
            <w:hideMark/>
          </w:tcPr>
          <w:p w14:paraId="6C79385F" w14:textId="77777777" w:rsidR="006F474D" w:rsidRPr="002961C2" w:rsidRDefault="006F474D" w:rsidP="006F474D">
            <w:pPr>
              <w:spacing w:after="0" w:line="240" w:lineRule="auto"/>
              <w:rPr>
                <w:rFonts w:ascii="Times New Roman" w:eastAsia="Times New Roman" w:hAnsi="Times New Roman" w:cs="Times New Roman"/>
                <w:sz w:val="20"/>
                <w:szCs w:val="20"/>
                <w:lang w:eastAsia="en-GB"/>
              </w:rPr>
            </w:pPr>
          </w:p>
        </w:tc>
      </w:tr>
      <w:tr w:rsidR="002961C2" w:rsidRPr="002961C2" w14:paraId="629B3568" w14:textId="77777777" w:rsidTr="006F474D">
        <w:trPr>
          <w:trHeight w:val="330"/>
          <w:jc w:val="center"/>
        </w:trPr>
        <w:tc>
          <w:tcPr>
            <w:tcW w:w="1005" w:type="dxa"/>
            <w:vMerge/>
            <w:tcBorders>
              <w:top w:val="nil"/>
              <w:left w:val="nil"/>
              <w:bottom w:val="nil"/>
              <w:right w:val="nil"/>
            </w:tcBorders>
            <w:hideMark/>
          </w:tcPr>
          <w:p w14:paraId="6F7A2DCF"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p>
        </w:tc>
        <w:tc>
          <w:tcPr>
            <w:tcW w:w="1250" w:type="dxa"/>
            <w:tcBorders>
              <w:top w:val="nil"/>
              <w:left w:val="nil"/>
              <w:bottom w:val="nil"/>
              <w:right w:val="nil"/>
            </w:tcBorders>
            <w:shd w:val="clear" w:color="auto" w:fill="auto"/>
            <w:vAlign w:val="center"/>
            <w:hideMark/>
          </w:tcPr>
          <w:p w14:paraId="3D3C5B08"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Mixed</w:t>
            </w:r>
          </w:p>
        </w:tc>
        <w:tc>
          <w:tcPr>
            <w:tcW w:w="1414" w:type="dxa"/>
            <w:tcBorders>
              <w:top w:val="nil"/>
              <w:left w:val="nil"/>
              <w:bottom w:val="nil"/>
              <w:right w:val="nil"/>
            </w:tcBorders>
            <w:shd w:val="clear" w:color="auto" w:fill="auto"/>
            <w:noWrap/>
            <w:vAlign w:val="center"/>
            <w:hideMark/>
          </w:tcPr>
          <w:p w14:paraId="4F7D1873"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36 (3.94)</w:t>
            </w:r>
          </w:p>
        </w:tc>
        <w:tc>
          <w:tcPr>
            <w:tcW w:w="1769" w:type="dxa"/>
            <w:tcBorders>
              <w:top w:val="nil"/>
              <w:left w:val="nil"/>
              <w:bottom w:val="nil"/>
              <w:right w:val="nil"/>
            </w:tcBorders>
            <w:shd w:val="clear" w:color="auto" w:fill="auto"/>
            <w:noWrap/>
            <w:vAlign w:val="center"/>
            <w:hideMark/>
          </w:tcPr>
          <w:p w14:paraId="0D1FC5C1"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117 (2.00)</w:t>
            </w:r>
          </w:p>
        </w:tc>
        <w:tc>
          <w:tcPr>
            <w:tcW w:w="1055" w:type="dxa"/>
            <w:vMerge/>
            <w:tcBorders>
              <w:top w:val="nil"/>
              <w:left w:val="nil"/>
              <w:bottom w:val="nil"/>
              <w:right w:val="nil"/>
            </w:tcBorders>
            <w:vAlign w:val="center"/>
            <w:hideMark/>
          </w:tcPr>
          <w:p w14:paraId="16F225A7" w14:textId="77777777" w:rsidR="006F474D" w:rsidRPr="002961C2" w:rsidRDefault="006F474D" w:rsidP="006F474D">
            <w:pPr>
              <w:spacing w:after="0" w:line="240" w:lineRule="auto"/>
              <w:rPr>
                <w:rFonts w:ascii="Times New Roman" w:eastAsia="Times New Roman" w:hAnsi="Times New Roman" w:cs="Times New Roman"/>
                <w:sz w:val="20"/>
                <w:szCs w:val="20"/>
                <w:lang w:eastAsia="en-GB"/>
              </w:rPr>
            </w:pPr>
          </w:p>
        </w:tc>
      </w:tr>
      <w:tr w:rsidR="002961C2" w:rsidRPr="002961C2" w14:paraId="2AF4C46D" w14:textId="77777777" w:rsidTr="006F474D">
        <w:trPr>
          <w:trHeight w:val="330"/>
          <w:jc w:val="center"/>
        </w:trPr>
        <w:tc>
          <w:tcPr>
            <w:tcW w:w="1005" w:type="dxa"/>
            <w:vMerge/>
            <w:tcBorders>
              <w:top w:val="nil"/>
              <w:left w:val="nil"/>
              <w:bottom w:val="nil"/>
              <w:right w:val="nil"/>
            </w:tcBorders>
            <w:hideMark/>
          </w:tcPr>
          <w:p w14:paraId="775CCA64"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p>
        </w:tc>
        <w:tc>
          <w:tcPr>
            <w:tcW w:w="1250" w:type="dxa"/>
            <w:tcBorders>
              <w:top w:val="nil"/>
              <w:left w:val="nil"/>
              <w:bottom w:val="nil"/>
              <w:right w:val="nil"/>
            </w:tcBorders>
            <w:shd w:val="clear" w:color="auto" w:fill="auto"/>
            <w:vAlign w:val="center"/>
            <w:hideMark/>
          </w:tcPr>
          <w:p w14:paraId="3DCD68F2"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Other</w:t>
            </w:r>
          </w:p>
        </w:tc>
        <w:tc>
          <w:tcPr>
            <w:tcW w:w="1414" w:type="dxa"/>
            <w:tcBorders>
              <w:top w:val="nil"/>
              <w:left w:val="nil"/>
              <w:bottom w:val="nil"/>
              <w:right w:val="nil"/>
            </w:tcBorders>
            <w:shd w:val="clear" w:color="auto" w:fill="auto"/>
            <w:noWrap/>
            <w:vAlign w:val="center"/>
            <w:hideMark/>
          </w:tcPr>
          <w:p w14:paraId="0C3FE741"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8 (0.88)</w:t>
            </w:r>
          </w:p>
        </w:tc>
        <w:tc>
          <w:tcPr>
            <w:tcW w:w="1769" w:type="dxa"/>
            <w:tcBorders>
              <w:top w:val="nil"/>
              <w:left w:val="nil"/>
              <w:bottom w:val="nil"/>
              <w:right w:val="nil"/>
            </w:tcBorders>
            <w:shd w:val="clear" w:color="auto" w:fill="auto"/>
            <w:noWrap/>
            <w:vAlign w:val="center"/>
            <w:hideMark/>
          </w:tcPr>
          <w:p w14:paraId="0A976C34"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78 (1.33)</w:t>
            </w:r>
          </w:p>
        </w:tc>
        <w:tc>
          <w:tcPr>
            <w:tcW w:w="1055" w:type="dxa"/>
            <w:vMerge/>
            <w:tcBorders>
              <w:top w:val="nil"/>
              <w:left w:val="nil"/>
              <w:bottom w:val="nil"/>
              <w:right w:val="nil"/>
            </w:tcBorders>
            <w:vAlign w:val="center"/>
            <w:hideMark/>
          </w:tcPr>
          <w:p w14:paraId="6E1EB438" w14:textId="77777777" w:rsidR="006F474D" w:rsidRPr="002961C2" w:rsidRDefault="006F474D" w:rsidP="006F474D">
            <w:pPr>
              <w:spacing w:after="0" w:line="240" w:lineRule="auto"/>
              <w:rPr>
                <w:rFonts w:ascii="Times New Roman" w:eastAsia="Times New Roman" w:hAnsi="Times New Roman" w:cs="Times New Roman"/>
                <w:sz w:val="20"/>
                <w:szCs w:val="20"/>
                <w:lang w:eastAsia="en-GB"/>
              </w:rPr>
            </w:pPr>
          </w:p>
        </w:tc>
      </w:tr>
      <w:tr w:rsidR="002961C2" w:rsidRPr="002961C2" w14:paraId="7E397F4F" w14:textId="77777777" w:rsidTr="006F474D">
        <w:trPr>
          <w:trHeight w:val="330"/>
          <w:jc w:val="center"/>
        </w:trPr>
        <w:tc>
          <w:tcPr>
            <w:tcW w:w="1005" w:type="dxa"/>
            <w:vMerge/>
            <w:tcBorders>
              <w:top w:val="nil"/>
              <w:left w:val="nil"/>
              <w:bottom w:val="nil"/>
              <w:right w:val="nil"/>
            </w:tcBorders>
            <w:hideMark/>
          </w:tcPr>
          <w:p w14:paraId="0B205BA6"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p>
        </w:tc>
        <w:tc>
          <w:tcPr>
            <w:tcW w:w="1250" w:type="dxa"/>
            <w:tcBorders>
              <w:top w:val="nil"/>
              <w:left w:val="nil"/>
              <w:bottom w:val="nil"/>
              <w:right w:val="nil"/>
            </w:tcBorders>
            <w:shd w:val="clear" w:color="auto" w:fill="auto"/>
            <w:vAlign w:val="center"/>
            <w:hideMark/>
          </w:tcPr>
          <w:p w14:paraId="73689ECE"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White</w:t>
            </w:r>
          </w:p>
        </w:tc>
        <w:tc>
          <w:tcPr>
            <w:tcW w:w="1414" w:type="dxa"/>
            <w:tcBorders>
              <w:top w:val="nil"/>
              <w:left w:val="nil"/>
              <w:bottom w:val="nil"/>
              <w:right w:val="nil"/>
            </w:tcBorders>
            <w:shd w:val="clear" w:color="auto" w:fill="auto"/>
            <w:noWrap/>
            <w:vAlign w:val="center"/>
            <w:hideMark/>
          </w:tcPr>
          <w:p w14:paraId="0FA14B30"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829 (90.70)</w:t>
            </w:r>
          </w:p>
        </w:tc>
        <w:tc>
          <w:tcPr>
            <w:tcW w:w="1769" w:type="dxa"/>
            <w:tcBorders>
              <w:top w:val="nil"/>
              <w:left w:val="nil"/>
              <w:bottom w:val="nil"/>
              <w:right w:val="nil"/>
            </w:tcBorders>
            <w:shd w:val="clear" w:color="auto" w:fill="auto"/>
            <w:noWrap/>
            <w:vAlign w:val="center"/>
            <w:hideMark/>
          </w:tcPr>
          <w:p w14:paraId="39CE17C7"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5402 (92.17)</w:t>
            </w:r>
          </w:p>
        </w:tc>
        <w:tc>
          <w:tcPr>
            <w:tcW w:w="1055" w:type="dxa"/>
            <w:vMerge/>
            <w:tcBorders>
              <w:top w:val="nil"/>
              <w:left w:val="nil"/>
              <w:bottom w:val="nil"/>
              <w:right w:val="nil"/>
            </w:tcBorders>
            <w:vAlign w:val="center"/>
            <w:hideMark/>
          </w:tcPr>
          <w:p w14:paraId="3272EEA2" w14:textId="77777777" w:rsidR="006F474D" w:rsidRPr="002961C2" w:rsidRDefault="006F474D" w:rsidP="006F474D">
            <w:pPr>
              <w:spacing w:after="0" w:line="240" w:lineRule="auto"/>
              <w:rPr>
                <w:rFonts w:ascii="Times New Roman" w:eastAsia="Times New Roman" w:hAnsi="Times New Roman" w:cs="Times New Roman"/>
                <w:sz w:val="20"/>
                <w:szCs w:val="20"/>
                <w:lang w:eastAsia="en-GB"/>
              </w:rPr>
            </w:pPr>
          </w:p>
        </w:tc>
      </w:tr>
      <w:tr w:rsidR="002961C2" w:rsidRPr="002961C2" w14:paraId="1D61C82D" w14:textId="77777777" w:rsidTr="006F474D">
        <w:trPr>
          <w:trHeight w:val="330"/>
          <w:jc w:val="center"/>
        </w:trPr>
        <w:tc>
          <w:tcPr>
            <w:tcW w:w="1005" w:type="dxa"/>
            <w:vMerge w:val="restart"/>
            <w:tcBorders>
              <w:top w:val="nil"/>
              <w:left w:val="nil"/>
              <w:bottom w:val="nil"/>
              <w:right w:val="nil"/>
            </w:tcBorders>
            <w:shd w:val="clear" w:color="auto" w:fill="auto"/>
            <w:hideMark/>
          </w:tcPr>
          <w:p w14:paraId="7ED5FE52"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Smoking</w:t>
            </w:r>
          </w:p>
        </w:tc>
        <w:tc>
          <w:tcPr>
            <w:tcW w:w="1250" w:type="dxa"/>
            <w:tcBorders>
              <w:top w:val="nil"/>
              <w:left w:val="nil"/>
              <w:bottom w:val="nil"/>
              <w:right w:val="nil"/>
            </w:tcBorders>
            <w:shd w:val="clear" w:color="auto" w:fill="auto"/>
            <w:vAlign w:val="center"/>
            <w:hideMark/>
          </w:tcPr>
          <w:p w14:paraId="728A7D1B"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Never</w:t>
            </w:r>
          </w:p>
        </w:tc>
        <w:tc>
          <w:tcPr>
            <w:tcW w:w="1414" w:type="dxa"/>
            <w:tcBorders>
              <w:top w:val="nil"/>
              <w:left w:val="nil"/>
              <w:bottom w:val="nil"/>
              <w:right w:val="nil"/>
            </w:tcBorders>
            <w:shd w:val="clear" w:color="auto" w:fill="auto"/>
            <w:noWrap/>
            <w:vAlign w:val="center"/>
            <w:hideMark/>
          </w:tcPr>
          <w:p w14:paraId="45EE759C"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358 (39.43)</w:t>
            </w:r>
          </w:p>
        </w:tc>
        <w:tc>
          <w:tcPr>
            <w:tcW w:w="1769" w:type="dxa"/>
            <w:tcBorders>
              <w:top w:val="nil"/>
              <w:left w:val="nil"/>
              <w:bottom w:val="nil"/>
              <w:right w:val="nil"/>
            </w:tcBorders>
            <w:shd w:val="clear" w:color="auto" w:fill="auto"/>
            <w:noWrap/>
            <w:vAlign w:val="center"/>
            <w:hideMark/>
          </w:tcPr>
          <w:p w14:paraId="6822C4CD"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3236 (55.38)</w:t>
            </w:r>
          </w:p>
        </w:tc>
        <w:tc>
          <w:tcPr>
            <w:tcW w:w="1055" w:type="dxa"/>
            <w:vMerge w:val="restart"/>
            <w:tcBorders>
              <w:top w:val="nil"/>
              <w:left w:val="nil"/>
              <w:bottom w:val="nil"/>
              <w:right w:val="nil"/>
            </w:tcBorders>
            <w:shd w:val="clear" w:color="auto" w:fill="auto"/>
            <w:noWrap/>
            <w:vAlign w:val="bottom"/>
            <w:hideMark/>
          </w:tcPr>
          <w:p w14:paraId="18E4D23A"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1.27E-18</w:t>
            </w:r>
          </w:p>
        </w:tc>
      </w:tr>
      <w:tr w:rsidR="002961C2" w:rsidRPr="002961C2" w14:paraId="14A388BF" w14:textId="77777777" w:rsidTr="006F474D">
        <w:trPr>
          <w:trHeight w:val="330"/>
          <w:jc w:val="center"/>
        </w:trPr>
        <w:tc>
          <w:tcPr>
            <w:tcW w:w="1005" w:type="dxa"/>
            <w:vMerge/>
            <w:tcBorders>
              <w:top w:val="nil"/>
              <w:left w:val="nil"/>
              <w:bottom w:val="nil"/>
              <w:right w:val="nil"/>
            </w:tcBorders>
            <w:vAlign w:val="center"/>
            <w:hideMark/>
          </w:tcPr>
          <w:p w14:paraId="4B49164D"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p>
        </w:tc>
        <w:tc>
          <w:tcPr>
            <w:tcW w:w="1250" w:type="dxa"/>
            <w:tcBorders>
              <w:top w:val="nil"/>
              <w:left w:val="nil"/>
              <w:bottom w:val="nil"/>
              <w:right w:val="nil"/>
            </w:tcBorders>
            <w:shd w:val="clear" w:color="auto" w:fill="auto"/>
            <w:vAlign w:val="center"/>
            <w:hideMark/>
          </w:tcPr>
          <w:p w14:paraId="4DE96B67"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Ex-smoker</w:t>
            </w:r>
          </w:p>
        </w:tc>
        <w:tc>
          <w:tcPr>
            <w:tcW w:w="1414" w:type="dxa"/>
            <w:tcBorders>
              <w:top w:val="nil"/>
              <w:left w:val="nil"/>
              <w:bottom w:val="nil"/>
              <w:right w:val="nil"/>
            </w:tcBorders>
            <w:shd w:val="clear" w:color="auto" w:fill="auto"/>
            <w:noWrap/>
            <w:vAlign w:val="center"/>
            <w:hideMark/>
          </w:tcPr>
          <w:p w14:paraId="0ECA29AF"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408 (44.93)</w:t>
            </w:r>
          </w:p>
        </w:tc>
        <w:tc>
          <w:tcPr>
            <w:tcW w:w="1769" w:type="dxa"/>
            <w:tcBorders>
              <w:top w:val="nil"/>
              <w:left w:val="nil"/>
              <w:bottom w:val="nil"/>
              <w:right w:val="nil"/>
            </w:tcBorders>
            <w:shd w:val="clear" w:color="auto" w:fill="auto"/>
            <w:noWrap/>
            <w:vAlign w:val="center"/>
            <w:hideMark/>
          </w:tcPr>
          <w:p w14:paraId="7CADDB30"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2001 (34.25)</w:t>
            </w:r>
          </w:p>
        </w:tc>
        <w:tc>
          <w:tcPr>
            <w:tcW w:w="1055" w:type="dxa"/>
            <w:vMerge/>
            <w:tcBorders>
              <w:top w:val="nil"/>
              <w:left w:val="nil"/>
              <w:bottom w:val="nil"/>
              <w:right w:val="nil"/>
            </w:tcBorders>
            <w:vAlign w:val="center"/>
            <w:hideMark/>
          </w:tcPr>
          <w:p w14:paraId="34BEBE9E" w14:textId="77777777" w:rsidR="006F474D" w:rsidRPr="002961C2" w:rsidRDefault="006F474D" w:rsidP="006F474D">
            <w:pPr>
              <w:spacing w:after="0" w:line="240" w:lineRule="auto"/>
              <w:rPr>
                <w:rFonts w:ascii="Times New Roman" w:eastAsia="Times New Roman" w:hAnsi="Times New Roman" w:cs="Times New Roman"/>
                <w:sz w:val="20"/>
                <w:szCs w:val="20"/>
                <w:lang w:eastAsia="en-GB"/>
              </w:rPr>
            </w:pPr>
          </w:p>
        </w:tc>
      </w:tr>
      <w:tr w:rsidR="002961C2" w:rsidRPr="002961C2" w14:paraId="39D3A43A" w14:textId="77777777" w:rsidTr="006F474D">
        <w:trPr>
          <w:trHeight w:val="330"/>
          <w:jc w:val="center"/>
        </w:trPr>
        <w:tc>
          <w:tcPr>
            <w:tcW w:w="1005" w:type="dxa"/>
            <w:vMerge/>
            <w:tcBorders>
              <w:top w:val="nil"/>
              <w:left w:val="nil"/>
              <w:bottom w:val="nil"/>
              <w:right w:val="nil"/>
            </w:tcBorders>
            <w:vAlign w:val="center"/>
            <w:hideMark/>
          </w:tcPr>
          <w:p w14:paraId="60C1B697"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p>
        </w:tc>
        <w:tc>
          <w:tcPr>
            <w:tcW w:w="1250" w:type="dxa"/>
            <w:tcBorders>
              <w:top w:val="nil"/>
              <w:left w:val="nil"/>
              <w:bottom w:val="nil"/>
              <w:right w:val="nil"/>
            </w:tcBorders>
            <w:shd w:val="clear" w:color="auto" w:fill="auto"/>
            <w:vAlign w:val="center"/>
            <w:hideMark/>
          </w:tcPr>
          <w:p w14:paraId="0286A955"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Current</w:t>
            </w:r>
          </w:p>
        </w:tc>
        <w:tc>
          <w:tcPr>
            <w:tcW w:w="1414" w:type="dxa"/>
            <w:tcBorders>
              <w:top w:val="nil"/>
              <w:left w:val="nil"/>
              <w:bottom w:val="nil"/>
              <w:right w:val="nil"/>
            </w:tcBorders>
            <w:shd w:val="clear" w:color="auto" w:fill="auto"/>
            <w:noWrap/>
            <w:vAlign w:val="center"/>
            <w:hideMark/>
          </w:tcPr>
          <w:p w14:paraId="031AD9A1"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142 (15.64)</w:t>
            </w:r>
          </w:p>
        </w:tc>
        <w:tc>
          <w:tcPr>
            <w:tcW w:w="1769" w:type="dxa"/>
            <w:tcBorders>
              <w:top w:val="nil"/>
              <w:left w:val="nil"/>
              <w:bottom w:val="nil"/>
              <w:right w:val="nil"/>
            </w:tcBorders>
            <w:shd w:val="clear" w:color="auto" w:fill="auto"/>
            <w:noWrap/>
            <w:vAlign w:val="center"/>
            <w:hideMark/>
          </w:tcPr>
          <w:p w14:paraId="381BAE5D"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606 (10.37)</w:t>
            </w:r>
          </w:p>
        </w:tc>
        <w:tc>
          <w:tcPr>
            <w:tcW w:w="1055" w:type="dxa"/>
            <w:vMerge/>
            <w:tcBorders>
              <w:top w:val="nil"/>
              <w:left w:val="nil"/>
              <w:bottom w:val="nil"/>
              <w:right w:val="nil"/>
            </w:tcBorders>
            <w:vAlign w:val="center"/>
            <w:hideMark/>
          </w:tcPr>
          <w:p w14:paraId="18FCEB18" w14:textId="77777777" w:rsidR="006F474D" w:rsidRPr="002961C2" w:rsidRDefault="006F474D" w:rsidP="006F474D">
            <w:pPr>
              <w:spacing w:after="0" w:line="240" w:lineRule="auto"/>
              <w:rPr>
                <w:rFonts w:ascii="Times New Roman" w:eastAsia="Times New Roman" w:hAnsi="Times New Roman" w:cs="Times New Roman"/>
                <w:sz w:val="20"/>
                <w:szCs w:val="20"/>
                <w:lang w:eastAsia="en-GB"/>
              </w:rPr>
            </w:pPr>
          </w:p>
        </w:tc>
      </w:tr>
      <w:tr w:rsidR="002961C2" w:rsidRPr="002961C2" w14:paraId="18DFDBFF" w14:textId="77777777" w:rsidTr="006F474D">
        <w:trPr>
          <w:trHeight w:val="330"/>
          <w:jc w:val="center"/>
        </w:trPr>
        <w:tc>
          <w:tcPr>
            <w:tcW w:w="2255" w:type="dxa"/>
            <w:gridSpan w:val="2"/>
            <w:tcBorders>
              <w:top w:val="nil"/>
              <w:left w:val="nil"/>
              <w:bottom w:val="single" w:sz="4" w:space="0" w:color="auto"/>
              <w:right w:val="nil"/>
            </w:tcBorders>
            <w:shd w:val="clear" w:color="auto" w:fill="auto"/>
            <w:vAlign w:val="center"/>
            <w:hideMark/>
          </w:tcPr>
          <w:p w14:paraId="07501ADE" w14:textId="77777777" w:rsidR="006F474D" w:rsidRPr="002961C2" w:rsidRDefault="006F474D" w:rsidP="006F474D">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LTL (age adjusted)</w:t>
            </w:r>
          </w:p>
        </w:tc>
        <w:tc>
          <w:tcPr>
            <w:tcW w:w="1414" w:type="dxa"/>
            <w:tcBorders>
              <w:top w:val="nil"/>
              <w:left w:val="nil"/>
              <w:bottom w:val="single" w:sz="4" w:space="0" w:color="auto"/>
              <w:right w:val="nil"/>
            </w:tcBorders>
            <w:shd w:val="clear" w:color="auto" w:fill="auto"/>
            <w:noWrap/>
            <w:vAlign w:val="center"/>
            <w:hideMark/>
          </w:tcPr>
          <w:p w14:paraId="2723694D"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-0.14 (0.97)</w:t>
            </w:r>
          </w:p>
        </w:tc>
        <w:tc>
          <w:tcPr>
            <w:tcW w:w="1769" w:type="dxa"/>
            <w:tcBorders>
              <w:top w:val="nil"/>
              <w:left w:val="nil"/>
              <w:bottom w:val="single" w:sz="4" w:space="0" w:color="auto"/>
              <w:right w:val="nil"/>
            </w:tcBorders>
            <w:shd w:val="clear" w:color="auto" w:fill="auto"/>
            <w:noWrap/>
            <w:vAlign w:val="center"/>
            <w:hideMark/>
          </w:tcPr>
          <w:p w14:paraId="148B80B9"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-0.03 (1.00)</w:t>
            </w:r>
            <w:r w:rsidRPr="002961C2">
              <w:rPr>
                <w:rFonts w:ascii="Calibri" w:eastAsia="Times New Roman" w:hAnsi="Calibri" w:cs="Times New Roman"/>
                <w:sz w:val="16"/>
                <w:szCs w:val="16"/>
                <w:lang w:eastAsia="en-GB"/>
              </w:rPr>
              <w:t> </w:t>
            </w:r>
          </w:p>
        </w:tc>
        <w:tc>
          <w:tcPr>
            <w:tcW w:w="1055" w:type="dxa"/>
            <w:tcBorders>
              <w:top w:val="nil"/>
              <w:left w:val="nil"/>
              <w:bottom w:val="single" w:sz="4" w:space="0" w:color="auto"/>
              <w:right w:val="nil"/>
            </w:tcBorders>
            <w:shd w:val="clear" w:color="auto" w:fill="auto"/>
            <w:noWrap/>
            <w:vAlign w:val="bottom"/>
            <w:hideMark/>
          </w:tcPr>
          <w:p w14:paraId="46D5F334" w14:textId="77777777" w:rsidR="006F474D" w:rsidRPr="002961C2" w:rsidRDefault="006F474D" w:rsidP="006F474D">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0.002</w:t>
            </w:r>
          </w:p>
        </w:tc>
      </w:tr>
    </w:tbl>
    <w:p w14:paraId="44EF8CDA" w14:textId="23DEA714" w:rsidR="00061432" w:rsidRPr="002961C2" w:rsidRDefault="00AF1D41" w:rsidP="005024CC">
      <w:pPr>
        <w:spacing w:before="120" w:line="480" w:lineRule="auto"/>
        <w:rPr>
          <w:rFonts w:eastAsia="Times New Roman" w:cstheme="minorHAnsi"/>
          <w:iCs/>
          <w:sz w:val="24"/>
          <w:szCs w:val="24"/>
          <w:bdr w:val="none" w:sz="0" w:space="0" w:color="auto" w:frame="1"/>
          <w:lang w:eastAsia="en-GB"/>
        </w:rPr>
      </w:pPr>
      <w:r w:rsidRPr="002961C2">
        <w:rPr>
          <w:rFonts w:eastAsia="Times New Roman" w:cstheme="minorHAnsi"/>
          <w:iCs/>
          <w:sz w:val="24"/>
          <w:szCs w:val="24"/>
          <w:bdr w:val="none" w:sz="0" w:space="0" w:color="auto" w:frame="1"/>
          <w:lang w:eastAsia="en-GB"/>
        </w:rPr>
        <w:t>Data shown are mean</w:t>
      </w:r>
      <w:r w:rsidR="00C92C68" w:rsidRPr="002961C2">
        <w:rPr>
          <w:rFonts w:eastAsia="Times New Roman" w:cstheme="minorHAnsi"/>
          <w:iCs/>
          <w:sz w:val="24"/>
          <w:szCs w:val="24"/>
          <w:bdr w:val="none" w:sz="0" w:space="0" w:color="auto" w:frame="1"/>
          <w:lang w:eastAsia="en-GB"/>
        </w:rPr>
        <w:t xml:space="preserve"> </w:t>
      </w:r>
      <w:r w:rsidRPr="002961C2">
        <w:rPr>
          <w:rFonts w:eastAsia="Times New Roman" w:cstheme="minorHAnsi"/>
          <w:iCs/>
          <w:sz w:val="24"/>
          <w:szCs w:val="24"/>
          <w:bdr w:val="none" w:sz="0" w:space="0" w:color="auto" w:frame="1"/>
          <w:lang w:eastAsia="en-GB"/>
        </w:rPr>
        <w:t xml:space="preserve">(SD) for continuous traits or </w:t>
      </w:r>
      <w:r w:rsidR="00DC3E80" w:rsidRPr="002961C2">
        <w:rPr>
          <w:rFonts w:eastAsia="Times New Roman" w:cstheme="minorHAnsi"/>
          <w:iCs/>
          <w:sz w:val="24"/>
          <w:szCs w:val="24"/>
          <w:bdr w:val="none" w:sz="0" w:space="0" w:color="auto" w:frame="1"/>
          <w:lang w:eastAsia="en-GB"/>
        </w:rPr>
        <w:t>n</w:t>
      </w:r>
      <w:r w:rsidR="006524E5" w:rsidRPr="002961C2">
        <w:rPr>
          <w:rFonts w:eastAsia="Times New Roman" w:cstheme="minorHAnsi"/>
          <w:iCs/>
          <w:sz w:val="24"/>
          <w:szCs w:val="24"/>
          <w:bdr w:val="none" w:sz="0" w:space="0" w:color="auto" w:frame="1"/>
          <w:lang w:eastAsia="en-GB"/>
        </w:rPr>
        <w:t xml:space="preserve"> </w:t>
      </w:r>
      <w:r w:rsidRPr="002961C2">
        <w:rPr>
          <w:rFonts w:eastAsia="Times New Roman" w:cstheme="minorHAnsi"/>
          <w:iCs/>
          <w:sz w:val="24"/>
          <w:szCs w:val="24"/>
          <w:bdr w:val="none" w:sz="0" w:space="0" w:color="auto" w:frame="1"/>
          <w:lang w:eastAsia="en-GB"/>
        </w:rPr>
        <w:t>(%)</w:t>
      </w:r>
      <w:r w:rsidR="00036CB8" w:rsidRPr="002961C2">
        <w:rPr>
          <w:rFonts w:eastAsia="Times New Roman" w:cstheme="minorHAnsi"/>
          <w:iCs/>
          <w:sz w:val="24"/>
          <w:szCs w:val="24"/>
          <w:bdr w:val="none" w:sz="0" w:space="0" w:color="auto" w:frame="1"/>
          <w:lang w:eastAsia="en-GB"/>
        </w:rPr>
        <w:t xml:space="preserve"> for categorical traits.</w:t>
      </w:r>
      <w:r w:rsidR="006D7370" w:rsidRPr="002961C2">
        <w:rPr>
          <w:rFonts w:eastAsia="Times New Roman" w:cstheme="minorHAnsi"/>
          <w:iCs/>
          <w:sz w:val="24"/>
          <w:szCs w:val="24"/>
          <w:bdr w:val="none" w:sz="0" w:space="0" w:color="auto" w:frame="1"/>
          <w:lang w:eastAsia="en-GB"/>
        </w:rPr>
        <w:t xml:space="preserve"> </w:t>
      </w:r>
      <w:r w:rsidR="00937376" w:rsidRPr="002961C2">
        <w:rPr>
          <w:rFonts w:eastAsia="Times New Roman" w:cstheme="minorHAnsi"/>
          <w:iCs/>
          <w:sz w:val="24"/>
          <w:szCs w:val="24"/>
          <w:bdr w:val="none" w:sz="0" w:space="0" w:color="auto" w:frame="1"/>
          <w:lang w:eastAsia="en-GB"/>
        </w:rPr>
        <w:t>LTL, s</w:t>
      </w:r>
      <w:r w:rsidR="006D7370" w:rsidRPr="002961C2">
        <w:rPr>
          <w:rFonts w:eastAsia="Times New Roman" w:cstheme="minorHAnsi"/>
          <w:iCs/>
          <w:sz w:val="24"/>
          <w:szCs w:val="24"/>
          <w:bdr w:val="none" w:sz="0" w:space="0" w:color="auto" w:frame="1"/>
          <w:lang w:eastAsia="en-GB"/>
        </w:rPr>
        <w:t>moking status</w:t>
      </w:r>
      <w:r w:rsidR="00937376" w:rsidRPr="002961C2">
        <w:rPr>
          <w:rFonts w:eastAsia="Times New Roman" w:cstheme="minorHAnsi"/>
          <w:iCs/>
          <w:sz w:val="24"/>
          <w:szCs w:val="24"/>
          <w:bdr w:val="none" w:sz="0" w:space="0" w:color="auto" w:frame="1"/>
          <w:lang w:eastAsia="en-GB"/>
        </w:rPr>
        <w:t xml:space="preserve">, </w:t>
      </w:r>
      <w:r w:rsidR="006D7370" w:rsidRPr="002961C2">
        <w:rPr>
          <w:rFonts w:eastAsia="Times New Roman" w:cstheme="minorHAnsi"/>
          <w:iCs/>
          <w:sz w:val="24"/>
          <w:szCs w:val="24"/>
          <w:bdr w:val="none" w:sz="0" w:space="0" w:color="auto" w:frame="1"/>
          <w:lang w:eastAsia="en-GB"/>
        </w:rPr>
        <w:t>BMI</w:t>
      </w:r>
      <w:r w:rsidR="00937376" w:rsidRPr="002961C2">
        <w:rPr>
          <w:rFonts w:eastAsia="Times New Roman" w:cstheme="minorHAnsi"/>
          <w:iCs/>
          <w:sz w:val="24"/>
          <w:szCs w:val="24"/>
          <w:bdr w:val="none" w:sz="0" w:space="0" w:color="auto" w:frame="1"/>
          <w:lang w:eastAsia="en-GB"/>
        </w:rPr>
        <w:t>, sex and ethnicity</w:t>
      </w:r>
      <w:r w:rsidR="006D7370" w:rsidRPr="002961C2">
        <w:rPr>
          <w:rFonts w:eastAsia="Times New Roman" w:cstheme="minorHAnsi"/>
          <w:iCs/>
          <w:sz w:val="24"/>
          <w:szCs w:val="24"/>
          <w:bdr w:val="none" w:sz="0" w:space="0" w:color="auto" w:frame="1"/>
          <w:lang w:eastAsia="en-GB"/>
        </w:rPr>
        <w:t xml:space="preserve"> are from baseline information</w:t>
      </w:r>
      <w:r w:rsidR="00C92C68" w:rsidRPr="002961C2">
        <w:rPr>
          <w:rFonts w:eastAsia="Times New Roman" w:cstheme="minorHAnsi"/>
          <w:iCs/>
          <w:sz w:val="24"/>
          <w:szCs w:val="24"/>
          <w:bdr w:val="none" w:sz="0" w:space="0" w:color="auto" w:frame="1"/>
          <w:lang w:eastAsia="en-GB"/>
        </w:rPr>
        <w:t xml:space="preserve">. LTL is </w:t>
      </w:r>
      <w:r w:rsidR="000546C1" w:rsidRPr="002961C2">
        <w:rPr>
          <w:rFonts w:eastAsia="Times New Roman" w:cstheme="minorHAnsi"/>
          <w:iCs/>
          <w:sz w:val="24"/>
          <w:szCs w:val="24"/>
          <w:bdr w:val="none" w:sz="0" w:space="0" w:color="auto" w:frame="1"/>
          <w:lang w:eastAsia="en-GB"/>
        </w:rPr>
        <w:t xml:space="preserve">log-transformed and </w:t>
      </w:r>
      <w:r w:rsidR="00C92C68" w:rsidRPr="002961C2">
        <w:rPr>
          <w:rFonts w:eastAsia="Times New Roman" w:cstheme="minorHAnsi"/>
          <w:iCs/>
          <w:sz w:val="24"/>
          <w:szCs w:val="24"/>
          <w:bdr w:val="none" w:sz="0" w:space="0" w:color="auto" w:frame="1"/>
          <w:lang w:eastAsia="en-GB"/>
        </w:rPr>
        <w:t>Z-standardised.</w:t>
      </w:r>
      <w:r w:rsidR="006F474D" w:rsidRPr="002961C2">
        <w:rPr>
          <w:rFonts w:eastAsia="Times New Roman" w:cstheme="minorHAnsi"/>
          <w:iCs/>
          <w:sz w:val="24"/>
          <w:szCs w:val="24"/>
          <w:bdr w:val="none" w:sz="0" w:space="0" w:color="auto" w:frame="1"/>
          <w:lang w:eastAsia="en-GB"/>
        </w:rPr>
        <w:t xml:space="preserve"> P-values were obtained via t-tests for continuous traits, Ethnicity was assessed using Fishers exact test and other categorical traits were tested using a χ</w:t>
      </w:r>
      <w:r w:rsidR="006F474D" w:rsidRPr="002961C2">
        <w:rPr>
          <w:rFonts w:eastAsia="Times New Roman" w:cstheme="minorHAnsi"/>
          <w:iCs/>
          <w:sz w:val="24"/>
          <w:szCs w:val="24"/>
          <w:bdr w:val="none" w:sz="0" w:space="0" w:color="auto" w:frame="1"/>
          <w:vertAlign w:val="superscript"/>
          <w:lang w:eastAsia="en-GB"/>
        </w:rPr>
        <w:t>2</w:t>
      </w:r>
      <w:r w:rsidR="006F474D" w:rsidRPr="002961C2">
        <w:rPr>
          <w:rFonts w:eastAsia="Times New Roman" w:cstheme="minorHAnsi"/>
          <w:iCs/>
          <w:sz w:val="24"/>
          <w:szCs w:val="24"/>
          <w:bdr w:val="none" w:sz="0" w:space="0" w:color="auto" w:frame="1"/>
          <w:lang w:eastAsia="en-GB"/>
        </w:rPr>
        <w:t xml:space="preserve"> test.</w:t>
      </w:r>
    </w:p>
    <w:p w14:paraId="34FB65FB" w14:textId="77777777" w:rsidR="005024CC" w:rsidRPr="002961C2" w:rsidRDefault="005024CC">
      <w:pPr>
        <w:rPr>
          <w:rFonts w:eastAsia="Times New Roman" w:cstheme="minorHAnsi"/>
          <w:iCs/>
          <w:sz w:val="20"/>
          <w:szCs w:val="24"/>
          <w:bdr w:val="none" w:sz="0" w:space="0" w:color="auto" w:frame="1"/>
          <w:lang w:eastAsia="en-GB"/>
        </w:rPr>
      </w:pPr>
      <w:r w:rsidRPr="002961C2">
        <w:rPr>
          <w:rFonts w:eastAsia="Times New Roman" w:cstheme="minorHAnsi"/>
          <w:iCs/>
          <w:sz w:val="20"/>
          <w:szCs w:val="24"/>
          <w:bdr w:val="none" w:sz="0" w:space="0" w:color="auto" w:frame="1"/>
          <w:lang w:eastAsia="en-GB"/>
        </w:rPr>
        <w:br w:type="page"/>
      </w:r>
    </w:p>
    <w:p w14:paraId="2B841F68" w14:textId="5F74B878" w:rsidR="009A66E8" w:rsidRPr="002961C2" w:rsidRDefault="005024CC" w:rsidP="00AF1D41">
      <w:pPr>
        <w:spacing w:line="360" w:lineRule="auto"/>
        <w:rPr>
          <w:rFonts w:eastAsia="Times New Roman" w:cstheme="minorHAnsi"/>
          <w:iCs/>
          <w:sz w:val="24"/>
          <w:szCs w:val="24"/>
          <w:bdr w:val="none" w:sz="0" w:space="0" w:color="auto" w:frame="1"/>
          <w:lang w:eastAsia="en-GB"/>
        </w:rPr>
      </w:pPr>
      <w:r w:rsidRPr="002961C2">
        <w:rPr>
          <w:rFonts w:eastAsia="Times New Roman" w:cstheme="minorHAnsi"/>
          <w:b/>
          <w:iCs/>
          <w:sz w:val="24"/>
          <w:szCs w:val="24"/>
          <w:bdr w:val="none" w:sz="0" w:space="0" w:color="auto" w:frame="1"/>
          <w:lang w:eastAsia="en-GB"/>
        </w:rPr>
        <w:t>Table 2. Results of the main and secondary/sensitivity analyses.</w:t>
      </w:r>
      <w:r w:rsidR="00893B8F" w:rsidRPr="002961C2">
        <w:rPr>
          <w:rFonts w:eastAsia="Times New Roman" w:cstheme="minorHAnsi"/>
          <w:b/>
          <w:iCs/>
          <w:sz w:val="24"/>
          <w:szCs w:val="24"/>
          <w:bdr w:val="none" w:sz="0" w:space="0" w:color="auto" w:frame="1"/>
          <w:lang w:eastAsia="en-GB"/>
        </w:rPr>
        <w:t xml:space="preserve"> </w:t>
      </w:r>
    </w:p>
    <w:p w14:paraId="06B5AEBA" w14:textId="77777777" w:rsidR="009A66E8" w:rsidRPr="002961C2" w:rsidRDefault="009A66E8">
      <w:pPr>
        <w:rPr>
          <w:rFonts w:eastAsia="Times New Roman" w:cstheme="minorHAnsi"/>
          <w:iCs/>
          <w:sz w:val="20"/>
          <w:szCs w:val="24"/>
          <w:bdr w:val="none" w:sz="0" w:space="0" w:color="auto" w:frame="1"/>
          <w:lang w:eastAsia="en-GB"/>
        </w:rPr>
      </w:pPr>
    </w:p>
    <w:tbl>
      <w:tblPr>
        <w:tblW w:w="8778" w:type="dxa"/>
        <w:jc w:val="center"/>
        <w:tblLook w:val="04A0" w:firstRow="1" w:lastRow="0" w:firstColumn="1" w:lastColumn="0" w:noHBand="0" w:noVBand="1"/>
      </w:tblPr>
      <w:tblGrid>
        <w:gridCol w:w="3466"/>
        <w:gridCol w:w="956"/>
        <w:gridCol w:w="1200"/>
        <w:gridCol w:w="2094"/>
        <w:gridCol w:w="1062"/>
      </w:tblGrid>
      <w:tr w:rsidR="002961C2" w:rsidRPr="002961C2" w14:paraId="338D5DEB" w14:textId="77777777" w:rsidTr="00EA6A95">
        <w:trPr>
          <w:trHeight w:val="442"/>
          <w:jc w:val="center"/>
        </w:trPr>
        <w:tc>
          <w:tcPr>
            <w:tcW w:w="3466" w:type="dxa"/>
            <w:tcBorders>
              <w:top w:val="single" w:sz="4" w:space="0" w:color="auto"/>
              <w:left w:val="nil"/>
              <w:bottom w:val="nil"/>
              <w:right w:val="nil"/>
            </w:tcBorders>
            <w:shd w:val="clear" w:color="auto" w:fill="auto"/>
            <w:noWrap/>
            <w:vAlign w:val="center"/>
            <w:hideMark/>
          </w:tcPr>
          <w:p w14:paraId="02FCD62A" w14:textId="77777777" w:rsidR="001F4F1B" w:rsidRPr="002961C2" w:rsidRDefault="001F4F1B" w:rsidP="001F4F1B">
            <w:pPr>
              <w:spacing w:after="0" w:line="240" w:lineRule="auto"/>
              <w:rPr>
                <w:rFonts w:ascii="Times New Roman" w:eastAsia="Times New Roman" w:hAnsi="Times New Roman" w:cs="Times New Roman"/>
                <w:sz w:val="24"/>
                <w:szCs w:val="24"/>
                <w:lang w:eastAsia="en-GB"/>
              </w:rPr>
            </w:pPr>
          </w:p>
        </w:tc>
        <w:tc>
          <w:tcPr>
            <w:tcW w:w="956" w:type="dxa"/>
            <w:tcBorders>
              <w:top w:val="single" w:sz="4" w:space="0" w:color="auto"/>
              <w:left w:val="nil"/>
              <w:bottom w:val="nil"/>
              <w:right w:val="nil"/>
            </w:tcBorders>
            <w:shd w:val="clear" w:color="auto" w:fill="auto"/>
            <w:vAlign w:val="center"/>
            <w:hideMark/>
          </w:tcPr>
          <w:p w14:paraId="38B0AC66" w14:textId="77777777" w:rsidR="001F4F1B" w:rsidRPr="002961C2" w:rsidRDefault="001F4F1B" w:rsidP="001F4F1B">
            <w:pPr>
              <w:spacing w:after="0" w:line="240" w:lineRule="auto"/>
              <w:jc w:val="center"/>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N case</w:t>
            </w:r>
            <w:r w:rsidR="006524E5" w:rsidRPr="002961C2">
              <w:rPr>
                <w:rFonts w:ascii="Times New Roman" w:eastAsia="Times New Roman" w:hAnsi="Times New Roman" w:cs="Times New Roman"/>
                <w:b/>
                <w:bCs/>
                <w:sz w:val="20"/>
                <w:szCs w:val="20"/>
                <w:lang w:eastAsia="en-GB"/>
              </w:rPr>
              <w:t>s</w:t>
            </w:r>
          </w:p>
        </w:tc>
        <w:tc>
          <w:tcPr>
            <w:tcW w:w="1200" w:type="dxa"/>
            <w:tcBorders>
              <w:top w:val="single" w:sz="4" w:space="0" w:color="auto"/>
              <w:left w:val="nil"/>
              <w:bottom w:val="nil"/>
              <w:right w:val="nil"/>
            </w:tcBorders>
            <w:shd w:val="clear" w:color="auto" w:fill="auto"/>
            <w:vAlign w:val="center"/>
            <w:hideMark/>
          </w:tcPr>
          <w:p w14:paraId="6CD2A629" w14:textId="77777777" w:rsidR="001F4F1B" w:rsidRPr="002961C2" w:rsidRDefault="001F4F1B" w:rsidP="001F4F1B">
            <w:pPr>
              <w:spacing w:after="0" w:line="240" w:lineRule="auto"/>
              <w:jc w:val="center"/>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N control</w:t>
            </w:r>
            <w:r w:rsidR="006524E5" w:rsidRPr="002961C2">
              <w:rPr>
                <w:rFonts w:ascii="Times New Roman" w:eastAsia="Times New Roman" w:hAnsi="Times New Roman" w:cs="Times New Roman"/>
                <w:b/>
                <w:bCs/>
                <w:sz w:val="20"/>
                <w:szCs w:val="20"/>
                <w:lang w:eastAsia="en-GB"/>
              </w:rPr>
              <w:t>s</w:t>
            </w:r>
          </w:p>
        </w:tc>
        <w:tc>
          <w:tcPr>
            <w:tcW w:w="2094" w:type="dxa"/>
            <w:tcBorders>
              <w:top w:val="single" w:sz="4" w:space="0" w:color="auto"/>
              <w:left w:val="nil"/>
              <w:bottom w:val="nil"/>
              <w:right w:val="nil"/>
            </w:tcBorders>
            <w:shd w:val="clear" w:color="auto" w:fill="auto"/>
            <w:vAlign w:val="center"/>
            <w:hideMark/>
          </w:tcPr>
          <w:p w14:paraId="683D7352" w14:textId="77777777" w:rsidR="001F4F1B" w:rsidRPr="002961C2" w:rsidRDefault="001F4F1B" w:rsidP="001F4F1B">
            <w:pPr>
              <w:spacing w:after="0" w:line="240" w:lineRule="auto"/>
              <w:jc w:val="center"/>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Odds Ratio (95%CI)</w:t>
            </w:r>
          </w:p>
        </w:tc>
        <w:tc>
          <w:tcPr>
            <w:tcW w:w="1062" w:type="dxa"/>
            <w:tcBorders>
              <w:top w:val="single" w:sz="4" w:space="0" w:color="auto"/>
              <w:left w:val="nil"/>
              <w:bottom w:val="nil"/>
              <w:right w:val="nil"/>
            </w:tcBorders>
            <w:shd w:val="clear" w:color="auto" w:fill="auto"/>
            <w:vAlign w:val="center"/>
            <w:hideMark/>
          </w:tcPr>
          <w:p w14:paraId="187DF785" w14:textId="77777777" w:rsidR="001F4F1B" w:rsidRPr="002961C2" w:rsidRDefault="001F4F1B" w:rsidP="001F4F1B">
            <w:pPr>
              <w:spacing w:after="0" w:line="240" w:lineRule="auto"/>
              <w:jc w:val="center"/>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P-value</w:t>
            </w:r>
          </w:p>
        </w:tc>
      </w:tr>
      <w:tr w:rsidR="002961C2" w:rsidRPr="002961C2" w14:paraId="55E97B9F" w14:textId="77777777" w:rsidTr="00082B6F">
        <w:trPr>
          <w:trHeight w:val="289"/>
          <w:jc w:val="center"/>
        </w:trPr>
        <w:tc>
          <w:tcPr>
            <w:tcW w:w="8778" w:type="dxa"/>
            <w:gridSpan w:val="5"/>
            <w:tcBorders>
              <w:top w:val="single" w:sz="4" w:space="0" w:color="auto"/>
              <w:left w:val="nil"/>
              <w:bottom w:val="single" w:sz="4" w:space="0" w:color="auto"/>
              <w:right w:val="nil"/>
            </w:tcBorders>
            <w:shd w:val="clear" w:color="auto" w:fill="auto"/>
            <w:noWrap/>
            <w:vAlign w:val="center"/>
            <w:hideMark/>
          </w:tcPr>
          <w:p w14:paraId="5158C77A" w14:textId="77777777" w:rsidR="001F4F1B" w:rsidRPr="002961C2" w:rsidRDefault="001F4F1B" w:rsidP="001F4F1B">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Composite outcome</w:t>
            </w:r>
          </w:p>
        </w:tc>
      </w:tr>
      <w:tr w:rsidR="002961C2" w:rsidRPr="002961C2" w14:paraId="6D924BAD" w14:textId="77777777" w:rsidTr="00EA6A95">
        <w:trPr>
          <w:trHeight w:val="289"/>
          <w:jc w:val="center"/>
        </w:trPr>
        <w:tc>
          <w:tcPr>
            <w:tcW w:w="3466" w:type="dxa"/>
            <w:tcBorders>
              <w:top w:val="nil"/>
              <w:left w:val="nil"/>
              <w:bottom w:val="nil"/>
              <w:right w:val="nil"/>
            </w:tcBorders>
            <w:shd w:val="clear" w:color="auto" w:fill="auto"/>
            <w:noWrap/>
            <w:vAlign w:val="center"/>
            <w:hideMark/>
          </w:tcPr>
          <w:p w14:paraId="7938569A" w14:textId="0364FA3C" w:rsidR="001F4F1B" w:rsidRPr="002961C2" w:rsidRDefault="001F4F1B" w:rsidP="001F4F1B">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LTL (age</w:t>
            </w:r>
            <w:r w:rsidR="006524E5"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adjusted) (per 1 SD</w:t>
            </w:r>
            <w:r w:rsidR="00C63D73" w:rsidRPr="002961C2">
              <w:rPr>
                <w:rFonts w:ascii="Times New Roman" w:eastAsia="Times New Roman" w:hAnsi="Times New Roman" w:cs="Times New Roman"/>
                <w:sz w:val="20"/>
                <w:szCs w:val="20"/>
                <w:lang w:eastAsia="en-GB"/>
              </w:rPr>
              <w:t xml:space="preserve"> shorter</w:t>
            </w:r>
            <w:r w:rsidRPr="002961C2">
              <w:rPr>
                <w:rFonts w:ascii="Times New Roman" w:eastAsia="Times New Roman" w:hAnsi="Times New Roman" w:cs="Times New Roman"/>
                <w:sz w:val="20"/>
                <w:szCs w:val="20"/>
                <w:lang w:eastAsia="en-GB"/>
              </w:rPr>
              <w:t>)</w:t>
            </w:r>
          </w:p>
        </w:tc>
        <w:tc>
          <w:tcPr>
            <w:tcW w:w="956" w:type="dxa"/>
            <w:vMerge w:val="restart"/>
            <w:tcBorders>
              <w:top w:val="nil"/>
              <w:left w:val="nil"/>
              <w:bottom w:val="single" w:sz="4" w:space="0" w:color="000000"/>
              <w:right w:val="nil"/>
            </w:tcBorders>
            <w:shd w:val="clear" w:color="auto" w:fill="auto"/>
            <w:noWrap/>
            <w:vAlign w:val="center"/>
            <w:hideMark/>
          </w:tcPr>
          <w:p w14:paraId="015F5BF8"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914</w:t>
            </w:r>
          </w:p>
        </w:tc>
        <w:tc>
          <w:tcPr>
            <w:tcW w:w="1200" w:type="dxa"/>
            <w:vMerge w:val="restart"/>
            <w:tcBorders>
              <w:top w:val="nil"/>
              <w:left w:val="nil"/>
              <w:bottom w:val="single" w:sz="4" w:space="0" w:color="000000"/>
              <w:right w:val="nil"/>
            </w:tcBorders>
            <w:shd w:val="clear" w:color="auto" w:fill="auto"/>
            <w:noWrap/>
            <w:vAlign w:val="center"/>
            <w:hideMark/>
          </w:tcPr>
          <w:p w14:paraId="4257DCAF"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5861</w:t>
            </w:r>
          </w:p>
        </w:tc>
        <w:tc>
          <w:tcPr>
            <w:tcW w:w="2094" w:type="dxa"/>
            <w:tcBorders>
              <w:top w:val="nil"/>
              <w:left w:val="nil"/>
              <w:bottom w:val="nil"/>
              <w:right w:val="nil"/>
            </w:tcBorders>
            <w:shd w:val="clear" w:color="auto" w:fill="auto"/>
            <w:noWrap/>
            <w:vAlign w:val="center"/>
            <w:hideMark/>
          </w:tcPr>
          <w:p w14:paraId="3FBA0A21" w14:textId="16865815" w:rsidR="001F4F1B" w:rsidRPr="002961C2" w:rsidRDefault="001F4F1B" w:rsidP="009A280F">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17 (1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05 , 1</w:t>
            </w:r>
            <w:r w:rsidR="009727A4" w:rsidRPr="002961C2">
              <w:rPr>
                <w:rFonts w:ascii="Times New Roman" w:eastAsia="Times New Roman" w:hAnsi="Times New Roman" w:cs="Times New Roman"/>
                <w:sz w:val="20"/>
                <w:szCs w:val="20"/>
                <w:lang w:eastAsia="en-GB"/>
              </w:rPr>
              <w:t>·</w:t>
            </w:r>
            <w:r w:rsidR="009A280F" w:rsidRPr="002961C2">
              <w:rPr>
                <w:rFonts w:ascii="Times New Roman" w:eastAsia="Times New Roman" w:hAnsi="Times New Roman" w:cs="Times New Roman"/>
                <w:sz w:val="20"/>
                <w:szCs w:val="20"/>
                <w:lang w:eastAsia="en-GB"/>
              </w:rPr>
              <w:t>30</w:t>
            </w:r>
            <w:r w:rsidRPr="002961C2">
              <w:rPr>
                <w:rFonts w:ascii="Times New Roman" w:eastAsia="Times New Roman" w:hAnsi="Times New Roman" w:cs="Times New Roman"/>
                <w:sz w:val="20"/>
                <w:szCs w:val="20"/>
                <w:lang w:eastAsia="en-GB"/>
              </w:rPr>
              <w:t>)</w:t>
            </w:r>
          </w:p>
        </w:tc>
        <w:tc>
          <w:tcPr>
            <w:tcW w:w="1062" w:type="dxa"/>
            <w:tcBorders>
              <w:top w:val="nil"/>
              <w:left w:val="nil"/>
              <w:bottom w:val="nil"/>
              <w:right w:val="nil"/>
            </w:tcBorders>
            <w:shd w:val="clear" w:color="auto" w:fill="auto"/>
            <w:noWrap/>
            <w:vAlign w:val="center"/>
            <w:hideMark/>
          </w:tcPr>
          <w:p w14:paraId="5F237026" w14:textId="3D827B02"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004</w:t>
            </w:r>
          </w:p>
        </w:tc>
      </w:tr>
      <w:tr w:rsidR="002961C2" w:rsidRPr="002961C2" w14:paraId="0BA28C6B" w14:textId="77777777" w:rsidTr="00EA050B">
        <w:trPr>
          <w:trHeight w:val="289"/>
          <w:jc w:val="center"/>
        </w:trPr>
        <w:tc>
          <w:tcPr>
            <w:tcW w:w="3466" w:type="dxa"/>
            <w:tcBorders>
              <w:top w:val="nil"/>
              <w:left w:val="nil"/>
              <w:bottom w:val="nil"/>
              <w:right w:val="nil"/>
            </w:tcBorders>
            <w:shd w:val="clear" w:color="auto" w:fill="auto"/>
            <w:noWrap/>
            <w:vAlign w:val="center"/>
            <w:hideMark/>
          </w:tcPr>
          <w:p w14:paraId="206E1EF1" w14:textId="77777777" w:rsidR="00EA6A95" w:rsidRPr="002961C2" w:rsidRDefault="00EA6A95" w:rsidP="00EA6A95">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Age at COVID-19 test (per 5 yrs older)</w:t>
            </w:r>
          </w:p>
        </w:tc>
        <w:tc>
          <w:tcPr>
            <w:tcW w:w="956" w:type="dxa"/>
            <w:vMerge/>
            <w:tcBorders>
              <w:top w:val="nil"/>
              <w:left w:val="nil"/>
              <w:bottom w:val="single" w:sz="4" w:space="0" w:color="000000"/>
              <w:right w:val="nil"/>
            </w:tcBorders>
            <w:vAlign w:val="center"/>
            <w:hideMark/>
          </w:tcPr>
          <w:p w14:paraId="3BA5B707"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p>
        </w:tc>
        <w:tc>
          <w:tcPr>
            <w:tcW w:w="1200" w:type="dxa"/>
            <w:vMerge/>
            <w:tcBorders>
              <w:top w:val="nil"/>
              <w:left w:val="nil"/>
              <w:bottom w:val="single" w:sz="4" w:space="0" w:color="000000"/>
              <w:right w:val="nil"/>
            </w:tcBorders>
            <w:vAlign w:val="center"/>
            <w:hideMark/>
          </w:tcPr>
          <w:p w14:paraId="5F6B5937"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p>
        </w:tc>
        <w:tc>
          <w:tcPr>
            <w:tcW w:w="2094" w:type="dxa"/>
            <w:tcBorders>
              <w:top w:val="nil"/>
              <w:left w:val="nil"/>
              <w:bottom w:val="nil"/>
              <w:right w:val="nil"/>
            </w:tcBorders>
            <w:shd w:val="clear" w:color="auto" w:fill="auto"/>
            <w:noWrap/>
            <w:vAlign w:val="center"/>
            <w:hideMark/>
          </w:tcPr>
          <w:p w14:paraId="344A6C5F" w14:textId="6F09226E"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1·58 (1·51 , 1·65)</w:t>
            </w:r>
          </w:p>
        </w:tc>
        <w:tc>
          <w:tcPr>
            <w:tcW w:w="1062" w:type="dxa"/>
            <w:tcBorders>
              <w:top w:val="nil"/>
              <w:left w:val="nil"/>
              <w:bottom w:val="nil"/>
              <w:right w:val="nil"/>
            </w:tcBorders>
            <w:shd w:val="clear" w:color="auto" w:fill="auto"/>
            <w:hideMark/>
          </w:tcPr>
          <w:p w14:paraId="262C46BD" w14:textId="0A9822F8"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&lt;0</w:t>
            </w:r>
            <w:r w:rsidR="00544D73"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001</w:t>
            </w:r>
          </w:p>
        </w:tc>
      </w:tr>
      <w:tr w:rsidR="002961C2" w:rsidRPr="002961C2" w14:paraId="50CB51E9" w14:textId="77777777" w:rsidTr="00EA050B">
        <w:trPr>
          <w:trHeight w:val="289"/>
          <w:jc w:val="center"/>
        </w:trPr>
        <w:tc>
          <w:tcPr>
            <w:tcW w:w="3466" w:type="dxa"/>
            <w:tcBorders>
              <w:top w:val="nil"/>
              <w:left w:val="nil"/>
              <w:bottom w:val="nil"/>
              <w:right w:val="nil"/>
            </w:tcBorders>
            <w:shd w:val="clear" w:color="auto" w:fill="auto"/>
            <w:noWrap/>
            <w:vAlign w:val="center"/>
            <w:hideMark/>
          </w:tcPr>
          <w:p w14:paraId="75F18A7B" w14:textId="77777777" w:rsidR="00EA6A95" w:rsidRPr="002961C2" w:rsidRDefault="00EA6A95" w:rsidP="00EA6A95">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Sex (male vs female)</w:t>
            </w:r>
          </w:p>
        </w:tc>
        <w:tc>
          <w:tcPr>
            <w:tcW w:w="956" w:type="dxa"/>
            <w:vMerge/>
            <w:tcBorders>
              <w:top w:val="nil"/>
              <w:left w:val="nil"/>
              <w:bottom w:val="single" w:sz="4" w:space="0" w:color="000000"/>
              <w:right w:val="nil"/>
            </w:tcBorders>
            <w:vAlign w:val="center"/>
            <w:hideMark/>
          </w:tcPr>
          <w:p w14:paraId="4E5A97EE"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p>
        </w:tc>
        <w:tc>
          <w:tcPr>
            <w:tcW w:w="1200" w:type="dxa"/>
            <w:vMerge/>
            <w:tcBorders>
              <w:top w:val="nil"/>
              <w:left w:val="nil"/>
              <w:bottom w:val="single" w:sz="4" w:space="0" w:color="000000"/>
              <w:right w:val="nil"/>
            </w:tcBorders>
            <w:vAlign w:val="center"/>
            <w:hideMark/>
          </w:tcPr>
          <w:p w14:paraId="04835A0F"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p>
        </w:tc>
        <w:tc>
          <w:tcPr>
            <w:tcW w:w="2094" w:type="dxa"/>
            <w:tcBorders>
              <w:top w:val="nil"/>
              <w:left w:val="nil"/>
              <w:bottom w:val="nil"/>
              <w:right w:val="nil"/>
            </w:tcBorders>
            <w:shd w:val="clear" w:color="auto" w:fill="auto"/>
            <w:noWrap/>
            <w:vAlign w:val="center"/>
            <w:hideMark/>
          </w:tcPr>
          <w:p w14:paraId="3E22A7B3" w14:textId="21C3EEF2"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1·88 (1·62 , 2·19)</w:t>
            </w:r>
          </w:p>
        </w:tc>
        <w:tc>
          <w:tcPr>
            <w:tcW w:w="1062" w:type="dxa"/>
            <w:tcBorders>
              <w:top w:val="nil"/>
              <w:left w:val="nil"/>
              <w:bottom w:val="nil"/>
              <w:right w:val="nil"/>
            </w:tcBorders>
            <w:shd w:val="clear" w:color="auto" w:fill="auto"/>
            <w:noWrap/>
            <w:hideMark/>
          </w:tcPr>
          <w:p w14:paraId="528844FC" w14:textId="7B09A614"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&lt;0</w:t>
            </w:r>
            <w:r w:rsidR="00544D73"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001</w:t>
            </w:r>
          </w:p>
        </w:tc>
      </w:tr>
      <w:tr w:rsidR="002961C2" w:rsidRPr="002961C2" w14:paraId="4BCEABFF" w14:textId="77777777" w:rsidTr="00EA050B">
        <w:trPr>
          <w:trHeight w:val="289"/>
          <w:jc w:val="center"/>
        </w:trPr>
        <w:tc>
          <w:tcPr>
            <w:tcW w:w="3466" w:type="dxa"/>
            <w:tcBorders>
              <w:top w:val="nil"/>
              <w:left w:val="nil"/>
              <w:bottom w:val="nil"/>
              <w:right w:val="nil"/>
            </w:tcBorders>
            <w:shd w:val="clear" w:color="auto" w:fill="auto"/>
            <w:noWrap/>
            <w:vAlign w:val="center"/>
            <w:hideMark/>
          </w:tcPr>
          <w:p w14:paraId="231233BC" w14:textId="6452E60B" w:rsidR="00EA6A95" w:rsidRPr="002961C2" w:rsidRDefault="00EA6A95" w:rsidP="00EA6A95">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Ethnicity (non-White vs White)</w:t>
            </w:r>
          </w:p>
        </w:tc>
        <w:tc>
          <w:tcPr>
            <w:tcW w:w="956" w:type="dxa"/>
            <w:vMerge/>
            <w:tcBorders>
              <w:top w:val="nil"/>
              <w:left w:val="nil"/>
              <w:bottom w:val="single" w:sz="4" w:space="0" w:color="000000"/>
              <w:right w:val="nil"/>
            </w:tcBorders>
            <w:vAlign w:val="center"/>
            <w:hideMark/>
          </w:tcPr>
          <w:p w14:paraId="0C576FD8"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p>
        </w:tc>
        <w:tc>
          <w:tcPr>
            <w:tcW w:w="1200" w:type="dxa"/>
            <w:vMerge/>
            <w:tcBorders>
              <w:top w:val="nil"/>
              <w:left w:val="nil"/>
              <w:bottom w:val="single" w:sz="4" w:space="0" w:color="000000"/>
              <w:right w:val="nil"/>
            </w:tcBorders>
            <w:vAlign w:val="center"/>
            <w:hideMark/>
          </w:tcPr>
          <w:p w14:paraId="116A5BF5"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p>
        </w:tc>
        <w:tc>
          <w:tcPr>
            <w:tcW w:w="2094" w:type="dxa"/>
            <w:tcBorders>
              <w:top w:val="nil"/>
              <w:left w:val="nil"/>
              <w:bottom w:val="nil"/>
              <w:right w:val="nil"/>
            </w:tcBorders>
            <w:shd w:val="clear" w:color="auto" w:fill="auto"/>
            <w:noWrap/>
            <w:vAlign w:val="center"/>
            <w:hideMark/>
          </w:tcPr>
          <w:p w14:paraId="3856791B" w14:textId="5402B3E8"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1·80 (1·39 , 2·34)</w:t>
            </w:r>
          </w:p>
        </w:tc>
        <w:tc>
          <w:tcPr>
            <w:tcW w:w="1062" w:type="dxa"/>
            <w:tcBorders>
              <w:top w:val="nil"/>
              <w:left w:val="nil"/>
              <w:bottom w:val="nil"/>
              <w:right w:val="nil"/>
            </w:tcBorders>
            <w:shd w:val="clear" w:color="auto" w:fill="auto"/>
            <w:noWrap/>
            <w:hideMark/>
          </w:tcPr>
          <w:p w14:paraId="6870D600" w14:textId="7653B489"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&lt;0</w:t>
            </w:r>
            <w:r w:rsidR="00544D73"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001</w:t>
            </w:r>
          </w:p>
        </w:tc>
      </w:tr>
      <w:tr w:rsidR="002961C2" w:rsidRPr="002961C2" w14:paraId="3D89C445" w14:textId="77777777" w:rsidTr="00082B6F">
        <w:trPr>
          <w:trHeight w:val="289"/>
          <w:jc w:val="center"/>
        </w:trPr>
        <w:tc>
          <w:tcPr>
            <w:tcW w:w="8778" w:type="dxa"/>
            <w:gridSpan w:val="5"/>
            <w:tcBorders>
              <w:top w:val="single" w:sz="4" w:space="0" w:color="auto"/>
              <w:left w:val="nil"/>
              <w:bottom w:val="single" w:sz="4" w:space="0" w:color="auto"/>
              <w:right w:val="nil"/>
            </w:tcBorders>
            <w:shd w:val="clear" w:color="auto" w:fill="auto"/>
            <w:noWrap/>
            <w:vAlign w:val="center"/>
            <w:hideMark/>
          </w:tcPr>
          <w:p w14:paraId="52A921FD" w14:textId="77777777" w:rsidR="001F4F1B" w:rsidRPr="002961C2" w:rsidRDefault="001F4F1B" w:rsidP="001F4F1B">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Separate components as outcome</w:t>
            </w:r>
            <w:r w:rsidR="00553B75" w:rsidRPr="002961C2">
              <w:rPr>
                <w:rFonts w:ascii="Times New Roman" w:eastAsia="Times New Roman" w:hAnsi="Times New Roman" w:cs="Times New Roman"/>
                <w:b/>
                <w:bCs/>
                <w:sz w:val="20"/>
                <w:szCs w:val="20"/>
                <w:lang w:eastAsia="en-GB"/>
              </w:rPr>
              <w:t>*</w:t>
            </w:r>
          </w:p>
        </w:tc>
      </w:tr>
      <w:tr w:rsidR="002961C2" w:rsidRPr="002961C2" w14:paraId="57722254" w14:textId="77777777" w:rsidTr="00EA6A95">
        <w:trPr>
          <w:trHeight w:val="289"/>
          <w:jc w:val="center"/>
        </w:trPr>
        <w:tc>
          <w:tcPr>
            <w:tcW w:w="3466" w:type="dxa"/>
            <w:tcBorders>
              <w:top w:val="nil"/>
              <w:left w:val="nil"/>
              <w:bottom w:val="nil"/>
              <w:right w:val="nil"/>
            </w:tcBorders>
            <w:shd w:val="clear" w:color="auto" w:fill="auto"/>
            <w:noWrap/>
            <w:vAlign w:val="center"/>
            <w:hideMark/>
          </w:tcPr>
          <w:p w14:paraId="693B7157" w14:textId="77777777" w:rsidR="001F4F1B" w:rsidRPr="002961C2" w:rsidRDefault="001F4F1B" w:rsidP="001F4F1B">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Hospitalisation</w:t>
            </w:r>
          </w:p>
        </w:tc>
        <w:tc>
          <w:tcPr>
            <w:tcW w:w="956" w:type="dxa"/>
            <w:tcBorders>
              <w:top w:val="nil"/>
              <w:left w:val="nil"/>
              <w:bottom w:val="nil"/>
              <w:right w:val="nil"/>
            </w:tcBorders>
            <w:shd w:val="clear" w:color="auto" w:fill="auto"/>
            <w:noWrap/>
            <w:vAlign w:val="center"/>
            <w:hideMark/>
          </w:tcPr>
          <w:p w14:paraId="2878147D"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672</w:t>
            </w:r>
          </w:p>
        </w:tc>
        <w:tc>
          <w:tcPr>
            <w:tcW w:w="1200" w:type="dxa"/>
            <w:vMerge w:val="restart"/>
            <w:tcBorders>
              <w:top w:val="nil"/>
              <w:left w:val="nil"/>
              <w:bottom w:val="single" w:sz="4" w:space="0" w:color="000000"/>
              <w:right w:val="nil"/>
            </w:tcBorders>
            <w:shd w:val="clear" w:color="auto" w:fill="auto"/>
            <w:noWrap/>
            <w:vAlign w:val="center"/>
            <w:hideMark/>
          </w:tcPr>
          <w:p w14:paraId="21B6B8E2"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5861</w:t>
            </w:r>
          </w:p>
        </w:tc>
        <w:tc>
          <w:tcPr>
            <w:tcW w:w="2094" w:type="dxa"/>
            <w:tcBorders>
              <w:top w:val="nil"/>
              <w:left w:val="nil"/>
              <w:bottom w:val="nil"/>
              <w:right w:val="nil"/>
            </w:tcBorders>
            <w:shd w:val="clear" w:color="auto" w:fill="auto"/>
            <w:noWrap/>
            <w:vAlign w:val="center"/>
            <w:hideMark/>
          </w:tcPr>
          <w:p w14:paraId="79DF75CA" w14:textId="71A02642"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17 (1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03 , 1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32)</w:t>
            </w:r>
          </w:p>
        </w:tc>
        <w:tc>
          <w:tcPr>
            <w:tcW w:w="1062" w:type="dxa"/>
            <w:tcBorders>
              <w:top w:val="nil"/>
              <w:left w:val="nil"/>
              <w:bottom w:val="nil"/>
              <w:right w:val="nil"/>
            </w:tcBorders>
            <w:shd w:val="clear" w:color="auto" w:fill="auto"/>
            <w:vAlign w:val="center"/>
            <w:hideMark/>
          </w:tcPr>
          <w:p w14:paraId="0CB6AF5C" w14:textId="448D6A2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013</w:t>
            </w:r>
          </w:p>
        </w:tc>
      </w:tr>
      <w:tr w:rsidR="002961C2" w:rsidRPr="002961C2" w14:paraId="33501BB4" w14:textId="77777777" w:rsidTr="00EA6A95">
        <w:trPr>
          <w:trHeight w:val="289"/>
          <w:jc w:val="center"/>
        </w:trPr>
        <w:tc>
          <w:tcPr>
            <w:tcW w:w="3466" w:type="dxa"/>
            <w:tcBorders>
              <w:top w:val="nil"/>
              <w:left w:val="nil"/>
              <w:bottom w:val="nil"/>
              <w:right w:val="nil"/>
            </w:tcBorders>
            <w:shd w:val="clear" w:color="auto" w:fill="auto"/>
            <w:noWrap/>
            <w:vAlign w:val="center"/>
            <w:hideMark/>
          </w:tcPr>
          <w:p w14:paraId="509BDC69" w14:textId="77777777" w:rsidR="00EA6A95" w:rsidRPr="002961C2" w:rsidRDefault="00EA6A95" w:rsidP="00EA6A95">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Critical care support</w:t>
            </w:r>
          </w:p>
        </w:tc>
        <w:tc>
          <w:tcPr>
            <w:tcW w:w="956" w:type="dxa"/>
            <w:tcBorders>
              <w:top w:val="nil"/>
              <w:left w:val="nil"/>
              <w:bottom w:val="nil"/>
              <w:right w:val="nil"/>
            </w:tcBorders>
            <w:shd w:val="clear" w:color="auto" w:fill="auto"/>
            <w:noWrap/>
            <w:vAlign w:val="center"/>
            <w:hideMark/>
          </w:tcPr>
          <w:p w14:paraId="06639791"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383</w:t>
            </w:r>
          </w:p>
        </w:tc>
        <w:tc>
          <w:tcPr>
            <w:tcW w:w="1200" w:type="dxa"/>
            <w:vMerge/>
            <w:tcBorders>
              <w:top w:val="nil"/>
              <w:left w:val="nil"/>
              <w:bottom w:val="single" w:sz="4" w:space="0" w:color="000000"/>
              <w:right w:val="nil"/>
            </w:tcBorders>
            <w:vAlign w:val="center"/>
            <w:hideMark/>
          </w:tcPr>
          <w:p w14:paraId="35BA4CF9"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p>
        </w:tc>
        <w:tc>
          <w:tcPr>
            <w:tcW w:w="2094" w:type="dxa"/>
            <w:tcBorders>
              <w:top w:val="nil"/>
              <w:left w:val="nil"/>
              <w:bottom w:val="nil"/>
              <w:right w:val="nil"/>
            </w:tcBorders>
            <w:shd w:val="clear" w:color="auto" w:fill="auto"/>
            <w:noWrap/>
            <w:vAlign w:val="center"/>
            <w:hideMark/>
          </w:tcPr>
          <w:p w14:paraId="4727C83E" w14:textId="43B3A314"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1·31 (1·12 , 1·5</w:t>
            </w:r>
            <w:r w:rsidR="009A280F" w:rsidRPr="002961C2">
              <w:rPr>
                <w:rFonts w:ascii="Times New Roman" w:eastAsia="Times New Roman" w:hAnsi="Times New Roman" w:cs="Times New Roman"/>
                <w:sz w:val="20"/>
                <w:szCs w:val="20"/>
                <w:lang w:eastAsia="en-GB"/>
              </w:rPr>
              <w:t>3</w:t>
            </w:r>
            <w:r w:rsidRPr="002961C2">
              <w:rPr>
                <w:rFonts w:ascii="Times New Roman" w:eastAsia="Times New Roman" w:hAnsi="Times New Roman" w:cs="Times New Roman"/>
                <w:sz w:val="20"/>
                <w:szCs w:val="20"/>
                <w:lang w:eastAsia="en-GB"/>
              </w:rPr>
              <w:t>)</w:t>
            </w:r>
          </w:p>
        </w:tc>
        <w:tc>
          <w:tcPr>
            <w:tcW w:w="1062" w:type="dxa"/>
            <w:tcBorders>
              <w:top w:val="nil"/>
              <w:left w:val="nil"/>
              <w:bottom w:val="nil"/>
              <w:right w:val="nil"/>
            </w:tcBorders>
            <w:shd w:val="clear" w:color="auto" w:fill="auto"/>
            <w:hideMark/>
          </w:tcPr>
          <w:p w14:paraId="5C39DFEB" w14:textId="6667B452"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&lt;0</w:t>
            </w:r>
            <w:r w:rsidR="00544D73"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001</w:t>
            </w:r>
          </w:p>
        </w:tc>
      </w:tr>
      <w:tr w:rsidR="002961C2" w:rsidRPr="002961C2" w14:paraId="5B39F0F7" w14:textId="77777777" w:rsidTr="00EA6A95">
        <w:trPr>
          <w:trHeight w:val="289"/>
          <w:jc w:val="center"/>
        </w:trPr>
        <w:tc>
          <w:tcPr>
            <w:tcW w:w="3466" w:type="dxa"/>
            <w:tcBorders>
              <w:top w:val="nil"/>
              <w:left w:val="nil"/>
              <w:bottom w:val="nil"/>
              <w:right w:val="nil"/>
            </w:tcBorders>
            <w:shd w:val="clear" w:color="auto" w:fill="auto"/>
            <w:noWrap/>
            <w:vAlign w:val="center"/>
            <w:hideMark/>
          </w:tcPr>
          <w:p w14:paraId="2343A05C" w14:textId="77777777" w:rsidR="00EA6A95" w:rsidRPr="002961C2" w:rsidRDefault="00EA6A95" w:rsidP="00EA6A95">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Respiratory support</w:t>
            </w:r>
          </w:p>
        </w:tc>
        <w:tc>
          <w:tcPr>
            <w:tcW w:w="956" w:type="dxa"/>
            <w:tcBorders>
              <w:top w:val="nil"/>
              <w:left w:val="nil"/>
              <w:bottom w:val="nil"/>
              <w:right w:val="nil"/>
            </w:tcBorders>
            <w:shd w:val="clear" w:color="auto" w:fill="auto"/>
            <w:noWrap/>
            <w:vAlign w:val="center"/>
            <w:hideMark/>
          </w:tcPr>
          <w:p w14:paraId="746BA656"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279</w:t>
            </w:r>
          </w:p>
        </w:tc>
        <w:tc>
          <w:tcPr>
            <w:tcW w:w="1200" w:type="dxa"/>
            <w:vMerge/>
            <w:tcBorders>
              <w:top w:val="nil"/>
              <w:left w:val="nil"/>
              <w:bottom w:val="single" w:sz="4" w:space="0" w:color="000000"/>
              <w:right w:val="nil"/>
            </w:tcBorders>
            <w:vAlign w:val="center"/>
            <w:hideMark/>
          </w:tcPr>
          <w:p w14:paraId="60D924EE" w14:textId="77777777"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p>
        </w:tc>
        <w:tc>
          <w:tcPr>
            <w:tcW w:w="2094" w:type="dxa"/>
            <w:tcBorders>
              <w:top w:val="nil"/>
              <w:left w:val="nil"/>
              <w:bottom w:val="nil"/>
              <w:right w:val="nil"/>
            </w:tcBorders>
            <w:shd w:val="clear" w:color="auto" w:fill="auto"/>
            <w:noWrap/>
            <w:vAlign w:val="center"/>
            <w:hideMark/>
          </w:tcPr>
          <w:p w14:paraId="056AA9B0" w14:textId="2DC6CDCD"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1·36 (1·13 , 1·64)</w:t>
            </w:r>
          </w:p>
        </w:tc>
        <w:tc>
          <w:tcPr>
            <w:tcW w:w="1062" w:type="dxa"/>
            <w:tcBorders>
              <w:top w:val="nil"/>
              <w:left w:val="nil"/>
              <w:bottom w:val="nil"/>
              <w:right w:val="nil"/>
            </w:tcBorders>
            <w:shd w:val="clear" w:color="auto" w:fill="auto"/>
            <w:hideMark/>
          </w:tcPr>
          <w:p w14:paraId="67FC75A4" w14:textId="1F1A2C7F" w:rsidR="00EA6A95" w:rsidRPr="002961C2" w:rsidRDefault="00EA6A95" w:rsidP="00EA6A95">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&lt;0</w:t>
            </w:r>
            <w:r w:rsidR="00544D73"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001</w:t>
            </w:r>
          </w:p>
        </w:tc>
      </w:tr>
      <w:tr w:rsidR="002961C2" w:rsidRPr="002961C2" w14:paraId="208AC5F3" w14:textId="77777777" w:rsidTr="00EA6A95">
        <w:trPr>
          <w:trHeight w:val="289"/>
          <w:jc w:val="center"/>
        </w:trPr>
        <w:tc>
          <w:tcPr>
            <w:tcW w:w="3466" w:type="dxa"/>
            <w:tcBorders>
              <w:top w:val="nil"/>
              <w:left w:val="nil"/>
              <w:bottom w:val="single" w:sz="4" w:space="0" w:color="auto"/>
              <w:right w:val="nil"/>
            </w:tcBorders>
            <w:shd w:val="clear" w:color="auto" w:fill="auto"/>
            <w:noWrap/>
            <w:vAlign w:val="center"/>
            <w:hideMark/>
          </w:tcPr>
          <w:p w14:paraId="58DE0C25" w14:textId="77777777" w:rsidR="001F4F1B" w:rsidRPr="002961C2" w:rsidRDefault="001F4F1B" w:rsidP="001F4F1B">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Death</w:t>
            </w:r>
          </w:p>
        </w:tc>
        <w:tc>
          <w:tcPr>
            <w:tcW w:w="956" w:type="dxa"/>
            <w:tcBorders>
              <w:top w:val="nil"/>
              <w:left w:val="nil"/>
              <w:bottom w:val="single" w:sz="4" w:space="0" w:color="auto"/>
              <w:right w:val="nil"/>
            </w:tcBorders>
            <w:shd w:val="clear" w:color="auto" w:fill="auto"/>
            <w:noWrap/>
            <w:vAlign w:val="center"/>
            <w:hideMark/>
          </w:tcPr>
          <w:p w14:paraId="5984CE2B"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157</w:t>
            </w:r>
          </w:p>
        </w:tc>
        <w:tc>
          <w:tcPr>
            <w:tcW w:w="1200" w:type="dxa"/>
            <w:vMerge/>
            <w:tcBorders>
              <w:top w:val="nil"/>
              <w:left w:val="nil"/>
              <w:bottom w:val="single" w:sz="4" w:space="0" w:color="000000"/>
              <w:right w:val="nil"/>
            </w:tcBorders>
            <w:vAlign w:val="center"/>
            <w:hideMark/>
          </w:tcPr>
          <w:p w14:paraId="56E62295"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p>
        </w:tc>
        <w:tc>
          <w:tcPr>
            <w:tcW w:w="2094" w:type="dxa"/>
            <w:tcBorders>
              <w:top w:val="nil"/>
              <w:left w:val="nil"/>
              <w:bottom w:val="single" w:sz="4" w:space="0" w:color="auto"/>
              <w:right w:val="nil"/>
            </w:tcBorders>
            <w:shd w:val="clear" w:color="auto" w:fill="auto"/>
            <w:noWrap/>
            <w:vAlign w:val="center"/>
            <w:hideMark/>
          </w:tcPr>
          <w:p w14:paraId="55C99B99" w14:textId="530103D4"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36 (1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07 , 1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7</w:t>
            </w:r>
            <w:r w:rsidR="009A280F" w:rsidRPr="002961C2">
              <w:rPr>
                <w:rFonts w:ascii="Times New Roman" w:eastAsia="Times New Roman" w:hAnsi="Times New Roman" w:cs="Times New Roman"/>
                <w:sz w:val="20"/>
                <w:szCs w:val="20"/>
                <w:lang w:eastAsia="en-GB"/>
              </w:rPr>
              <w:t>2</w:t>
            </w:r>
            <w:r w:rsidRPr="002961C2">
              <w:rPr>
                <w:rFonts w:ascii="Times New Roman" w:eastAsia="Times New Roman" w:hAnsi="Times New Roman" w:cs="Times New Roman"/>
                <w:sz w:val="20"/>
                <w:szCs w:val="20"/>
                <w:lang w:eastAsia="en-GB"/>
              </w:rPr>
              <w:t>)</w:t>
            </w:r>
          </w:p>
        </w:tc>
        <w:tc>
          <w:tcPr>
            <w:tcW w:w="1062" w:type="dxa"/>
            <w:tcBorders>
              <w:top w:val="nil"/>
              <w:left w:val="nil"/>
              <w:bottom w:val="single" w:sz="4" w:space="0" w:color="auto"/>
              <w:right w:val="nil"/>
            </w:tcBorders>
            <w:shd w:val="clear" w:color="auto" w:fill="auto"/>
            <w:vAlign w:val="center"/>
            <w:hideMark/>
          </w:tcPr>
          <w:p w14:paraId="326324E2" w14:textId="710FEFF6"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013</w:t>
            </w:r>
          </w:p>
        </w:tc>
      </w:tr>
      <w:tr w:rsidR="002961C2" w:rsidRPr="002961C2" w14:paraId="432D82D8" w14:textId="77777777" w:rsidTr="00082B6F">
        <w:trPr>
          <w:trHeight w:val="289"/>
          <w:jc w:val="center"/>
        </w:trPr>
        <w:tc>
          <w:tcPr>
            <w:tcW w:w="8778" w:type="dxa"/>
            <w:gridSpan w:val="5"/>
            <w:tcBorders>
              <w:top w:val="single" w:sz="4" w:space="0" w:color="auto"/>
              <w:left w:val="nil"/>
              <w:bottom w:val="single" w:sz="4" w:space="0" w:color="auto"/>
              <w:right w:val="nil"/>
            </w:tcBorders>
            <w:shd w:val="clear" w:color="auto" w:fill="auto"/>
            <w:noWrap/>
            <w:vAlign w:val="center"/>
            <w:hideMark/>
          </w:tcPr>
          <w:p w14:paraId="06D8B893" w14:textId="77777777" w:rsidR="001F4F1B" w:rsidRPr="002961C2" w:rsidRDefault="001F4F1B" w:rsidP="001F4F1B">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Population controls</w:t>
            </w:r>
          </w:p>
        </w:tc>
      </w:tr>
      <w:tr w:rsidR="002961C2" w:rsidRPr="002961C2" w14:paraId="7A298F29" w14:textId="77777777" w:rsidTr="00EA6A95">
        <w:trPr>
          <w:trHeight w:val="289"/>
          <w:jc w:val="center"/>
        </w:trPr>
        <w:tc>
          <w:tcPr>
            <w:tcW w:w="3466" w:type="dxa"/>
            <w:tcBorders>
              <w:top w:val="nil"/>
              <w:left w:val="nil"/>
              <w:bottom w:val="single" w:sz="4" w:space="0" w:color="auto"/>
              <w:right w:val="nil"/>
            </w:tcBorders>
            <w:shd w:val="clear" w:color="auto" w:fill="auto"/>
            <w:noWrap/>
            <w:vAlign w:val="center"/>
            <w:hideMark/>
          </w:tcPr>
          <w:p w14:paraId="44016F16" w14:textId="5B5021D7" w:rsidR="001F4F1B" w:rsidRPr="002961C2" w:rsidRDefault="001F4F1B" w:rsidP="001F4F1B">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LTL (age</w:t>
            </w:r>
            <w:r w:rsidR="006524E5"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adjusted)</w:t>
            </w:r>
            <w:r w:rsidR="00F9516B" w:rsidRPr="002961C2">
              <w:rPr>
                <w:rFonts w:ascii="Times New Roman" w:eastAsia="Times New Roman" w:hAnsi="Times New Roman" w:cs="Times New Roman"/>
                <w:sz w:val="20"/>
                <w:szCs w:val="20"/>
                <w:lang w:eastAsia="en-GB"/>
              </w:rPr>
              <w:t xml:space="preserve"> (per 1 SD shorter)</w:t>
            </w:r>
          </w:p>
        </w:tc>
        <w:tc>
          <w:tcPr>
            <w:tcW w:w="956" w:type="dxa"/>
            <w:tcBorders>
              <w:top w:val="nil"/>
              <w:left w:val="nil"/>
              <w:bottom w:val="single" w:sz="4" w:space="0" w:color="auto"/>
              <w:right w:val="nil"/>
            </w:tcBorders>
            <w:shd w:val="clear" w:color="auto" w:fill="auto"/>
            <w:noWrap/>
            <w:vAlign w:val="center"/>
            <w:hideMark/>
          </w:tcPr>
          <w:p w14:paraId="060F77F0"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914</w:t>
            </w:r>
          </w:p>
        </w:tc>
        <w:tc>
          <w:tcPr>
            <w:tcW w:w="1200" w:type="dxa"/>
            <w:tcBorders>
              <w:top w:val="nil"/>
              <w:left w:val="nil"/>
              <w:bottom w:val="single" w:sz="4" w:space="0" w:color="auto"/>
              <w:right w:val="nil"/>
            </w:tcBorders>
            <w:shd w:val="clear" w:color="auto" w:fill="auto"/>
            <w:noWrap/>
            <w:vAlign w:val="center"/>
            <w:hideMark/>
          </w:tcPr>
          <w:p w14:paraId="1A78D69B"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465,946</w:t>
            </w:r>
          </w:p>
        </w:tc>
        <w:tc>
          <w:tcPr>
            <w:tcW w:w="2094" w:type="dxa"/>
            <w:tcBorders>
              <w:top w:val="nil"/>
              <w:left w:val="nil"/>
              <w:bottom w:val="single" w:sz="4" w:space="0" w:color="auto"/>
              <w:right w:val="nil"/>
            </w:tcBorders>
            <w:shd w:val="clear" w:color="auto" w:fill="auto"/>
            <w:noWrap/>
            <w:vAlign w:val="center"/>
            <w:hideMark/>
          </w:tcPr>
          <w:p w14:paraId="28CDB66D" w14:textId="41A5F6E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19 (1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08 , 1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31)</w:t>
            </w:r>
          </w:p>
        </w:tc>
        <w:tc>
          <w:tcPr>
            <w:tcW w:w="1062" w:type="dxa"/>
            <w:tcBorders>
              <w:top w:val="nil"/>
              <w:left w:val="nil"/>
              <w:bottom w:val="single" w:sz="4" w:space="0" w:color="auto"/>
              <w:right w:val="nil"/>
            </w:tcBorders>
            <w:shd w:val="clear" w:color="auto" w:fill="auto"/>
            <w:vAlign w:val="center"/>
            <w:hideMark/>
          </w:tcPr>
          <w:p w14:paraId="76DC3D53" w14:textId="2CA4258B" w:rsidR="001F4F1B" w:rsidRPr="002961C2" w:rsidRDefault="00EA6A95"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&lt;0</w:t>
            </w:r>
            <w:r w:rsidR="00544D73"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001</w:t>
            </w:r>
          </w:p>
        </w:tc>
      </w:tr>
      <w:tr w:rsidR="002961C2" w:rsidRPr="002961C2" w14:paraId="1335C324" w14:textId="77777777" w:rsidTr="00082B6F">
        <w:trPr>
          <w:trHeight w:val="289"/>
          <w:jc w:val="center"/>
        </w:trPr>
        <w:tc>
          <w:tcPr>
            <w:tcW w:w="8778" w:type="dxa"/>
            <w:gridSpan w:val="5"/>
            <w:tcBorders>
              <w:top w:val="nil"/>
              <w:left w:val="nil"/>
              <w:bottom w:val="single" w:sz="4" w:space="0" w:color="auto"/>
              <w:right w:val="nil"/>
            </w:tcBorders>
            <w:shd w:val="clear" w:color="auto" w:fill="auto"/>
            <w:noWrap/>
            <w:vAlign w:val="center"/>
            <w:hideMark/>
          </w:tcPr>
          <w:p w14:paraId="27661B65" w14:textId="2C2F19E3" w:rsidR="001F4F1B" w:rsidRPr="002961C2" w:rsidRDefault="001F4F1B" w:rsidP="001F4F1B">
            <w:pPr>
              <w:spacing w:after="0" w:line="240" w:lineRule="auto"/>
              <w:rPr>
                <w:rFonts w:ascii="Times New Roman" w:eastAsia="Times New Roman" w:hAnsi="Times New Roman" w:cs="Times New Roman"/>
                <w:b/>
                <w:bCs/>
                <w:sz w:val="20"/>
                <w:szCs w:val="20"/>
                <w:lang w:eastAsia="en-GB"/>
              </w:rPr>
            </w:pPr>
            <w:r w:rsidRPr="002961C2">
              <w:rPr>
                <w:rFonts w:ascii="Times New Roman" w:eastAsia="Times New Roman" w:hAnsi="Times New Roman" w:cs="Times New Roman"/>
                <w:b/>
                <w:bCs/>
                <w:sz w:val="20"/>
                <w:szCs w:val="20"/>
                <w:lang w:eastAsia="en-GB"/>
              </w:rPr>
              <w:t>Exclud</w:t>
            </w:r>
            <w:r w:rsidR="006524E5" w:rsidRPr="002961C2">
              <w:rPr>
                <w:rFonts w:ascii="Times New Roman" w:eastAsia="Times New Roman" w:hAnsi="Times New Roman" w:cs="Times New Roman"/>
                <w:b/>
                <w:bCs/>
                <w:sz w:val="20"/>
                <w:szCs w:val="20"/>
                <w:lang w:eastAsia="en-GB"/>
              </w:rPr>
              <w:t>ing</w:t>
            </w:r>
            <w:r w:rsidRPr="002961C2">
              <w:rPr>
                <w:rFonts w:ascii="Times New Roman" w:eastAsia="Times New Roman" w:hAnsi="Times New Roman" w:cs="Times New Roman"/>
                <w:b/>
                <w:bCs/>
                <w:sz w:val="20"/>
                <w:szCs w:val="20"/>
                <w:lang w:eastAsia="en-GB"/>
              </w:rPr>
              <w:t xml:space="preserve"> participants with recent hospitalisation</w:t>
            </w:r>
          </w:p>
        </w:tc>
      </w:tr>
      <w:tr w:rsidR="002961C2" w:rsidRPr="002961C2" w14:paraId="0609371B" w14:textId="77777777" w:rsidTr="00EA6A95">
        <w:trPr>
          <w:trHeight w:val="289"/>
          <w:jc w:val="center"/>
        </w:trPr>
        <w:tc>
          <w:tcPr>
            <w:tcW w:w="3466" w:type="dxa"/>
            <w:tcBorders>
              <w:top w:val="nil"/>
              <w:left w:val="nil"/>
              <w:bottom w:val="single" w:sz="4" w:space="0" w:color="auto"/>
              <w:right w:val="nil"/>
            </w:tcBorders>
            <w:shd w:val="clear" w:color="auto" w:fill="auto"/>
            <w:noWrap/>
            <w:vAlign w:val="center"/>
            <w:hideMark/>
          </w:tcPr>
          <w:p w14:paraId="108C0091" w14:textId="2600D8B5" w:rsidR="001F4F1B" w:rsidRPr="002961C2" w:rsidRDefault="001F4F1B" w:rsidP="001F4F1B">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LTL (age</w:t>
            </w:r>
            <w:r w:rsidR="006524E5"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adjusted)</w:t>
            </w:r>
            <w:r w:rsidR="00F9516B" w:rsidRPr="002961C2">
              <w:rPr>
                <w:rFonts w:ascii="Times New Roman" w:eastAsia="Times New Roman" w:hAnsi="Times New Roman" w:cs="Times New Roman"/>
                <w:sz w:val="20"/>
                <w:szCs w:val="20"/>
                <w:lang w:eastAsia="en-GB"/>
              </w:rPr>
              <w:t xml:space="preserve"> (per 1 SD shorter)</w:t>
            </w:r>
          </w:p>
        </w:tc>
        <w:tc>
          <w:tcPr>
            <w:tcW w:w="956" w:type="dxa"/>
            <w:tcBorders>
              <w:top w:val="nil"/>
              <w:left w:val="nil"/>
              <w:bottom w:val="single" w:sz="4" w:space="0" w:color="auto"/>
              <w:right w:val="nil"/>
            </w:tcBorders>
            <w:shd w:val="clear" w:color="auto" w:fill="auto"/>
            <w:noWrap/>
            <w:vAlign w:val="center"/>
            <w:hideMark/>
          </w:tcPr>
          <w:p w14:paraId="65FE6EE6"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732</w:t>
            </w:r>
          </w:p>
        </w:tc>
        <w:tc>
          <w:tcPr>
            <w:tcW w:w="1200" w:type="dxa"/>
            <w:tcBorders>
              <w:top w:val="nil"/>
              <w:left w:val="nil"/>
              <w:bottom w:val="single" w:sz="4" w:space="0" w:color="auto"/>
              <w:right w:val="nil"/>
            </w:tcBorders>
            <w:shd w:val="clear" w:color="auto" w:fill="auto"/>
            <w:noWrap/>
            <w:vAlign w:val="center"/>
            <w:hideMark/>
          </w:tcPr>
          <w:p w14:paraId="6CF15E8B" w14:textId="77777777"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5861</w:t>
            </w:r>
          </w:p>
        </w:tc>
        <w:tc>
          <w:tcPr>
            <w:tcW w:w="2094" w:type="dxa"/>
            <w:tcBorders>
              <w:top w:val="nil"/>
              <w:left w:val="nil"/>
              <w:bottom w:val="single" w:sz="4" w:space="0" w:color="auto"/>
              <w:right w:val="nil"/>
            </w:tcBorders>
            <w:shd w:val="clear" w:color="auto" w:fill="auto"/>
            <w:noWrap/>
            <w:vAlign w:val="center"/>
            <w:hideMark/>
          </w:tcPr>
          <w:p w14:paraId="02C4F768" w14:textId="1FBE2774"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15 (1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02 , 1</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30)</w:t>
            </w:r>
          </w:p>
        </w:tc>
        <w:tc>
          <w:tcPr>
            <w:tcW w:w="1062" w:type="dxa"/>
            <w:tcBorders>
              <w:top w:val="nil"/>
              <w:left w:val="nil"/>
              <w:bottom w:val="single" w:sz="4" w:space="0" w:color="auto"/>
              <w:right w:val="nil"/>
            </w:tcBorders>
            <w:shd w:val="clear" w:color="auto" w:fill="auto"/>
            <w:noWrap/>
            <w:vAlign w:val="center"/>
            <w:hideMark/>
          </w:tcPr>
          <w:p w14:paraId="5953FC77" w14:textId="4ADAFD31" w:rsidR="001F4F1B" w:rsidRPr="002961C2" w:rsidRDefault="001F4F1B" w:rsidP="001F4F1B">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w:t>
            </w:r>
            <w:r w:rsidR="009727A4" w:rsidRPr="002961C2">
              <w:rPr>
                <w:rFonts w:ascii="Times New Roman" w:eastAsia="Times New Roman" w:hAnsi="Times New Roman" w:cs="Times New Roman"/>
                <w:sz w:val="20"/>
                <w:szCs w:val="20"/>
                <w:lang w:eastAsia="en-GB"/>
              </w:rPr>
              <w:t>·</w:t>
            </w:r>
            <w:r w:rsidRPr="002961C2">
              <w:rPr>
                <w:rFonts w:ascii="Times New Roman" w:eastAsia="Times New Roman" w:hAnsi="Times New Roman" w:cs="Times New Roman"/>
                <w:sz w:val="20"/>
                <w:szCs w:val="20"/>
                <w:lang w:eastAsia="en-GB"/>
              </w:rPr>
              <w:t>019</w:t>
            </w:r>
          </w:p>
        </w:tc>
      </w:tr>
      <w:tr w:rsidR="002961C2" w:rsidRPr="002961C2" w14:paraId="7EFCC418" w14:textId="77777777" w:rsidTr="00082B6F">
        <w:trPr>
          <w:trHeight w:val="289"/>
          <w:jc w:val="center"/>
        </w:trPr>
        <w:tc>
          <w:tcPr>
            <w:tcW w:w="8778" w:type="dxa"/>
            <w:gridSpan w:val="5"/>
            <w:tcBorders>
              <w:top w:val="single" w:sz="4" w:space="0" w:color="auto"/>
              <w:left w:val="nil"/>
              <w:bottom w:val="nil"/>
              <w:right w:val="nil"/>
            </w:tcBorders>
            <w:shd w:val="clear" w:color="auto" w:fill="auto"/>
            <w:noWrap/>
            <w:vAlign w:val="center"/>
            <w:hideMark/>
          </w:tcPr>
          <w:p w14:paraId="2A93B112" w14:textId="77777777" w:rsidR="001F4F1B" w:rsidRPr="002961C2" w:rsidRDefault="001F4F1B" w:rsidP="001F4F1B">
            <w:pPr>
              <w:spacing w:after="0" w:line="240" w:lineRule="auto"/>
              <w:rPr>
                <w:rFonts w:ascii="Calibri" w:eastAsia="Times New Roman" w:hAnsi="Calibri" w:cs="Calibri"/>
                <w:lang w:eastAsia="en-GB"/>
              </w:rPr>
            </w:pPr>
            <w:r w:rsidRPr="002961C2">
              <w:rPr>
                <w:rFonts w:ascii="Times New Roman" w:eastAsia="Times New Roman" w:hAnsi="Times New Roman" w:cs="Times New Roman"/>
                <w:b/>
                <w:sz w:val="20"/>
                <w:lang w:eastAsia="en-GB"/>
              </w:rPr>
              <w:t>Mendelian Randomisation</w:t>
            </w:r>
          </w:p>
        </w:tc>
      </w:tr>
      <w:tr w:rsidR="002961C2" w:rsidRPr="002961C2" w14:paraId="1D516986" w14:textId="77777777" w:rsidTr="00EA6A95">
        <w:trPr>
          <w:trHeight w:val="289"/>
          <w:jc w:val="center"/>
        </w:trPr>
        <w:tc>
          <w:tcPr>
            <w:tcW w:w="3466" w:type="dxa"/>
            <w:tcBorders>
              <w:top w:val="single" w:sz="4" w:space="0" w:color="auto"/>
              <w:left w:val="nil"/>
              <w:bottom w:val="single" w:sz="4" w:space="0" w:color="auto"/>
              <w:right w:val="nil"/>
            </w:tcBorders>
            <w:shd w:val="clear" w:color="auto" w:fill="auto"/>
            <w:noWrap/>
            <w:vAlign w:val="center"/>
            <w:hideMark/>
          </w:tcPr>
          <w:p w14:paraId="41FBD4A4" w14:textId="77777777" w:rsidR="009B2A97" w:rsidRPr="002961C2" w:rsidRDefault="009B2A97" w:rsidP="009B2A97">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MR IVW</w:t>
            </w:r>
          </w:p>
        </w:tc>
        <w:tc>
          <w:tcPr>
            <w:tcW w:w="956" w:type="dxa"/>
            <w:tcBorders>
              <w:top w:val="single" w:sz="4" w:space="0" w:color="auto"/>
              <w:left w:val="nil"/>
              <w:bottom w:val="single" w:sz="4" w:space="0" w:color="auto"/>
              <w:right w:val="nil"/>
            </w:tcBorders>
            <w:shd w:val="clear" w:color="auto" w:fill="auto"/>
            <w:noWrap/>
            <w:vAlign w:val="center"/>
            <w:hideMark/>
          </w:tcPr>
          <w:p w14:paraId="75195E3C" w14:textId="5013DA38" w:rsidR="009B2A97" w:rsidRPr="002961C2" w:rsidRDefault="009B2A97" w:rsidP="009B2A97">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914</w:t>
            </w:r>
          </w:p>
        </w:tc>
        <w:tc>
          <w:tcPr>
            <w:tcW w:w="1200" w:type="dxa"/>
            <w:tcBorders>
              <w:top w:val="single" w:sz="4" w:space="0" w:color="auto"/>
              <w:left w:val="nil"/>
              <w:bottom w:val="single" w:sz="4" w:space="0" w:color="auto"/>
              <w:right w:val="nil"/>
            </w:tcBorders>
            <w:shd w:val="clear" w:color="auto" w:fill="auto"/>
            <w:noWrap/>
            <w:vAlign w:val="center"/>
            <w:hideMark/>
          </w:tcPr>
          <w:p w14:paraId="694108A6" w14:textId="77777777" w:rsidR="009B2A97" w:rsidRPr="002961C2" w:rsidRDefault="009B2A97" w:rsidP="009B2A97">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5861</w:t>
            </w:r>
          </w:p>
        </w:tc>
        <w:tc>
          <w:tcPr>
            <w:tcW w:w="2094" w:type="dxa"/>
            <w:tcBorders>
              <w:top w:val="single" w:sz="4" w:space="0" w:color="auto"/>
              <w:left w:val="nil"/>
              <w:bottom w:val="single" w:sz="4" w:space="0" w:color="auto"/>
              <w:right w:val="nil"/>
            </w:tcBorders>
            <w:shd w:val="clear" w:color="auto" w:fill="auto"/>
            <w:noWrap/>
            <w:vAlign w:val="center"/>
            <w:hideMark/>
          </w:tcPr>
          <w:p w14:paraId="7EF5B506" w14:textId="556304FC" w:rsidR="009B2A97" w:rsidRPr="002961C2" w:rsidRDefault="009B2A97" w:rsidP="009B2A97">
            <w:pPr>
              <w:spacing w:after="0" w:line="240" w:lineRule="auto"/>
              <w:jc w:val="center"/>
              <w:rPr>
                <w:rFonts w:ascii="Times New Roman" w:eastAsia="Times New Roman" w:hAnsi="Times New Roman" w:cs="Times New Roman"/>
                <w:sz w:val="20"/>
                <w:szCs w:val="20"/>
                <w:lang w:eastAsia="en-GB"/>
              </w:rPr>
            </w:pPr>
            <w:r w:rsidRPr="002961C2">
              <w:rPr>
                <w:sz w:val="20"/>
                <w:szCs w:val="20"/>
              </w:rPr>
              <w:t>1.30 (0.85 , 2.00)</w:t>
            </w:r>
          </w:p>
        </w:tc>
        <w:tc>
          <w:tcPr>
            <w:tcW w:w="1062" w:type="dxa"/>
            <w:tcBorders>
              <w:top w:val="single" w:sz="4" w:space="0" w:color="auto"/>
              <w:left w:val="nil"/>
              <w:bottom w:val="single" w:sz="4" w:space="0" w:color="auto"/>
              <w:right w:val="nil"/>
            </w:tcBorders>
            <w:shd w:val="clear" w:color="auto" w:fill="auto"/>
            <w:noWrap/>
            <w:vAlign w:val="center"/>
            <w:hideMark/>
          </w:tcPr>
          <w:p w14:paraId="332E9686" w14:textId="26B36526" w:rsidR="009B2A97" w:rsidRPr="002961C2" w:rsidRDefault="009B2A97" w:rsidP="009B2A97">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0·224</w:t>
            </w:r>
          </w:p>
        </w:tc>
      </w:tr>
      <w:tr w:rsidR="009B2A97" w:rsidRPr="002961C2" w14:paraId="52CDAB0E" w14:textId="77777777" w:rsidTr="00EA6A95">
        <w:trPr>
          <w:trHeight w:val="289"/>
          <w:jc w:val="center"/>
        </w:trPr>
        <w:tc>
          <w:tcPr>
            <w:tcW w:w="3466" w:type="dxa"/>
            <w:tcBorders>
              <w:top w:val="single" w:sz="4" w:space="0" w:color="auto"/>
              <w:left w:val="nil"/>
              <w:bottom w:val="single" w:sz="4" w:space="0" w:color="auto"/>
              <w:right w:val="nil"/>
            </w:tcBorders>
            <w:shd w:val="clear" w:color="auto" w:fill="auto"/>
            <w:noWrap/>
            <w:vAlign w:val="center"/>
          </w:tcPr>
          <w:p w14:paraId="574A0129" w14:textId="77777777" w:rsidR="009B2A97" w:rsidRPr="002961C2" w:rsidRDefault="009B2A97" w:rsidP="009B2A97">
            <w:pPr>
              <w:spacing w:after="0" w:line="240" w:lineRule="auto"/>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MR-median</w:t>
            </w:r>
          </w:p>
        </w:tc>
        <w:tc>
          <w:tcPr>
            <w:tcW w:w="956" w:type="dxa"/>
            <w:tcBorders>
              <w:top w:val="single" w:sz="4" w:space="0" w:color="auto"/>
              <w:left w:val="nil"/>
              <w:bottom w:val="single" w:sz="4" w:space="0" w:color="auto"/>
              <w:right w:val="nil"/>
            </w:tcBorders>
            <w:shd w:val="clear" w:color="auto" w:fill="auto"/>
            <w:noWrap/>
            <w:vAlign w:val="center"/>
          </w:tcPr>
          <w:p w14:paraId="4D1B66AC" w14:textId="77777777" w:rsidR="009B2A97" w:rsidRPr="002961C2" w:rsidRDefault="009B2A97" w:rsidP="009B2A97">
            <w:pPr>
              <w:spacing w:after="0" w:line="240" w:lineRule="auto"/>
              <w:jc w:val="center"/>
              <w:rPr>
                <w:rFonts w:ascii="Times New Roman" w:eastAsia="Times New Roman" w:hAnsi="Times New Roman" w:cs="Times New Roman"/>
                <w:sz w:val="20"/>
                <w:szCs w:val="20"/>
                <w:lang w:eastAsia="en-GB"/>
              </w:rPr>
            </w:pPr>
          </w:p>
        </w:tc>
        <w:tc>
          <w:tcPr>
            <w:tcW w:w="1200" w:type="dxa"/>
            <w:tcBorders>
              <w:top w:val="single" w:sz="4" w:space="0" w:color="auto"/>
              <w:left w:val="nil"/>
              <w:bottom w:val="single" w:sz="4" w:space="0" w:color="auto"/>
              <w:right w:val="nil"/>
            </w:tcBorders>
            <w:shd w:val="clear" w:color="auto" w:fill="auto"/>
            <w:noWrap/>
            <w:vAlign w:val="center"/>
          </w:tcPr>
          <w:p w14:paraId="2F3EBA17" w14:textId="77777777" w:rsidR="009B2A97" w:rsidRPr="002961C2" w:rsidRDefault="009B2A97" w:rsidP="009B2A97">
            <w:pPr>
              <w:spacing w:after="0" w:line="240" w:lineRule="auto"/>
              <w:jc w:val="center"/>
              <w:rPr>
                <w:rFonts w:ascii="Times New Roman" w:eastAsia="Times New Roman" w:hAnsi="Times New Roman" w:cs="Times New Roman"/>
                <w:sz w:val="20"/>
                <w:szCs w:val="20"/>
                <w:lang w:eastAsia="en-GB"/>
              </w:rPr>
            </w:pPr>
          </w:p>
        </w:tc>
        <w:tc>
          <w:tcPr>
            <w:tcW w:w="2094" w:type="dxa"/>
            <w:tcBorders>
              <w:top w:val="single" w:sz="4" w:space="0" w:color="auto"/>
              <w:left w:val="nil"/>
              <w:bottom w:val="single" w:sz="4" w:space="0" w:color="auto"/>
              <w:right w:val="nil"/>
            </w:tcBorders>
            <w:shd w:val="clear" w:color="auto" w:fill="auto"/>
            <w:noWrap/>
            <w:vAlign w:val="center"/>
          </w:tcPr>
          <w:p w14:paraId="1475C386" w14:textId="0A21C004" w:rsidR="009B2A97" w:rsidRPr="002961C2" w:rsidRDefault="009B2A97" w:rsidP="009B2A97">
            <w:pPr>
              <w:spacing w:after="0" w:line="240" w:lineRule="auto"/>
              <w:jc w:val="center"/>
              <w:rPr>
                <w:rFonts w:ascii="Times New Roman" w:eastAsia="Times New Roman" w:hAnsi="Times New Roman" w:cs="Times New Roman"/>
                <w:sz w:val="20"/>
                <w:szCs w:val="20"/>
                <w:lang w:eastAsia="en-GB"/>
              </w:rPr>
            </w:pPr>
            <w:r w:rsidRPr="002961C2">
              <w:rPr>
                <w:sz w:val="20"/>
                <w:szCs w:val="20"/>
              </w:rPr>
              <w:t>1.25 (0.62 , 2.50)</w:t>
            </w:r>
          </w:p>
        </w:tc>
        <w:tc>
          <w:tcPr>
            <w:tcW w:w="1062" w:type="dxa"/>
            <w:tcBorders>
              <w:top w:val="single" w:sz="4" w:space="0" w:color="auto"/>
              <w:left w:val="nil"/>
              <w:bottom w:val="single" w:sz="4" w:space="0" w:color="auto"/>
              <w:right w:val="nil"/>
            </w:tcBorders>
            <w:shd w:val="clear" w:color="auto" w:fill="auto"/>
            <w:noWrap/>
            <w:vAlign w:val="center"/>
          </w:tcPr>
          <w:p w14:paraId="04DAA3E1" w14:textId="2B1D432C" w:rsidR="009B2A97" w:rsidRPr="002961C2" w:rsidRDefault="009B2A97" w:rsidP="009B2A97">
            <w:pPr>
              <w:spacing w:after="0" w:line="240" w:lineRule="auto"/>
              <w:jc w:val="center"/>
              <w:rPr>
                <w:rFonts w:ascii="Times New Roman" w:eastAsia="Times New Roman" w:hAnsi="Times New Roman" w:cs="Times New Roman"/>
                <w:sz w:val="20"/>
                <w:szCs w:val="20"/>
                <w:lang w:eastAsia="en-GB"/>
              </w:rPr>
            </w:pPr>
            <w:r w:rsidRPr="002961C2">
              <w:rPr>
                <w:rFonts w:ascii="Times New Roman" w:eastAsia="Times New Roman" w:hAnsi="Times New Roman" w:cs="Times New Roman"/>
                <w:sz w:val="20"/>
                <w:szCs w:val="20"/>
                <w:lang w:eastAsia="en-GB"/>
              </w:rPr>
              <w:t>0·537</w:t>
            </w:r>
          </w:p>
        </w:tc>
      </w:tr>
    </w:tbl>
    <w:p w14:paraId="37281A65" w14:textId="77777777" w:rsidR="001F4F1B" w:rsidRPr="002961C2" w:rsidRDefault="001F4F1B" w:rsidP="00500847">
      <w:pPr>
        <w:spacing w:before="120" w:line="360" w:lineRule="auto"/>
        <w:rPr>
          <w:rFonts w:eastAsia="Times New Roman" w:cstheme="minorHAnsi"/>
          <w:b/>
          <w:iCs/>
          <w:sz w:val="20"/>
          <w:szCs w:val="24"/>
          <w:bdr w:val="none" w:sz="0" w:space="0" w:color="auto" w:frame="1"/>
          <w:lang w:eastAsia="en-GB"/>
        </w:rPr>
      </w:pPr>
    </w:p>
    <w:p w14:paraId="18895429" w14:textId="629422B1" w:rsidR="00500847" w:rsidRPr="002961C2" w:rsidRDefault="006266FB" w:rsidP="003E44D7">
      <w:pPr>
        <w:spacing w:before="120" w:line="480" w:lineRule="auto"/>
        <w:rPr>
          <w:rFonts w:ascii="Calibri" w:hAnsi="Calibri" w:cs="Calibri"/>
          <w:sz w:val="24"/>
          <w:szCs w:val="24"/>
        </w:rPr>
      </w:pPr>
      <w:r w:rsidRPr="002961C2">
        <w:rPr>
          <w:rFonts w:eastAsia="Times New Roman" w:cstheme="minorHAnsi"/>
          <w:iCs/>
          <w:sz w:val="24"/>
          <w:szCs w:val="24"/>
          <w:bdr w:val="none" w:sz="0" w:space="0" w:color="auto" w:frame="1"/>
          <w:lang w:eastAsia="en-GB"/>
        </w:rPr>
        <w:t>The main</w:t>
      </w:r>
      <w:r w:rsidR="00A0173D" w:rsidRPr="002961C2">
        <w:rPr>
          <w:rFonts w:eastAsia="Times New Roman" w:cstheme="minorHAnsi"/>
          <w:iCs/>
          <w:sz w:val="24"/>
          <w:szCs w:val="24"/>
          <w:bdr w:val="none" w:sz="0" w:space="0" w:color="auto" w:frame="1"/>
          <w:lang w:eastAsia="en-GB"/>
        </w:rPr>
        <w:t xml:space="preserve"> analysis is </w:t>
      </w:r>
      <w:r w:rsidRPr="002961C2">
        <w:rPr>
          <w:rFonts w:eastAsia="Times New Roman" w:cstheme="minorHAnsi"/>
          <w:iCs/>
          <w:sz w:val="24"/>
          <w:szCs w:val="24"/>
          <w:bdr w:val="none" w:sz="0" w:space="0" w:color="auto" w:frame="1"/>
          <w:lang w:eastAsia="en-GB"/>
        </w:rPr>
        <w:t xml:space="preserve">based on </w:t>
      </w:r>
      <w:r w:rsidR="00A0173D" w:rsidRPr="002961C2">
        <w:rPr>
          <w:rFonts w:eastAsia="Times New Roman" w:cstheme="minorHAnsi"/>
          <w:iCs/>
          <w:sz w:val="24"/>
          <w:szCs w:val="24"/>
          <w:bdr w:val="none" w:sz="0" w:space="0" w:color="auto" w:frame="1"/>
          <w:lang w:eastAsia="en-GB"/>
        </w:rPr>
        <w:t>our composite outcome</w:t>
      </w:r>
      <w:r w:rsidR="00970267" w:rsidRPr="002961C2">
        <w:rPr>
          <w:rFonts w:eastAsia="Times New Roman" w:cstheme="minorHAnsi"/>
          <w:iCs/>
          <w:sz w:val="24"/>
          <w:szCs w:val="24"/>
          <w:bdr w:val="none" w:sz="0" w:space="0" w:color="auto" w:frame="1"/>
          <w:lang w:eastAsia="en-GB"/>
        </w:rPr>
        <w:t xml:space="preserve"> and the full multivariable model estimates are shown</w:t>
      </w:r>
      <w:r w:rsidRPr="002961C2">
        <w:rPr>
          <w:rFonts w:eastAsia="Times New Roman" w:cstheme="minorHAnsi"/>
          <w:iCs/>
          <w:sz w:val="24"/>
          <w:szCs w:val="24"/>
          <w:bdr w:val="none" w:sz="0" w:space="0" w:color="auto" w:frame="1"/>
          <w:lang w:eastAsia="en-GB"/>
        </w:rPr>
        <w:t xml:space="preserve"> for each risk factor</w:t>
      </w:r>
      <w:r w:rsidR="00A0173D" w:rsidRPr="002961C2">
        <w:rPr>
          <w:rFonts w:eastAsia="Times New Roman" w:cstheme="minorHAnsi"/>
          <w:iCs/>
          <w:sz w:val="24"/>
          <w:szCs w:val="24"/>
          <w:bdr w:val="none" w:sz="0" w:space="0" w:color="auto" w:frame="1"/>
          <w:lang w:eastAsia="en-GB"/>
        </w:rPr>
        <w:t xml:space="preserve">. </w:t>
      </w:r>
      <w:r w:rsidRPr="002961C2">
        <w:rPr>
          <w:rFonts w:eastAsia="Times New Roman" w:cstheme="minorHAnsi"/>
          <w:iCs/>
          <w:sz w:val="24"/>
          <w:szCs w:val="24"/>
          <w:bdr w:val="none" w:sz="0" w:space="0" w:color="auto" w:frame="1"/>
          <w:lang w:eastAsia="en-GB"/>
        </w:rPr>
        <w:t>*For e</w:t>
      </w:r>
      <w:r w:rsidR="00A0173D" w:rsidRPr="002961C2">
        <w:rPr>
          <w:rFonts w:eastAsia="Times New Roman" w:cstheme="minorHAnsi"/>
          <w:iCs/>
          <w:sz w:val="24"/>
          <w:szCs w:val="24"/>
          <w:bdr w:val="none" w:sz="0" w:space="0" w:color="auto" w:frame="1"/>
          <w:lang w:eastAsia="en-GB"/>
        </w:rPr>
        <w:t xml:space="preserve">ach component of the composite </w:t>
      </w:r>
      <w:r w:rsidRPr="002961C2">
        <w:rPr>
          <w:rFonts w:eastAsia="Times New Roman" w:cstheme="minorHAnsi"/>
          <w:iCs/>
          <w:sz w:val="24"/>
          <w:szCs w:val="24"/>
          <w:bdr w:val="none" w:sz="0" w:space="0" w:color="auto" w:frame="1"/>
          <w:lang w:eastAsia="en-GB"/>
        </w:rPr>
        <w:t xml:space="preserve">outcome </w:t>
      </w:r>
      <w:r w:rsidR="00970267" w:rsidRPr="002961C2">
        <w:rPr>
          <w:rFonts w:eastAsia="Times New Roman" w:cstheme="minorHAnsi"/>
          <w:iCs/>
          <w:sz w:val="24"/>
          <w:szCs w:val="24"/>
          <w:bdr w:val="none" w:sz="0" w:space="0" w:color="auto" w:frame="1"/>
          <w:lang w:eastAsia="en-GB"/>
        </w:rPr>
        <w:t xml:space="preserve">analysed </w:t>
      </w:r>
      <w:r w:rsidR="00A0173D" w:rsidRPr="002961C2">
        <w:rPr>
          <w:rFonts w:eastAsia="Times New Roman" w:cstheme="minorHAnsi"/>
          <w:iCs/>
          <w:sz w:val="24"/>
          <w:szCs w:val="24"/>
          <w:bdr w:val="none" w:sz="0" w:space="0" w:color="auto" w:frame="1"/>
          <w:lang w:eastAsia="en-GB"/>
        </w:rPr>
        <w:t>separately</w:t>
      </w:r>
      <w:r w:rsidRPr="002961C2">
        <w:rPr>
          <w:rFonts w:eastAsia="Times New Roman" w:cstheme="minorHAnsi"/>
          <w:iCs/>
          <w:sz w:val="24"/>
          <w:szCs w:val="24"/>
          <w:bdr w:val="none" w:sz="0" w:space="0" w:color="auto" w:frame="1"/>
          <w:lang w:eastAsia="en-GB"/>
        </w:rPr>
        <w:t xml:space="preserve">, </w:t>
      </w:r>
      <w:r w:rsidR="00970267" w:rsidRPr="002961C2">
        <w:rPr>
          <w:rFonts w:eastAsia="Times New Roman" w:cstheme="minorHAnsi"/>
          <w:iCs/>
          <w:sz w:val="24"/>
          <w:szCs w:val="24"/>
          <w:bdr w:val="none" w:sz="0" w:space="0" w:color="auto" w:frame="1"/>
          <w:lang w:eastAsia="en-GB"/>
        </w:rPr>
        <w:t xml:space="preserve">the results shown for these are labelled by </w:t>
      </w:r>
      <w:r w:rsidR="00B76E79" w:rsidRPr="002961C2">
        <w:rPr>
          <w:rFonts w:eastAsia="Times New Roman" w:cstheme="minorHAnsi"/>
          <w:iCs/>
          <w:sz w:val="24"/>
          <w:szCs w:val="24"/>
          <w:bdr w:val="none" w:sz="0" w:space="0" w:color="auto" w:frame="1"/>
          <w:lang w:eastAsia="en-GB"/>
        </w:rPr>
        <w:t xml:space="preserve">outcome </w:t>
      </w:r>
      <w:r w:rsidR="00970267" w:rsidRPr="002961C2">
        <w:rPr>
          <w:rFonts w:eastAsia="Times New Roman" w:cstheme="minorHAnsi"/>
          <w:iCs/>
          <w:sz w:val="24"/>
          <w:szCs w:val="24"/>
          <w:bdr w:val="none" w:sz="0" w:space="0" w:color="auto" w:frame="1"/>
          <w:lang w:eastAsia="en-GB"/>
        </w:rPr>
        <w:t xml:space="preserve">component but represent </w:t>
      </w:r>
      <w:r w:rsidR="00B76E79" w:rsidRPr="002961C2">
        <w:rPr>
          <w:rFonts w:eastAsia="Times New Roman" w:cstheme="minorHAnsi"/>
          <w:iCs/>
          <w:sz w:val="24"/>
          <w:szCs w:val="24"/>
          <w:bdr w:val="none" w:sz="0" w:space="0" w:color="auto" w:frame="1"/>
          <w:lang w:eastAsia="en-GB"/>
        </w:rPr>
        <w:t xml:space="preserve">the </w:t>
      </w:r>
      <w:r w:rsidR="00970267" w:rsidRPr="002961C2">
        <w:rPr>
          <w:rFonts w:eastAsia="Times New Roman" w:cstheme="minorHAnsi"/>
          <w:iCs/>
          <w:sz w:val="24"/>
          <w:szCs w:val="24"/>
          <w:bdr w:val="none" w:sz="0" w:space="0" w:color="auto" w:frame="1"/>
          <w:lang w:eastAsia="en-GB"/>
        </w:rPr>
        <w:t>LTL (age-adjusted)</w:t>
      </w:r>
      <w:r w:rsidR="00B76E79" w:rsidRPr="002961C2">
        <w:rPr>
          <w:rFonts w:eastAsia="Times New Roman" w:cstheme="minorHAnsi"/>
          <w:iCs/>
          <w:sz w:val="24"/>
          <w:szCs w:val="24"/>
          <w:bdr w:val="none" w:sz="0" w:space="0" w:color="auto" w:frame="1"/>
          <w:lang w:eastAsia="en-GB"/>
        </w:rPr>
        <w:t xml:space="preserve"> estimate</w:t>
      </w:r>
      <w:r w:rsidR="00F9516B" w:rsidRPr="002961C2">
        <w:rPr>
          <w:rFonts w:eastAsia="Times New Roman" w:cstheme="minorHAnsi"/>
          <w:iCs/>
          <w:sz w:val="24"/>
          <w:szCs w:val="24"/>
          <w:bdr w:val="none" w:sz="0" w:space="0" w:color="auto" w:frame="1"/>
          <w:lang w:eastAsia="en-GB"/>
        </w:rPr>
        <w:t xml:space="preserve"> (per 1 SD shorter)</w:t>
      </w:r>
      <w:r w:rsidR="00970267" w:rsidRPr="002961C2">
        <w:rPr>
          <w:rFonts w:eastAsia="Times New Roman" w:cstheme="minorHAnsi"/>
          <w:iCs/>
          <w:sz w:val="24"/>
          <w:szCs w:val="24"/>
          <w:bdr w:val="none" w:sz="0" w:space="0" w:color="auto" w:frame="1"/>
          <w:lang w:eastAsia="en-GB"/>
        </w:rPr>
        <w:t>.</w:t>
      </w:r>
      <w:r w:rsidR="00A0173D" w:rsidRPr="002961C2">
        <w:rPr>
          <w:rFonts w:eastAsia="Times New Roman" w:cstheme="minorHAnsi"/>
          <w:iCs/>
          <w:sz w:val="24"/>
          <w:szCs w:val="24"/>
          <w:bdr w:val="none" w:sz="0" w:space="0" w:color="auto" w:frame="1"/>
          <w:lang w:eastAsia="en-GB"/>
        </w:rPr>
        <w:t xml:space="preserve"> </w:t>
      </w:r>
      <w:r w:rsidRPr="002961C2">
        <w:rPr>
          <w:rFonts w:eastAsia="Times New Roman" w:cstheme="minorHAnsi"/>
          <w:iCs/>
          <w:sz w:val="24"/>
          <w:szCs w:val="24"/>
          <w:bdr w:val="none" w:sz="0" w:space="0" w:color="auto" w:frame="1"/>
          <w:lang w:eastAsia="en-GB"/>
        </w:rPr>
        <w:t>For each analysis, t</w:t>
      </w:r>
      <w:r w:rsidR="00A0173D" w:rsidRPr="002961C2">
        <w:rPr>
          <w:rFonts w:eastAsia="Times New Roman" w:cstheme="minorHAnsi"/>
          <w:iCs/>
          <w:sz w:val="24"/>
          <w:szCs w:val="24"/>
          <w:bdr w:val="none" w:sz="0" w:space="0" w:color="auto" w:frame="1"/>
          <w:lang w:eastAsia="en-GB"/>
        </w:rPr>
        <w:t>he number</w:t>
      </w:r>
      <w:r w:rsidR="006524E5" w:rsidRPr="002961C2">
        <w:rPr>
          <w:rFonts w:eastAsia="Times New Roman" w:cstheme="minorHAnsi"/>
          <w:iCs/>
          <w:sz w:val="24"/>
          <w:szCs w:val="24"/>
          <w:bdr w:val="none" w:sz="0" w:space="0" w:color="auto" w:frame="1"/>
          <w:lang w:eastAsia="en-GB"/>
        </w:rPr>
        <w:t>s</w:t>
      </w:r>
      <w:r w:rsidR="00A0173D" w:rsidRPr="002961C2">
        <w:rPr>
          <w:rFonts w:eastAsia="Times New Roman" w:cstheme="minorHAnsi"/>
          <w:iCs/>
          <w:sz w:val="24"/>
          <w:szCs w:val="24"/>
          <w:bdr w:val="none" w:sz="0" w:space="0" w:color="auto" w:frame="1"/>
          <w:lang w:eastAsia="en-GB"/>
        </w:rPr>
        <w:t xml:space="preserve"> of cases and controls are given alongside the odds ratio</w:t>
      </w:r>
      <w:r w:rsidR="00970267" w:rsidRPr="002961C2">
        <w:rPr>
          <w:rFonts w:eastAsia="Times New Roman" w:cstheme="minorHAnsi"/>
          <w:iCs/>
          <w:sz w:val="24"/>
          <w:szCs w:val="24"/>
          <w:bdr w:val="none" w:sz="0" w:space="0" w:color="auto" w:frame="1"/>
          <w:lang w:eastAsia="en-GB"/>
        </w:rPr>
        <w:t>, 95% confidence interval</w:t>
      </w:r>
      <w:r w:rsidR="00A0173D" w:rsidRPr="002961C2">
        <w:rPr>
          <w:rFonts w:eastAsia="Times New Roman" w:cstheme="minorHAnsi"/>
          <w:iCs/>
          <w:sz w:val="24"/>
          <w:szCs w:val="24"/>
          <w:bdr w:val="none" w:sz="0" w:space="0" w:color="auto" w:frame="1"/>
          <w:lang w:eastAsia="en-GB"/>
        </w:rPr>
        <w:t xml:space="preserve"> and P-value</w:t>
      </w:r>
      <w:r w:rsidR="00B82276" w:rsidRPr="002961C2">
        <w:rPr>
          <w:rFonts w:eastAsia="Times New Roman" w:cstheme="minorHAnsi"/>
          <w:iCs/>
          <w:sz w:val="24"/>
          <w:szCs w:val="24"/>
          <w:bdr w:val="none" w:sz="0" w:space="0" w:color="auto" w:frame="1"/>
          <w:lang w:eastAsia="en-GB"/>
        </w:rPr>
        <w:t xml:space="preserve"> </w:t>
      </w:r>
      <w:r w:rsidR="00D22671" w:rsidRPr="002961C2">
        <w:rPr>
          <w:rFonts w:eastAsia="Times New Roman" w:cstheme="minorHAnsi"/>
          <w:iCs/>
          <w:sz w:val="24"/>
          <w:szCs w:val="24"/>
          <w:bdr w:val="none" w:sz="0" w:space="0" w:color="auto" w:frame="1"/>
          <w:lang w:eastAsia="en-GB"/>
        </w:rPr>
        <w:t>(</w:t>
      </w:r>
      <w:r w:rsidR="00B82276" w:rsidRPr="002961C2">
        <w:rPr>
          <w:rFonts w:eastAsia="Times New Roman" w:cstheme="minorHAnsi"/>
          <w:iCs/>
          <w:sz w:val="24"/>
          <w:szCs w:val="24"/>
          <w:bdr w:val="none" w:sz="0" w:space="0" w:color="auto" w:frame="1"/>
          <w:lang w:eastAsia="en-GB"/>
        </w:rPr>
        <w:t>from logistic regression model</w:t>
      </w:r>
      <w:r w:rsidR="00AC2150" w:rsidRPr="002961C2">
        <w:rPr>
          <w:rFonts w:eastAsia="Times New Roman" w:cstheme="minorHAnsi"/>
          <w:iCs/>
          <w:sz w:val="24"/>
          <w:szCs w:val="24"/>
          <w:bdr w:val="none" w:sz="0" w:space="0" w:color="auto" w:frame="1"/>
          <w:lang w:eastAsia="en-GB"/>
        </w:rPr>
        <w:t>s or</w:t>
      </w:r>
      <w:r w:rsidR="00B82276" w:rsidRPr="002961C2">
        <w:rPr>
          <w:rFonts w:eastAsia="Times New Roman" w:cstheme="minorHAnsi"/>
          <w:iCs/>
          <w:sz w:val="24"/>
          <w:szCs w:val="24"/>
          <w:bdr w:val="none" w:sz="0" w:space="0" w:color="auto" w:frame="1"/>
          <w:lang w:eastAsia="en-GB"/>
        </w:rPr>
        <w:t xml:space="preserve"> MR</w:t>
      </w:r>
      <w:r w:rsidR="00D22671" w:rsidRPr="002961C2">
        <w:rPr>
          <w:rFonts w:eastAsia="Times New Roman" w:cstheme="minorHAnsi"/>
          <w:iCs/>
          <w:sz w:val="24"/>
          <w:szCs w:val="24"/>
          <w:bdr w:val="none" w:sz="0" w:space="0" w:color="auto" w:frame="1"/>
          <w:lang w:eastAsia="en-GB"/>
        </w:rPr>
        <w:t>)</w:t>
      </w:r>
      <w:r w:rsidR="00A0173D" w:rsidRPr="002961C2">
        <w:rPr>
          <w:rFonts w:eastAsia="Times New Roman" w:cstheme="minorHAnsi"/>
          <w:iCs/>
          <w:sz w:val="24"/>
          <w:szCs w:val="24"/>
          <w:bdr w:val="none" w:sz="0" w:space="0" w:color="auto" w:frame="1"/>
          <w:lang w:eastAsia="en-GB"/>
        </w:rPr>
        <w:t xml:space="preserve">. </w:t>
      </w:r>
      <w:r w:rsidR="003E44D7" w:rsidRPr="002961C2">
        <w:rPr>
          <w:rFonts w:ascii="Calibri" w:hAnsi="Calibri" w:cs="Calibri"/>
          <w:sz w:val="24"/>
          <w:szCs w:val="24"/>
        </w:rPr>
        <w:t>MR IVW</w:t>
      </w:r>
      <w:r w:rsidR="00500847" w:rsidRPr="002961C2">
        <w:rPr>
          <w:rFonts w:ascii="Calibri" w:hAnsi="Calibri" w:cs="Calibri"/>
          <w:sz w:val="24"/>
          <w:szCs w:val="24"/>
        </w:rPr>
        <w:t>: Mendelian randomisation inverse-variance weighted method</w:t>
      </w:r>
      <w:r w:rsidR="001C6643" w:rsidRPr="002961C2">
        <w:rPr>
          <w:rFonts w:ascii="Calibri" w:hAnsi="Calibri" w:cs="Calibri"/>
          <w:sz w:val="24"/>
          <w:szCs w:val="24"/>
        </w:rPr>
        <w:t>. MR-median: Mendelian randomisation weighted median method</w:t>
      </w:r>
      <w:r w:rsidR="00500847" w:rsidRPr="002961C2">
        <w:rPr>
          <w:rFonts w:ascii="Calibri" w:hAnsi="Calibri" w:cs="Calibri"/>
          <w:sz w:val="24"/>
          <w:szCs w:val="24"/>
        </w:rPr>
        <w:t xml:space="preserve">. </w:t>
      </w:r>
    </w:p>
    <w:p w14:paraId="676E5699" w14:textId="77777777" w:rsidR="009A66E8" w:rsidRPr="002961C2" w:rsidRDefault="009A66E8" w:rsidP="00AF1D41">
      <w:pPr>
        <w:spacing w:line="360" w:lineRule="auto"/>
        <w:rPr>
          <w:rFonts w:eastAsia="Times New Roman" w:cstheme="minorHAnsi"/>
          <w:iCs/>
          <w:sz w:val="20"/>
          <w:szCs w:val="24"/>
          <w:bdr w:val="none" w:sz="0" w:space="0" w:color="auto" w:frame="1"/>
          <w:lang w:eastAsia="en-GB"/>
        </w:rPr>
      </w:pPr>
    </w:p>
    <w:p w14:paraId="0EFD2425" w14:textId="77777777" w:rsidR="003E44D7" w:rsidRPr="002961C2" w:rsidRDefault="003E44D7">
      <w:pPr>
        <w:rPr>
          <w:rFonts w:eastAsia="Times New Roman" w:cstheme="minorHAnsi"/>
          <w:iCs/>
          <w:sz w:val="20"/>
          <w:szCs w:val="24"/>
          <w:bdr w:val="none" w:sz="0" w:space="0" w:color="auto" w:frame="1"/>
          <w:lang w:eastAsia="en-GB"/>
        </w:rPr>
      </w:pPr>
      <w:r w:rsidRPr="002961C2">
        <w:rPr>
          <w:rFonts w:eastAsia="Times New Roman" w:cstheme="minorHAnsi"/>
          <w:iCs/>
          <w:sz w:val="20"/>
          <w:szCs w:val="24"/>
          <w:bdr w:val="none" w:sz="0" w:space="0" w:color="auto" w:frame="1"/>
          <w:lang w:eastAsia="en-GB"/>
        </w:rPr>
        <w:br w:type="page"/>
      </w:r>
    </w:p>
    <w:p w14:paraId="20605CE3" w14:textId="77777777" w:rsidR="003E44D7" w:rsidRPr="002961C2" w:rsidRDefault="003E44D7" w:rsidP="006266FB">
      <w:pPr>
        <w:rPr>
          <w:rFonts w:eastAsia="Times New Roman" w:cstheme="minorHAnsi"/>
          <w:iCs/>
          <w:sz w:val="24"/>
          <w:szCs w:val="24"/>
          <w:bdr w:val="none" w:sz="0" w:space="0" w:color="auto" w:frame="1"/>
          <w:lang w:eastAsia="en-GB"/>
        </w:rPr>
      </w:pPr>
      <w:r w:rsidRPr="002961C2">
        <w:rPr>
          <w:rFonts w:eastAsia="Times New Roman" w:cstheme="minorHAnsi"/>
          <w:b/>
          <w:iCs/>
          <w:sz w:val="24"/>
          <w:szCs w:val="24"/>
          <w:bdr w:val="none" w:sz="0" w:space="0" w:color="auto" w:frame="1"/>
          <w:lang w:eastAsia="en-GB"/>
        </w:rPr>
        <w:t>Figure 1. Venn diagram showing the distribution of the individual components of the primary outcome.</w:t>
      </w:r>
      <w:r w:rsidRPr="002961C2">
        <w:rPr>
          <w:rFonts w:eastAsia="Times New Roman" w:cstheme="minorHAnsi"/>
          <w:iCs/>
          <w:sz w:val="24"/>
          <w:szCs w:val="24"/>
          <w:bdr w:val="none" w:sz="0" w:space="0" w:color="auto" w:frame="1"/>
          <w:lang w:eastAsia="en-GB"/>
        </w:rPr>
        <w:t xml:space="preserve"> </w:t>
      </w:r>
    </w:p>
    <w:p w14:paraId="2BD821D8" w14:textId="77777777" w:rsidR="003E44D7" w:rsidRPr="002961C2" w:rsidRDefault="003E44D7" w:rsidP="006266FB">
      <w:pPr>
        <w:rPr>
          <w:rFonts w:eastAsia="Times New Roman" w:cstheme="minorHAnsi"/>
          <w:iCs/>
          <w:sz w:val="20"/>
          <w:szCs w:val="24"/>
          <w:bdr w:val="none" w:sz="0" w:space="0" w:color="auto" w:frame="1"/>
          <w:lang w:eastAsia="en-GB"/>
        </w:rPr>
      </w:pPr>
    </w:p>
    <w:p w14:paraId="1D9729D9" w14:textId="6ED91DC5" w:rsidR="009A66E8" w:rsidRDefault="00FB115B" w:rsidP="00E60491">
      <w:pPr>
        <w:spacing w:line="360" w:lineRule="auto"/>
        <w:jc w:val="center"/>
        <w:rPr>
          <w:rFonts w:eastAsia="Times New Roman" w:cstheme="minorHAnsi"/>
          <w:iCs/>
          <w:sz w:val="20"/>
          <w:szCs w:val="24"/>
          <w:bdr w:val="none" w:sz="0" w:space="0" w:color="auto" w:frame="1"/>
          <w:lang w:eastAsia="en-GB"/>
        </w:rPr>
      </w:pPr>
      <w:r w:rsidRPr="002961C2">
        <w:rPr>
          <w:noProof/>
          <w:lang w:eastAsia="en-GB"/>
        </w:rPr>
        <w:t xml:space="preserve"> </w:t>
      </w:r>
      <w:r w:rsidRPr="00FB115B">
        <w:rPr>
          <w:rFonts w:eastAsia="Times New Roman" w:cstheme="minorHAnsi"/>
          <w:iCs/>
          <w:noProof/>
          <w:sz w:val="20"/>
          <w:szCs w:val="24"/>
          <w:bdr w:val="none" w:sz="0" w:space="0" w:color="auto" w:frame="1"/>
          <w:lang w:eastAsia="en-GB"/>
        </w:rPr>
        <w:drawing>
          <wp:inline distT="0" distB="0" distL="0" distR="0" wp14:anchorId="5332C45E" wp14:editId="67890AD8">
            <wp:extent cx="5731510" cy="4345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345940"/>
                    </a:xfrm>
                    <a:prstGeom prst="rect">
                      <a:avLst/>
                    </a:prstGeom>
                  </pic:spPr>
                </pic:pic>
              </a:graphicData>
            </a:graphic>
          </wp:inline>
        </w:drawing>
      </w:r>
    </w:p>
    <w:p w14:paraId="4B2D1D28" w14:textId="77777777" w:rsidR="003E44D7" w:rsidRDefault="003E44D7" w:rsidP="00AF1D41">
      <w:pPr>
        <w:spacing w:line="360" w:lineRule="auto"/>
        <w:rPr>
          <w:rFonts w:eastAsia="Times New Roman" w:cstheme="minorHAnsi"/>
          <w:iCs/>
          <w:sz w:val="20"/>
          <w:szCs w:val="24"/>
          <w:bdr w:val="none" w:sz="0" w:space="0" w:color="auto" w:frame="1"/>
          <w:lang w:eastAsia="en-GB"/>
        </w:rPr>
      </w:pPr>
    </w:p>
    <w:p w14:paraId="1CC471A2" w14:textId="1139F683" w:rsidR="009A66E8" w:rsidRPr="003E44D7" w:rsidRDefault="00FB115B" w:rsidP="003E44D7">
      <w:pPr>
        <w:spacing w:line="480" w:lineRule="auto"/>
        <w:rPr>
          <w:rFonts w:eastAsia="Times New Roman" w:cstheme="minorHAnsi"/>
          <w:iCs/>
          <w:sz w:val="24"/>
          <w:szCs w:val="24"/>
          <w:bdr w:val="none" w:sz="0" w:space="0" w:color="auto" w:frame="1"/>
          <w:lang w:eastAsia="en-GB"/>
        </w:rPr>
      </w:pPr>
      <w:r>
        <w:rPr>
          <w:rFonts w:eastAsia="Times New Roman" w:cstheme="minorHAnsi"/>
          <w:iCs/>
          <w:sz w:val="24"/>
          <w:szCs w:val="24"/>
          <w:bdr w:val="none" w:sz="0" w:space="0" w:color="auto" w:frame="1"/>
          <w:lang w:eastAsia="en-GB"/>
        </w:rPr>
        <w:t>Where N is the frequency and: Hospitalised</w:t>
      </w:r>
      <w:r w:rsidR="006266FB" w:rsidRPr="003E44D7">
        <w:rPr>
          <w:rFonts w:eastAsia="Times New Roman" w:cstheme="minorHAnsi"/>
          <w:iCs/>
          <w:sz w:val="24"/>
          <w:szCs w:val="24"/>
          <w:bdr w:val="none" w:sz="0" w:space="0" w:color="auto" w:frame="1"/>
          <w:lang w:eastAsia="en-GB"/>
        </w:rPr>
        <w:t xml:space="preserve">, due to COVID-19; </w:t>
      </w:r>
      <w:r w:rsidRPr="003E44D7">
        <w:rPr>
          <w:rFonts w:eastAsia="Times New Roman" w:cstheme="minorHAnsi"/>
          <w:iCs/>
          <w:sz w:val="24"/>
          <w:szCs w:val="24"/>
          <w:bdr w:val="none" w:sz="0" w:space="0" w:color="auto" w:frame="1"/>
          <w:lang w:eastAsia="en-GB"/>
        </w:rPr>
        <w:t>C</w:t>
      </w:r>
      <w:r>
        <w:rPr>
          <w:rFonts w:eastAsia="Times New Roman" w:cstheme="minorHAnsi"/>
          <w:iCs/>
          <w:sz w:val="24"/>
          <w:szCs w:val="24"/>
          <w:bdr w:val="none" w:sz="0" w:space="0" w:color="auto" w:frame="1"/>
          <w:lang w:eastAsia="en-GB"/>
        </w:rPr>
        <w:t>ritical care admission</w:t>
      </w:r>
      <w:r w:rsidR="006266FB" w:rsidRPr="003E44D7">
        <w:rPr>
          <w:rFonts w:eastAsia="Times New Roman" w:cstheme="minorHAnsi"/>
          <w:iCs/>
          <w:sz w:val="24"/>
          <w:szCs w:val="24"/>
          <w:bdr w:val="none" w:sz="0" w:space="0" w:color="auto" w:frame="1"/>
          <w:lang w:eastAsia="en-GB"/>
        </w:rPr>
        <w:t xml:space="preserve">, </w:t>
      </w:r>
      <w:r w:rsidR="009A66E8" w:rsidRPr="003E44D7">
        <w:rPr>
          <w:rFonts w:eastAsia="Times New Roman" w:cstheme="minorHAnsi"/>
          <w:iCs/>
          <w:sz w:val="24"/>
          <w:szCs w:val="24"/>
          <w:bdr w:val="none" w:sz="0" w:space="0" w:color="auto" w:frame="1"/>
          <w:lang w:eastAsia="en-GB"/>
        </w:rPr>
        <w:t xml:space="preserve"> due to </w:t>
      </w:r>
      <w:r w:rsidR="00E02303" w:rsidRPr="003E44D7">
        <w:rPr>
          <w:rFonts w:eastAsia="Times New Roman" w:cstheme="minorHAnsi"/>
          <w:iCs/>
          <w:sz w:val="24"/>
          <w:szCs w:val="24"/>
          <w:bdr w:val="none" w:sz="0" w:space="0" w:color="auto" w:frame="1"/>
          <w:lang w:eastAsia="en-GB"/>
        </w:rPr>
        <w:t>COVID</w:t>
      </w:r>
      <w:r w:rsidR="009A66E8" w:rsidRPr="003E44D7">
        <w:rPr>
          <w:rFonts w:eastAsia="Times New Roman" w:cstheme="minorHAnsi"/>
          <w:iCs/>
          <w:sz w:val="24"/>
          <w:szCs w:val="24"/>
          <w:bdr w:val="none" w:sz="0" w:space="0" w:color="auto" w:frame="1"/>
          <w:lang w:eastAsia="en-GB"/>
        </w:rPr>
        <w:t>-19</w:t>
      </w:r>
      <w:r w:rsidR="006266FB" w:rsidRPr="003E44D7">
        <w:rPr>
          <w:rFonts w:eastAsia="Times New Roman" w:cstheme="minorHAnsi"/>
          <w:iCs/>
          <w:sz w:val="24"/>
          <w:szCs w:val="24"/>
          <w:bdr w:val="none" w:sz="0" w:space="0" w:color="auto" w:frame="1"/>
          <w:lang w:eastAsia="en-GB"/>
        </w:rPr>
        <w:t>; Resp</w:t>
      </w:r>
      <w:r>
        <w:rPr>
          <w:rFonts w:eastAsia="Times New Roman" w:cstheme="minorHAnsi"/>
          <w:iCs/>
          <w:sz w:val="24"/>
          <w:szCs w:val="24"/>
          <w:bdr w:val="none" w:sz="0" w:space="0" w:color="auto" w:frame="1"/>
          <w:lang w:eastAsia="en-GB"/>
        </w:rPr>
        <w:t>iratory</w:t>
      </w:r>
      <w:r w:rsidR="006266FB" w:rsidRPr="003E44D7">
        <w:rPr>
          <w:rFonts w:eastAsia="Times New Roman" w:cstheme="minorHAnsi"/>
          <w:iCs/>
          <w:sz w:val="24"/>
          <w:szCs w:val="24"/>
          <w:bdr w:val="none" w:sz="0" w:space="0" w:color="auto" w:frame="1"/>
          <w:lang w:eastAsia="en-GB"/>
        </w:rPr>
        <w:t xml:space="preserve"> </w:t>
      </w:r>
      <w:r w:rsidRPr="003E44D7">
        <w:rPr>
          <w:rFonts w:eastAsia="Times New Roman" w:cstheme="minorHAnsi"/>
          <w:iCs/>
          <w:sz w:val="24"/>
          <w:szCs w:val="24"/>
          <w:bdr w:val="none" w:sz="0" w:space="0" w:color="auto" w:frame="1"/>
          <w:lang w:eastAsia="en-GB"/>
        </w:rPr>
        <w:t>S</w:t>
      </w:r>
      <w:r w:rsidR="006266FB" w:rsidRPr="003E44D7">
        <w:rPr>
          <w:rFonts w:eastAsia="Times New Roman" w:cstheme="minorHAnsi"/>
          <w:iCs/>
          <w:sz w:val="24"/>
          <w:szCs w:val="24"/>
          <w:bdr w:val="none" w:sz="0" w:space="0" w:color="auto" w:frame="1"/>
          <w:lang w:eastAsia="en-GB"/>
        </w:rPr>
        <w:t>up</w:t>
      </w:r>
      <w:r>
        <w:rPr>
          <w:rFonts w:eastAsia="Times New Roman" w:cstheme="minorHAnsi"/>
          <w:iCs/>
          <w:sz w:val="24"/>
          <w:szCs w:val="24"/>
          <w:bdr w:val="none" w:sz="0" w:space="0" w:color="auto" w:frame="1"/>
          <w:lang w:eastAsia="en-GB"/>
        </w:rPr>
        <w:t>port needed</w:t>
      </w:r>
      <w:r w:rsidR="006266FB" w:rsidRPr="003E44D7">
        <w:rPr>
          <w:rFonts w:eastAsia="Times New Roman" w:cstheme="minorHAnsi"/>
          <w:iCs/>
          <w:sz w:val="24"/>
          <w:szCs w:val="24"/>
          <w:bdr w:val="none" w:sz="0" w:space="0" w:color="auto" w:frame="1"/>
          <w:lang w:eastAsia="en-GB"/>
        </w:rPr>
        <w:t>,</w:t>
      </w:r>
      <w:r w:rsidR="00B756CF" w:rsidRPr="003E44D7">
        <w:rPr>
          <w:rFonts w:eastAsia="Times New Roman" w:cstheme="minorHAnsi"/>
          <w:iCs/>
          <w:sz w:val="24"/>
          <w:szCs w:val="24"/>
          <w:bdr w:val="none" w:sz="0" w:space="0" w:color="auto" w:frame="1"/>
          <w:lang w:eastAsia="en-GB"/>
        </w:rPr>
        <w:t xml:space="preserve"> </w:t>
      </w:r>
      <w:r>
        <w:rPr>
          <w:rFonts w:eastAsia="Times New Roman" w:cstheme="minorHAnsi"/>
          <w:iCs/>
          <w:sz w:val="24"/>
          <w:szCs w:val="24"/>
          <w:bdr w:val="none" w:sz="0" w:space="0" w:color="auto" w:frame="1"/>
          <w:lang w:eastAsia="en-GB"/>
        </w:rPr>
        <w:t>while in critical care due to COVID-19</w:t>
      </w:r>
      <w:r w:rsidR="00B756CF" w:rsidRPr="003E44D7">
        <w:rPr>
          <w:rFonts w:eastAsia="Times New Roman" w:cstheme="minorHAnsi"/>
          <w:iCs/>
          <w:sz w:val="24"/>
          <w:szCs w:val="24"/>
          <w:bdr w:val="none" w:sz="0" w:space="0" w:color="auto" w:frame="1"/>
          <w:lang w:eastAsia="en-GB"/>
        </w:rPr>
        <w:t>;</w:t>
      </w:r>
      <w:r w:rsidR="006266FB" w:rsidRPr="003E44D7">
        <w:rPr>
          <w:rFonts w:eastAsia="Times New Roman" w:cstheme="minorHAnsi"/>
          <w:iCs/>
          <w:sz w:val="24"/>
          <w:szCs w:val="24"/>
          <w:bdr w:val="none" w:sz="0" w:space="0" w:color="auto" w:frame="1"/>
          <w:lang w:eastAsia="en-GB"/>
        </w:rPr>
        <w:t xml:space="preserve"> </w:t>
      </w:r>
      <w:r>
        <w:rPr>
          <w:rFonts w:eastAsia="Times New Roman" w:cstheme="minorHAnsi"/>
          <w:iCs/>
          <w:sz w:val="24"/>
          <w:szCs w:val="24"/>
          <w:bdr w:val="none" w:sz="0" w:space="0" w:color="auto" w:frame="1"/>
          <w:lang w:eastAsia="en-GB"/>
        </w:rPr>
        <w:t>D</w:t>
      </w:r>
      <w:r w:rsidRPr="003E44D7">
        <w:rPr>
          <w:rFonts w:eastAsia="Times New Roman" w:cstheme="minorHAnsi"/>
          <w:iCs/>
          <w:sz w:val="24"/>
          <w:szCs w:val="24"/>
          <w:bdr w:val="none" w:sz="0" w:space="0" w:color="auto" w:frame="1"/>
          <w:lang w:eastAsia="en-GB"/>
        </w:rPr>
        <w:t xml:space="preserve">eath </w:t>
      </w:r>
      <w:r w:rsidR="006524E5">
        <w:rPr>
          <w:rFonts w:eastAsia="Times New Roman" w:cstheme="minorHAnsi"/>
          <w:iCs/>
          <w:sz w:val="24"/>
          <w:szCs w:val="24"/>
          <w:bdr w:val="none" w:sz="0" w:space="0" w:color="auto" w:frame="1"/>
          <w:lang w:eastAsia="en-GB"/>
        </w:rPr>
        <w:t>due to</w:t>
      </w:r>
      <w:r w:rsidR="006524E5" w:rsidRPr="003E44D7">
        <w:rPr>
          <w:rFonts w:eastAsia="Times New Roman" w:cstheme="minorHAnsi"/>
          <w:iCs/>
          <w:sz w:val="24"/>
          <w:szCs w:val="24"/>
          <w:bdr w:val="none" w:sz="0" w:space="0" w:color="auto" w:frame="1"/>
          <w:lang w:eastAsia="en-GB"/>
        </w:rPr>
        <w:t xml:space="preserve"> </w:t>
      </w:r>
      <w:r w:rsidR="00E02303" w:rsidRPr="003E44D7">
        <w:rPr>
          <w:rFonts w:eastAsia="Times New Roman" w:cstheme="minorHAnsi"/>
          <w:iCs/>
          <w:sz w:val="24"/>
          <w:szCs w:val="24"/>
          <w:bdr w:val="none" w:sz="0" w:space="0" w:color="auto" w:frame="1"/>
          <w:lang w:eastAsia="en-GB"/>
        </w:rPr>
        <w:t>COVID</w:t>
      </w:r>
      <w:r w:rsidR="009A66E8" w:rsidRPr="003E44D7">
        <w:rPr>
          <w:rFonts w:eastAsia="Times New Roman" w:cstheme="minorHAnsi"/>
          <w:iCs/>
          <w:sz w:val="24"/>
          <w:szCs w:val="24"/>
          <w:bdr w:val="none" w:sz="0" w:space="0" w:color="auto" w:frame="1"/>
          <w:lang w:eastAsia="en-GB"/>
        </w:rPr>
        <w:t>-19.</w:t>
      </w:r>
      <w:r w:rsidR="00893B8F">
        <w:rPr>
          <w:rFonts w:eastAsia="Times New Roman" w:cstheme="minorHAnsi"/>
          <w:iCs/>
          <w:sz w:val="24"/>
          <w:szCs w:val="24"/>
          <w:bdr w:val="none" w:sz="0" w:space="0" w:color="auto" w:frame="1"/>
          <w:lang w:eastAsia="en-GB"/>
        </w:rPr>
        <w:t xml:space="preserve"> </w:t>
      </w:r>
    </w:p>
    <w:sectPr w:rsidR="009A66E8" w:rsidRPr="003E44D7" w:rsidSect="0087789C">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C0AF" w16cex:dateUtc="2021-03-18T12:06:00Z"/>
  <w16cex:commentExtensible w16cex:durableId="23FDC190" w16cex:dateUtc="2021-03-18T12:09:00Z"/>
  <w16cex:commentExtensible w16cex:durableId="23FDC25A" w16cex:dateUtc="2021-03-18T12:13:00Z"/>
  <w16cex:commentExtensible w16cex:durableId="23FD9217" w16cex:dateUtc="2021-03-18T08:47:00Z"/>
  <w16cex:commentExtensible w16cex:durableId="23FD94FD" w16cex:dateUtc="2021-03-18T08:59:00Z"/>
  <w16cex:commentExtensible w16cex:durableId="23FD0669" w16cex:dateUtc="2021-03-17T22:51:00Z"/>
  <w16cex:commentExtensible w16cex:durableId="23FDC616" w16cex:dateUtc="2021-03-18T12:29:00Z"/>
  <w16cex:commentExtensible w16cex:durableId="23FD0860" w16cex:dateUtc="2021-03-17T22:59:00Z"/>
  <w16cex:commentExtensible w16cex:durableId="23FD0883" w16cex:dateUtc="2021-03-17T23:00:00Z"/>
  <w16cex:commentExtensible w16cex:durableId="23FD088A" w16cex:dateUtc="2021-03-17T23:00:00Z"/>
  <w16cex:commentExtensible w16cex:durableId="23FD0894" w16cex:dateUtc="2021-03-17T23:00:00Z"/>
  <w16cex:commentExtensible w16cex:durableId="23FD0A18" w16cex:dateUtc="2021-03-17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DC566C" w16cid:durableId="23FDBE9F"/>
  <w16cid:commentId w16cid:paraId="5FD92C1E" w16cid:durableId="23FDBEA0"/>
  <w16cid:commentId w16cid:paraId="79951647" w16cid:durableId="23FDBEA1"/>
  <w16cid:commentId w16cid:paraId="2F73E9F0" w16cid:durableId="23FDC0AF"/>
  <w16cid:commentId w16cid:paraId="05F32365" w16cid:durableId="23FDBEA2"/>
  <w16cid:commentId w16cid:paraId="11283B85" w16cid:durableId="23FDC190"/>
  <w16cid:commentId w16cid:paraId="0771ED55" w16cid:durableId="23FDBEA3"/>
  <w16cid:commentId w16cid:paraId="2C752E35" w16cid:durableId="23FDBEA4"/>
  <w16cid:commentId w16cid:paraId="16CDC6B8" w16cid:durableId="23FDC25A"/>
  <w16cid:commentId w16cid:paraId="0892B962" w16cid:durableId="23FD02DC"/>
  <w16cid:commentId w16cid:paraId="54A35307" w16cid:durableId="23FDBEA6"/>
  <w16cid:commentId w16cid:paraId="1FC0839E" w16cid:durableId="23FDBEA7"/>
  <w16cid:commentId w16cid:paraId="580930E2" w16cid:durableId="23FDBEA8"/>
  <w16cid:commentId w16cid:paraId="2270A525" w16cid:durableId="23FDBEA9"/>
  <w16cid:commentId w16cid:paraId="7DE4887F" w16cid:durableId="23FD02DD"/>
  <w16cid:commentId w16cid:paraId="6D71F206" w16cid:durableId="23FD9217"/>
  <w16cid:commentId w16cid:paraId="06AC6E09" w16cid:durableId="23FDBEAC"/>
  <w16cid:commentId w16cid:paraId="19F9D634" w16cid:durableId="23FD94FD"/>
  <w16cid:commentId w16cid:paraId="4251240F" w16cid:durableId="23FDBEAE"/>
  <w16cid:commentId w16cid:paraId="50719BAC" w16cid:durableId="23FDBEAF"/>
  <w16cid:commentId w16cid:paraId="44B8450B" w16cid:durableId="23FDBEB0"/>
  <w16cid:commentId w16cid:paraId="17D60EF1" w16cid:durableId="23FD0669"/>
  <w16cid:commentId w16cid:paraId="716C71A0" w16cid:durableId="23FDBEB2"/>
  <w16cid:commentId w16cid:paraId="486BD946" w16cid:durableId="23FDC616"/>
  <w16cid:commentId w16cid:paraId="55836634" w16cid:durableId="23FD0860"/>
  <w16cid:commentId w16cid:paraId="07E1BDA4" w16cid:durableId="23FD0883"/>
  <w16cid:commentId w16cid:paraId="7BF2CE9A" w16cid:durableId="23FD088A"/>
  <w16cid:commentId w16cid:paraId="6C095420" w16cid:durableId="23FDBEB6"/>
  <w16cid:commentId w16cid:paraId="40AC5DE5" w16cid:durableId="23FD0894"/>
  <w16cid:commentId w16cid:paraId="62AC3A5F" w16cid:durableId="23FD0A18"/>
  <w16cid:commentId w16cid:paraId="12324451" w16cid:durableId="23FDBEB9"/>
  <w16cid:commentId w16cid:paraId="2C2629A6" w16cid:durableId="23FDBE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9853" w14:textId="77777777" w:rsidR="009B6F3E" w:rsidRDefault="009B6F3E" w:rsidP="00B6568A">
      <w:pPr>
        <w:spacing w:after="0" w:line="240" w:lineRule="auto"/>
      </w:pPr>
      <w:r>
        <w:separator/>
      </w:r>
    </w:p>
  </w:endnote>
  <w:endnote w:type="continuationSeparator" w:id="0">
    <w:p w14:paraId="3BD566E4" w14:textId="77777777" w:rsidR="009B6F3E" w:rsidRDefault="009B6F3E" w:rsidP="00B6568A">
      <w:pPr>
        <w:spacing w:after="0" w:line="240" w:lineRule="auto"/>
      </w:pPr>
      <w:r>
        <w:continuationSeparator/>
      </w:r>
    </w:p>
  </w:endnote>
  <w:endnote w:type="continuationNotice" w:id="1">
    <w:p w14:paraId="16B97B47" w14:textId="77777777" w:rsidR="009B6F3E" w:rsidRDefault="009B6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82373"/>
      <w:docPartObj>
        <w:docPartGallery w:val="Page Numbers (Bottom of Page)"/>
        <w:docPartUnique/>
      </w:docPartObj>
    </w:sdtPr>
    <w:sdtEndPr>
      <w:rPr>
        <w:noProof/>
      </w:rPr>
    </w:sdtEndPr>
    <w:sdtContent>
      <w:p w14:paraId="792271BF" w14:textId="2169A1A5" w:rsidR="009B6F3E" w:rsidRDefault="009B6F3E">
        <w:pPr>
          <w:pStyle w:val="Footer"/>
          <w:jc w:val="right"/>
        </w:pPr>
        <w:r>
          <w:fldChar w:fldCharType="begin"/>
        </w:r>
        <w:r>
          <w:instrText xml:space="preserve"> PAGE   \* MERGEFORMAT </w:instrText>
        </w:r>
        <w:r>
          <w:fldChar w:fldCharType="separate"/>
        </w:r>
        <w:r w:rsidR="00FE4E80">
          <w:rPr>
            <w:noProof/>
          </w:rPr>
          <w:t>1</w:t>
        </w:r>
        <w:r>
          <w:rPr>
            <w:noProof/>
          </w:rPr>
          <w:fldChar w:fldCharType="end"/>
        </w:r>
      </w:p>
    </w:sdtContent>
  </w:sdt>
  <w:p w14:paraId="3972B6C8" w14:textId="77777777" w:rsidR="009B6F3E" w:rsidRDefault="009B6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FB8E" w14:textId="77777777" w:rsidR="009B6F3E" w:rsidRDefault="009B6F3E" w:rsidP="00B6568A">
      <w:pPr>
        <w:spacing w:after="0" w:line="240" w:lineRule="auto"/>
      </w:pPr>
      <w:r>
        <w:separator/>
      </w:r>
    </w:p>
  </w:footnote>
  <w:footnote w:type="continuationSeparator" w:id="0">
    <w:p w14:paraId="50D09EF5" w14:textId="77777777" w:rsidR="009B6F3E" w:rsidRDefault="009B6F3E" w:rsidP="00B6568A">
      <w:pPr>
        <w:spacing w:after="0" w:line="240" w:lineRule="auto"/>
      </w:pPr>
      <w:r>
        <w:continuationSeparator/>
      </w:r>
    </w:p>
  </w:footnote>
  <w:footnote w:type="continuationNotice" w:id="1">
    <w:p w14:paraId="30CFDBDA" w14:textId="77777777" w:rsidR="009B6F3E" w:rsidRDefault="009B6F3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36C7"/>
    <w:multiLevelType w:val="hybridMultilevel"/>
    <w:tmpl w:val="3BAC83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780846"/>
    <w:multiLevelType w:val="multilevel"/>
    <w:tmpl w:val="4F9C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4724E"/>
    <w:multiLevelType w:val="hybridMultilevel"/>
    <w:tmpl w:val="BD1EC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8F5A14"/>
    <w:multiLevelType w:val="hybridMultilevel"/>
    <w:tmpl w:val="15CED352"/>
    <w:lvl w:ilvl="0" w:tplc="424CC63C">
      <w:start w:val="1"/>
      <w:numFmt w:val="bullet"/>
      <w:lvlText w:val="†"/>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D3774D"/>
    <w:multiLevelType w:val="hybridMultilevel"/>
    <w:tmpl w:val="C09A74F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A5"/>
    <w:rsid w:val="00000947"/>
    <w:rsid w:val="000042F5"/>
    <w:rsid w:val="00011B04"/>
    <w:rsid w:val="00013874"/>
    <w:rsid w:val="00017452"/>
    <w:rsid w:val="00033CCE"/>
    <w:rsid w:val="00036817"/>
    <w:rsid w:val="00036CB8"/>
    <w:rsid w:val="000376D9"/>
    <w:rsid w:val="0004758D"/>
    <w:rsid w:val="00050C3C"/>
    <w:rsid w:val="00051BFC"/>
    <w:rsid w:val="00051F22"/>
    <w:rsid w:val="000546C1"/>
    <w:rsid w:val="00054CF4"/>
    <w:rsid w:val="00055E3A"/>
    <w:rsid w:val="000561CF"/>
    <w:rsid w:val="00061432"/>
    <w:rsid w:val="0006414D"/>
    <w:rsid w:val="000646A5"/>
    <w:rsid w:val="000649CE"/>
    <w:rsid w:val="00066A4E"/>
    <w:rsid w:val="00081331"/>
    <w:rsid w:val="00082B6F"/>
    <w:rsid w:val="00085EEC"/>
    <w:rsid w:val="00087252"/>
    <w:rsid w:val="00090246"/>
    <w:rsid w:val="000A0096"/>
    <w:rsid w:val="000A340C"/>
    <w:rsid w:val="000B0CCD"/>
    <w:rsid w:val="000B5119"/>
    <w:rsid w:val="000B599B"/>
    <w:rsid w:val="000B6FE1"/>
    <w:rsid w:val="000C037D"/>
    <w:rsid w:val="000D20F8"/>
    <w:rsid w:val="000D2EFC"/>
    <w:rsid w:val="000D3A03"/>
    <w:rsid w:val="000D3A79"/>
    <w:rsid w:val="000E2618"/>
    <w:rsid w:val="000E26B3"/>
    <w:rsid w:val="000E3928"/>
    <w:rsid w:val="000E685A"/>
    <w:rsid w:val="000E748B"/>
    <w:rsid w:val="000E7948"/>
    <w:rsid w:val="000F1BF0"/>
    <w:rsid w:val="000F7CB8"/>
    <w:rsid w:val="00103EB6"/>
    <w:rsid w:val="00111853"/>
    <w:rsid w:val="0011389B"/>
    <w:rsid w:val="001328B8"/>
    <w:rsid w:val="00133CC0"/>
    <w:rsid w:val="001400D8"/>
    <w:rsid w:val="00142739"/>
    <w:rsid w:val="00145F07"/>
    <w:rsid w:val="001460B8"/>
    <w:rsid w:val="00147354"/>
    <w:rsid w:val="00152CAD"/>
    <w:rsid w:val="00152DDC"/>
    <w:rsid w:val="00157282"/>
    <w:rsid w:val="0016204F"/>
    <w:rsid w:val="00163BA5"/>
    <w:rsid w:val="001646B4"/>
    <w:rsid w:val="001736F1"/>
    <w:rsid w:val="001802B4"/>
    <w:rsid w:val="00181142"/>
    <w:rsid w:val="00182B3F"/>
    <w:rsid w:val="00185CA8"/>
    <w:rsid w:val="00192661"/>
    <w:rsid w:val="00193C15"/>
    <w:rsid w:val="00194080"/>
    <w:rsid w:val="00196655"/>
    <w:rsid w:val="001A0250"/>
    <w:rsid w:val="001A0ED1"/>
    <w:rsid w:val="001A34DC"/>
    <w:rsid w:val="001A6A51"/>
    <w:rsid w:val="001B7E66"/>
    <w:rsid w:val="001C5345"/>
    <w:rsid w:val="001C5D9C"/>
    <w:rsid w:val="001C6643"/>
    <w:rsid w:val="001E2558"/>
    <w:rsid w:val="001E3DD7"/>
    <w:rsid w:val="001E64BB"/>
    <w:rsid w:val="001F34D5"/>
    <w:rsid w:val="001F4F1B"/>
    <w:rsid w:val="001F5D10"/>
    <w:rsid w:val="00203CCB"/>
    <w:rsid w:val="00205F63"/>
    <w:rsid w:val="00207CF6"/>
    <w:rsid w:val="00221075"/>
    <w:rsid w:val="002328AE"/>
    <w:rsid w:val="002464A6"/>
    <w:rsid w:val="00250546"/>
    <w:rsid w:val="00252029"/>
    <w:rsid w:val="00257AE9"/>
    <w:rsid w:val="0026112A"/>
    <w:rsid w:val="00266A66"/>
    <w:rsid w:val="0029182E"/>
    <w:rsid w:val="00291B93"/>
    <w:rsid w:val="002961C2"/>
    <w:rsid w:val="00296220"/>
    <w:rsid w:val="002B6B69"/>
    <w:rsid w:val="002D4EF4"/>
    <w:rsid w:val="002F5D85"/>
    <w:rsid w:val="0030305F"/>
    <w:rsid w:val="00304D9E"/>
    <w:rsid w:val="003101B8"/>
    <w:rsid w:val="0031344C"/>
    <w:rsid w:val="003216B9"/>
    <w:rsid w:val="00323FAC"/>
    <w:rsid w:val="003268CD"/>
    <w:rsid w:val="00326BCC"/>
    <w:rsid w:val="00332423"/>
    <w:rsid w:val="0033629D"/>
    <w:rsid w:val="0036477A"/>
    <w:rsid w:val="00374AB1"/>
    <w:rsid w:val="0038652F"/>
    <w:rsid w:val="00390071"/>
    <w:rsid w:val="003950A0"/>
    <w:rsid w:val="003A560A"/>
    <w:rsid w:val="003A778E"/>
    <w:rsid w:val="003C0C2B"/>
    <w:rsid w:val="003C15E9"/>
    <w:rsid w:val="003D47D1"/>
    <w:rsid w:val="003E44D7"/>
    <w:rsid w:val="003E471B"/>
    <w:rsid w:val="003E4CBB"/>
    <w:rsid w:val="00405882"/>
    <w:rsid w:val="00407F65"/>
    <w:rsid w:val="004135E1"/>
    <w:rsid w:val="00413865"/>
    <w:rsid w:val="0042206A"/>
    <w:rsid w:val="0043225C"/>
    <w:rsid w:val="004336D4"/>
    <w:rsid w:val="00434ED5"/>
    <w:rsid w:val="00440625"/>
    <w:rsid w:val="004406B4"/>
    <w:rsid w:val="004412D2"/>
    <w:rsid w:val="004423DF"/>
    <w:rsid w:val="00445020"/>
    <w:rsid w:val="00446A17"/>
    <w:rsid w:val="0045538D"/>
    <w:rsid w:val="00457AD8"/>
    <w:rsid w:val="00457BD6"/>
    <w:rsid w:val="0046592E"/>
    <w:rsid w:val="00471D18"/>
    <w:rsid w:val="00472401"/>
    <w:rsid w:val="00474916"/>
    <w:rsid w:val="00476F87"/>
    <w:rsid w:val="004836A1"/>
    <w:rsid w:val="00483BF9"/>
    <w:rsid w:val="004841D7"/>
    <w:rsid w:val="0048754D"/>
    <w:rsid w:val="00496238"/>
    <w:rsid w:val="004B0A79"/>
    <w:rsid w:val="004E096F"/>
    <w:rsid w:val="004F24BD"/>
    <w:rsid w:val="004F2CB3"/>
    <w:rsid w:val="004F65D9"/>
    <w:rsid w:val="00500847"/>
    <w:rsid w:val="005024CC"/>
    <w:rsid w:val="00505D4F"/>
    <w:rsid w:val="00507068"/>
    <w:rsid w:val="00511C28"/>
    <w:rsid w:val="005125B9"/>
    <w:rsid w:val="00512C78"/>
    <w:rsid w:val="0052492E"/>
    <w:rsid w:val="00531818"/>
    <w:rsid w:val="00534046"/>
    <w:rsid w:val="005348A0"/>
    <w:rsid w:val="00537C66"/>
    <w:rsid w:val="00544D73"/>
    <w:rsid w:val="005530CA"/>
    <w:rsid w:val="00553B75"/>
    <w:rsid w:val="00553E0A"/>
    <w:rsid w:val="00561861"/>
    <w:rsid w:val="0056232F"/>
    <w:rsid w:val="005720AB"/>
    <w:rsid w:val="00573B47"/>
    <w:rsid w:val="00583F28"/>
    <w:rsid w:val="00585FD8"/>
    <w:rsid w:val="005A2976"/>
    <w:rsid w:val="005B0AAA"/>
    <w:rsid w:val="005B0BF3"/>
    <w:rsid w:val="005B301A"/>
    <w:rsid w:val="005C1B02"/>
    <w:rsid w:val="005C7396"/>
    <w:rsid w:val="005D0518"/>
    <w:rsid w:val="005D2459"/>
    <w:rsid w:val="005D27A5"/>
    <w:rsid w:val="005D6C36"/>
    <w:rsid w:val="005E2AE6"/>
    <w:rsid w:val="005F432A"/>
    <w:rsid w:val="0060637A"/>
    <w:rsid w:val="006102BB"/>
    <w:rsid w:val="00612AA9"/>
    <w:rsid w:val="006266FB"/>
    <w:rsid w:val="00626C7D"/>
    <w:rsid w:val="00627A59"/>
    <w:rsid w:val="006309E1"/>
    <w:rsid w:val="00632792"/>
    <w:rsid w:val="00632F48"/>
    <w:rsid w:val="006416BC"/>
    <w:rsid w:val="00641AAE"/>
    <w:rsid w:val="00642057"/>
    <w:rsid w:val="006449FF"/>
    <w:rsid w:val="006473D6"/>
    <w:rsid w:val="006500B5"/>
    <w:rsid w:val="00651DAD"/>
    <w:rsid w:val="006524E5"/>
    <w:rsid w:val="00657982"/>
    <w:rsid w:val="00660344"/>
    <w:rsid w:val="00673488"/>
    <w:rsid w:val="006759C8"/>
    <w:rsid w:val="006970DB"/>
    <w:rsid w:val="006A3497"/>
    <w:rsid w:val="006B0C6A"/>
    <w:rsid w:val="006B268C"/>
    <w:rsid w:val="006B59B1"/>
    <w:rsid w:val="006C3360"/>
    <w:rsid w:val="006C6DD5"/>
    <w:rsid w:val="006C7FCB"/>
    <w:rsid w:val="006D0470"/>
    <w:rsid w:val="006D63CB"/>
    <w:rsid w:val="006D7370"/>
    <w:rsid w:val="006F2B9E"/>
    <w:rsid w:val="006F3B33"/>
    <w:rsid w:val="006F474D"/>
    <w:rsid w:val="006F7FEF"/>
    <w:rsid w:val="007052D0"/>
    <w:rsid w:val="007104E2"/>
    <w:rsid w:val="00711EDC"/>
    <w:rsid w:val="00712656"/>
    <w:rsid w:val="007131B6"/>
    <w:rsid w:val="007135A2"/>
    <w:rsid w:val="00717322"/>
    <w:rsid w:val="00723BE9"/>
    <w:rsid w:val="007248C9"/>
    <w:rsid w:val="007269DD"/>
    <w:rsid w:val="00733200"/>
    <w:rsid w:val="00733CC9"/>
    <w:rsid w:val="00742B2C"/>
    <w:rsid w:val="00744085"/>
    <w:rsid w:val="00750C64"/>
    <w:rsid w:val="0075262C"/>
    <w:rsid w:val="00761F92"/>
    <w:rsid w:val="0076499A"/>
    <w:rsid w:val="00765B79"/>
    <w:rsid w:val="007735AE"/>
    <w:rsid w:val="007816A4"/>
    <w:rsid w:val="00782BD5"/>
    <w:rsid w:val="0078757C"/>
    <w:rsid w:val="00791760"/>
    <w:rsid w:val="007A4C81"/>
    <w:rsid w:val="007A5535"/>
    <w:rsid w:val="007C2697"/>
    <w:rsid w:val="007C4817"/>
    <w:rsid w:val="007C5B61"/>
    <w:rsid w:val="007C5F90"/>
    <w:rsid w:val="007D6F4D"/>
    <w:rsid w:val="007E02B6"/>
    <w:rsid w:val="007E043C"/>
    <w:rsid w:val="007E1392"/>
    <w:rsid w:val="007E38AD"/>
    <w:rsid w:val="007F0A1A"/>
    <w:rsid w:val="007F11F0"/>
    <w:rsid w:val="00804B50"/>
    <w:rsid w:val="00813448"/>
    <w:rsid w:val="00813B80"/>
    <w:rsid w:val="00822953"/>
    <w:rsid w:val="008234BA"/>
    <w:rsid w:val="00826A4A"/>
    <w:rsid w:val="00831B7E"/>
    <w:rsid w:val="008340AA"/>
    <w:rsid w:val="00835F83"/>
    <w:rsid w:val="00843D5A"/>
    <w:rsid w:val="00846AF1"/>
    <w:rsid w:val="00857DC7"/>
    <w:rsid w:val="00860617"/>
    <w:rsid w:val="00862238"/>
    <w:rsid w:val="008667A8"/>
    <w:rsid w:val="00874D47"/>
    <w:rsid w:val="00876E78"/>
    <w:rsid w:val="0087789C"/>
    <w:rsid w:val="00877A19"/>
    <w:rsid w:val="00884DEA"/>
    <w:rsid w:val="0088754A"/>
    <w:rsid w:val="00893B8F"/>
    <w:rsid w:val="008A19D1"/>
    <w:rsid w:val="008A3A9D"/>
    <w:rsid w:val="008A4BB6"/>
    <w:rsid w:val="008A6B32"/>
    <w:rsid w:val="008A7CD1"/>
    <w:rsid w:val="008A7D57"/>
    <w:rsid w:val="008B23C2"/>
    <w:rsid w:val="008C1452"/>
    <w:rsid w:val="008C48ED"/>
    <w:rsid w:val="008D7C95"/>
    <w:rsid w:val="008E08BE"/>
    <w:rsid w:val="008E475B"/>
    <w:rsid w:val="008F08B7"/>
    <w:rsid w:val="008F2FA1"/>
    <w:rsid w:val="008F3932"/>
    <w:rsid w:val="00901504"/>
    <w:rsid w:val="00904DE4"/>
    <w:rsid w:val="00904E21"/>
    <w:rsid w:val="009078D0"/>
    <w:rsid w:val="009110D7"/>
    <w:rsid w:val="00914446"/>
    <w:rsid w:val="00922B0D"/>
    <w:rsid w:val="00927A33"/>
    <w:rsid w:val="00937376"/>
    <w:rsid w:val="00943379"/>
    <w:rsid w:val="009455B5"/>
    <w:rsid w:val="009539DB"/>
    <w:rsid w:val="0095426D"/>
    <w:rsid w:val="00970267"/>
    <w:rsid w:val="009727A4"/>
    <w:rsid w:val="00975907"/>
    <w:rsid w:val="00976A9F"/>
    <w:rsid w:val="00977183"/>
    <w:rsid w:val="00977402"/>
    <w:rsid w:val="009829C0"/>
    <w:rsid w:val="009A280F"/>
    <w:rsid w:val="009A3196"/>
    <w:rsid w:val="009A33FF"/>
    <w:rsid w:val="009A66E8"/>
    <w:rsid w:val="009B2A97"/>
    <w:rsid w:val="009B2B62"/>
    <w:rsid w:val="009B576F"/>
    <w:rsid w:val="009B6F3E"/>
    <w:rsid w:val="009D1B44"/>
    <w:rsid w:val="009D4B87"/>
    <w:rsid w:val="009D76FB"/>
    <w:rsid w:val="009F37EC"/>
    <w:rsid w:val="009F53D4"/>
    <w:rsid w:val="00A0173D"/>
    <w:rsid w:val="00A0410B"/>
    <w:rsid w:val="00A061A8"/>
    <w:rsid w:val="00A12D60"/>
    <w:rsid w:val="00A13278"/>
    <w:rsid w:val="00A22A2D"/>
    <w:rsid w:val="00A252B6"/>
    <w:rsid w:val="00A32B92"/>
    <w:rsid w:val="00A3362E"/>
    <w:rsid w:val="00A33AB0"/>
    <w:rsid w:val="00A42785"/>
    <w:rsid w:val="00A45D01"/>
    <w:rsid w:val="00A4650A"/>
    <w:rsid w:val="00A50246"/>
    <w:rsid w:val="00A5742A"/>
    <w:rsid w:val="00A61BA0"/>
    <w:rsid w:val="00A7012C"/>
    <w:rsid w:val="00A766D0"/>
    <w:rsid w:val="00A8529D"/>
    <w:rsid w:val="00A8548F"/>
    <w:rsid w:val="00A901A1"/>
    <w:rsid w:val="00AA0C73"/>
    <w:rsid w:val="00AA560C"/>
    <w:rsid w:val="00AC10EA"/>
    <w:rsid w:val="00AC2150"/>
    <w:rsid w:val="00AD1953"/>
    <w:rsid w:val="00AD1D35"/>
    <w:rsid w:val="00AD583F"/>
    <w:rsid w:val="00AE14DD"/>
    <w:rsid w:val="00AE5071"/>
    <w:rsid w:val="00AE5C40"/>
    <w:rsid w:val="00AF1D41"/>
    <w:rsid w:val="00AF44E8"/>
    <w:rsid w:val="00B0308C"/>
    <w:rsid w:val="00B16483"/>
    <w:rsid w:val="00B20D61"/>
    <w:rsid w:val="00B21D46"/>
    <w:rsid w:val="00B22066"/>
    <w:rsid w:val="00B24185"/>
    <w:rsid w:val="00B320ED"/>
    <w:rsid w:val="00B322F3"/>
    <w:rsid w:val="00B37234"/>
    <w:rsid w:val="00B41E37"/>
    <w:rsid w:val="00B45C17"/>
    <w:rsid w:val="00B548B9"/>
    <w:rsid w:val="00B57189"/>
    <w:rsid w:val="00B6568A"/>
    <w:rsid w:val="00B756CF"/>
    <w:rsid w:val="00B76E79"/>
    <w:rsid w:val="00B82276"/>
    <w:rsid w:val="00B8282E"/>
    <w:rsid w:val="00B8352A"/>
    <w:rsid w:val="00B841F1"/>
    <w:rsid w:val="00B942B4"/>
    <w:rsid w:val="00B97C63"/>
    <w:rsid w:val="00BA2542"/>
    <w:rsid w:val="00BA412C"/>
    <w:rsid w:val="00BA5BC6"/>
    <w:rsid w:val="00BA6FDB"/>
    <w:rsid w:val="00BA7371"/>
    <w:rsid w:val="00BA7649"/>
    <w:rsid w:val="00BB5A1F"/>
    <w:rsid w:val="00BC00B1"/>
    <w:rsid w:val="00BC2C26"/>
    <w:rsid w:val="00BD1235"/>
    <w:rsid w:val="00BD1BEA"/>
    <w:rsid w:val="00BE4EDF"/>
    <w:rsid w:val="00BF7A55"/>
    <w:rsid w:val="00C00026"/>
    <w:rsid w:val="00C02E60"/>
    <w:rsid w:val="00C17BAF"/>
    <w:rsid w:val="00C206CE"/>
    <w:rsid w:val="00C23E1A"/>
    <w:rsid w:val="00C26141"/>
    <w:rsid w:val="00C36DF3"/>
    <w:rsid w:val="00C46E89"/>
    <w:rsid w:val="00C571A2"/>
    <w:rsid w:val="00C62D7B"/>
    <w:rsid w:val="00C63D73"/>
    <w:rsid w:val="00C66A0B"/>
    <w:rsid w:val="00C8397E"/>
    <w:rsid w:val="00C85194"/>
    <w:rsid w:val="00C902BF"/>
    <w:rsid w:val="00C92C68"/>
    <w:rsid w:val="00CB2560"/>
    <w:rsid w:val="00CB3229"/>
    <w:rsid w:val="00CB4DAB"/>
    <w:rsid w:val="00CD1C05"/>
    <w:rsid w:val="00CD2D6E"/>
    <w:rsid w:val="00CD3067"/>
    <w:rsid w:val="00CE0CD3"/>
    <w:rsid w:val="00CE311E"/>
    <w:rsid w:val="00CF2FCB"/>
    <w:rsid w:val="00D028E9"/>
    <w:rsid w:val="00D0739E"/>
    <w:rsid w:val="00D114E9"/>
    <w:rsid w:val="00D13547"/>
    <w:rsid w:val="00D16600"/>
    <w:rsid w:val="00D16972"/>
    <w:rsid w:val="00D20EEC"/>
    <w:rsid w:val="00D22671"/>
    <w:rsid w:val="00D40EA3"/>
    <w:rsid w:val="00D44525"/>
    <w:rsid w:val="00D45D6E"/>
    <w:rsid w:val="00D50EC1"/>
    <w:rsid w:val="00D53C6F"/>
    <w:rsid w:val="00D66A97"/>
    <w:rsid w:val="00D91451"/>
    <w:rsid w:val="00D91FFE"/>
    <w:rsid w:val="00D960D0"/>
    <w:rsid w:val="00DA13DE"/>
    <w:rsid w:val="00DB01F5"/>
    <w:rsid w:val="00DC07F8"/>
    <w:rsid w:val="00DC3E80"/>
    <w:rsid w:val="00DC4CB2"/>
    <w:rsid w:val="00DD38FA"/>
    <w:rsid w:val="00DD45CD"/>
    <w:rsid w:val="00DD7871"/>
    <w:rsid w:val="00DE1E32"/>
    <w:rsid w:val="00DE75A2"/>
    <w:rsid w:val="00DF0752"/>
    <w:rsid w:val="00DF55CF"/>
    <w:rsid w:val="00E02303"/>
    <w:rsid w:val="00E10BA4"/>
    <w:rsid w:val="00E15B2E"/>
    <w:rsid w:val="00E22AED"/>
    <w:rsid w:val="00E274A3"/>
    <w:rsid w:val="00E33F3E"/>
    <w:rsid w:val="00E34E5E"/>
    <w:rsid w:val="00E37E08"/>
    <w:rsid w:val="00E44E00"/>
    <w:rsid w:val="00E5017C"/>
    <w:rsid w:val="00E60491"/>
    <w:rsid w:val="00E64FAA"/>
    <w:rsid w:val="00E6634C"/>
    <w:rsid w:val="00E717D3"/>
    <w:rsid w:val="00E75804"/>
    <w:rsid w:val="00E855BE"/>
    <w:rsid w:val="00E9284E"/>
    <w:rsid w:val="00E939C8"/>
    <w:rsid w:val="00EA0B30"/>
    <w:rsid w:val="00EA3642"/>
    <w:rsid w:val="00EA6A95"/>
    <w:rsid w:val="00EC0FBE"/>
    <w:rsid w:val="00EC2C2D"/>
    <w:rsid w:val="00EC2EE9"/>
    <w:rsid w:val="00EC34BD"/>
    <w:rsid w:val="00ED2DB1"/>
    <w:rsid w:val="00ED3213"/>
    <w:rsid w:val="00ED76CB"/>
    <w:rsid w:val="00EE00F3"/>
    <w:rsid w:val="00EE2D87"/>
    <w:rsid w:val="00EE545A"/>
    <w:rsid w:val="00EF2F7E"/>
    <w:rsid w:val="00EF4488"/>
    <w:rsid w:val="00EF7643"/>
    <w:rsid w:val="00F0200E"/>
    <w:rsid w:val="00F0411C"/>
    <w:rsid w:val="00F05BCD"/>
    <w:rsid w:val="00F14255"/>
    <w:rsid w:val="00F20EA6"/>
    <w:rsid w:val="00F2130B"/>
    <w:rsid w:val="00F35587"/>
    <w:rsid w:val="00F43895"/>
    <w:rsid w:val="00F46989"/>
    <w:rsid w:val="00F533EC"/>
    <w:rsid w:val="00F554EE"/>
    <w:rsid w:val="00F6470A"/>
    <w:rsid w:val="00F65690"/>
    <w:rsid w:val="00F83405"/>
    <w:rsid w:val="00F83B8C"/>
    <w:rsid w:val="00F876E6"/>
    <w:rsid w:val="00F8771B"/>
    <w:rsid w:val="00F9516B"/>
    <w:rsid w:val="00F953A2"/>
    <w:rsid w:val="00F9671F"/>
    <w:rsid w:val="00F96CD8"/>
    <w:rsid w:val="00FA4FB3"/>
    <w:rsid w:val="00FB115B"/>
    <w:rsid w:val="00FB5126"/>
    <w:rsid w:val="00FC3BAE"/>
    <w:rsid w:val="00FC6395"/>
    <w:rsid w:val="00FC718D"/>
    <w:rsid w:val="00FD44EF"/>
    <w:rsid w:val="00FE2987"/>
    <w:rsid w:val="00FE4E80"/>
    <w:rsid w:val="00FF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BCD3"/>
  <w15:docId w15:val="{0987B080-7799-48BF-9B39-B82C1130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928"/>
    <w:rPr>
      <w:color w:val="0000FF"/>
      <w:u w:val="single"/>
    </w:rPr>
  </w:style>
  <w:style w:type="paragraph" w:styleId="ListParagraph">
    <w:name w:val="List Paragraph"/>
    <w:basedOn w:val="Normal"/>
    <w:uiPriority w:val="34"/>
    <w:qFormat/>
    <w:rsid w:val="000E3928"/>
    <w:pPr>
      <w:ind w:left="720"/>
      <w:contextualSpacing/>
    </w:pPr>
  </w:style>
  <w:style w:type="paragraph" w:styleId="BalloonText">
    <w:name w:val="Balloon Text"/>
    <w:basedOn w:val="Normal"/>
    <w:link w:val="BalloonTextChar"/>
    <w:uiPriority w:val="99"/>
    <w:semiHidden/>
    <w:unhideWhenUsed/>
    <w:rsid w:val="001A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DC"/>
    <w:rPr>
      <w:rFonts w:ascii="Segoe UI" w:hAnsi="Segoe UI" w:cs="Segoe UI"/>
      <w:sz w:val="18"/>
      <w:szCs w:val="18"/>
    </w:rPr>
  </w:style>
  <w:style w:type="character" w:styleId="CommentReference">
    <w:name w:val="annotation reference"/>
    <w:basedOn w:val="DefaultParagraphFont"/>
    <w:uiPriority w:val="99"/>
    <w:semiHidden/>
    <w:unhideWhenUsed/>
    <w:rsid w:val="00C02E60"/>
    <w:rPr>
      <w:sz w:val="16"/>
      <w:szCs w:val="16"/>
    </w:rPr>
  </w:style>
  <w:style w:type="paragraph" w:styleId="CommentText">
    <w:name w:val="annotation text"/>
    <w:basedOn w:val="Normal"/>
    <w:link w:val="CommentTextChar"/>
    <w:uiPriority w:val="99"/>
    <w:unhideWhenUsed/>
    <w:rsid w:val="00C02E60"/>
    <w:pPr>
      <w:spacing w:line="240" w:lineRule="auto"/>
    </w:pPr>
    <w:rPr>
      <w:sz w:val="20"/>
      <w:szCs w:val="20"/>
    </w:rPr>
  </w:style>
  <w:style w:type="character" w:customStyle="1" w:styleId="CommentTextChar">
    <w:name w:val="Comment Text Char"/>
    <w:basedOn w:val="DefaultParagraphFont"/>
    <w:link w:val="CommentText"/>
    <w:uiPriority w:val="99"/>
    <w:rsid w:val="00C02E60"/>
    <w:rPr>
      <w:sz w:val="20"/>
      <w:szCs w:val="20"/>
    </w:rPr>
  </w:style>
  <w:style w:type="paragraph" w:styleId="CommentSubject">
    <w:name w:val="annotation subject"/>
    <w:basedOn w:val="CommentText"/>
    <w:next w:val="CommentText"/>
    <w:link w:val="CommentSubjectChar"/>
    <w:uiPriority w:val="99"/>
    <w:semiHidden/>
    <w:unhideWhenUsed/>
    <w:rsid w:val="00C02E60"/>
    <w:rPr>
      <w:b/>
      <w:bCs/>
    </w:rPr>
  </w:style>
  <w:style w:type="character" w:customStyle="1" w:styleId="CommentSubjectChar">
    <w:name w:val="Comment Subject Char"/>
    <w:basedOn w:val="CommentTextChar"/>
    <w:link w:val="CommentSubject"/>
    <w:uiPriority w:val="99"/>
    <w:semiHidden/>
    <w:rsid w:val="00C02E60"/>
    <w:rPr>
      <w:b/>
      <w:bCs/>
      <w:sz w:val="20"/>
      <w:szCs w:val="20"/>
    </w:rPr>
  </w:style>
  <w:style w:type="table" w:customStyle="1" w:styleId="PlainTable21">
    <w:name w:val="Plain Table 21"/>
    <w:basedOn w:val="TableNormal"/>
    <w:uiPriority w:val="42"/>
    <w:rsid w:val="000614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65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68A"/>
  </w:style>
  <w:style w:type="paragraph" w:styleId="Footer">
    <w:name w:val="footer"/>
    <w:basedOn w:val="Normal"/>
    <w:link w:val="FooterChar"/>
    <w:uiPriority w:val="99"/>
    <w:unhideWhenUsed/>
    <w:rsid w:val="00B65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68A"/>
  </w:style>
  <w:style w:type="paragraph" w:styleId="Revision">
    <w:name w:val="Revision"/>
    <w:hidden/>
    <w:uiPriority w:val="99"/>
    <w:semiHidden/>
    <w:rsid w:val="006F3B33"/>
    <w:pPr>
      <w:spacing w:after="0" w:line="240" w:lineRule="auto"/>
    </w:pPr>
  </w:style>
  <w:style w:type="character" w:customStyle="1" w:styleId="UnresolvedMention1">
    <w:name w:val="Unresolved Mention1"/>
    <w:basedOn w:val="DefaultParagraphFont"/>
    <w:uiPriority w:val="99"/>
    <w:semiHidden/>
    <w:unhideWhenUsed/>
    <w:rsid w:val="00336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108742215">
      <w:bodyDiv w:val="1"/>
      <w:marLeft w:val="0"/>
      <w:marRight w:val="0"/>
      <w:marTop w:val="0"/>
      <w:marBottom w:val="0"/>
      <w:divBdr>
        <w:top w:val="none" w:sz="0" w:space="0" w:color="auto"/>
        <w:left w:val="none" w:sz="0" w:space="0" w:color="auto"/>
        <w:bottom w:val="none" w:sz="0" w:space="0" w:color="auto"/>
        <w:right w:val="none" w:sz="0" w:space="0" w:color="auto"/>
      </w:divBdr>
    </w:div>
    <w:div w:id="116803023">
      <w:bodyDiv w:val="1"/>
      <w:marLeft w:val="0"/>
      <w:marRight w:val="0"/>
      <w:marTop w:val="0"/>
      <w:marBottom w:val="0"/>
      <w:divBdr>
        <w:top w:val="none" w:sz="0" w:space="0" w:color="auto"/>
        <w:left w:val="none" w:sz="0" w:space="0" w:color="auto"/>
        <w:bottom w:val="none" w:sz="0" w:space="0" w:color="auto"/>
        <w:right w:val="none" w:sz="0" w:space="0" w:color="auto"/>
      </w:divBdr>
    </w:div>
    <w:div w:id="173612974">
      <w:bodyDiv w:val="1"/>
      <w:marLeft w:val="0"/>
      <w:marRight w:val="0"/>
      <w:marTop w:val="0"/>
      <w:marBottom w:val="0"/>
      <w:divBdr>
        <w:top w:val="none" w:sz="0" w:space="0" w:color="auto"/>
        <w:left w:val="none" w:sz="0" w:space="0" w:color="auto"/>
        <w:bottom w:val="none" w:sz="0" w:space="0" w:color="auto"/>
        <w:right w:val="none" w:sz="0" w:space="0" w:color="auto"/>
      </w:divBdr>
    </w:div>
    <w:div w:id="211500629">
      <w:bodyDiv w:val="1"/>
      <w:marLeft w:val="0"/>
      <w:marRight w:val="0"/>
      <w:marTop w:val="0"/>
      <w:marBottom w:val="0"/>
      <w:divBdr>
        <w:top w:val="none" w:sz="0" w:space="0" w:color="auto"/>
        <w:left w:val="none" w:sz="0" w:space="0" w:color="auto"/>
        <w:bottom w:val="none" w:sz="0" w:space="0" w:color="auto"/>
        <w:right w:val="none" w:sz="0" w:space="0" w:color="auto"/>
      </w:divBdr>
    </w:div>
    <w:div w:id="275790802">
      <w:bodyDiv w:val="1"/>
      <w:marLeft w:val="0"/>
      <w:marRight w:val="0"/>
      <w:marTop w:val="0"/>
      <w:marBottom w:val="0"/>
      <w:divBdr>
        <w:top w:val="none" w:sz="0" w:space="0" w:color="auto"/>
        <w:left w:val="none" w:sz="0" w:space="0" w:color="auto"/>
        <w:bottom w:val="none" w:sz="0" w:space="0" w:color="auto"/>
        <w:right w:val="none" w:sz="0" w:space="0" w:color="auto"/>
      </w:divBdr>
    </w:div>
    <w:div w:id="391657581">
      <w:bodyDiv w:val="1"/>
      <w:marLeft w:val="0"/>
      <w:marRight w:val="0"/>
      <w:marTop w:val="0"/>
      <w:marBottom w:val="0"/>
      <w:divBdr>
        <w:top w:val="none" w:sz="0" w:space="0" w:color="auto"/>
        <w:left w:val="none" w:sz="0" w:space="0" w:color="auto"/>
        <w:bottom w:val="none" w:sz="0" w:space="0" w:color="auto"/>
        <w:right w:val="none" w:sz="0" w:space="0" w:color="auto"/>
      </w:divBdr>
    </w:div>
    <w:div w:id="437071009">
      <w:bodyDiv w:val="1"/>
      <w:marLeft w:val="0"/>
      <w:marRight w:val="0"/>
      <w:marTop w:val="0"/>
      <w:marBottom w:val="0"/>
      <w:divBdr>
        <w:top w:val="none" w:sz="0" w:space="0" w:color="auto"/>
        <w:left w:val="none" w:sz="0" w:space="0" w:color="auto"/>
        <w:bottom w:val="none" w:sz="0" w:space="0" w:color="auto"/>
        <w:right w:val="none" w:sz="0" w:space="0" w:color="auto"/>
      </w:divBdr>
    </w:div>
    <w:div w:id="437990104">
      <w:bodyDiv w:val="1"/>
      <w:marLeft w:val="0"/>
      <w:marRight w:val="0"/>
      <w:marTop w:val="0"/>
      <w:marBottom w:val="0"/>
      <w:divBdr>
        <w:top w:val="none" w:sz="0" w:space="0" w:color="auto"/>
        <w:left w:val="none" w:sz="0" w:space="0" w:color="auto"/>
        <w:bottom w:val="none" w:sz="0" w:space="0" w:color="auto"/>
        <w:right w:val="none" w:sz="0" w:space="0" w:color="auto"/>
      </w:divBdr>
    </w:div>
    <w:div w:id="450831213">
      <w:bodyDiv w:val="1"/>
      <w:marLeft w:val="0"/>
      <w:marRight w:val="0"/>
      <w:marTop w:val="0"/>
      <w:marBottom w:val="0"/>
      <w:divBdr>
        <w:top w:val="none" w:sz="0" w:space="0" w:color="auto"/>
        <w:left w:val="none" w:sz="0" w:space="0" w:color="auto"/>
        <w:bottom w:val="none" w:sz="0" w:space="0" w:color="auto"/>
        <w:right w:val="none" w:sz="0" w:space="0" w:color="auto"/>
      </w:divBdr>
    </w:div>
    <w:div w:id="1026256241">
      <w:bodyDiv w:val="1"/>
      <w:marLeft w:val="0"/>
      <w:marRight w:val="0"/>
      <w:marTop w:val="0"/>
      <w:marBottom w:val="0"/>
      <w:divBdr>
        <w:top w:val="none" w:sz="0" w:space="0" w:color="auto"/>
        <w:left w:val="none" w:sz="0" w:space="0" w:color="auto"/>
        <w:bottom w:val="none" w:sz="0" w:space="0" w:color="auto"/>
        <w:right w:val="none" w:sz="0" w:space="0" w:color="auto"/>
      </w:divBdr>
    </w:div>
    <w:div w:id="1253662109">
      <w:bodyDiv w:val="1"/>
      <w:marLeft w:val="0"/>
      <w:marRight w:val="0"/>
      <w:marTop w:val="0"/>
      <w:marBottom w:val="0"/>
      <w:divBdr>
        <w:top w:val="none" w:sz="0" w:space="0" w:color="auto"/>
        <w:left w:val="none" w:sz="0" w:space="0" w:color="auto"/>
        <w:bottom w:val="none" w:sz="0" w:space="0" w:color="auto"/>
        <w:right w:val="none" w:sz="0" w:space="0" w:color="auto"/>
      </w:divBdr>
    </w:div>
    <w:div w:id="1261910845">
      <w:bodyDiv w:val="1"/>
      <w:marLeft w:val="0"/>
      <w:marRight w:val="0"/>
      <w:marTop w:val="0"/>
      <w:marBottom w:val="0"/>
      <w:divBdr>
        <w:top w:val="none" w:sz="0" w:space="0" w:color="auto"/>
        <w:left w:val="none" w:sz="0" w:space="0" w:color="auto"/>
        <w:bottom w:val="none" w:sz="0" w:space="0" w:color="auto"/>
        <w:right w:val="none" w:sz="0" w:space="0" w:color="auto"/>
      </w:divBdr>
    </w:div>
    <w:div w:id="1317756843">
      <w:bodyDiv w:val="1"/>
      <w:marLeft w:val="0"/>
      <w:marRight w:val="0"/>
      <w:marTop w:val="0"/>
      <w:marBottom w:val="0"/>
      <w:divBdr>
        <w:top w:val="none" w:sz="0" w:space="0" w:color="auto"/>
        <w:left w:val="none" w:sz="0" w:space="0" w:color="auto"/>
        <w:bottom w:val="none" w:sz="0" w:space="0" w:color="auto"/>
        <w:right w:val="none" w:sz="0" w:space="0" w:color="auto"/>
      </w:divBdr>
    </w:div>
    <w:div w:id="1374118339">
      <w:bodyDiv w:val="1"/>
      <w:marLeft w:val="0"/>
      <w:marRight w:val="0"/>
      <w:marTop w:val="0"/>
      <w:marBottom w:val="0"/>
      <w:divBdr>
        <w:top w:val="none" w:sz="0" w:space="0" w:color="auto"/>
        <w:left w:val="none" w:sz="0" w:space="0" w:color="auto"/>
        <w:bottom w:val="none" w:sz="0" w:space="0" w:color="auto"/>
        <w:right w:val="none" w:sz="0" w:space="0" w:color="auto"/>
      </w:divBdr>
    </w:div>
    <w:div w:id="1517496554">
      <w:bodyDiv w:val="1"/>
      <w:marLeft w:val="0"/>
      <w:marRight w:val="0"/>
      <w:marTop w:val="0"/>
      <w:marBottom w:val="0"/>
      <w:divBdr>
        <w:top w:val="none" w:sz="0" w:space="0" w:color="auto"/>
        <w:left w:val="none" w:sz="0" w:space="0" w:color="auto"/>
        <w:bottom w:val="none" w:sz="0" w:space="0" w:color="auto"/>
        <w:right w:val="none" w:sz="0" w:space="0" w:color="auto"/>
      </w:divBdr>
    </w:div>
    <w:div w:id="1553348808">
      <w:bodyDiv w:val="1"/>
      <w:marLeft w:val="0"/>
      <w:marRight w:val="0"/>
      <w:marTop w:val="0"/>
      <w:marBottom w:val="0"/>
      <w:divBdr>
        <w:top w:val="none" w:sz="0" w:space="0" w:color="auto"/>
        <w:left w:val="none" w:sz="0" w:space="0" w:color="auto"/>
        <w:bottom w:val="none" w:sz="0" w:space="0" w:color="auto"/>
        <w:right w:val="none" w:sz="0" w:space="0" w:color="auto"/>
      </w:divBdr>
    </w:div>
    <w:div w:id="1579442392">
      <w:bodyDiv w:val="1"/>
      <w:marLeft w:val="0"/>
      <w:marRight w:val="0"/>
      <w:marTop w:val="0"/>
      <w:marBottom w:val="0"/>
      <w:divBdr>
        <w:top w:val="none" w:sz="0" w:space="0" w:color="auto"/>
        <w:left w:val="none" w:sz="0" w:space="0" w:color="auto"/>
        <w:bottom w:val="none" w:sz="0" w:space="0" w:color="auto"/>
        <w:right w:val="none" w:sz="0" w:space="0" w:color="auto"/>
      </w:divBdr>
    </w:div>
    <w:div w:id="1619487099">
      <w:bodyDiv w:val="1"/>
      <w:marLeft w:val="0"/>
      <w:marRight w:val="0"/>
      <w:marTop w:val="0"/>
      <w:marBottom w:val="0"/>
      <w:divBdr>
        <w:top w:val="none" w:sz="0" w:space="0" w:color="auto"/>
        <w:left w:val="none" w:sz="0" w:space="0" w:color="auto"/>
        <w:bottom w:val="none" w:sz="0" w:space="0" w:color="auto"/>
        <w:right w:val="none" w:sz="0" w:space="0" w:color="auto"/>
      </w:divBdr>
    </w:div>
    <w:div w:id="1764495706">
      <w:bodyDiv w:val="1"/>
      <w:marLeft w:val="0"/>
      <w:marRight w:val="0"/>
      <w:marTop w:val="0"/>
      <w:marBottom w:val="0"/>
      <w:divBdr>
        <w:top w:val="none" w:sz="0" w:space="0" w:color="auto"/>
        <w:left w:val="none" w:sz="0" w:space="0" w:color="auto"/>
        <w:bottom w:val="none" w:sz="0" w:space="0" w:color="auto"/>
        <w:right w:val="none" w:sz="0" w:space="0" w:color="auto"/>
      </w:divBdr>
    </w:div>
    <w:div w:id="1829707069">
      <w:bodyDiv w:val="1"/>
      <w:marLeft w:val="0"/>
      <w:marRight w:val="0"/>
      <w:marTop w:val="0"/>
      <w:marBottom w:val="0"/>
      <w:divBdr>
        <w:top w:val="none" w:sz="0" w:space="0" w:color="auto"/>
        <w:left w:val="none" w:sz="0" w:space="0" w:color="auto"/>
        <w:bottom w:val="none" w:sz="0" w:space="0" w:color="auto"/>
        <w:right w:val="none" w:sz="0" w:space="0" w:color="auto"/>
      </w:divBdr>
    </w:div>
    <w:div w:id="1863400889">
      <w:bodyDiv w:val="1"/>
      <w:marLeft w:val="0"/>
      <w:marRight w:val="0"/>
      <w:marTop w:val="0"/>
      <w:marBottom w:val="0"/>
      <w:divBdr>
        <w:top w:val="none" w:sz="0" w:space="0" w:color="auto"/>
        <w:left w:val="none" w:sz="0" w:space="0" w:color="auto"/>
        <w:bottom w:val="none" w:sz="0" w:space="0" w:color="auto"/>
        <w:right w:val="none" w:sz="0" w:space="0" w:color="auto"/>
      </w:divBdr>
    </w:div>
    <w:div w:id="2039892811">
      <w:bodyDiv w:val="1"/>
      <w:marLeft w:val="0"/>
      <w:marRight w:val="0"/>
      <w:marTop w:val="0"/>
      <w:marBottom w:val="0"/>
      <w:divBdr>
        <w:top w:val="none" w:sz="0" w:space="0" w:color="auto"/>
        <w:left w:val="none" w:sz="0" w:space="0" w:color="auto"/>
        <w:bottom w:val="none" w:sz="0" w:space="0" w:color="auto"/>
        <w:right w:val="none" w:sz="0" w:space="0" w:color="auto"/>
      </w:divBdr>
    </w:div>
    <w:div w:id="21449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p.nelson@leicester.ac.uk"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ukbiobank.ac.uk/learn-more-about-uk-biobank/about-us/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C34D-BB0C-48E8-B528-0D5EE5CD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4627</Words>
  <Characters>26377</Characters>
  <Application>Microsoft Office Word</Application>
  <DocSecurity>4</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Leicester</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Samani, Nilesh J. (Prof.)</dc:creator>
  <cp:lastModifiedBy>Karen Drake</cp:lastModifiedBy>
  <cp:revision>2</cp:revision>
  <cp:lastPrinted>2021-06-30T09:42:00Z</cp:lastPrinted>
  <dcterms:created xsi:type="dcterms:W3CDTF">2021-06-30T10:36:00Z</dcterms:created>
  <dcterms:modified xsi:type="dcterms:W3CDTF">2021-06-30T10:36:00Z</dcterms:modified>
</cp:coreProperties>
</file>